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FF21" w14:textId="77777777" w:rsidR="001208E3" w:rsidRDefault="00143C25">
      <w:pPr>
        <w:pStyle w:val="Estilo"/>
        <w:rPr>
          <w:rFonts w:cs="Arial"/>
        </w:rPr>
      </w:pPr>
      <w:r>
        <w:rPr>
          <w:rFonts w:cs="Arial"/>
        </w:rPr>
        <w:t xml:space="preserve">ÚLTIMA REFORMA </w:t>
      </w:r>
    </w:p>
    <w:p w14:paraId="07F7920E" w14:textId="01ECE191" w:rsidR="00D3344B" w:rsidRDefault="00143C25">
      <w:pPr>
        <w:pStyle w:val="Estilo"/>
        <w:rPr>
          <w:rFonts w:cs="Arial"/>
        </w:rPr>
      </w:pPr>
      <w:r>
        <w:rPr>
          <w:rFonts w:cs="Arial"/>
        </w:rPr>
        <w:t>PUBLICADA EN EL PERIÓDICO OFICIAL</w:t>
      </w:r>
      <w:r w:rsidR="001208E3">
        <w:rPr>
          <w:rFonts w:cs="Arial"/>
        </w:rPr>
        <w:t xml:space="preserve"> DEL GOBIERNO DEL ESTADO EL</w:t>
      </w:r>
      <w:r>
        <w:rPr>
          <w:rFonts w:cs="Arial"/>
        </w:rPr>
        <w:t xml:space="preserve">: </w:t>
      </w:r>
      <w:r w:rsidR="001208E3">
        <w:rPr>
          <w:rFonts w:cs="Arial"/>
        </w:rPr>
        <w:t>11</w:t>
      </w:r>
      <w:r>
        <w:rPr>
          <w:rFonts w:cs="Arial"/>
        </w:rPr>
        <w:t xml:space="preserve"> DE </w:t>
      </w:r>
      <w:r w:rsidR="001208E3">
        <w:rPr>
          <w:rFonts w:cs="Arial"/>
        </w:rPr>
        <w:t>ABRIL</w:t>
      </w:r>
      <w:r>
        <w:rPr>
          <w:rFonts w:cs="Arial"/>
        </w:rPr>
        <w:t xml:space="preserve"> DE 202</w:t>
      </w:r>
      <w:r w:rsidR="001208E3">
        <w:rPr>
          <w:rFonts w:cs="Arial"/>
        </w:rPr>
        <w:t>4</w:t>
      </w:r>
      <w:r>
        <w:rPr>
          <w:rFonts w:cs="Arial"/>
        </w:rPr>
        <w:t>.</w:t>
      </w:r>
    </w:p>
    <w:p w14:paraId="3FAACFD2" w14:textId="77777777" w:rsidR="00D3344B" w:rsidRDefault="00D3344B">
      <w:pPr>
        <w:pStyle w:val="Estilo"/>
        <w:rPr>
          <w:rFonts w:cs="Arial"/>
        </w:rPr>
      </w:pPr>
    </w:p>
    <w:p w14:paraId="16F36FA0" w14:textId="77777777" w:rsidR="00D3344B" w:rsidRDefault="00143C25">
      <w:pPr>
        <w:pStyle w:val="Estilo"/>
        <w:rPr>
          <w:rFonts w:cs="Arial"/>
        </w:rPr>
      </w:pPr>
      <w:r>
        <w:rPr>
          <w:rFonts w:cs="Arial"/>
        </w:rPr>
        <w:t>Código publicado en el Número Extraordinario del Periódico Oficial del Estado de Tlaxcala, el martes 31 de diciembre de 2002.</w:t>
      </w:r>
    </w:p>
    <w:p w14:paraId="140E19C8" w14:textId="77777777" w:rsidR="00D3344B" w:rsidRDefault="00D3344B">
      <w:pPr>
        <w:pStyle w:val="Estilo"/>
        <w:rPr>
          <w:rFonts w:cs="Arial"/>
        </w:rPr>
      </w:pPr>
    </w:p>
    <w:p w14:paraId="7BFFBA29" w14:textId="77777777" w:rsidR="00D3344B" w:rsidRDefault="00143C25">
      <w:pPr>
        <w:pStyle w:val="Estilo"/>
        <w:rPr>
          <w:rFonts w:cs="Arial"/>
        </w:rPr>
      </w:pPr>
      <w:r>
        <w:rPr>
          <w:rFonts w:cs="Arial"/>
        </w:rPr>
        <w:t>Al margen un sello con el Escudo Nacional que dice Estados Unidos Mexicanos. H. Congreso del Estado Libre y Soberano. Tlaxcala. Poder Legislativo.</w:t>
      </w:r>
    </w:p>
    <w:p w14:paraId="1C95B30E" w14:textId="77777777" w:rsidR="00D3344B" w:rsidRDefault="00D3344B">
      <w:pPr>
        <w:pStyle w:val="Estilo"/>
        <w:rPr>
          <w:rFonts w:cs="Arial"/>
        </w:rPr>
      </w:pPr>
    </w:p>
    <w:p w14:paraId="3602D2D0" w14:textId="77777777" w:rsidR="00D3344B" w:rsidRDefault="00143C25">
      <w:pPr>
        <w:pStyle w:val="Estilo"/>
        <w:rPr>
          <w:rFonts w:cs="Arial"/>
        </w:rPr>
      </w:pPr>
      <w:r>
        <w:rPr>
          <w:rFonts w:cs="Arial"/>
          <w:b/>
        </w:rPr>
        <w:t>ALFONSO ABRAHAM SÁNCHEZ ANAYA</w:t>
      </w:r>
      <w:r>
        <w:rPr>
          <w:rFonts w:cs="Arial"/>
        </w:rPr>
        <w:t>, Gobernador del Estado, a sus habitantes sabed:</w:t>
      </w:r>
    </w:p>
    <w:p w14:paraId="255E4E48" w14:textId="77777777" w:rsidR="00D3344B" w:rsidRDefault="00D3344B">
      <w:pPr>
        <w:pStyle w:val="Estilo"/>
        <w:rPr>
          <w:rFonts w:cs="Arial"/>
        </w:rPr>
      </w:pPr>
    </w:p>
    <w:p w14:paraId="2DEDD608" w14:textId="77777777" w:rsidR="00D3344B" w:rsidRDefault="00143C25">
      <w:pPr>
        <w:pStyle w:val="Estilo"/>
        <w:rPr>
          <w:rFonts w:cs="Arial"/>
        </w:rPr>
      </w:pPr>
      <w:proofErr w:type="gramStart"/>
      <w:r>
        <w:rPr>
          <w:rFonts w:cs="Arial"/>
        </w:rPr>
        <w:t>Que</w:t>
      </w:r>
      <w:proofErr w:type="gramEnd"/>
      <w:r>
        <w:rPr>
          <w:rFonts w:cs="Arial"/>
        </w:rPr>
        <w:t xml:space="preserve"> por conducto de la Secretaría del Honorable Congreso del Estado, con esta fecha se me ha comunicado lo siguiente:</w:t>
      </w:r>
    </w:p>
    <w:p w14:paraId="1838BB63" w14:textId="77777777" w:rsidR="00D3344B" w:rsidRDefault="00D3344B">
      <w:pPr>
        <w:pStyle w:val="Estilo"/>
        <w:rPr>
          <w:rFonts w:cs="Arial"/>
        </w:rPr>
      </w:pPr>
    </w:p>
    <w:p w14:paraId="53798D92" w14:textId="77777777" w:rsidR="00D3344B" w:rsidRDefault="00143C25">
      <w:pPr>
        <w:pStyle w:val="Estilo"/>
        <w:jc w:val="center"/>
        <w:rPr>
          <w:rFonts w:cs="Arial"/>
          <w:b/>
        </w:rPr>
      </w:pPr>
      <w:r>
        <w:rPr>
          <w:rFonts w:cs="Arial"/>
          <w:b/>
        </w:rPr>
        <w:t>EL CONGRESO DEL ESTADO DE TLAXCALA, A NOMBRE DEL PUEBLO DECRETA.</w:t>
      </w:r>
    </w:p>
    <w:p w14:paraId="7938F440" w14:textId="77777777" w:rsidR="00D3344B" w:rsidRDefault="00D3344B">
      <w:pPr>
        <w:pStyle w:val="Estilo"/>
        <w:jc w:val="center"/>
        <w:rPr>
          <w:rFonts w:cs="Arial"/>
          <w:b/>
        </w:rPr>
      </w:pPr>
    </w:p>
    <w:p w14:paraId="18FF2FC4" w14:textId="77777777" w:rsidR="00D3344B" w:rsidRDefault="00143C25">
      <w:pPr>
        <w:pStyle w:val="Estilo"/>
        <w:jc w:val="center"/>
        <w:rPr>
          <w:rFonts w:cs="Arial"/>
          <w:b/>
        </w:rPr>
      </w:pPr>
      <w:r>
        <w:rPr>
          <w:rFonts w:cs="Arial"/>
          <w:b/>
        </w:rPr>
        <w:t>NUMERO 33</w:t>
      </w:r>
    </w:p>
    <w:p w14:paraId="10D83711" w14:textId="77777777" w:rsidR="00D3344B" w:rsidRDefault="00D3344B">
      <w:pPr>
        <w:pStyle w:val="Estilo"/>
        <w:jc w:val="center"/>
        <w:rPr>
          <w:rFonts w:cs="Arial"/>
          <w:b/>
        </w:rPr>
      </w:pPr>
    </w:p>
    <w:p w14:paraId="51C537E1" w14:textId="77777777" w:rsidR="00D3344B" w:rsidRDefault="00D3344B">
      <w:pPr>
        <w:pStyle w:val="Estilo"/>
        <w:jc w:val="center"/>
        <w:rPr>
          <w:rFonts w:cs="Arial"/>
          <w:b/>
        </w:rPr>
      </w:pPr>
    </w:p>
    <w:p w14:paraId="15FD8F21" w14:textId="77777777" w:rsidR="00D3344B" w:rsidRDefault="00143C25">
      <w:pPr>
        <w:pStyle w:val="Estilo"/>
        <w:jc w:val="center"/>
        <w:rPr>
          <w:rFonts w:cs="Arial"/>
          <w:b/>
        </w:rPr>
      </w:pPr>
      <w:bookmarkStart w:id="0" w:name="_Hlk164162673"/>
      <w:r>
        <w:rPr>
          <w:rFonts w:cs="Arial"/>
          <w:b/>
        </w:rPr>
        <w:t>CÓDIGO FINANCIERO PARA EL ESTADO DE TLAXCALA Y SUS MUNICIPIOS</w:t>
      </w:r>
    </w:p>
    <w:bookmarkEnd w:id="0"/>
    <w:p w14:paraId="3B68970A" w14:textId="77777777" w:rsidR="00D3344B" w:rsidRDefault="00D3344B">
      <w:pPr>
        <w:pStyle w:val="Estilo"/>
        <w:jc w:val="center"/>
        <w:rPr>
          <w:rFonts w:cs="Arial"/>
          <w:b/>
        </w:rPr>
      </w:pPr>
    </w:p>
    <w:p w14:paraId="3677415C" w14:textId="77777777" w:rsidR="00D3344B" w:rsidRDefault="00D3344B">
      <w:pPr>
        <w:pStyle w:val="Estilo"/>
        <w:jc w:val="center"/>
        <w:rPr>
          <w:rFonts w:cs="Arial"/>
          <w:b/>
        </w:rPr>
      </w:pPr>
    </w:p>
    <w:p w14:paraId="18134163" w14:textId="77777777" w:rsidR="00D3344B" w:rsidRDefault="00143C25">
      <w:pPr>
        <w:pStyle w:val="Estilo"/>
        <w:jc w:val="center"/>
        <w:rPr>
          <w:rFonts w:cs="Arial"/>
          <w:b/>
        </w:rPr>
      </w:pPr>
      <w:r>
        <w:rPr>
          <w:rFonts w:cs="Arial"/>
          <w:b/>
        </w:rPr>
        <w:t>TÍTULO PRIMERO</w:t>
      </w:r>
    </w:p>
    <w:p w14:paraId="35C03A13" w14:textId="77777777" w:rsidR="00D3344B" w:rsidRDefault="00143C25">
      <w:pPr>
        <w:pStyle w:val="Estilo"/>
        <w:jc w:val="center"/>
        <w:rPr>
          <w:rFonts w:cs="Arial"/>
          <w:b/>
        </w:rPr>
      </w:pPr>
      <w:r>
        <w:rPr>
          <w:rFonts w:cs="Arial"/>
          <w:b/>
        </w:rPr>
        <w:t>DISPOSICIONES PRELIMINARES</w:t>
      </w:r>
    </w:p>
    <w:p w14:paraId="2A80ACD7" w14:textId="77777777" w:rsidR="00D3344B" w:rsidRDefault="00D3344B">
      <w:pPr>
        <w:pStyle w:val="Estilo"/>
        <w:jc w:val="center"/>
        <w:rPr>
          <w:rFonts w:cs="Arial"/>
          <w:b/>
        </w:rPr>
      </w:pPr>
    </w:p>
    <w:p w14:paraId="257387F4" w14:textId="77777777" w:rsidR="00D3344B" w:rsidRDefault="00D3344B">
      <w:pPr>
        <w:pStyle w:val="Estilo"/>
        <w:jc w:val="center"/>
        <w:rPr>
          <w:rFonts w:cs="Arial"/>
          <w:b/>
        </w:rPr>
      </w:pPr>
    </w:p>
    <w:p w14:paraId="5C3358EE" w14:textId="77777777" w:rsidR="00D3344B" w:rsidRDefault="00143C25">
      <w:pPr>
        <w:pStyle w:val="Estilo"/>
        <w:jc w:val="center"/>
        <w:rPr>
          <w:rFonts w:cs="Arial"/>
          <w:b/>
        </w:rPr>
      </w:pPr>
      <w:r>
        <w:rPr>
          <w:rFonts w:cs="Arial"/>
          <w:b/>
        </w:rPr>
        <w:t>Capítulo Único</w:t>
      </w:r>
    </w:p>
    <w:p w14:paraId="38E792A1" w14:textId="77777777" w:rsidR="00D3344B" w:rsidRDefault="00D3344B">
      <w:pPr>
        <w:pStyle w:val="Estilo"/>
        <w:rPr>
          <w:rFonts w:cs="Arial"/>
        </w:rPr>
      </w:pPr>
    </w:p>
    <w:p w14:paraId="26F1011B" w14:textId="77777777" w:rsidR="00D3344B" w:rsidRDefault="00143C25">
      <w:pPr>
        <w:pStyle w:val="Estilo"/>
        <w:rPr>
          <w:rFonts w:cs="Arial"/>
        </w:rPr>
      </w:pPr>
      <w:r>
        <w:rPr>
          <w:rFonts w:cs="Arial"/>
          <w:b/>
        </w:rPr>
        <w:t>Artículo 1.</w:t>
      </w:r>
      <w:r>
        <w:rPr>
          <w:rFonts w:cs="Arial"/>
        </w:rPr>
        <w:t xml:space="preserve"> Las disposiciones de este código son de orden público e interés general, y tienen por objeto regular:</w:t>
      </w:r>
    </w:p>
    <w:p w14:paraId="06C441C1" w14:textId="77777777" w:rsidR="00D3344B" w:rsidRDefault="00D3344B">
      <w:pPr>
        <w:pStyle w:val="Estilo"/>
        <w:rPr>
          <w:rFonts w:cs="Arial"/>
        </w:rPr>
      </w:pPr>
    </w:p>
    <w:p w14:paraId="321B2D88" w14:textId="77777777" w:rsidR="00D3344B" w:rsidRDefault="00143C25">
      <w:pPr>
        <w:pStyle w:val="Estilo"/>
        <w:ind w:left="567" w:hanging="567"/>
        <w:rPr>
          <w:rFonts w:cs="Arial"/>
        </w:rPr>
      </w:pPr>
      <w:r>
        <w:rPr>
          <w:rFonts w:cs="Arial"/>
        </w:rPr>
        <w:t xml:space="preserve">I. </w:t>
      </w:r>
      <w:r>
        <w:rPr>
          <w:rFonts w:cs="Arial"/>
        </w:rPr>
        <w:tab/>
        <w:t>La obtención, administración y aplicación de los ingresos públicos del Estado y sus municipios, en el ámbito de sus respectivas competencias;</w:t>
      </w:r>
    </w:p>
    <w:p w14:paraId="57AE7885" w14:textId="77777777" w:rsidR="00D3344B" w:rsidRDefault="00D3344B">
      <w:pPr>
        <w:pStyle w:val="Estilo"/>
        <w:ind w:left="567" w:hanging="567"/>
        <w:rPr>
          <w:rFonts w:cs="Arial"/>
        </w:rPr>
      </w:pPr>
    </w:p>
    <w:p w14:paraId="5B527668" w14:textId="77777777" w:rsidR="00D3344B" w:rsidRDefault="00143C25">
      <w:pPr>
        <w:pStyle w:val="Estilo"/>
        <w:ind w:left="567" w:hanging="567"/>
        <w:rPr>
          <w:rFonts w:cs="Arial"/>
        </w:rPr>
      </w:pPr>
      <w:r>
        <w:rPr>
          <w:rFonts w:cs="Arial"/>
        </w:rPr>
        <w:t xml:space="preserve">II. </w:t>
      </w:r>
      <w:r>
        <w:rPr>
          <w:rFonts w:cs="Arial"/>
        </w:rPr>
        <w:tab/>
        <w:t>La coordinación hacendaria entre el Estado y sus municipios;</w:t>
      </w:r>
    </w:p>
    <w:p w14:paraId="059569CC" w14:textId="77777777" w:rsidR="00D3344B" w:rsidRDefault="00D3344B">
      <w:pPr>
        <w:pStyle w:val="Estilo"/>
        <w:ind w:left="567" w:hanging="567"/>
        <w:rPr>
          <w:rFonts w:cs="Arial"/>
        </w:rPr>
      </w:pPr>
    </w:p>
    <w:p w14:paraId="50086DCE" w14:textId="77777777" w:rsidR="00D3344B" w:rsidRDefault="00143C25">
      <w:pPr>
        <w:pStyle w:val="Estilo"/>
        <w:ind w:left="567" w:hanging="567"/>
        <w:rPr>
          <w:rFonts w:cs="Arial"/>
        </w:rPr>
      </w:pPr>
      <w:r>
        <w:rPr>
          <w:rFonts w:cs="Arial"/>
          <w:i/>
          <w:sz w:val="16"/>
        </w:rPr>
        <w:tab/>
        <w:t>(REFORMADA, P.O. 29 DE DICIEMBRE DE 2017)</w:t>
      </w:r>
    </w:p>
    <w:p w14:paraId="6E69689A" w14:textId="77777777" w:rsidR="00D3344B" w:rsidRDefault="00143C25">
      <w:pPr>
        <w:pStyle w:val="Estilo"/>
        <w:ind w:left="567" w:hanging="567"/>
        <w:rPr>
          <w:rFonts w:cs="Arial"/>
        </w:rPr>
      </w:pPr>
      <w:r>
        <w:rPr>
          <w:rFonts w:cs="Arial"/>
        </w:rPr>
        <w:t xml:space="preserve">III. </w:t>
      </w:r>
      <w:r>
        <w:rPr>
          <w:rFonts w:cs="Arial"/>
        </w:rPr>
        <w:tab/>
        <w:t>La planeación, programación y presupuestación con perspectiva de género;</w:t>
      </w:r>
    </w:p>
    <w:p w14:paraId="5CDEC3F2" w14:textId="77777777" w:rsidR="00D3344B" w:rsidRDefault="00D3344B">
      <w:pPr>
        <w:pStyle w:val="Estilo"/>
        <w:ind w:left="567" w:hanging="567"/>
        <w:rPr>
          <w:rFonts w:cs="Arial"/>
        </w:rPr>
      </w:pPr>
    </w:p>
    <w:p w14:paraId="690FF93F" w14:textId="77777777" w:rsidR="00D3344B" w:rsidRDefault="00143C25">
      <w:pPr>
        <w:pStyle w:val="Estilo"/>
        <w:ind w:left="567" w:hanging="567"/>
        <w:rPr>
          <w:rFonts w:cs="Arial"/>
        </w:rPr>
      </w:pPr>
      <w:r>
        <w:rPr>
          <w:rFonts w:cs="Arial"/>
        </w:rPr>
        <w:t xml:space="preserve">IV. </w:t>
      </w:r>
      <w:r>
        <w:rPr>
          <w:rFonts w:cs="Arial"/>
        </w:rPr>
        <w:tab/>
        <w:t>El registro, contabilidad y cuenta pública;</w:t>
      </w:r>
    </w:p>
    <w:p w14:paraId="24D9DA07" w14:textId="77777777" w:rsidR="00D3344B" w:rsidRDefault="00D3344B">
      <w:pPr>
        <w:pStyle w:val="Estilo"/>
        <w:ind w:left="567" w:hanging="567"/>
        <w:rPr>
          <w:rFonts w:cs="Arial"/>
        </w:rPr>
      </w:pPr>
    </w:p>
    <w:p w14:paraId="548E06D9" w14:textId="77777777" w:rsidR="00D3344B" w:rsidRDefault="00143C25">
      <w:pPr>
        <w:pStyle w:val="Estilo"/>
        <w:ind w:left="567" w:hanging="567"/>
        <w:rPr>
          <w:rFonts w:cs="Arial"/>
        </w:rPr>
      </w:pPr>
      <w:r>
        <w:rPr>
          <w:rFonts w:cs="Arial"/>
          <w:i/>
          <w:sz w:val="16"/>
        </w:rPr>
        <w:tab/>
        <w:t>(REFORMADA, P.O. 16 DE NOVIEMBRE DE 2016)</w:t>
      </w:r>
    </w:p>
    <w:p w14:paraId="67A99789" w14:textId="77777777" w:rsidR="00D3344B" w:rsidRDefault="00143C25">
      <w:pPr>
        <w:pStyle w:val="Estilo"/>
        <w:ind w:left="567" w:hanging="567"/>
        <w:rPr>
          <w:rFonts w:cs="Arial"/>
        </w:rPr>
      </w:pPr>
      <w:r>
        <w:rPr>
          <w:rFonts w:cs="Arial"/>
        </w:rPr>
        <w:t xml:space="preserve">V. </w:t>
      </w:r>
      <w:r>
        <w:rPr>
          <w:rFonts w:cs="Arial"/>
        </w:rPr>
        <w:tab/>
        <w:t>Las infracciones y delitos contra las haciendas, estatal y municipal;</w:t>
      </w:r>
    </w:p>
    <w:p w14:paraId="70274167" w14:textId="77777777" w:rsidR="00D3344B" w:rsidRDefault="00D3344B">
      <w:pPr>
        <w:pStyle w:val="Estilo"/>
        <w:ind w:left="567" w:hanging="567"/>
        <w:rPr>
          <w:rFonts w:cs="Arial"/>
        </w:rPr>
      </w:pPr>
    </w:p>
    <w:p w14:paraId="2D04F611" w14:textId="77777777" w:rsidR="00D3344B" w:rsidRDefault="00143C25">
      <w:pPr>
        <w:pStyle w:val="Estilo"/>
        <w:ind w:left="567" w:hanging="567"/>
        <w:rPr>
          <w:rFonts w:cs="Arial"/>
        </w:rPr>
      </w:pPr>
      <w:r>
        <w:rPr>
          <w:rFonts w:cs="Arial"/>
          <w:i/>
          <w:sz w:val="16"/>
        </w:rPr>
        <w:lastRenderedPageBreak/>
        <w:tab/>
        <w:t>(REFORMADA, P.O. 16 DE NOVIEMBRE DE 2016)</w:t>
      </w:r>
    </w:p>
    <w:p w14:paraId="3260C883" w14:textId="77777777" w:rsidR="00D3344B" w:rsidRDefault="00143C25">
      <w:pPr>
        <w:pStyle w:val="Estilo"/>
        <w:ind w:left="567" w:hanging="567"/>
        <w:rPr>
          <w:rFonts w:cs="Arial"/>
        </w:rPr>
      </w:pPr>
      <w:r>
        <w:rPr>
          <w:rFonts w:cs="Arial"/>
        </w:rPr>
        <w:t xml:space="preserve">VI. </w:t>
      </w:r>
      <w:r>
        <w:rPr>
          <w:rFonts w:cs="Arial"/>
        </w:rPr>
        <w:tab/>
        <w:t>Las sanciones, los procedimientos para imponerlas y los medios de impugnación, y</w:t>
      </w:r>
    </w:p>
    <w:p w14:paraId="45F9175E" w14:textId="77777777" w:rsidR="00D3344B" w:rsidRDefault="00D3344B">
      <w:pPr>
        <w:pStyle w:val="Estilo"/>
        <w:ind w:left="567" w:hanging="567"/>
        <w:rPr>
          <w:rFonts w:cs="Arial"/>
        </w:rPr>
      </w:pPr>
    </w:p>
    <w:p w14:paraId="00023975" w14:textId="77777777" w:rsidR="00D3344B" w:rsidRDefault="00143C25">
      <w:pPr>
        <w:pStyle w:val="Estilo"/>
        <w:ind w:left="567" w:hanging="567"/>
        <w:rPr>
          <w:rFonts w:cs="Arial"/>
        </w:rPr>
      </w:pPr>
      <w:r>
        <w:rPr>
          <w:rFonts w:cs="Arial"/>
          <w:i/>
          <w:sz w:val="16"/>
        </w:rPr>
        <w:tab/>
        <w:t>(ADICIONADA, P.O. 16 DE NOVIEMBRE DE 2016)</w:t>
      </w:r>
    </w:p>
    <w:p w14:paraId="7062FBD7" w14:textId="77777777" w:rsidR="00D3344B" w:rsidRDefault="00143C25">
      <w:pPr>
        <w:pStyle w:val="Estilo"/>
        <w:ind w:left="567" w:hanging="567"/>
        <w:rPr>
          <w:rFonts w:cs="Arial"/>
        </w:rPr>
      </w:pPr>
      <w:r>
        <w:rPr>
          <w:rFonts w:cs="Arial"/>
        </w:rPr>
        <w:t xml:space="preserve">VII. </w:t>
      </w:r>
      <w:r>
        <w:rPr>
          <w:rFonts w:cs="Arial"/>
        </w:rPr>
        <w:tab/>
        <w:t>Los criterios generales de responsabilidad hacendaria y financiera, para un manejo sostenible de las finanzas públicas.</w:t>
      </w:r>
    </w:p>
    <w:p w14:paraId="20646C1B" w14:textId="77777777" w:rsidR="00D3344B" w:rsidRDefault="00D3344B">
      <w:pPr>
        <w:pStyle w:val="Estilo"/>
        <w:ind w:left="567" w:hanging="567"/>
        <w:rPr>
          <w:rFonts w:cs="Arial"/>
        </w:rPr>
      </w:pPr>
    </w:p>
    <w:p w14:paraId="479418F5" w14:textId="77777777" w:rsidR="00D3344B" w:rsidRDefault="00143C25">
      <w:pPr>
        <w:pStyle w:val="Estilo"/>
        <w:ind w:left="567" w:hanging="567"/>
        <w:rPr>
          <w:rFonts w:cs="Arial"/>
        </w:rPr>
      </w:pPr>
      <w:r>
        <w:rPr>
          <w:rFonts w:cs="Arial"/>
          <w:i/>
          <w:sz w:val="16"/>
        </w:rPr>
        <w:tab/>
        <w:t>(ADICIONADA, P.O. 29 DE DICIEMBRE DE 2017)</w:t>
      </w:r>
    </w:p>
    <w:p w14:paraId="178E3DFB" w14:textId="77777777" w:rsidR="00D3344B" w:rsidRDefault="00143C25">
      <w:pPr>
        <w:pStyle w:val="Estilo"/>
        <w:ind w:left="567" w:hanging="567"/>
        <w:rPr>
          <w:rFonts w:cs="Arial"/>
        </w:rPr>
      </w:pPr>
      <w:r>
        <w:rPr>
          <w:rFonts w:cs="Arial"/>
        </w:rPr>
        <w:t xml:space="preserve">VIII. </w:t>
      </w:r>
      <w:r>
        <w:rPr>
          <w:rFonts w:cs="Arial"/>
        </w:rPr>
        <w:tab/>
        <w:t>Los lineamientos para la transversalidad de la perspectiva de género en las políticas públicas en los planes y programas vinculados al presente Código.</w:t>
      </w:r>
    </w:p>
    <w:p w14:paraId="46EC8AE5" w14:textId="77777777" w:rsidR="00D3344B" w:rsidRDefault="00D3344B">
      <w:pPr>
        <w:pStyle w:val="Estilo"/>
        <w:rPr>
          <w:rFonts w:cs="Arial"/>
        </w:rPr>
      </w:pPr>
    </w:p>
    <w:p w14:paraId="7B993C51" w14:textId="77777777" w:rsidR="00D3344B" w:rsidRDefault="00143C25">
      <w:pPr>
        <w:pStyle w:val="Estilo"/>
        <w:rPr>
          <w:rFonts w:cs="Arial"/>
        </w:rPr>
      </w:pPr>
      <w:r>
        <w:rPr>
          <w:rFonts w:cs="Arial"/>
          <w:i/>
          <w:sz w:val="16"/>
        </w:rPr>
        <w:t>(REFORMADO, P.O. 16 DE NOVIEMBRE DE 2016)</w:t>
      </w:r>
    </w:p>
    <w:p w14:paraId="40ABFA6B" w14:textId="77777777" w:rsidR="00D3344B" w:rsidRDefault="00143C25">
      <w:pPr>
        <w:pStyle w:val="Estilo"/>
        <w:rPr>
          <w:rFonts w:cs="Arial"/>
        </w:rPr>
      </w:pPr>
      <w:r>
        <w:rPr>
          <w:rFonts w:cs="Arial"/>
          <w:b/>
        </w:rPr>
        <w:t>Artículo 2.</w:t>
      </w:r>
      <w:r>
        <w:rPr>
          <w:rFonts w:cs="Arial"/>
        </w:rPr>
        <w:t xml:space="preserve"> Para efectos de este código se entenderá por:</w:t>
      </w:r>
    </w:p>
    <w:p w14:paraId="20B2B29D" w14:textId="77777777" w:rsidR="00D3344B" w:rsidRDefault="00D3344B">
      <w:pPr>
        <w:pStyle w:val="Estilo"/>
        <w:rPr>
          <w:rFonts w:cs="Arial"/>
        </w:rPr>
      </w:pPr>
    </w:p>
    <w:p w14:paraId="027AFF6A" w14:textId="77777777" w:rsidR="00D3344B" w:rsidRDefault="00143C25">
      <w:pPr>
        <w:pStyle w:val="Estilo"/>
        <w:ind w:left="993" w:hanging="993"/>
        <w:rPr>
          <w:rFonts w:cs="Arial"/>
        </w:rPr>
      </w:pPr>
      <w:r>
        <w:rPr>
          <w:rFonts w:cs="Arial"/>
        </w:rPr>
        <w:t xml:space="preserve">I. </w:t>
      </w:r>
      <w:r>
        <w:rPr>
          <w:rFonts w:cs="Arial"/>
        </w:rPr>
        <w:tab/>
        <w:t>Ayuntamientos: Los ayuntamientos de cada uno de los municipios del Estado de Tlaxcala;</w:t>
      </w:r>
    </w:p>
    <w:p w14:paraId="43A538D5" w14:textId="77777777" w:rsidR="00D3344B" w:rsidRDefault="00D3344B">
      <w:pPr>
        <w:pStyle w:val="Estilo"/>
        <w:ind w:left="993" w:hanging="993"/>
        <w:rPr>
          <w:rFonts w:cs="Arial"/>
        </w:rPr>
      </w:pPr>
    </w:p>
    <w:p w14:paraId="34822D7B" w14:textId="77777777" w:rsidR="00D3344B" w:rsidRDefault="00143C25">
      <w:pPr>
        <w:pStyle w:val="Estilo"/>
        <w:ind w:left="993" w:hanging="993"/>
        <w:rPr>
          <w:rFonts w:cs="Arial"/>
        </w:rPr>
      </w:pPr>
      <w:r>
        <w:rPr>
          <w:rFonts w:cs="Arial"/>
        </w:rPr>
        <w:t xml:space="preserve">II. </w:t>
      </w:r>
      <w:r>
        <w:rPr>
          <w:rFonts w:cs="Arial"/>
        </w:rPr>
        <w:tab/>
        <w:t>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14:paraId="011799F6" w14:textId="77777777" w:rsidR="00D3344B" w:rsidRDefault="00D3344B">
      <w:pPr>
        <w:pStyle w:val="Estilo"/>
        <w:ind w:left="993" w:hanging="993"/>
        <w:rPr>
          <w:rFonts w:cs="Arial"/>
        </w:rPr>
      </w:pPr>
    </w:p>
    <w:p w14:paraId="017A106B" w14:textId="77777777" w:rsidR="00D3344B" w:rsidRDefault="00143C25">
      <w:pPr>
        <w:pStyle w:val="Estilo"/>
        <w:ind w:left="993" w:hanging="993"/>
        <w:rPr>
          <w:rFonts w:cs="Arial"/>
        </w:rPr>
      </w:pPr>
      <w:r>
        <w:rPr>
          <w:rFonts w:cs="Arial"/>
        </w:rPr>
        <w:t xml:space="preserve">III. </w:t>
      </w:r>
      <w:r>
        <w:rPr>
          <w:rFonts w:cs="Arial"/>
        </w:rPr>
        <w:tab/>
        <w:t>Balance Presupuestario Sostenible: cuando al final del ejercicio fiscal y bajo el momento contable devengado, la diferencia entre los Ingresos totales incluidos en la Ley de Ingresos, y los Gastos totales considerados en el Presupuesto de Egresos, con excepción de la amortización de la deuda sea mayor o igual a cero;</w:t>
      </w:r>
    </w:p>
    <w:p w14:paraId="42D48621" w14:textId="77777777" w:rsidR="00D3344B" w:rsidRDefault="00D3344B">
      <w:pPr>
        <w:pStyle w:val="Estilo"/>
        <w:ind w:left="993" w:hanging="993"/>
        <w:rPr>
          <w:rFonts w:cs="Arial"/>
        </w:rPr>
      </w:pPr>
    </w:p>
    <w:p w14:paraId="6E2A7A3C" w14:textId="77777777" w:rsidR="00D3344B" w:rsidRDefault="00143C25">
      <w:pPr>
        <w:pStyle w:val="Estilo"/>
        <w:ind w:left="993" w:hanging="993"/>
        <w:rPr>
          <w:rFonts w:cs="Arial"/>
        </w:rPr>
      </w:pPr>
      <w:r>
        <w:rPr>
          <w:rFonts w:cs="Arial"/>
        </w:rPr>
        <w:t xml:space="preserve">IV. </w:t>
      </w:r>
      <w:r>
        <w:rPr>
          <w:rFonts w:cs="Arial"/>
        </w:rPr>
        <w:tab/>
        <w:t>Balance Presupuestario: la diferencia entre los Ingresos totales incluidos en la Ley de Ingresos, y los Gastos totales considerados en el Presupuesto de Egresos, con excepción de la amortización de la deuda;</w:t>
      </w:r>
    </w:p>
    <w:p w14:paraId="6EA04402" w14:textId="77777777" w:rsidR="00D3344B" w:rsidRDefault="00D3344B">
      <w:pPr>
        <w:pStyle w:val="Estilo"/>
        <w:ind w:left="993" w:hanging="993"/>
        <w:rPr>
          <w:rFonts w:cs="Arial"/>
        </w:rPr>
      </w:pPr>
    </w:p>
    <w:p w14:paraId="155DF671" w14:textId="77777777" w:rsidR="00D3344B" w:rsidRDefault="00143C25">
      <w:pPr>
        <w:pStyle w:val="Estilo"/>
        <w:ind w:left="993" w:hanging="993"/>
        <w:rPr>
          <w:rFonts w:cs="Arial"/>
        </w:rPr>
      </w:pPr>
      <w:r>
        <w:rPr>
          <w:rFonts w:cs="Arial"/>
        </w:rPr>
        <w:t xml:space="preserve">V. </w:t>
      </w:r>
      <w:r>
        <w:rPr>
          <w:rFonts w:cs="Arial"/>
        </w:rPr>
        <w:tab/>
        <w:t>Código: El presente ordenamiento;</w:t>
      </w:r>
    </w:p>
    <w:p w14:paraId="50C40E50" w14:textId="77777777" w:rsidR="00D3344B" w:rsidRDefault="00D3344B">
      <w:pPr>
        <w:pStyle w:val="Estilo"/>
        <w:ind w:left="993" w:hanging="993"/>
        <w:rPr>
          <w:rFonts w:cs="Arial"/>
        </w:rPr>
      </w:pPr>
    </w:p>
    <w:p w14:paraId="0C65F4EC" w14:textId="77777777" w:rsidR="00D3344B" w:rsidRDefault="00143C25">
      <w:pPr>
        <w:pStyle w:val="Estilo"/>
        <w:ind w:left="993" w:hanging="993"/>
        <w:rPr>
          <w:rFonts w:cs="Arial"/>
        </w:rPr>
      </w:pPr>
      <w:r>
        <w:rPr>
          <w:rFonts w:cs="Arial"/>
        </w:rPr>
        <w:t xml:space="preserve">VI. </w:t>
      </w:r>
      <w:r>
        <w:rPr>
          <w:rFonts w:cs="Arial"/>
        </w:rPr>
        <w:tab/>
        <w:t>Congreso: El Congreso del Estado de Tlaxcala;</w:t>
      </w:r>
    </w:p>
    <w:p w14:paraId="3E71BDC1" w14:textId="77777777" w:rsidR="00D3344B" w:rsidRDefault="00D3344B">
      <w:pPr>
        <w:pStyle w:val="Estilo"/>
        <w:ind w:left="993" w:hanging="993"/>
        <w:rPr>
          <w:rFonts w:cs="Arial"/>
        </w:rPr>
      </w:pPr>
    </w:p>
    <w:p w14:paraId="2C895B8C" w14:textId="77777777" w:rsidR="00D3344B" w:rsidRDefault="00143C25">
      <w:pPr>
        <w:pStyle w:val="Estilo"/>
        <w:ind w:left="993" w:hanging="993"/>
        <w:rPr>
          <w:rFonts w:cs="Arial"/>
          <w:i/>
          <w:sz w:val="16"/>
        </w:rPr>
      </w:pPr>
      <w:r>
        <w:rPr>
          <w:rFonts w:cs="Arial"/>
          <w:i/>
          <w:sz w:val="16"/>
        </w:rPr>
        <w:t>(REFORMADA, P.O. 22 DE DICIEMBRE DE 2021)</w:t>
      </w:r>
    </w:p>
    <w:p w14:paraId="2C89D9CF" w14:textId="77777777" w:rsidR="00D3344B" w:rsidRDefault="00143C25">
      <w:pPr>
        <w:pStyle w:val="Estilo"/>
        <w:ind w:left="993" w:hanging="993"/>
        <w:rPr>
          <w:rFonts w:cs="Arial"/>
        </w:rPr>
      </w:pPr>
      <w:r>
        <w:rPr>
          <w:rFonts w:cs="Arial"/>
        </w:rPr>
        <w:t xml:space="preserve">VII. </w:t>
      </w:r>
      <w:r>
        <w:rPr>
          <w:rFonts w:cs="Arial"/>
        </w:rPr>
        <w:tab/>
        <w:t>Órgano de Control: Los órganos de control, cualquiera que sea su denominación, de cada uno de los poderes del Estado, y de los municipios, en su respectivo ámbito de competencia;</w:t>
      </w:r>
    </w:p>
    <w:p w14:paraId="3F75ACC5" w14:textId="77777777" w:rsidR="00D3344B" w:rsidRDefault="00D3344B">
      <w:pPr>
        <w:pStyle w:val="Estilo"/>
        <w:ind w:left="993" w:hanging="993"/>
        <w:rPr>
          <w:rFonts w:cs="Arial"/>
        </w:rPr>
      </w:pPr>
    </w:p>
    <w:p w14:paraId="2071E1DA" w14:textId="77777777" w:rsidR="00D3344B" w:rsidRDefault="00143C25">
      <w:pPr>
        <w:pStyle w:val="Estilo"/>
        <w:ind w:left="993" w:hanging="993"/>
        <w:rPr>
          <w:rFonts w:cs="Arial"/>
        </w:rPr>
      </w:pPr>
      <w:r>
        <w:rPr>
          <w:rFonts w:cs="Arial"/>
        </w:rPr>
        <w:t xml:space="preserve">VIII. </w:t>
      </w:r>
      <w:r>
        <w:rPr>
          <w:rFonts w:cs="Arial"/>
        </w:rPr>
        <w:tab/>
        <w:t>Criterios Generales de Política Económica: documento enviado por el Ejecutivo Federal al Congreso de la Unión, en los términos del artículo 42, fracción III, inciso a), de la Ley Federal de Presupuesto y Responsabilidad Hacendaria;</w:t>
      </w:r>
    </w:p>
    <w:p w14:paraId="4BF22B55" w14:textId="77777777" w:rsidR="00D3344B" w:rsidRDefault="00D3344B">
      <w:pPr>
        <w:pStyle w:val="Estilo"/>
        <w:ind w:left="993" w:hanging="993"/>
        <w:rPr>
          <w:rFonts w:cs="Arial"/>
        </w:rPr>
      </w:pPr>
    </w:p>
    <w:p w14:paraId="24752C21" w14:textId="77777777" w:rsidR="00D3344B" w:rsidRDefault="00143C25">
      <w:pPr>
        <w:pStyle w:val="Estilo"/>
        <w:ind w:left="993" w:hanging="993"/>
        <w:rPr>
          <w:rFonts w:cs="Arial"/>
        </w:rPr>
      </w:pPr>
      <w:r>
        <w:rPr>
          <w:rFonts w:cs="Arial"/>
        </w:rPr>
        <w:lastRenderedPageBreak/>
        <w:t xml:space="preserve">IX. </w:t>
      </w:r>
      <w:r>
        <w:rPr>
          <w:rFonts w:cs="Arial"/>
        </w:rPr>
        <w:tab/>
        <w:t>Dependencias: Las del sector central de la Administración Pública del Estado y los municipios;</w:t>
      </w:r>
    </w:p>
    <w:p w14:paraId="3E2AB612" w14:textId="77777777" w:rsidR="00D3344B" w:rsidRDefault="00D3344B">
      <w:pPr>
        <w:pStyle w:val="Estilo"/>
        <w:ind w:left="993" w:hanging="993"/>
        <w:rPr>
          <w:rFonts w:cs="Arial"/>
        </w:rPr>
      </w:pPr>
    </w:p>
    <w:p w14:paraId="0797A057" w14:textId="77777777" w:rsidR="00D3344B" w:rsidRDefault="00143C25">
      <w:pPr>
        <w:pStyle w:val="Estilo"/>
        <w:ind w:left="993" w:hanging="993"/>
        <w:rPr>
          <w:rFonts w:cs="Arial"/>
        </w:rPr>
      </w:pPr>
      <w:r>
        <w:rPr>
          <w:rFonts w:cs="Arial"/>
        </w:rPr>
        <w:t xml:space="preserve">X. </w:t>
      </w:r>
      <w:r>
        <w:rPr>
          <w:rFonts w:cs="Arial"/>
        </w:rPr>
        <w:tab/>
        <w:t>Deuda Contingente: cualquier Financiamiento sin fuente o garantía de pago definida, que sea asumida de manera solidaria o subsidiaria por el Estado con sus Municipios, organismos descentralizados y empresas de participación estatal mayoritaria y fideicomisos, locales o municipales y, por los propios Municipios con sus respectivos organismos descentralizados y empresas de participación municipal mayoritaria;</w:t>
      </w:r>
    </w:p>
    <w:p w14:paraId="5EEEEE3D" w14:textId="77777777" w:rsidR="00D3344B" w:rsidRDefault="00D3344B">
      <w:pPr>
        <w:pStyle w:val="Estilo"/>
        <w:ind w:left="993" w:hanging="993"/>
        <w:rPr>
          <w:rFonts w:cs="Arial"/>
        </w:rPr>
      </w:pPr>
    </w:p>
    <w:p w14:paraId="0F3682B0" w14:textId="77777777" w:rsidR="00D3344B" w:rsidRDefault="00143C25">
      <w:pPr>
        <w:pStyle w:val="Estilo"/>
        <w:ind w:left="993" w:hanging="993"/>
        <w:rPr>
          <w:rFonts w:cs="Arial"/>
        </w:rPr>
      </w:pPr>
      <w:r>
        <w:rPr>
          <w:rFonts w:cs="Arial"/>
        </w:rPr>
        <w:t xml:space="preserve">XI. </w:t>
      </w:r>
      <w:r>
        <w:rPr>
          <w:rFonts w:cs="Arial"/>
        </w:rPr>
        <w:tab/>
        <w:t>Entes Públicos: los poderes Ejecutivo, Legislativo y Judicial; los organismos autónomos; los Municipios; los organismos descentralizados, empresas de participación estatal mayoritaria y fideicomisos públicos, así como cualquier otra entidad paraestatal;</w:t>
      </w:r>
    </w:p>
    <w:p w14:paraId="39405C53" w14:textId="77777777" w:rsidR="00D3344B" w:rsidRDefault="00D3344B">
      <w:pPr>
        <w:pStyle w:val="Estilo"/>
        <w:ind w:left="993" w:hanging="993"/>
        <w:rPr>
          <w:rFonts w:cs="Arial"/>
        </w:rPr>
      </w:pPr>
    </w:p>
    <w:p w14:paraId="7522B371" w14:textId="77777777" w:rsidR="00D3344B" w:rsidRDefault="00143C25">
      <w:pPr>
        <w:pStyle w:val="Estilo"/>
        <w:ind w:left="993" w:hanging="993"/>
        <w:rPr>
          <w:rFonts w:cs="Arial"/>
        </w:rPr>
      </w:pPr>
      <w:r>
        <w:rPr>
          <w:rFonts w:cs="Arial"/>
        </w:rPr>
        <w:t xml:space="preserve">XII. </w:t>
      </w:r>
      <w:r>
        <w:rPr>
          <w:rFonts w:cs="Arial"/>
        </w:rPr>
        <w:tab/>
        <w:t>Entidades: Las del sector descentralizado o paraestatal de la Administración Pública del Estado y los municipios;</w:t>
      </w:r>
    </w:p>
    <w:p w14:paraId="4F4AE757" w14:textId="77777777" w:rsidR="00D3344B" w:rsidRDefault="00D3344B">
      <w:pPr>
        <w:pStyle w:val="Estilo"/>
        <w:ind w:left="993" w:hanging="993"/>
        <w:rPr>
          <w:rFonts w:cs="Arial"/>
        </w:rPr>
      </w:pPr>
    </w:p>
    <w:p w14:paraId="0799E706" w14:textId="77777777" w:rsidR="00D3344B" w:rsidRDefault="00143C25">
      <w:pPr>
        <w:pStyle w:val="Estilo"/>
        <w:ind w:left="993" w:hanging="993"/>
        <w:rPr>
          <w:rFonts w:cs="Arial"/>
        </w:rPr>
      </w:pPr>
      <w:r>
        <w:rPr>
          <w:rFonts w:cs="Arial"/>
        </w:rPr>
        <w:t xml:space="preserve">XIII. </w:t>
      </w:r>
      <w:r>
        <w:rPr>
          <w:rFonts w:cs="Arial"/>
        </w:rPr>
        <w:tab/>
        <w:t>Estado: El Estado Libre y Soberano de Tlaxcala;</w:t>
      </w:r>
    </w:p>
    <w:p w14:paraId="364092AB" w14:textId="77777777" w:rsidR="00D3344B" w:rsidRDefault="00D3344B">
      <w:pPr>
        <w:pStyle w:val="Estilo"/>
        <w:ind w:left="993" w:hanging="993"/>
        <w:rPr>
          <w:rFonts w:cs="Arial"/>
        </w:rPr>
      </w:pPr>
    </w:p>
    <w:p w14:paraId="66477A84" w14:textId="77777777" w:rsidR="00D3344B" w:rsidRDefault="00143C25">
      <w:pPr>
        <w:pStyle w:val="Estilo"/>
        <w:ind w:left="993" w:hanging="993"/>
        <w:rPr>
          <w:rFonts w:cs="Arial"/>
        </w:rPr>
      </w:pPr>
      <w:r>
        <w:rPr>
          <w:rFonts w:cs="Arial"/>
        </w:rPr>
        <w:t xml:space="preserve">XIV. </w:t>
      </w:r>
      <w:r>
        <w:rPr>
          <w:rFonts w:cs="Arial"/>
        </w:rPr>
        <w:tab/>
        <w:t>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F341655" w14:textId="77777777" w:rsidR="00D3344B" w:rsidRDefault="00D3344B">
      <w:pPr>
        <w:pStyle w:val="Estilo"/>
        <w:ind w:left="993" w:hanging="993"/>
        <w:rPr>
          <w:rFonts w:cs="Arial"/>
        </w:rPr>
      </w:pPr>
    </w:p>
    <w:p w14:paraId="6C49A8CC" w14:textId="77777777" w:rsidR="00D3344B" w:rsidRDefault="00143C25">
      <w:pPr>
        <w:pStyle w:val="Estilo"/>
        <w:ind w:left="993" w:hanging="993"/>
        <w:rPr>
          <w:rFonts w:cs="Arial"/>
        </w:rPr>
      </w:pPr>
      <w:r>
        <w:rPr>
          <w:rFonts w:cs="Arial"/>
        </w:rPr>
        <w:t xml:space="preserve">XV. </w:t>
      </w:r>
      <w:r>
        <w:rPr>
          <w:rFonts w:cs="Arial"/>
        </w:rPr>
        <w:tab/>
        <w:t>Gasto etiquetado: erogaciones realizadas con cargo a recursos recibidos de la Federación,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En el caso de los Municipios, adicionalmente se incluyen las erogaciones que realizan con recursos del Estado con un destino específico;</w:t>
      </w:r>
    </w:p>
    <w:p w14:paraId="60DD85DB" w14:textId="77777777" w:rsidR="00D3344B" w:rsidRDefault="00D3344B">
      <w:pPr>
        <w:pStyle w:val="Estilo"/>
        <w:ind w:left="993" w:hanging="993"/>
        <w:rPr>
          <w:rFonts w:cs="Arial"/>
        </w:rPr>
      </w:pPr>
    </w:p>
    <w:p w14:paraId="2D650431" w14:textId="77777777" w:rsidR="00D3344B" w:rsidRDefault="00143C25">
      <w:pPr>
        <w:pStyle w:val="Estilo"/>
        <w:ind w:left="993" w:hanging="993"/>
        <w:rPr>
          <w:rFonts w:cs="Arial"/>
        </w:rPr>
      </w:pPr>
      <w:r>
        <w:rPr>
          <w:rFonts w:cs="Arial"/>
        </w:rPr>
        <w:t xml:space="preserve">XVI. </w:t>
      </w:r>
      <w:r>
        <w:rPr>
          <w:rFonts w:cs="Arial"/>
        </w:rPr>
        <w:tab/>
        <w:t>Gasto no etiquetado: erogaciones realizadas con cargo a los ingresos propios, participaciones federales, los recursos que, en su caso, se reciban del Fondo de Estabilización de los Ingresos de las Entidades Federativas en los términos del artículo 19 de la Ley Federal de Presupuesto y Responsabilidad Hacendaria, los derivados de financiamientos, y cualquier otro recurso que no esté destinado a un fin específico. En el caso de los Municipios, se excluye el gasto que realicen con recursos del Estado con un destino específico;</w:t>
      </w:r>
    </w:p>
    <w:p w14:paraId="175E9948" w14:textId="77777777" w:rsidR="00D3344B" w:rsidRDefault="00D3344B">
      <w:pPr>
        <w:pStyle w:val="Estilo"/>
        <w:ind w:left="993" w:hanging="993"/>
        <w:rPr>
          <w:rFonts w:cs="Arial"/>
        </w:rPr>
      </w:pPr>
    </w:p>
    <w:p w14:paraId="232B0B97" w14:textId="77777777" w:rsidR="00D3344B" w:rsidRDefault="00143C25">
      <w:pPr>
        <w:pStyle w:val="Estilo"/>
        <w:ind w:left="993" w:hanging="993"/>
        <w:rPr>
          <w:rFonts w:cs="Arial"/>
        </w:rPr>
      </w:pPr>
      <w:r>
        <w:rPr>
          <w:rFonts w:cs="Arial"/>
        </w:rPr>
        <w:lastRenderedPageBreak/>
        <w:t xml:space="preserve">XVII. </w:t>
      </w:r>
      <w:r>
        <w:rPr>
          <w:rFonts w:cs="Arial"/>
        </w:rPr>
        <w:tab/>
        <w:t>Gobernador: El Gobernador del Estado de Tlaxcala;</w:t>
      </w:r>
    </w:p>
    <w:p w14:paraId="45686EAE" w14:textId="77777777" w:rsidR="00D3344B" w:rsidRDefault="00D3344B">
      <w:pPr>
        <w:pStyle w:val="Estilo"/>
        <w:ind w:left="993" w:hanging="993"/>
        <w:rPr>
          <w:rFonts w:cs="Arial"/>
        </w:rPr>
      </w:pPr>
    </w:p>
    <w:p w14:paraId="526AE659" w14:textId="77777777" w:rsidR="00D3344B" w:rsidRDefault="00143C25">
      <w:pPr>
        <w:pStyle w:val="Estilo"/>
        <w:ind w:left="993" w:hanging="993"/>
        <w:rPr>
          <w:rFonts w:cs="Arial"/>
        </w:rPr>
      </w:pPr>
      <w:r>
        <w:rPr>
          <w:rFonts w:cs="Arial"/>
        </w:rPr>
        <w:t xml:space="preserve">XVIII. </w:t>
      </w:r>
      <w:r>
        <w:rPr>
          <w:rFonts w:cs="Arial"/>
        </w:rPr>
        <w:tab/>
        <w:t>Ingresos de libre disposición: los Ingresos locales y las participaciones federales, así como los recursos que, en su caso, se reciban del Fondo de Estabilización de los Ingresos de las Entidades Federativas en los términos del artículo 19 de la Ley Federal de Presupuesto y Responsabilidad Hacendaria y cualquier otro recurso que no esté destinado a un fin específico;</w:t>
      </w:r>
    </w:p>
    <w:p w14:paraId="6A13B5B4" w14:textId="77777777" w:rsidR="00D3344B" w:rsidRDefault="00D3344B">
      <w:pPr>
        <w:pStyle w:val="Estilo"/>
        <w:ind w:left="993" w:hanging="993"/>
        <w:rPr>
          <w:rFonts w:cs="Arial"/>
        </w:rPr>
      </w:pPr>
    </w:p>
    <w:p w14:paraId="112E9E46" w14:textId="77777777" w:rsidR="00D3344B" w:rsidRDefault="00143C25">
      <w:pPr>
        <w:pStyle w:val="Estilo"/>
        <w:ind w:left="993" w:hanging="993"/>
        <w:rPr>
          <w:rFonts w:cs="Arial"/>
        </w:rPr>
      </w:pPr>
      <w:r>
        <w:rPr>
          <w:rFonts w:cs="Arial"/>
        </w:rPr>
        <w:t xml:space="preserve">XIX. </w:t>
      </w:r>
      <w:r>
        <w:rPr>
          <w:rFonts w:cs="Arial"/>
        </w:rPr>
        <w:tab/>
        <w:t>Ingresos excedentes: los recursos que durante el ejercicio fiscal se obtienen en exceso de los aprobados en la Ley de Ingresos;</w:t>
      </w:r>
    </w:p>
    <w:p w14:paraId="447A9BC7" w14:textId="77777777" w:rsidR="00D3344B" w:rsidRDefault="00D3344B">
      <w:pPr>
        <w:pStyle w:val="Estilo"/>
        <w:ind w:left="993" w:hanging="993"/>
        <w:rPr>
          <w:rFonts w:cs="Arial"/>
        </w:rPr>
      </w:pPr>
    </w:p>
    <w:p w14:paraId="2EB6EB8C" w14:textId="77777777" w:rsidR="00D3344B" w:rsidRDefault="00143C25">
      <w:pPr>
        <w:pStyle w:val="Estilo"/>
        <w:ind w:left="993" w:hanging="993"/>
        <w:rPr>
          <w:rFonts w:cs="Arial"/>
        </w:rPr>
      </w:pPr>
      <w:r>
        <w:rPr>
          <w:rFonts w:cs="Arial"/>
        </w:rPr>
        <w:t xml:space="preserve">XX. </w:t>
      </w:r>
      <w:r>
        <w:rPr>
          <w:rFonts w:cs="Arial"/>
        </w:rPr>
        <w:tab/>
        <w:t>Ingresos locales: aquéllos percibidos por la Entidad Federativa y los Municipios por impuestos, contribuciones de mejoras, derechos, productos y aprovechamientos, incluidos los recibidos por venta de bienes y prestación de servicios y los demás previstos en términos de las disposiciones aplicables;</w:t>
      </w:r>
    </w:p>
    <w:p w14:paraId="3A7733ED" w14:textId="77777777" w:rsidR="00D3344B" w:rsidRDefault="00D3344B">
      <w:pPr>
        <w:pStyle w:val="Estilo"/>
        <w:ind w:left="993" w:hanging="993"/>
        <w:rPr>
          <w:rFonts w:cs="Arial"/>
        </w:rPr>
      </w:pPr>
    </w:p>
    <w:p w14:paraId="0A0FCB51" w14:textId="77777777" w:rsidR="00D3344B" w:rsidRDefault="00143C25">
      <w:pPr>
        <w:pStyle w:val="Estilo"/>
        <w:ind w:left="993" w:hanging="993"/>
        <w:rPr>
          <w:rFonts w:cs="Arial"/>
        </w:rPr>
      </w:pPr>
      <w:r>
        <w:rPr>
          <w:rFonts w:cs="Arial"/>
        </w:rPr>
        <w:t xml:space="preserve">XXI. </w:t>
      </w:r>
      <w:r>
        <w:rPr>
          <w:rFonts w:cs="Arial"/>
        </w:rPr>
        <w:tab/>
        <w:t>Ingresos totales: la totalidad de los Ingresos de libre disposición, las Transferencias federales etiquetadas y el Financiamiento Neto;</w:t>
      </w:r>
    </w:p>
    <w:p w14:paraId="1AF78917" w14:textId="77777777" w:rsidR="00D3344B" w:rsidRDefault="00D3344B">
      <w:pPr>
        <w:pStyle w:val="Estilo"/>
        <w:ind w:left="993" w:hanging="993"/>
        <w:rPr>
          <w:rFonts w:cs="Arial"/>
        </w:rPr>
      </w:pPr>
    </w:p>
    <w:p w14:paraId="255306B5" w14:textId="77777777" w:rsidR="00D3344B" w:rsidRDefault="00143C25">
      <w:pPr>
        <w:pStyle w:val="Estilo"/>
        <w:ind w:left="993" w:hanging="993"/>
        <w:rPr>
          <w:rFonts w:cs="Arial"/>
        </w:rPr>
      </w:pPr>
      <w:r>
        <w:rPr>
          <w:rFonts w:cs="Arial"/>
        </w:rPr>
        <w:t xml:space="preserve">XXII. </w:t>
      </w:r>
      <w:r>
        <w:rPr>
          <w:rFonts w:cs="Arial"/>
        </w:rPr>
        <w:tab/>
        <w:t>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o por cualesquiera de las Comisiones Nacionales para organizarse y operar como tales, siempre y cuando la normatividad que les resulte aplicable no les prohíba el otorgamiento de créditos;</w:t>
      </w:r>
    </w:p>
    <w:p w14:paraId="7D350EF0" w14:textId="77777777" w:rsidR="00D3344B" w:rsidRDefault="00D3344B">
      <w:pPr>
        <w:pStyle w:val="Estilo"/>
        <w:ind w:left="993" w:hanging="993"/>
        <w:rPr>
          <w:rFonts w:cs="Arial"/>
        </w:rPr>
      </w:pPr>
    </w:p>
    <w:p w14:paraId="778B0E70" w14:textId="77777777" w:rsidR="00D3344B" w:rsidRDefault="00143C25">
      <w:pPr>
        <w:pStyle w:val="Estilo"/>
        <w:ind w:left="993" w:hanging="993"/>
        <w:rPr>
          <w:rFonts w:cs="Arial"/>
        </w:rPr>
      </w:pPr>
      <w:r>
        <w:rPr>
          <w:rFonts w:cs="Arial"/>
        </w:rPr>
        <w:t xml:space="preserve">XXIII. </w:t>
      </w:r>
      <w:r>
        <w:rPr>
          <w:rFonts w:cs="Arial"/>
        </w:rPr>
        <w:tab/>
        <w:t>Instituto de Catastro: El Instituto de Catastro del Estado;</w:t>
      </w:r>
    </w:p>
    <w:p w14:paraId="2CB5C544" w14:textId="77777777" w:rsidR="00D3344B" w:rsidRDefault="00D3344B">
      <w:pPr>
        <w:pStyle w:val="Estilo"/>
        <w:ind w:left="993" w:hanging="993"/>
        <w:rPr>
          <w:rFonts w:cs="Arial"/>
        </w:rPr>
      </w:pPr>
    </w:p>
    <w:p w14:paraId="545D8ECE" w14:textId="77777777" w:rsidR="00D3344B" w:rsidRDefault="00143C25">
      <w:pPr>
        <w:pStyle w:val="Estilo"/>
        <w:ind w:left="993" w:hanging="993"/>
        <w:rPr>
          <w:rFonts w:cs="Arial"/>
        </w:rPr>
      </w:pPr>
      <w:r>
        <w:rPr>
          <w:rFonts w:cs="Arial"/>
        </w:rPr>
        <w:t xml:space="preserve">XXIV. </w:t>
      </w:r>
      <w:r>
        <w:rPr>
          <w:rFonts w:cs="Arial"/>
        </w:rPr>
        <w:tab/>
        <w:t>Inversión pública productiva: toda erogación por la cual se genere, directa o indirectamente, un beneficio social, y adicionalmente, cuya finalidad específica sea: (i) la construcción, mejoramiento, rehabilitación y/o reposición de bienes de dominio público; (</w:t>
      </w:r>
      <w:proofErr w:type="spellStart"/>
      <w:r>
        <w:rPr>
          <w:rFonts w:cs="Arial"/>
        </w:rPr>
        <w:t>ii</w:t>
      </w:r>
      <w:proofErr w:type="spellEnd"/>
      <w:r>
        <w:rPr>
          <w:rFonts w:cs="Arial"/>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Pr>
          <w:rFonts w:cs="Arial"/>
        </w:rPr>
        <w:t>iii</w:t>
      </w:r>
      <w:proofErr w:type="spellEnd"/>
      <w:r>
        <w:rPr>
          <w:rFonts w:cs="Arial"/>
        </w:rPr>
        <w:t xml:space="preserve">) la adquisición de bienes para la prestación de un servicio público específico, comprendidos de manera limitativa en los conceptos de vehículos de transporte público, </w:t>
      </w:r>
      <w:r>
        <w:rPr>
          <w:rFonts w:cs="Arial"/>
        </w:rPr>
        <w:lastRenderedPageBreak/>
        <w:t>terrenos y edificios no residenciales, de acuerdo al clasificador por objeto de gasto emitido por el Consejo Nacional de Armonización Contable;</w:t>
      </w:r>
    </w:p>
    <w:p w14:paraId="243C4B28" w14:textId="77777777" w:rsidR="00D3344B" w:rsidRDefault="00D3344B">
      <w:pPr>
        <w:pStyle w:val="Estilo"/>
        <w:ind w:left="993" w:hanging="993"/>
        <w:rPr>
          <w:rFonts w:cs="Arial"/>
        </w:rPr>
      </w:pPr>
    </w:p>
    <w:p w14:paraId="381BFA99" w14:textId="77777777" w:rsidR="00D3344B" w:rsidRDefault="00143C25">
      <w:pPr>
        <w:pStyle w:val="Estilo"/>
        <w:ind w:left="993" w:hanging="993"/>
        <w:rPr>
          <w:rFonts w:cs="Arial"/>
        </w:rPr>
      </w:pPr>
      <w:r>
        <w:rPr>
          <w:rFonts w:cs="Arial"/>
        </w:rPr>
        <w:t xml:space="preserve">XXV. </w:t>
      </w:r>
      <w:r>
        <w:rPr>
          <w:rFonts w:cs="Arial"/>
        </w:rPr>
        <w:tab/>
        <w:t xml:space="preserve">Magistrado: Magistrado </w:t>
      </w:r>
      <w:proofErr w:type="gramStart"/>
      <w:r>
        <w:rPr>
          <w:rFonts w:cs="Arial"/>
        </w:rPr>
        <w:t>Presidente</w:t>
      </w:r>
      <w:proofErr w:type="gramEnd"/>
      <w:r>
        <w:rPr>
          <w:rFonts w:cs="Arial"/>
        </w:rPr>
        <w:t xml:space="preserve"> de la Sala competente del Tribunal Superior del Poder Judicial;</w:t>
      </w:r>
    </w:p>
    <w:p w14:paraId="24699AD9" w14:textId="77777777" w:rsidR="00D3344B" w:rsidRDefault="00D3344B">
      <w:pPr>
        <w:pStyle w:val="Estilo"/>
        <w:ind w:left="993" w:hanging="993"/>
        <w:rPr>
          <w:rFonts w:cs="Arial"/>
        </w:rPr>
      </w:pPr>
    </w:p>
    <w:p w14:paraId="02663374" w14:textId="77777777" w:rsidR="00D3344B" w:rsidRDefault="00143C25">
      <w:pPr>
        <w:pStyle w:val="Estilo"/>
        <w:ind w:left="993" w:hanging="993"/>
        <w:rPr>
          <w:rFonts w:cs="Arial"/>
        </w:rPr>
      </w:pPr>
      <w:r>
        <w:rPr>
          <w:rFonts w:cs="Arial"/>
        </w:rPr>
        <w:t xml:space="preserve">XXVI. </w:t>
      </w:r>
      <w:r>
        <w:rPr>
          <w:rFonts w:cs="Arial"/>
        </w:rPr>
        <w:tab/>
        <w:t>Municipios: Los municipios del Estado de Tlaxcala;</w:t>
      </w:r>
    </w:p>
    <w:p w14:paraId="25D09A98" w14:textId="77777777" w:rsidR="00D3344B" w:rsidRDefault="00D3344B">
      <w:pPr>
        <w:pStyle w:val="Estilo"/>
        <w:ind w:left="993" w:hanging="993"/>
        <w:rPr>
          <w:rFonts w:cs="Arial"/>
        </w:rPr>
      </w:pPr>
    </w:p>
    <w:p w14:paraId="4EC78E90" w14:textId="77777777" w:rsidR="00D3344B" w:rsidRDefault="00143C25">
      <w:pPr>
        <w:pStyle w:val="Estilo"/>
        <w:ind w:left="993" w:hanging="993"/>
        <w:rPr>
          <w:rFonts w:cs="Arial"/>
        </w:rPr>
      </w:pPr>
      <w:r>
        <w:rPr>
          <w:rFonts w:cs="Arial"/>
        </w:rPr>
        <w:t xml:space="preserve">XXVII. </w:t>
      </w:r>
      <w:r>
        <w:rPr>
          <w:rFonts w:cs="Arial"/>
        </w:rPr>
        <w:tab/>
        <w:t>Notificador-Ejecutor: La persona facultada para notificar los actos y resoluciones de las autoridades fiscales, así como de practicar las diligencias inherentes al procedimiento administrativo de ejecución;</w:t>
      </w:r>
    </w:p>
    <w:p w14:paraId="58B516E2" w14:textId="77777777" w:rsidR="00D3344B" w:rsidRDefault="00D3344B">
      <w:pPr>
        <w:pStyle w:val="Estilo"/>
        <w:ind w:left="993" w:hanging="993"/>
        <w:rPr>
          <w:rFonts w:cs="Arial"/>
        </w:rPr>
      </w:pPr>
    </w:p>
    <w:p w14:paraId="363BBD82" w14:textId="77777777" w:rsidR="00D3344B" w:rsidRDefault="00143C25">
      <w:pPr>
        <w:pStyle w:val="Estilo"/>
        <w:ind w:left="993" w:hanging="993"/>
        <w:rPr>
          <w:rFonts w:cs="Arial"/>
        </w:rPr>
      </w:pPr>
      <w:r>
        <w:rPr>
          <w:rFonts w:cs="Arial"/>
        </w:rPr>
        <w:t xml:space="preserve">XXVIII. </w:t>
      </w:r>
      <w:r>
        <w:rPr>
          <w:rFonts w:cs="Arial"/>
        </w:rPr>
        <w:tab/>
        <w:t>Órgano de Fiscalización: Órgano de Fiscalización Superior del Estado de Tlaxcala;</w:t>
      </w:r>
    </w:p>
    <w:p w14:paraId="2CE2032A" w14:textId="77777777" w:rsidR="00D3344B" w:rsidRDefault="00D3344B">
      <w:pPr>
        <w:pStyle w:val="Estilo"/>
        <w:ind w:left="993" w:hanging="993"/>
        <w:rPr>
          <w:rFonts w:cs="Arial"/>
        </w:rPr>
      </w:pPr>
    </w:p>
    <w:p w14:paraId="75A01B0D" w14:textId="77777777" w:rsidR="00D3344B" w:rsidRDefault="00143C25">
      <w:pPr>
        <w:pStyle w:val="Estilo"/>
        <w:ind w:left="993" w:hanging="993"/>
        <w:rPr>
          <w:rFonts w:cs="Arial"/>
        </w:rPr>
      </w:pPr>
      <w:r>
        <w:rPr>
          <w:rFonts w:cs="Arial"/>
        </w:rPr>
        <w:t xml:space="preserve">XXIX. </w:t>
      </w:r>
      <w:r>
        <w:rPr>
          <w:rFonts w:cs="Arial"/>
        </w:rPr>
        <w:tab/>
        <w:t>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14:paraId="1A3AB5CA" w14:textId="77777777" w:rsidR="00D3344B" w:rsidRDefault="00D3344B">
      <w:pPr>
        <w:pStyle w:val="Estilo"/>
        <w:ind w:left="993" w:hanging="993"/>
        <w:rPr>
          <w:rFonts w:cs="Arial"/>
        </w:rPr>
      </w:pPr>
    </w:p>
    <w:p w14:paraId="595CC7CB" w14:textId="77777777" w:rsidR="00D3344B" w:rsidRDefault="00143C25">
      <w:pPr>
        <w:pStyle w:val="Estilo"/>
        <w:ind w:left="993" w:hanging="993"/>
        <w:rPr>
          <w:rFonts w:cs="Arial"/>
        </w:rPr>
      </w:pPr>
      <w:r>
        <w:rPr>
          <w:rFonts w:cs="Arial"/>
        </w:rPr>
        <w:t xml:space="preserve">XXX. </w:t>
      </w:r>
      <w:r>
        <w:rPr>
          <w:rFonts w:cs="Arial"/>
        </w:rPr>
        <w:tab/>
        <w:t>Percepciones ordinarias: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14:paraId="5769A68A" w14:textId="77777777" w:rsidR="00D3344B" w:rsidRDefault="00D3344B">
      <w:pPr>
        <w:pStyle w:val="Estilo"/>
        <w:ind w:left="993" w:hanging="993"/>
        <w:rPr>
          <w:rFonts w:cs="Arial"/>
        </w:rPr>
      </w:pPr>
    </w:p>
    <w:p w14:paraId="0B26D646" w14:textId="77777777" w:rsidR="00D3344B" w:rsidRDefault="00143C25">
      <w:pPr>
        <w:pStyle w:val="Estilo"/>
        <w:ind w:left="993" w:hanging="993"/>
        <w:rPr>
          <w:rFonts w:cs="Arial"/>
        </w:rPr>
      </w:pPr>
      <w:r>
        <w:rPr>
          <w:rFonts w:cs="Arial"/>
        </w:rPr>
        <w:t xml:space="preserve">XXXI. </w:t>
      </w:r>
      <w:r>
        <w:rPr>
          <w:rFonts w:cs="Arial"/>
        </w:rPr>
        <w:tab/>
        <w:t>Sala: Sala competente del Poder Judicial;</w:t>
      </w:r>
    </w:p>
    <w:p w14:paraId="6BF7029C" w14:textId="77777777" w:rsidR="00D3344B" w:rsidRDefault="00D3344B">
      <w:pPr>
        <w:pStyle w:val="Estilo"/>
        <w:ind w:left="993" w:hanging="993"/>
        <w:rPr>
          <w:rFonts w:cs="Arial"/>
        </w:rPr>
      </w:pPr>
    </w:p>
    <w:p w14:paraId="7E2C09F0" w14:textId="77777777" w:rsidR="00D3344B" w:rsidRDefault="00143C25">
      <w:pPr>
        <w:pStyle w:val="Estilo"/>
        <w:ind w:left="993" w:hanging="993"/>
        <w:rPr>
          <w:rFonts w:cs="Arial"/>
          <w:i/>
          <w:iCs/>
          <w:sz w:val="16"/>
          <w:szCs w:val="16"/>
        </w:rPr>
      </w:pPr>
      <w:r>
        <w:rPr>
          <w:rFonts w:cs="Arial"/>
          <w:i/>
          <w:iCs/>
          <w:sz w:val="16"/>
          <w:szCs w:val="16"/>
        </w:rPr>
        <w:t>(REFORMADA, P.O. 22 DE DICIEMBRE DE 2021)</w:t>
      </w:r>
    </w:p>
    <w:p w14:paraId="7A863259" w14:textId="77777777" w:rsidR="00D3344B" w:rsidRDefault="00143C25">
      <w:pPr>
        <w:pStyle w:val="Estilo"/>
        <w:ind w:left="993" w:hanging="993"/>
        <w:rPr>
          <w:rFonts w:cs="Arial"/>
        </w:rPr>
      </w:pPr>
      <w:r>
        <w:rPr>
          <w:rFonts w:cs="Arial"/>
        </w:rPr>
        <w:t xml:space="preserve">XXXII. </w:t>
      </w:r>
      <w:r>
        <w:rPr>
          <w:rFonts w:cs="Arial"/>
        </w:rPr>
        <w:tab/>
        <w:t>Secretaría: La Secretaría de Finanzas del Estado de Tlaxcala;</w:t>
      </w:r>
    </w:p>
    <w:p w14:paraId="09466B69" w14:textId="77777777" w:rsidR="00D3344B" w:rsidRDefault="00D3344B">
      <w:pPr>
        <w:pStyle w:val="Estilo"/>
        <w:ind w:left="993" w:hanging="993"/>
        <w:rPr>
          <w:rFonts w:cs="Arial"/>
        </w:rPr>
      </w:pPr>
    </w:p>
    <w:p w14:paraId="6D933DFC" w14:textId="77777777" w:rsidR="00D3344B" w:rsidRDefault="00143C25">
      <w:pPr>
        <w:pStyle w:val="Estilo"/>
        <w:ind w:left="993" w:hanging="993"/>
        <w:rPr>
          <w:rFonts w:cs="Arial"/>
        </w:rPr>
      </w:pPr>
      <w:r>
        <w:rPr>
          <w:rFonts w:cs="Arial"/>
        </w:rPr>
        <w:t xml:space="preserve">XXXIII. </w:t>
      </w:r>
      <w:r>
        <w:rPr>
          <w:rFonts w:cs="Arial"/>
        </w:rPr>
        <w:tab/>
        <w:t>Sistema de Alertas: la publicación hecha por la Secretaría de Hacienda y Crédito Público, sobre los indicadores de endeudamiento de los Entes Públicos;</w:t>
      </w:r>
    </w:p>
    <w:p w14:paraId="44BDD825" w14:textId="77777777" w:rsidR="00D3344B" w:rsidRDefault="00D3344B">
      <w:pPr>
        <w:pStyle w:val="Estilo"/>
        <w:ind w:left="993" w:hanging="993"/>
        <w:rPr>
          <w:rFonts w:cs="Arial"/>
        </w:rPr>
      </w:pPr>
    </w:p>
    <w:p w14:paraId="4219D6FD" w14:textId="77777777" w:rsidR="00D3344B" w:rsidRDefault="00143C25">
      <w:pPr>
        <w:pStyle w:val="Estilo"/>
        <w:ind w:left="993" w:hanging="993"/>
        <w:rPr>
          <w:rFonts w:cs="Arial"/>
        </w:rPr>
      </w:pPr>
      <w:r>
        <w:rPr>
          <w:rFonts w:cs="Arial"/>
        </w:rPr>
        <w:t xml:space="preserve">XXXIV. </w:t>
      </w:r>
      <w:r>
        <w:rPr>
          <w:rFonts w:cs="Arial"/>
        </w:rPr>
        <w:tab/>
        <w:t>Tesorerías: Las tesorerías municipales;</w:t>
      </w:r>
    </w:p>
    <w:p w14:paraId="74596FB0" w14:textId="77777777" w:rsidR="00D3344B" w:rsidRDefault="00D3344B">
      <w:pPr>
        <w:pStyle w:val="Estilo"/>
        <w:ind w:left="993" w:hanging="993"/>
        <w:rPr>
          <w:rFonts w:cs="Arial"/>
        </w:rPr>
      </w:pPr>
    </w:p>
    <w:p w14:paraId="261EB397" w14:textId="77777777" w:rsidR="00D3344B" w:rsidRDefault="00143C25">
      <w:pPr>
        <w:pStyle w:val="Estilo"/>
        <w:ind w:left="993" w:hanging="993"/>
        <w:rPr>
          <w:rFonts w:cs="Arial"/>
        </w:rPr>
      </w:pPr>
      <w:r>
        <w:rPr>
          <w:rFonts w:cs="Arial"/>
        </w:rPr>
        <w:lastRenderedPageBreak/>
        <w:t xml:space="preserve">XXXV. </w:t>
      </w:r>
      <w:r>
        <w:rPr>
          <w:rFonts w:cs="Arial"/>
        </w:rPr>
        <w:tab/>
        <w:t>Transferencias federales etiquetadas: los recursos que se reciben de la Federación,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02DC7D0E" w14:textId="77777777" w:rsidR="00D3344B" w:rsidRDefault="00D3344B">
      <w:pPr>
        <w:pStyle w:val="Estilo"/>
        <w:ind w:left="993" w:hanging="993"/>
        <w:rPr>
          <w:rFonts w:cs="Arial"/>
        </w:rPr>
      </w:pPr>
    </w:p>
    <w:p w14:paraId="5FB6235A" w14:textId="77777777" w:rsidR="00D3344B" w:rsidRDefault="00143C25">
      <w:pPr>
        <w:pStyle w:val="Estilo"/>
        <w:ind w:left="993" w:hanging="993"/>
        <w:rPr>
          <w:rFonts w:cs="Arial"/>
        </w:rPr>
      </w:pPr>
      <w:r>
        <w:rPr>
          <w:rFonts w:cs="Arial"/>
        </w:rPr>
        <w:t xml:space="preserve">XXXVI. </w:t>
      </w:r>
      <w:r>
        <w:rPr>
          <w:rFonts w:cs="Arial"/>
        </w:rPr>
        <w:tab/>
        <w:t>Tribunal: Tribunal Superior de Justicia, y</w:t>
      </w:r>
    </w:p>
    <w:p w14:paraId="69772669" w14:textId="77777777" w:rsidR="00D3344B" w:rsidRDefault="00D3344B">
      <w:pPr>
        <w:pStyle w:val="Estilo"/>
        <w:ind w:left="993" w:hanging="993"/>
        <w:rPr>
          <w:rFonts w:cs="Arial"/>
        </w:rPr>
      </w:pPr>
    </w:p>
    <w:p w14:paraId="1B097E83" w14:textId="77777777" w:rsidR="00D3344B" w:rsidRDefault="00143C25">
      <w:pPr>
        <w:pStyle w:val="Estilo"/>
        <w:ind w:left="993" w:hanging="993"/>
        <w:rPr>
          <w:rFonts w:cs="Arial"/>
        </w:rPr>
      </w:pPr>
      <w:r>
        <w:rPr>
          <w:rFonts w:cs="Arial"/>
        </w:rPr>
        <w:t>XXXVII. Visitador: La persona designada por las autoridades fiscales para la práctica de diligencias relacionadas con las facultades de comprobación.</w:t>
      </w:r>
    </w:p>
    <w:p w14:paraId="56471E70" w14:textId="77777777" w:rsidR="00D3344B" w:rsidRDefault="00D3344B">
      <w:pPr>
        <w:pStyle w:val="Estilo"/>
        <w:ind w:left="993" w:hanging="993"/>
        <w:rPr>
          <w:rFonts w:cs="Arial"/>
        </w:rPr>
      </w:pPr>
    </w:p>
    <w:p w14:paraId="01678708" w14:textId="77777777" w:rsidR="00D3344B" w:rsidRDefault="00143C25">
      <w:pPr>
        <w:pStyle w:val="Estilo"/>
        <w:ind w:left="993" w:hanging="993"/>
        <w:rPr>
          <w:rFonts w:cs="Arial"/>
        </w:rPr>
      </w:pPr>
      <w:r>
        <w:rPr>
          <w:rFonts w:cs="Arial"/>
          <w:i/>
          <w:sz w:val="16"/>
        </w:rPr>
        <w:tab/>
        <w:t>(ADICIONADA, P.O. 29 DE DICIEMBRE DE 2017)</w:t>
      </w:r>
    </w:p>
    <w:p w14:paraId="7BB3F74C" w14:textId="77777777" w:rsidR="00D3344B" w:rsidRDefault="00143C25">
      <w:pPr>
        <w:pStyle w:val="Estilo"/>
        <w:ind w:left="993" w:hanging="993"/>
        <w:rPr>
          <w:rFonts w:cs="Arial"/>
        </w:rPr>
      </w:pPr>
      <w:r>
        <w:rPr>
          <w:rFonts w:cs="Arial"/>
        </w:rPr>
        <w:t>XXXVIII. Políticas Públicas con Perspectiva de Género: Conjunto de Políticas orientadas y dirigidas a asegurar los principios y derechos consagrados en la Ley, para abatir las desigualdades de género y garantizar el ejercicio pleno de los derechos humanos de las mujeres y las niñas;</w:t>
      </w:r>
    </w:p>
    <w:p w14:paraId="4223240F" w14:textId="77777777" w:rsidR="00D3344B" w:rsidRDefault="00D3344B">
      <w:pPr>
        <w:pStyle w:val="Estilo"/>
        <w:ind w:left="993" w:hanging="993"/>
        <w:rPr>
          <w:rFonts w:cs="Arial"/>
        </w:rPr>
      </w:pPr>
    </w:p>
    <w:p w14:paraId="592B25CB" w14:textId="77777777" w:rsidR="00D3344B" w:rsidRDefault="00143C25">
      <w:pPr>
        <w:pStyle w:val="Estilo"/>
        <w:ind w:left="993" w:hanging="993"/>
        <w:rPr>
          <w:rFonts w:cs="Arial"/>
        </w:rPr>
      </w:pPr>
      <w:r>
        <w:rPr>
          <w:rFonts w:cs="Arial"/>
          <w:i/>
          <w:sz w:val="16"/>
        </w:rPr>
        <w:tab/>
        <w:t>(ADICIONADA, P.O. 29 DE DICIEMBRE DE 2017)</w:t>
      </w:r>
    </w:p>
    <w:p w14:paraId="6755CE7C" w14:textId="77777777" w:rsidR="00D3344B" w:rsidRDefault="00143C25">
      <w:pPr>
        <w:pStyle w:val="Estilo"/>
        <w:ind w:left="993" w:hanging="993"/>
        <w:rPr>
          <w:rFonts w:cs="Arial"/>
        </w:rPr>
      </w:pPr>
      <w:r>
        <w:rPr>
          <w:rFonts w:cs="Arial"/>
        </w:rPr>
        <w:t xml:space="preserve">XXXIX. </w:t>
      </w:r>
      <w:r>
        <w:rPr>
          <w:rFonts w:cs="Arial"/>
        </w:rPr>
        <w:tab/>
        <w:t>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14:paraId="61DF60E8" w14:textId="77777777" w:rsidR="00D3344B" w:rsidRDefault="00D3344B">
      <w:pPr>
        <w:pStyle w:val="Estilo"/>
        <w:ind w:left="993" w:hanging="993"/>
        <w:rPr>
          <w:rFonts w:cs="Arial"/>
        </w:rPr>
      </w:pPr>
    </w:p>
    <w:p w14:paraId="519599C5" w14:textId="77777777" w:rsidR="00D3344B" w:rsidRDefault="00143C25">
      <w:pPr>
        <w:pStyle w:val="Estilo"/>
        <w:ind w:left="993" w:hanging="993"/>
        <w:rPr>
          <w:rFonts w:cs="Arial"/>
        </w:rPr>
      </w:pPr>
      <w:r>
        <w:rPr>
          <w:rFonts w:cs="Arial"/>
          <w:i/>
          <w:sz w:val="16"/>
        </w:rPr>
        <w:tab/>
        <w:t>(ADICIONADA, P.O. 29 DE DICIEMBRE DE 2017)</w:t>
      </w:r>
    </w:p>
    <w:p w14:paraId="7338ED36" w14:textId="77777777" w:rsidR="00D3344B" w:rsidRDefault="00143C25">
      <w:pPr>
        <w:pStyle w:val="Estilo"/>
        <w:ind w:left="993" w:hanging="993"/>
        <w:rPr>
          <w:rFonts w:cs="Arial"/>
        </w:rPr>
      </w:pPr>
      <w:r>
        <w:rPr>
          <w:rFonts w:cs="Arial"/>
        </w:rPr>
        <w:t xml:space="preserve">XL. </w:t>
      </w:r>
      <w:r>
        <w:rPr>
          <w:rFonts w:cs="Arial"/>
        </w:rPr>
        <w:tab/>
        <w:t>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14:paraId="69F117DE" w14:textId="77777777" w:rsidR="00D3344B" w:rsidRDefault="00D3344B">
      <w:pPr>
        <w:pStyle w:val="Estilo"/>
        <w:ind w:left="993" w:hanging="993"/>
        <w:rPr>
          <w:rFonts w:cs="Arial"/>
        </w:rPr>
      </w:pPr>
    </w:p>
    <w:p w14:paraId="612D852D" w14:textId="77777777" w:rsidR="00D3344B" w:rsidRDefault="00143C25">
      <w:pPr>
        <w:pStyle w:val="Estilo"/>
        <w:ind w:left="993" w:hanging="993"/>
        <w:rPr>
          <w:rFonts w:cs="Arial"/>
        </w:rPr>
      </w:pPr>
      <w:r>
        <w:rPr>
          <w:rFonts w:cs="Arial"/>
          <w:i/>
          <w:sz w:val="16"/>
        </w:rPr>
        <w:tab/>
        <w:t>(ADICIONADA, P.O. 29 DE DICIEMBRE DE 2017)</w:t>
      </w:r>
    </w:p>
    <w:p w14:paraId="2A5AEDE9" w14:textId="77777777" w:rsidR="00D3344B" w:rsidRDefault="00143C25">
      <w:pPr>
        <w:pStyle w:val="Estilo"/>
        <w:ind w:left="993" w:hanging="993"/>
        <w:rPr>
          <w:rFonts w:cs="Arial"/>
        </w:rPr>
      </w:pPr>
      <w:r>
        <w:rPr>
          <w:rFonts w:cs="Arial"/>
        </w:rPr>
        <w:t xml:space="preserve">XLI. </w:t>
      </w:r>
      <w:r>
        <w:rPr>
          <w:rFonts w:cs="Arial"/>
        </w:rPr>
        <w:tab/>
        <w:t>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14:paraId="7D65BFF5" w14:textId="77777777" w:rsidR="00D3344B" w:rsidRDefault="00D3344B">
      <w:pPr>
        <w:pStyle w:val="Estilo"/>
        <w:ind w:left="993" w:hanging="993"/>
        <w:rPr>
          <w:rFonts w:cs="Arial"/>
        </w:rPr>
      </w:pPr>
    </w:p>
    <w:p w14:paraId="438222AC" w14:textId="77777777" w:rsidR="00D3344B" w:rsidRDefault="00143C25">
      <w:pPr>
        <w:pStyle w:val="Estilo"/>
        <w:ind w:left="993" w:hanging="993"/>
        <w:rPr>
          <w:rFonts w:cs="Arial"/>
        </w:rPr>
      </w:pPr>
      <w:r>
        <w:rPr>
          <w:rFonts w:cs="Arial"/>
          <w:i/>
          <w:sz w:val="16"/>
        </w:rPr>
        <w:tab/>
        <w:t>(ADICIONADA, P.O. 29 DE DICIEMBRE DE 2017)</w:t>
      </w:r>
    </w:p>
    <w:p w14:paraId="7279064F" w14:textId="77777777" w:rsidR="00D3344B" w:rsidRDefault="00143C25">
      <w:pPr>
        <w:pStyle w:val="Estilo"/>
        <w:ind w:left="993" w:hanging="993"/>
        <w:rPr>
          <w:rFonts w:cs="Arial"/>
        </w:rPr>
      </w:pPr>
      <w:r>
        <w:rPr>
          <w:rFonts w:cs="Arial"/>
        </w:rPr>
        <w:t xml:space="preserve">XLII. </w:t>
      </w:r>
      <w:r>
        <w:rPr>
          <w:rFonts w:cs="Arial"/>
        </w:rPr>
        <w:tab/>
        <w:t xml:space="preserve">Discriminación contra la Mujer. Toda distinción, exclusión o restricción basada en el sexo que tenga por objeto o por resultado menoscabar o </w:t>
      </w:r>
      <w:r>
        <w:rPr>
          <w:rFonts w:cs="Arial"/>
        </w:rPr>
        <w:lastRenderedPageBreak/>
        <w:t>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7F3FF22" w14:textId="77777777" w:rsidR="00D3344B" w:rsidRDefault="00D3344B">
      <w:pPr>
        <w:pStyle w:val="Estilo"/>
        <w:ind w:left="993" w:hanging="993"/>
        <w:rPr>
          <w:rFonts w:cs="Arial"/>
        </w:rPr>
      </w:pPr>
    </w:p>
    <w:p w14:paraId="568F8DB2" w14:textId="77777777" w:rsidR="00D3344B" w:rsidRDefault="00143C25">
      <w:pPr>
        <w:pStyle w:val="Estilo"/>
        <w:ind w:left="993" w:hanging="993"/>
        <w:rPr>
          <w:rFonts w:cs="Arial"/>
        </w:rPr>
      </w:pPr>
      <w:r>
        <w:rPr>
          <w:rFonts w:cs="Arial"/>
          <w:i/>
          <w:sz w:val="16"/>
        </w:rPr>
        <w:tab/>
        <w:t>(ADICIONADA, P.O. 29 DE DICIEMBRE DE 2017)</w:t>
      </w:r>
    </w:p>
    <w:p w14:paraId="5C3BD767" w14:textId="77777777" w:rsidR="00D3344B" w:rsidRDefault="00143C25">
      <w:pPr>
        <w:pStyle w:val="Estilo"/>
        <w:ind w:left="993" w:hanging="993"/>
        <w:rPr>
          <w:rFonts w:cs="Arial"/>
        </w:rPr>
      </w:pPr>
      <w:r>
        <w:rPr>
          <w:rFonts w:cs="Arial"/>
        </w:rPr>
        <w:t xml:space="preserve">XLIII. </w:t>
      </w:r>
      <w:r>
        <w:rPr>
          <w:rFonts w:cs="Arial"/>
        </w:rPr>
        <w:tab/>
        <w:t>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14:paraId="7EC38047" w14:textId="77777777" w:rsidR="00D3344B" w:rsidRDefault="00D3344B">
      <w:pPr>
        <w:pStyle w:val="Estilo"/>
        <w:ind w:left="993" w:hanging="993"/>
        <w:rPr>
          <w:rFonts w:cs="Arial"/>
        </w:rPr>
      </w:pPr>
    </w:p>
    <w:p w14:paraId="2D1D1948" w14:textId="77777777" w:rsidR="00D3344B" w:rsidRDefault="00143C25">
      <w:pPr>
        <w:pStyle w:val="Estilo"/>
        <w:ind w:left="993" w:hanging="993"/>
        <w:rPr>
          <w:rFonts w:cs="Arial"/>
        </w:rPr>
      </w:pPr>
      <w:r>
        <w:rPr>
          <w:rFonts w:cs="Arial"/>
          <w:i/>
          <w:sz w:val="16"/>
        </w:rPr>
        <w:tab/>
        <w:t>(ADICIONADA, P.O. 29 DE DICIEMBRE DE 2017)</w:t>
      </w:r>
    </w:p>
    <w:p w14:paraId="505FB1CD" w14:textId="77777777" w:rsidR="00D3344B" w:rsidRDefault="00143C25">
      <w:pPr>
        <w:pStyle w:val="Estilo"/>
        <w:ind w:left="993" w:hanging="993"/>
        <w:rPr>
          <w:rFonts w:cs="Arial"/>
        </w:rPr>
      </w:pPr>
      <w:r>
        <w:rPr>
          <w:rFonts w:cs="Arial"/>
        </w:rPr>
        <w:t xml:space="preserve">XLIV. </w:t>
      </w:r>
      <w:r>
        <w:rPr>
          <w:rFonts w:cs="Arial"/>
        </w:rPr>
        <w:tab/>
        <w:t>Igualdad Sustantiva. Es el acceso al mismo trato y oportunidades para el reconocimiento, goce o ejercicio de los derechos humanos y las libertades fundamentales;</w:t>
      </w:r>
    </w:p>
    <w:p w14:paraId="0234ECBA" w14:textId="77777777" w:rsidR="00D3344B" w:rsidRDefault="00D3344B">
      <w:pPr>
        <w:pStyle w:val="Estilo"/>
        <w:ind w:left="993" w:hanging="993"/>
        <w:rPr>
          <w:rFonts w:cs="Arial"/>
        </w:rPr>
      </w:pPr>
    </w:p>
    <w:p w14:paraId="436A5A96" w14:textId="77777777" w:rsidR="00D3344B" w:rsidRDefault="00143C25">
      <w:pPr>
        <w:pStyle w:val="Estilo"/>
        <w:ind w:left="993" w:hanging="993"/>
        <w:rPr>
          <w:rFonts w:cs="Arial"/>
        </w:rPr>
      </w:pPr>
      <w:r>
        <w:rPr>
          <w:rFonts w:cs="Arial"/>
          <w:i/>
          <w:sz w:val="16"/>
        </w:rPr>
        <w:tab/>
        <w:t>(ADICIONADA, P.O. 29 DE DICIEMBRE DE 2017)</w:t>
      </w:r>
    </w:p>
    <w:p w14:paraId="6221FD1E" w14:textId="77777777" w:rsidR="00D3344B" w:rsidRDefault="00143C25">
      <w:pPr>
        <w:pStyle w:val="Estilo"/>
        <w:ind w:left="993" w:hanging="993"/>
        <w:rPr>
          <w:rFonts w:cs="Arial"/>
        </w:rPr>
      </w:pPr>
      <w:r>
        <w:rPr>
          <w:rFonts w:cs="Arial"/>
        </w:rPr>
        <w:t xml:space="preserve">XLV. </w:t>
      </w:r>
      <w:r>
        <w:rPr>
          <w:rFonts w:cs="Arial"/>
        </w:rPr>
        <w:tab/>
        <w:t>Presupuestos Públicos con Perspectiva de Género. Son aquellos presupuestos que son planteados a partir de valorar el impacto diferenciado que tiene en el ejercicio del gasto sobre mujeres y hombres, sus necesidades y demandas;</w:t>
      </w:r>
    </w:p>
    <w:p w14:paraId="4CF84376" w14:textId="77777777" w:rsidR="00D3344B" w:rsidRDefault="00D3344B">
      <w:pPr>
        <w:pStyle w:val="Estilo"/>
        <w:ind w:left="993" w:hanging="993"/>
        <w:rPr>
          <w:rFonts w:cs="Arial"/>
        </w:rPr>
      </w:pPr>
    </w:p>
    <w:p w14:paraId="6B40DE5B" w14:textId="77777777" w:rsidR="00D3344B" w:rsidRDefault="00143C25">
      <w:pPr>
        <w:pStyle w:val="Estilo"/>
        <w:ind w:left="993" w:hanging="993"/>
        <w:rPr>
          <w:rFonts w:cs="Arial"/>
        </w:rPr>
      </w:pPr>
      <w:r>
        <w:rPr>
          <w:rFonts w:cs="Arial"/>
          <w:i/>
          <w:sz w:val="16"/>
        </w:rPr>
        <w:t>(ADICIONADA, P.O. 21 DE JUNIO DE 2021)</w:t>
      </w:r>
    </w:p>
    <w:p w14:paraId="329F36C1" w14:textId="77777777" w:rsidR="00D3344B" w:rsidRDefault="00143C25">
      <w:pPr>
        <w:pStyle w:val="Estilo"/>
        <w:ind w:left="993" w:hanging="993"/>
        <w:rPr>
          <w:rFonts w:cs="Arial"/>
        </w:rPr>
      </w:pPr>
      <w:r>
        <w:rPr>
          <w:rFonts w:cs="Arial"/>
        </w:rPr>
        <w:t>XLVI.</w:t>
      </w:r>
      <w:r>
        <w:rPr>
          <w:rFonts w:cs="Arial"/>
        </w:rPr>
        <w:tab/>
        <w:t xml:space="preserve">UMA: La Unidad de Medida y Actualización, que se utiliza como unidad de cuenta, índice, base, medida o referencia para determinar la cuantía del pago de las obligaciones y supuestos previstos en las leyes federales y en la Legislación del Estado de Tlaxcala, así como en las disposiciones jurídicas que emanen de dichas leyes. Se entenderá por </w:t>
      </w:r>
      <w:proofErr w:type="spellStart"/>
      <w:r>
        <w:rPr>
          <w:rFonts w:cs="Arial"/>
        </w:rPr>
        <w:t>UMAs</w:t>
      </w:r>
      <w:proofErr w:type="spellEnd"/>
      <w:r>
        <w:rPr>
          <w:rFonts w:cs="Arial"/>
        </w:rPr>
        <w:t xml:space="preserve"> a su abreviación en plural. </w:t>
      </w:r>
    </w:p>
    <w:p w14:paraId="210460F5" w14:textId="77777777" w:rsidR="00D3344B" w:rsidRDefault="00D3344B">
      <w:pPr>
        <w:pStyle w:val="Estilo"/>
        <w:ind w:left="993" w:hanging="993"/>
        <w:rPr>
          <w:rFonts w:cs="Arial"/>
        </w:rPr>
      </w:pPr>
    </w:p>
    <w:p w14:paraId="40085E7C" w14:textId="77777777" w:rsidR="00D3344B" w:rsidRDefault="00143C25">
      <w:pPr>
        <w:pStyle w:val="Estilo"/>
        <w:ind w:left="993" w:hanging="993"/>
        <w:rPr>
          <w:rFonts w:cs="Arial"/>
        </w:rPr>
      </w:pPr>
      <w:r>
        <w:rPr>
          <w:rFonts w:cs="Arial"/>
          <w:i/>
          <w:sz w:val="16"/>
        </w:rPr>
        <w:t>(ADICIONADA, P.O. 21 DE JUNIO DE 2021)</w:t>
      </w:r>
      <w:r>
        <w:rPr>
          <w:rFonts w:cs="Arial"/>
        </w:rPr>
        <w:t xml:space="preserve"> </w:t>
      </w:r>
    </w:p>
    <w:p w14:paraId="1C1D9FD4" w14:textId="77777777" w:rsidR="00D3344B" w:rsidRDefault="00143C25">
      <w:pPr>
        <w:pStyle w:val="Estilo"/>
        <w:ind w:left="993" w:hanging="993"/>
        <w:rPr>
          <w:rFonts w:cs="Arial"/>
        </w:rPr>
      </w:pPr>
      <w:r>
        <w:rPr>
          <w:rFonts w:cs="Arial"/>
        </w:rPr>
        <w:t>XLVII.</w:t>
      </w:r>
      <w:r>
        <w:rPr>
          <w:rFonts w:cs="Arial"/>
        </w:rPr>
        <w:tab/>
        <w:t>INEGI: Instituto Nacional de Estadística y Geografía.</w:t>
      </w:r>
    </w:p>
    <w:p w14:paraId="37894742" w14:textId="77777777" w:rsidR="00D3344B" w:rsidRDefault="00D3344B">
      <w:pPr>
        <w:pStyle w:val="Estilo"/>
        <w:ind w:left="993" w:hanging="993"/>
        <w:rPr>
          <w:rFonts w:cs="Arial"/>
        </w:rPr>
      </w:pPr>
    </w:p>
    <w:p w14:paraId="287F6E25" w14:textId="77777777" w:rsidR="00D3344B" w:rsidRDefault="00143C25">
      <w:pPr>
        <w:pStyle w:val="Estilo"/>
        <w:ind w:left="993" w:hanging="993"/>
        <w:rPr>
          <w:rFonts w:cs="Arial"/>
          <w:i/>
          <w:iCs/>
          <w:sz w:val="16"/>
          <w:szCs w:val="16"/>
        </w:rPr>
      </w:pPr>
      <w:r>
        <w:rPr>
          <w:rFonts w:cs="Arial"/>
          <w:i/>
          <w:iCs/>
          <w:sz w:val="16"/>
          <w:szCs w:val="16"/>
        </w:rPr>
        <w:t>(ADICIONADA, P.O. 22 DE DICIEMBRE DE 2021)</w:t>
      </w:r>
    </w:p>
    <w:p w14:paraId="3BB139A3" w14:textId="77777777" w:rsidR="00D3344B" w:rsidRDefault="00143C25">
      <w:pPr>
        <w:pStyle w:val="Estilo"/>
        <w:ind w:left="993" w:hanging="993"/>
        <w:rPr>
          <w:rFonts w:cs="Arial"/>
        </w:rPr>
      </w:pPr>
      <w:r>
        <w:rPr>
          <w:rFonts w:cs="Arial"/>
        </w:rPr>
        <w:t xml:space="preserve">XLVIII. </w:t>
      </w:r>
      <w:r>
        <w:rPr>
          <w:rFonts w:cs="Arial"/>
        </w:rPr>
        <w:tab/>
        <w:t>Notificador – Verificador: La persona designada por las autoridades fiscales para efectuar la práctica de diligencias y notificaciones. Así como analizar la documentación relacionada con las facultades de comprobación.</w:t>
      </w:r>
    </w:p>
    <w:p w14:paraId="18FD04E6" w14:textId="77777777" w:rsidR="00D3344B" w:rsidRDefault="00D3344B">
      <w:pPr>
        <w:pStyle w:val="Estilo"/>
        <w:rPr>
          <w:rFonts w:cs="Arial"/>
        </w:rPr>
      </w:pPr>
    </w:p>
    <w:p w14:paraId="3DB1A77F" w14:textId="77777777" w:rsidR="00D3344B" w:rsidRDefault="00143C25">
      <w:pPr>
        <w:pStyle w:val="Estilo"/>
        <w:rPr>
          <w:rFonts w:cs="Arial"/>
        </w:rPr>
      </w:pPr>
      <w:r>
        <w:rPr>
          <w:rFonts w:cs="Arial"/>
          <w:i/>
          <w:sz w:val="16"/>
        </w:rPr>
        <w:t>(REPUBLICADO PRIMER PÁRRAFO, P.O. 16 DE NOVIEMBRE DE 2016)</w:t>
      </w:r>
    </w:p>
    <w:p w14:paraId="637398F6" w14:textId="77777777" w:rsidR="00D3344B" w:rsidRDefault="00143C25">
      <w:pPr>
        <w:pStyle w:val="Estilo"/>
        <w:rPr>
          <w:rFonts w:cs="Arial"/>
        </w:rPr>
      </w:pPr>
      <w:r>
        <w:rPr>
          <w:rFonts w:cs="Arial"/>
          <w:b/>
        </w:rPr>
        <w:t>Artículo 3.</w:t>
      </w:r>
      <w:r>
        <w:rPr>
          <w:rFonts w:cs="Arial"/>
        </w:rPr>
        <w:t xml:space="preserve"> La Secretaría y los ayuntamientos, en sus respectivos ámbitos de competencia, quedan expresamente facultados para interpretar el presente ordenamiento para efectos administrativos.</w:t>
      </w:r>
    </w:p>
    <w:p w14:paraId="64C00FCC" w14:textId="77777777" w:rsidR="00D3344B" w:rsidRDefault="00D3344B">
      <w:pPr>
        <w:pStyle w:val="Estilo"/>
        <w:rPr>
          <w:rFonts w:cs="Arial"/>
        </w:rPr>
      </w:pPr>
    </w:p>
    <w:p w14:paraId="372AFDAB" w14:textId="77777777" w:rsidR="00D3344B" w:rsidRDefault="00143C25">
      <w:pPr>
        <w:pStyle w:val="Estilo"/>
        <w:rPr>
          <w:rFonts w:cs="Arial"/>
        </w:rPr>
      </w:pPr>
      <w:r>
        <w:rPr>
          <w:rFonts w:cs="Arial"/>
          <w:i/>
          <w:sz w:val="16"/>
        </w:rPr>
        <w:t>(ADICIONADO, P.O. 16 DE NOVIEMBRE DE 2016)</w:t>
      </w:r>
    </w:p>
    <w:p w14:paraId="07526CEE" w14:textId="77777777" w:rsidR="00D3344B" w:rsidRDefault="00143C25">
      <w:pPr>
        <w:pStyle w:val="Estilo"/>
        <w:rPr>
          <w:rFonts w:cs="Arial"/>
        </w:rPr>
      </w:pPr>
      <w:r>
        <w:rPr>
          <w:rFonts w:cs="Arial"/>
        </w:rPr>
        <w:t xml:space="preserve">A falta de disposición expresa en esta Ley, se aplicarán supletoriamente la Ley de Disciplina Financiera de las Entidades Federativas y los Municipios, Ley Federal de </w:t>
      </w:r>
      <w:r>
        <w:rPr>
          <w:rFonts w:cs="Arial"/>
        </w:rPr>
        <w:lastRenderedPageBreak/>
        <w:t>Presupuesto y Responsabilidad Hacendaria, la Ley General de Contabilidad Gubernamental y la Ley de Coordinación Fiscal.</w:t>
      </w:r>
    </w:p>
    <w:p w14:paraId="002997D8" w14:textId="77777777" w:rsidR="00D3344B" w:rsidRDefault="00D3344B">
      <w:pPr>
        <w:pStyle w:val="Estilo"/>
        <w:rPr>
          <w:rFonts w:cs="Arial"/>
        </w:rPr>
      </w:pPr>
    </w:p>
    <w:p w14:paraId="56B2E17B" w14:textId="77777777" w:rsidR="00D3344B" w:rsidRDefault="00143C25">
      <w:pPr>
        <w:pStyle w:val="Estilo"/>
        <w:rPr>
          <w:rFonts w:cs="Arial"/>
        </w:rPr>
      </w:pPr>
      <w:r>
        <w:rPr>
          <w:rFonts w:cs="Arial"/>
          <w:b/>
        </w:rPr>
        <w:t>Artículo 4.</w:t>
      </w:r>
      <w:r>
        <w:rPr>
          <w:rFonts w:cs="Arial"/>
        </w:rPr>
        <w:t xml:space="preserve"> Los plazos o términos fijados en este código se computarán por días naturales, salvo los fiscales que se regirán de acuerdo al artículo 22 de este código.</w:t>
      </w:r>
    </w:p>
    <w:p w14:paraId="27810560" w14:textId="77777777" w:rsidR="00D3344B" w:rsidRDefault="00D3344B">
      <w:pPr>
        <w:pStyle w:val="Estilo"/>
        <w:rPr>
          <w:rFonts w:cs="Arial"/>
        </w:rPr>
      </w:pPr>
    </w:p>
    <w:p w14:paraId="1BB80600" w14:textId="77777777" w:rsidR="00D3344B" w:rsidRDefault="00143C25">
      <w:pPr>
        <w:pStyle w:val="Estilo"/>
        <w:rPr>
          <w:rFonts w:cs="Arial"/>
        </w:rPr>
      </w:pPr>
      <w:r>
        <w:rPr>
          <w:rFonts w:cs="Arial"/>
        </w:rPr>
        <w:t>En todos los casos, si el último día del plazo o término es inhábil, se prorrogará hasta el día siguiente hábil.</w:t>
      </w:r>
    </w:p>
    <w:p w14:paraId="7DCAE478" w14:textId="77777777" w:rsidR="00D3344B" w:rsidRDefault="00D3344B">
      <w:pPr>
        <w:pStyle w:val="Estilo"/>
        <w:rPr>
          <w:rFonts w:cs="Arial"/>
        </w:rPr>
      </w:pPr>
    </w:p>
    <w:p w14:paraId="6BABD1D1" w14:textId="77777777" w:rsidR="00D3344B" w:rsidRDefault="00143C25">
      <w:pPr>
        <w:pStyle w:val="Estilo"/>
        <w:rPr>
          <w:rFonts w:cs="Arial"/>
        </w:rPr>
      </w:pPr>
      <w:r>
        <w:rPr>
          <w:rFonts w:cs="Arial"/>
          <w:b/>
        </w:rPr>
        <w:t>Artículo 5.</w:t>
      </w:r>
      <w:r>
        <w:rPr>
          <w:rFonts w:cs="Arial"/>
        </w:rPr>
        <w:t xml:space="preserve"> Son autoridades fiscales para los efectos de este código:</w:t>
      </w:r>
    </w:p>
    <w:p w14:paraId="399D3371" w14:textId="77777777" w:rsidR="00D3344B" w:rsidRDefault="00D3344B">
      <w:pPr>
        <w:pStyle w:val="Estilo"/>
        <w:rPr>
          <w:rFonts w:cs="Arial"/>
        </w:rPr>
      </w:pPr>
    </w:p>
    <w:p w14:paraId="5ECB3AE9" w14:textId="77777777" w:rsidR="00D3344B" w:rsidRDefault="00143C25">
      <w:pPr>
        <w:pStyle w:val="Estilo"/>
        <w:ind w:left="567" w:hanging="567"/>
        <w:rPr>
          <w:rFonts w:cs="Arial"/>
        </w:rPr>
      </w:pPr>
      <w:r>
        <w:rPr>
          <w:rFonts w:cs="Arial"/>
          <w:i/>
          <w:sz w:val="16"/>
        </w:rPr>
        <w:tab/>
        <w:t>(REFORMADA, P.O. 29 DE NOVIEMBRE DE 2023)</w:t>
      </w:r>
    </w:p>
    <w:p w14:paraId="359FD3B6" w14:textId="77777777" w:rsidR="00D3344B" w:rsidRDefault="00143C25">
      <w:pPr>
        <w:pStyle w:val="Estilo"/>
        <w:ind w:left="567" w:hanging="567"/>
        <w:rPr>
          <w:rFonts w:cs="Arial"/>
        </w:rPr>
      </w:pPr>
      <w:r>
        <w:rPr>
          <w:rFonts w:cs="Arial"/>
        </w:rPr>
        <w:t xml:space="preserve">I. </w:t>
      </w:r>
      <w:r>
        <w:rPr>
          <w:rFonts w:cs="Arial"/>
        </w:rPr>
        <w:tab/>
        <w:t xml:space="preserve">En el ámbito estatal: El Gobernador, el </w:t>
      </w:r>
      <w:proofErr w:type="gramStart"/>
      <w:r>
        <w:rPr>
          <w:rFonts w:cs="Arial"/>
        </w:rPr>
        <w:t>Secretario</w:t>
      </w:r>
      <w:proofErr w:type="gramEnd"/>
      <w:r>
        <w:rPr>
          <w:rFonts w:cs="Arial"/>
        </w:rPr>
        <w:t xml:space="preserve"> de Finanzas, el titular y los Coordinadores de la Dirección de Ingresos y Fiscalización, el Director Jurídico y los jefes de las oficinas recaudadoras, adscritos a la Secretaría de Finanzas;</w:t>
      </w:r>
    </w:p>
    <w:p w14:paraId="4F89C981" w14:textId="77777777" w:rsidR="00D3344B" w:rsidRDefault="00D3344B">
      <w:pPr>
        <w:pStyle w:val="Estilo"/>
        <w:ind w:left="567" w:hanging="567"/>
        <w:rPr>
          <w:rFonts w:cs="Arial"/>
        </w:rPr>
      </w:pPr>
    </w:p>
    <w:p w14:paraId="74043247" w14:textId="77777777" w:rsidR="00D3344B" w:rsidRDefault="00143C25">
      <w:pPr>
        <w:pStyle w:val="Estilo"/>
        <w:ind w:left="567" w:hanging="567"/>
        <w:rPr>
          <w:rFonts w:cs="Arial"/>
        </w:rPr>
      </w:pPr>
      <w:r>
        <w:rPr>
          <w:rFonts w:cs="Arial"/>
          <w:i/>
          <w:sz w:val="16"/>
        </w:rPr>
        <w:tab/>
        <w:t>(REFORMADA, P.O. 31 DE DICIEMBRE DE 2007)</w:t>
      </w:r>
    </w:p>
    <w:p w14:paraId="6009B485" w14:textId="77777777" w:rsidR="00D3344B" w:rsidRDefault="00143C25">
      <w:pPr>
        <w:pStyle w:val="Estilo"/>
        <w:ind w:left="567" w:hanging="567"/>
        <w:rPr>
          <w:rFonts w:cs="Arial"/>
        </w:rPr>
      </w:pPr>
      <w:r>
        <w:rPr>
          <w:rFonts w:cs="Arial"/>
        </w:rPr>
        <w:t xml:space="preserve">II. </w:t>
      </w:r>
      <w:r>
        <w:rPr>
          <w:rFonts w:cs="Arial"/>
        </w:rPr>
        <w:tab/>
        <w:t xml:space="preserve">En el ámbito municipal: El </w:t>
      </w:r>
      <w:proofErr w:type="gramStart"/>
      <w:r>
        <w:rPr>
          <w:rFonts w:cs="Arial"/>
        </w:rPr>
        <w:t>Presidente</w:t>
      </w:r>
      <w:proofErr w:type="gramEnd"/>
      <w:r>
        <w:rPr>
          <w:rFonts w:cs="Arial"/>
        </w:rPr>
        <w:t xml:space="preserve"> y Tesorero, y</w:t>
      </w:r>
    </w:p>
    <w:p w14:paraId="6F5F2D5A" w14:textId="77777777" w:rsidR="00D3344B" w:rsidRDefault="00D3344B">
      <w:pPr>
        <w:pStyle w:val="Estilo"/>
        <w:ind w:left="567" w:hanging="567"/>
        <w:rPr>
          <w:rFonts w:cs="Arial"/>
        </w:rPr>
      </w:pPr>
    </w:p>
    <w:p w14:paraId="315BCA23" w14:textId="77777777" w:rsidR="00D3344B" w:rsidRDefault="00143C25">
      <w:pPr>
        <w:pStyle w:val="Estilo"/>
        <w:ind w:left="567" w:hanging="567"/>
        <w:rPr>
          <w:rFonts w:cs="Arial"/>
        </w:rPr>
      </w:pPr>
      <w:r>
        <w:rPr>
          <w:rFonts w:cs="Arial"/>
        </w:rPr>
        <w:t xml:space="preserve">III. </w:t>
      </w:r>
      <w:r>
        <w:rPr>
          <w:rFonts w:cs="Arial"/>
        </w:rPr>
        <w:tab/>
        <w:t>Los titulares principales de los organismos públicos descentralizados, cuando por disposición de este código o de otras disposiciones legales, tengan encomendada la recaudación de alguna contribución específica.</w:t>
      </w:r>
    </w:p>
    <w:p w14:paraId="29665EAF" w14:textId="77777777" w:rsidR="00D3344B" w:rsidRDefault="00D3344B">
      <w:pPr>
        <w:pStyle w:val="Estilo"/>
        <w:rPr>
          <w:rFonts w:cs="Arial"/>
        </w:rPr>
      </w:pPr>
    </w:p>
    <w:p w14:paraId="574B1B5E" w14:textId="77777777" w:rsidR="00D3344B" w:rsidRDefault="00143C25">
      <w:pPr>
        <w:pStyle w:val="Estilo"/>
        <w:rPr>
          <w:rFonts w:cs="Arial"/>
        </w:rPr>
      </w:pPr>
      <w:r>
        <w:rPr>
          <w:rFonts w:cs="Arial"/>
        </w:rPr>
        <w:t>Las autoridades fiscales del ámbito municipal podrán convenir con las autoridades a las que se refiere la fracción I de este artículo, la facultad económico coactiva que establece este código respecto de las contribuciones municipales.</w:t>
      </w:r>
    </w:p>
    <w:p w14:paraId="7765BD09" w14:textId="77777777" w:rsidR="00D3344B" w:rsidRDefault="00D3344B">
      <w:pPr>
        <w:pStyle w:val="Estilo"/>
        <w:rPr>
          <w:rFonts w:cs="Arial"/>
        </w:rPr>
      </w:pPr>
    </w:p>
    <w:p w14:paraId="151204F3" w14:textId="77777777" w:rsidR="00D3344B" w:rsidRDefault="00143C25">
      <w:pPr>
        <w:pStyle w:val="Estilo"/>
        <w:rPr>
          <w:rFonts w:cs="Arial"/>
        </w:rPr>
      </w:pPr>
      <w:r>
        <w:rPr>
          <w:rFonts w:cs="Arial"/>
          <w:i/>
          <w:sz w:val="16"/>
        </w:rPr>
        <w:t>(ADICIONADO, P.O. 31 DE DICIEMBRE DE 2007)</w:t>
      </w:r>
    </w:p>
    <w:p w14:paraId="6F54895C" w14:textId="77777777" w:rsidR="00D3344B" w:rsidRDefault="00143C25">
      <w:pPr>
        <w:pStyle w:val="Estilo"/>
        <w:rPr>
          <w:rFonts w:cs="Arial"/>
        </w:rPr>
      </w:pPr>
      <w:r>
        <w:rPr>
          <w:rFonts w:cs="Arial"/>
        </w:rPr>
        <w:t>El ejercicio de las facultades que establece este código, serán exclusivas de las autoridades señaladas en el presente artículo, respecto de las personas físicas y morales que perciban ingresos, realicen erogaciones, actos, actividades o tengan su domicilio fiscal dentro del territorio del Estado y que se ubiquen en las hipótesis de causación de las contribuciones cuya administración corresponda al mismo, de conformidad con las disposiciones fiscales establecidas en este ordenamiento.</w:t>
      </w:r>
    </w:p>
    <w:p w14:paraId="19267946" w14:textId="77777777" w:rsidR="00D3344B" w:rsidRDefault="00D3344B">
      <w:pPr>
        <w:pStyle w:val="Estilo"/>
        <w:rPr>
          <w:rFonts w:cs="Arial"/>
        </w:rPr>
      </w:pPr>
    </w:p>
    <w:p w14:paraId="740726CD" w14:textId="77777777" w:rsidR="00D3344B" w:rsidRDefault="00143C25">
      <w:pPr>
        <w:pStyle w:val="Estilo"/>
        <w:rPr>
          <w:rFonts w:cs="Arial"/>
        </w:rPr>
      </w:pPr>
      <w:r>
        <w:rPr>
          <w:rFonts w:cs="Arial"/>
          <w:b/>
        </w:rPr>
        <w:t>Artículo 6.</w:t>
      </w:r>
      <w:r>
        <w:rPr>
          <w:rFonts w:cs="Arial"/>
        </w:rPr>
        <w:t xml:space="preserve"> El Estado, los municipios y los organismos públicos descentralizados podrán celebrar convenios para la administración y recaudación de contribuciones y aprovechamientos. En este supuesto se considerarán autoridades fiscales, quienes asuman esas funciones en los términos convenidos. Una vez firmados los convenios, deberán informar al Congreso del Estado para su conocimiento.</w:t>
      </w:r>
    </w:p>
    <w:p w14:paraId="51688567" w14:textId="77777777" w:rsidR="00D3344B" w:rsidRDefault="00D3344B">
      <w:pPr>
        <w:pStyle w:val="Estilo"/>
        <w:rPr>
          <w:rFonts w:cs="Arial"/>
        </w:rPr>
      </w:pPr>
    </w:p>
    <w:p w14:paraId="31D28EDE" w14:textId="77777777" w:rsidR="00D3344B" w:rsidRDefault="00143C25">
      <w:pPr>
        <w:pStyle w:val="Estilo"/>
        <w:rPr>
          <w:rFonts w:cs="Arial"/>
        </w:rPr>
      </w:pPr>
      <w:r>
        <w:rPr>
          <w:rFonts w:cs="Arial"/>
          <w:b/>
        </w:rPr>
        <w:t>Artículo 7.</w:t>
      </w:r>
      <w:r>
        <w:rPr>
          <w:rFonts w:cs="Arial"/>
        </w:rPr>
        <w:t xml:space="preserve"> El Gobernador queda expresamente facultado para expedir las disposiciones reglamentarias que se deriven de este código. Los ayuntamientos expedirán los reglamentos y disposiciones que en el ámbito de su competencia les corresponda.</w:t>
      </w:r>
    </w:p>
    <w:p w14:paraId="75BFBB4E" w14:textId="77777777" w:rsidR="00D3344B" w:rsidRDefault="00D3344B">
      <w:pPr>
        <w:pStyle w:val="Estilo"/>
        <w:rPr>
          <w:rFonts w:cs="Arial"/>
        </w:rPr>
      </w:pPr>
    </w:p>
    <w:p w14:paraId="57818550" w14:textId="77777777" w:rsidR="00D3344B" w:rsidRDefault="00D3344B">
      <w:pPr>
        <w:pStyle w:val="Estilo"/>
        <w:rPr>
          <w:rFonts w:cs="Arial"/>
        </w:rPr>
      </w:pPr>
    </w:p>
    <w:p w14:paraId="1EE43025" w14:textId="77777777" w:rsidR="00D3344B" w:rsidRDefault="00143C25">
      <w:pPr>
        <w:pStyle w:val="Estilo"/>
        <w:jc w:val="center"/>
        <w:rPr>
          <w:rFonts w:cs="Arial"/>
          <w:b/>
        </w:rPr>
      </w:pPr>
      <w:r>
        <w:rPr>
          <w:rFonts w:cs="Arial"/>
          <w:b/>
        </w:rPr>
        <w:lastRenderedPageBreak/>
        <w:t>TÍTULO SEGUNDO</w:t>
      </w:r>
    </w:p>
    <w:p w14:paraId="3317CC5D" w14:textId="77777777" w:rsidR="00D3344B" w:rsidRDefault="00143C25">
      <w:pPr>
        <w:pStyle w:val="Estilo"/>
        <w:jc w:val="center"/>
        <w:rPr>
          <w:rFonts w:cs="Arial"/>
          <w:b/>
        </w:rPr>
      </w:pPr>
      <w:r>
        <w:rPr>
          <w:rFonts w:cs="Arial"/>
          <w:b/>
        </w:rPr>
        <w:t>ELEMENTOS GENERALES DE TRIBUTACIÓN</w:t>
      </w:r>
    </w:p>
    <w:p w14:paraId="3307EC38" w14:textId="77777777" w:rsidR="00D3344B" w:rsidRDefault="00D3344B">
      <w:pPr>
        <w:pStyle w:val="Estilo"/>
        <w:jc w:val="center"/>
        <w:rPr>
          <w:rFonts w:cs="Arial"/>
          <w:b/>
        </w:rPr>
      </w:pPr>
    </w:p>
    <w:p w14:paraId="51FDF16A" w14:textId="77777777" w:rsidR="00D3344B" w:rsidRDefault="00D3344B">
      <w:pPr>
        <w:pStyle w:val="Estilo"/>
        <w:jc w:val="center"/>
        <w:rPr>
          <w:rFonts w:cs="Arial"/>
          <w:b/>
        </w:rPr>
      </w:pPr>
    </w:p>
    <w:p w14:paraId="16235DE1" w14:textId="77777777" w:rsidR="00D3344B" w:rsidRDefault="00143C25">
      <w:pPr>
        <w:pStyle w:val="Estilo"/>
        <w:jc w:val="center"/>
        <w:rPr>
          <w:rFonts w:cs="Arial"/>
          <w:b/>
        </w:rPr>
      </w:pPr>
      <w:r>
        <w:rPr>
          <w:rFonts w:cs="Arial"/>
          <w:b/>
        </w:rPr>
        <w:t>Capítulo I</w:t>
      </w:r>
    </w:p>
    <w:p w14:paraId="65D54991" w14:textId="77777777" w:rsidR="00D3344B" w:rsidRDefault="00143C25">
      <w:pPr>
        <w:pStyle w:val="Estilo"/>
        <w:jc w:val="center"/>
        <w:rPr>
          <w:rFonts w:cs="Arial"/>
          <w:b/>
        </w:rPr>
      </w:pPr>
      <w:r>
        <w:rPr>
          <w:rFonts w:cs="Arial"/>
          <w:b/>
        </w:rPr>
        <w:t>Disposiciones Generales</w:t>
      </w:r>
    </w:p>
    <w:p w14:paraId="42742ECB" w14:textId="77777777" w:rsidR="00D3344B" w:rsidRDefault="00D3344B">
      <w:pPr>
        <w:pStyle w:val="Estilo"/>
        <w:rPr>
          <w:rFonts w:cs="Arial"/>
        </w:rPr>
      </w:pPr>
    </w:p>
    <w:p w14:paraId="7E3409E5" w14:textId="77777777" w:rsidR="00D3344B" w:rsidRDefault="00143C25">
      <w:pPr>
        <w:pStyle w:val="Estilo"/>
        <w:rPr>
          <w:rFonts w:cs="Arial"/>
        </w:rPr>
      </w:pPr>
      <w:r>
        <w:rPr>
          <w:rFonts w:cs="Arial"/>
          <w:b/>
        </w:rPr>
        <w:t>Artículo 8.</w:t>
      </w:r>
      <w:r>
        <w:rPr>
          <w:rFonts w:cs="Arial"/>
        </w:rPr>
        <w:t xml:space="preserve"> Las personas físicas y morales están obligadas a contribuir, de manera proporcional y equitativa, para los gastos públicos del Estado y sus municipios, en la forma y términos que dispone este código y las demás leyes aplicables.</w:t>
      </w:r>
    </w:p>
    <w:p w14:paraId="2D6C8277" w14:textId="77777777" w:rsidR="00D3344B" w:rsidRDefault="00D3344B">
      <w:pPr>
        <w:pStyle w:val="Estilo"/>
        <w:rPr>
          <w:rFonts w:cs="Arial"/>
        </w:rPr>
      </w:pPr>
    </w:p>
    <w:p w14:paraId="36D5D4D7" w14:textId="77777777" w:rsidR="00D3344B" w:rsidRDefault="00143C25">
      <w:pPr>
        <w:pStyle w:val="Estilo"/>
        <w:rPr>
          <w:rFonts w:cs="Arial"/>
        </w:rPr>
      </w:pPr>
      <w:r>
        <w:rPr>
          <w:rFonts w:cs="Arial"/>
        </w:rPr>
        <w:t>Las personas morales a que se refiere este código son:</w:t>
      </w:r>
    </w:p>
    <w:p w14:paraId="44530C21" w14:textId="77777777" w:rsidR="00D3344B" w:rsidRDefault="00D3344B">
      <w:pPr>
        <w:pStyle w:val="Estilo"/>
        <w:rPr>
          <w:rFonts w:cs="Arial"/>
        </w:rPr>
      </w:pPr>
    </w:p>
    <w:p w14:paraId="41052787" w14:textId="77777777" w:rsidR="00D3344B" w:rsidRDefault="00143C25">
      <w:pPr>
        <w:pStyle w:val="Estilo"/>
        <w:ind w:left="567" w:hanging="567"/>
        <w:rPr>
          <w:rFonts w:cs="Arial"/>
        </w:rPr>
      </w:pPr>
      <w:r>
        <w:rPr>
          <w:rFonts w:cs="Arial"/>
        </w:rPr>
        <w:t xml:space="preserve">I. </w:t>
      </w:r>
      <w:r>
        <w:rPr>
          <w:rFonts w:cs="Arial"/>
        </w:rPr>
        <w:tab/>
        <w:t>La Federación, el Estado y los municipios;</w:t>
      </w:r>
    </w:p>
    <w:p w14:paraId="7DCA4234" w14:textId="77777777" w:rsidR="00D3344B" w:rsidRDefault="00D3344B">
      <w:pPr>
        <w:pStyle w:val="Estilo"/>
        <w:ind w:left="567" w:hanging="567"/>
        <w:rPr>
          <w:rFonts w:cs="Arial"/>
        </w:rPr>
      </w:pPr>
    </w:p>
    <w:p w14:paraId="535AAEC3" w14:textId="77777777" w:rsidR="00D3344B" w:rsidRDefault="00143C25">
      <w:pPr>
        <w:pStyle w:val="Estilo"/>
        <w:ind w:left="567" w:hanging="567"/>
        <w:rPr>
          <w:rFonts w:cs="Arial"/>
        </w:rPr>
      </w:pPr>
      <w:r>
        <w:rPr>
          <w:rFonts w:cs="Arial"/>
        </w:rPr>
        <w:t xml:space="preserve">II. </w:t>
      </w:r>
      <w:r>
        <w:rPr>
          <w:rFonts w:cs="Arial"/>
        </w:rPr>
        <w:tab/>
        <w:t>Los organismos públicos descentralizados, las empresas de participación estatal o municipal y los fideicomisos públicos;</w:t>
      </w:r>
    </w:p>
    <w:p w14:paraId="58EF6201" w14:textId="77777777" w:rsidR="00D3344B" w:rsidRDefault="00D3344B">
      <w:pPr>
        <w:pStyle w:val="Estilo"/>
        <w:ind w:left="567" w:hanging="567"/>
        <w:rPr>
          <w:rFonts w:cs="Arial"/>
        </w:rPr>
      </w:pPr>
    </w:p>
    <w:p w14:paraId="728FA12B" w14:textId="77777777" w:rsidR="00D3344B" w:rsidRDefault="00143C25">
      <w:pPr>
        <w:pStyle w:val="Estilo"/>
        <w:ind w:left="567" w:hanging="567"/>
        <w:rPr>
          <w:rFonts w:cs="Arial"/>
        </w:rPr>
      </w:pPr>
      <w:r>
        <w:rPr>
          <w:rFonts w:cs="Arial"/>
        </w:rPr>
        <w:t xml:space="preserve">III. </w:t>
      </w:r>
      <w:r>
        <w:rPr>
          <w:rFonts w:cs="Arial"/>
        </w:rPr>
        <w:tab/>
        <w:t>Las sociedades, asociaciones mercantiles y los fideicomisos privados;</w:t>
      </w:r>
    </w:p>
    <w:p w14:paraId="0B26E28A" w14:textId="77777777" w:rsidR="00D3344B" w:rsidRDefault="00D3344B">
      <w:pPr>
        <w:pStyle w:val="Estilo"/>
        <w:ind w:left="567" w:hanging="567"/>
        <w:rPr>
          <w:rFonts w:cs="Arial"/>
        </w:rPr>
      </w:pPr>
    </w:p>
    <w:p w14:paraId="6DCD7B9B" w14:textId="77777777" w:rsidR="00D3344B" w:rsidRDefault="00143C25">
      <w:pPr>
        <w:pStyle w:val="Estilo"/>
        <w:ind w:left="567" w:hanging="567"/>
        <w:rPr>
          <w:rFonts w:cs="Arial"/>
        </w:rPr>
      </w:pPr>
      <w:r>
        <w:rPr>
          <w:rFonts w:cs="Arial"/>
        </w:rPr>
        <w:t xml:space="preserve">IV. </w:t>
      </w:r>
      <w:r>
        <w:rPr>
          <w:rFonts w:cs="Arial"/>
        </w:rPr>
        <w:tab/>
        <w:t>Las sociedades y asociaciones civiles, y</w:t>
      </w:r>
    </w:p>
    <w:p w14:paraId="7F0BE157" w14:textId="77777777" w:rsidR="00D3344B" w:rsidRDefault="00D3344B">
      <w:pPr>
        <w:pStyle w:val="Estilo"/>
        <w:ind w:left="567" w:hanging="567"/>
        <w:rPr>
          <w:rFonts w:cs="Arial"/>
        </w:rPr>
      </w:pPr>
    </w:p>
    <w:p w14:paraId="05D0C683" w14:textId="77777777" w:rsidR="00D3344B" w:rsidRDefault="00143C25">
      <w:pPr>
        <w:pStyle w:val="Estilo"/>
        <w:ind w:left="567" w:hanging="567"/>
        <w:rPr>
          <w:rFonts w:cs="Arial"/>
        </w:rPr>
      </w:pPr>
      <w:r>
        <w:rPr>
          <w:rFonts w:cs="Arial"/>
        </w:rPr>
        <w:t xml:space="preserve">V. </w:t>
      </w:r>
      <w:r>
        <w:rPr>
          <w:rFonts w:cs="Arial"/>
        </w:rPr>
        <w:tab/>
        <w:t>Las demás corporaciones de carácter público o privado que se constituyan conforme a la ley, que no se encuentren comprendidas en las anteriores.</w:t>
      </w:r>
    </w:p>
    <w:p w14:paraId="355C4577" w14:textId="77777777" w:rsidR="00D3344B" w:rsidRDefault="00D3344B">
      <w:pPr>
        <w:pStyle w:val="Estilo"/>
        <w:rPr>
          <w:rFonts w:cs="Arial"/>
        </w:rPr>
      </w:pPr>
    </w:p>
    <w:p w14:paraId="2FE1B0B6" w14:textId="77777777" w:rsidR="00D3344B" w:rsidRDefault="00143C25">
      <w:pPr>
        <w:pStyle w:val="Estilo"/>
        <w:rPr>
          <w:rFonts w:cs="Arial"/>
        </w:rPr>
      </w:pPr>
      <w:r>
        <w:rPr>
          <w:rFonts w:cs="Arial"/>
          <w:b/>
        </w:rPr>
        <w:t>Artículo 9.</w:t>
      </w:r>
      <w:r>
        <w:rPr>
          <w:rFonts w:cs="Arial"/>
        </w:rPr>
        <w:t xml:space="preserve"> Las contribuciones establecidas en este código se clasifican en impuestos, derechos y contribuciones especiales.</w:t>
      </w:r>
    </w:p>
    <w:p w14:paraId="0044FEBA" w14:textId="77777777" w:rsidR="00D3344B" w:rsidRDefault="00D3344B">
      <w:pPr>
        <w:pStyle w:val="Estilo"/>
        <w:rPr>
          <w:rFonts w:cs="Arial"/>
        </w:rPr>
      </w:pPr>
    </w:p>
    <w:p w14:paraId="71ECD96B" w14:textId="77777777" w:rsidR="00D3344B" w:rsidRDefault="00143C25">
      <w:pPr>
        <w:pStyle w:val="Estilo"/>
        <w:rPr>
          <w:rFonts w:cs="Arial"/>
        </w:rPr>
      </w:pPr>
      <w:r>
        <w:rPr>
          <w:rFonts w:cs="Arial"/>
          <w:i/>
          <w:sz w:val="16"/>
        </w:rPr>
        <w:t>(REFORMADO, P.O. 30 DE DICIEMBRE DE 2005)</w:t>
      </w:r>
    </w:p>
    <w:p w14:paraId="265DD263" w14:textId="77777777" w:rsidR="00D3344B" w:rsidRDefault="00143C25">
      <w:pPr>
        <w:pStyle w:val="Estilo"/>
        <w:rPr>
          <w:rFonts w:cs="Arial"/>
        </w:rPr>
      </w:pPr>
      <w:r>
        <w:rPr>
          <w:rFonts w:cs="Arial"/>
          <w:b/>
        </w:rPr>
        <w:t>Artículo 10.</w:t>
      </w:r>
      <w:r>
        <w:rPr>
          <w:rFonts w:cs="Arial"/>
        </w:rPr>
        <w:t xml:space="preserve"> Los impuestos, son contribuciones con carácter general y obligatorio, que se establecen a cargo de personas físicas y morales, que se encuentren en las situaciones previstas en este Código.</w:t>
      </w:r>
    </w:p>
    <w:p w14:paraId="785CF335" w14:textId="77777777" w:rsidR="00D3344B" w:rsidRDefault="00D3344B">
      <w:pPr>
        <w:pStyle w:val="Estilo"/>
        <w:rPr>
          <w:rFonts w:cs="Arial"/>
        </w:rPr>
      </w:pPr>
    </w:p>
    <w:p w14:paraId="20EB30E4" w14:textId="77777777" w:rsidR="00D3344B" w:rsidRDefault="00143C25">
      <w:pPr>
        <w:pStyle w:val="Estilo"/>
        <w:rPr>
          <w:rFonts w:cs="Arial"/>
        </w:rPr>
      </w:pPr>
      <w:r>
        <w:rPr>
          <w:rFonts w:cs="Arial"/>
          <w:b/>
        </w:rPr>
        <w:t>Artículo 11.</w:t>
      </w:r>
      <w:r>
        <w:rPr>
          <w:rFonts w:cs="Arial"/>
        </w:rPr>
        <w:t xml:space="preserve"> Son derechos, las contraprestaciones establecidas en las disposiciones legales respectivas, por el uso de bienes de dominio público o por los servicios que prestan el Estado o los municipios, en sus funciones de derecho público.</w:t>
      </w:r>
    </w:p>
    <w:p w14:paraId="79BF5F62" w14:textId="77777777" w:rsidR="00D3344B" w:rsidRDefault="00D3344B">
      <w:pPr>
        <w:pStyle w:val="Estilo"/>
        <w:rPr>
          <w:rFonts w:cs="Arial"/>
        </w:rPr>
      </w:pPr>
    </w:p>
    <w:p w14:paraId="3DBB3A86" w14:textId="77777777" w:rsidR="00D3344B" w:rsidRDefault="00143C25">
      <w:pPr>
        <w:pStyle w:val="Estilo"/>
        <w:rPr>
          <w:rFonts w:cs="Arial"/>
        </w:rPr>
      </w:pPr>
      <w:r>
        <w:rPr>
          <w:rFonts w:cs="Arial"/>
          <w:i/>
          <w:sz w:val="16"/>
        </w:rPr>
        <w:t>(ADICIONADO, P.O. 29 DE NOVIEMBRE DE 2023)</w:t>
      </w:r>
    </w:p>
    <w:p w14:paraId="52C0ED56" w14:textId="77777777" w:rsidR="00D3344B" w:rsidRDefault="00143C25">
      <w:pPr>
        <w:pStyle w:val="Estilo"/>
        <w:rPr>
          <w:rFonts w:cs="Arial"/>
        </w:rPr>
      </w:pPr>
      <w:r>
        <w:rPr>
          <w:rFonts w:cs="Arial"/>
        </w:rPr>
        <w:t>El pago de los derechos que establece este Código deberá hacerse por el contribuyente, previamente a la prestación de los servicios.</w:t>
      </w:r>
    </w:p>
    <w:p w14:paraId="4E5DE118" w14:textId="77777777" w:rsidR="00D3344B" w:rsidRDefault="00D3344B">
      <w:pPr>
        <w:pStyle w:val="Estilo"/>
        <w:rPr>
          <w:rFonts w:cs="Arial"/>
        </w:rPr>
      </w:pPr>
    </w:p>
    <w:p w14:paraId="0291424B" w14:textId="77777777" w:rsidR="00D3344B" w:rsidRDefault="00143C25">
      <w:pPr>
        <w:pStyle w:val="Estilo"/>
        <w:rPr>
          <w:rFonts w:cs="Arial"/>
        </w:rPr>
      </w:pPr>
      <w:r>
        <w:rPr>
          <w:rFonts w:cs="Arial"/>
          <w:b/>
        </w:rPr>
        <w:t>Artículo 12.</w:t>
      </w:r>
      <w:r>
        <w:rPr>
          <w:rFonts w:cs="Arial"/>
        </w:rPr>
        <w:t xml:space="preserve"> Son contribuciones especiales, las prestaciones y contraprestaciones legalmente obligatorias que se establecen a cargo de:</w:t>
      </w:r>
    </w:p>
    <w:p w14:paraId="19A8F24B" w14:textId="77777777" w:rsidR="00D3344B" w:rsidRDefault="00D3344B">
      <w:pPr>
        <w:pStyle w:val="Estilo"/>
        <w:rPr>
          <w:rFonts w:cs="Arial"/>
        </w:rPr>
      </w:pPr>
    </w:p>
    <w:p w14:paraId="0163DFD3" w14:textId="77777777" w:rsidR="00D3344B" w:rsidRDefault="00143C25">
      <w:pPr>
        <w:pStyle w:val="Estilo"/>
        <w:ind w:left="567" w:hanging="567"/>
        <w:rPr>
          <w:rFonts w:cs="Arial"/>
        </w:rPr>
      </w:pPr>
      <w:r>
        <w:rPr>
          <w:rFonts w:cs="Arial"/>
        </w:rPr>
        <w:t xml:space="preserve">I. </w:t>
      </w:r>
      <w:r>
        <w:rPr>
          <w:rFonts w:cs="Arial"/>
        </w:rPr>
        <w:tab/>
        <w:t xml:space="preserve">Quienes independientemente de la utilidad general o colectiva, obtengan beneficios económicos diferenciales o particulares derivados de la </w:t>
      </w:r>
      <w:r>
        <w:rPr>
          <w:rFonts w:cs="Arial"/>
        </w:rPr>
        <w:lastRenderedPageBreak/>
        <w:t>planificación o la realización de obras públicas o por el establecimiento o ampliación de servicios públicos, y</w:t>
      </w:r>
    </w:p>
    <w:p w14:paraId="6F8E4B16" w14:textId="77777777" w:rsidR="00D3344B" w:rsidRDefault="00D3344B">
      <w:pPr>
        <w:pStyle w:val="Estilo"/>
        <w:ind w:left="567" w:hanging="567"/>
        <w:rPr>
          <w:rFonts w:cs="Arial"/>
        </w:rPr>
      </w:pPr>
    </w:p>
    <w:p w14:paraId="40E375FE" w14:textId="77777777" w:rsidR="00D3344B" w:rsidRDefault="00143C25">
      <w:pPr>
        <w:pStyle w:val="Estilo"/>
        <w:ind w:left="567" w:hanging="567"/>
        <w:rPr>
          <w:rFonts w:cs="Arial"/>
        </w:rPr>
      </w:pPr>
      <w:r>
        <w:rPr>
          <w:rFonts w:cs="Arial"/>
        </w:rPr>
        <w:t xml:space="preserve">II. </w:t>
      </w:r>
      <w:r>
        <w:rPr>
          <w:rFonts w:cs="Arial"/>
        </w:rPr>
        <w:tab/>
        <w:t>Quienes dañen o deterioren bienes de dominio público y privado del Estado o los municipios, que se determinarán de acuerdo a la cuantificación de los daños causados y con independencia de las demás responsabilidades en que se incurra.</w:t>
      </w:r>
    </w:p>
    <w:p w14:paraId="71325EF9" w14:textId="77777777" w:rsidR="00D3344B" w:rsidRDefault="00D3344B">
      <w:pPr>
        <w:pStyle w:val="Estilo"/>
        <w:rPr>
          <w:rFonts w:cs="Arial"/>
        </w:rPr>
      </w:pPr>
    </w:p>
    <w:p w14:paraId="34725E29" w14:textId="77777777" w:rsidR="00D3344B" w:rsidRDefault="00143C25">
      <w:pPr>
        <w:pStyle w:val="Estilo"/>
        <w:rPr>
          <w:rFonts w:cs="Arial"/>
        </w:rPr>
      </w:pPr>
      <w:r>
        <w:rPr>
          <w:rFonts w:cs="Arial"/>
          <w:b/>
        </w:rPr>
        <w:t>Artículo 13.</w:t>
      </w:r>
      <w:r>
        <w:rPr>
          <w:rFonts w:cs="Arial"/>
        </w:rPr>
        <w:t xml:space="preserve"> Son aprovechamientos los ingresos que perciba el Estado o los municipios por las funciones de derecho público, distintos de las contribuciones y los que se obtengan derivados de financiamientos o por los organismos descentralizados y empresas de participación estatal o municipal.</w:t>
      </w:r>
    </w:p>
    <w:p w14:paraId="22930D5C" w14:textId="77777777" w:rsidR="00D3344B" w:rsidRDefault="00D3344B">
      <w:pPr>
        <w:pStyle w:val="Estilo"/>
        <w:rPr>
          <w:rFonts w:cs="Arial"/>
        </w:rPr>
      </w:pPr>
    </w:p>
    <w:p w14:paraId="7E743A51" w14:textId="77777777" w:rsidR="00D3344B" w:rsidRDefault="00143C25">
      <w:pPr>
        <w:pStyle w:val="Estilo"/>
        <w:rPr>
          <w:rFonts w:cs="Arial"/>
        </w:rPr>
      </w:pPr>
      <w:r>
        <w:rPr>
          <w:rFonts w:cs="Arial"/>
          <w:b/>
        </w:rPr>
        <w:t>Artículo 14.</w:t>
      </w:r>
      <w:r>
        <w:rPr>
          <w:rFonts w:cs="Arial"/>
        </w:rPr>
        <w:t xml:space="preserve"> Los recargos, sanciones, gastos de ejecución e indemnizaciones son accesorios de las contribuciones y, en su caso, de los aprovechamientos, cuando participen de la naturaleza de los mismos.</w:t>
      </w:r>
    </w:p>
    <w:p w14:paraId="4BEE2299" w14:textId="77777777" w:rsidR="00D3344B" w:rsidRDefault="00D3344B">
      <w:pPr>
        <w:pStyle w:val="Estilo"/>
        <w:rPr>
          <w:rFonts w:cs="Arial"/>
        </w:rPr>
      </w:pPr>
    </w:p>
    <w:p w14:paraId="09B21416" w14:textId="77777777" w:rsidR="00D3344B" w:rsidRDefault="00143C25">
      <w:pPr>
        <w:pStyle w:val="Estilo"/>
        <w:rPr>
          <w:rFonts w:cs="Arial"/>
        </w:rPr>
      </w:pPr>
      <w:r>
        <w:rPr>
          <w:rFonts w:cs="Arial"/>
          <w:b/>
        </w:rPr>
        <w:t>Artículo 15.</w:t>
      </w:r>
      <w:r>
        <w:rPr>
          <w:rFonts w:cs="Arial"/>
        </w:rPr>
        <w:t xml:space="preserve"> Son productos, las contraprestaciones por los servicios que preste el Estado o los municipios, en sus funciones de derecho privado, así como por el uso, aprovechamiento o enajenación de sus bienes de dominio privado.</w:t>
      </w:r>
    </w:p>
    <w:p w14:paraId="0FB954EE" w14:textId="77777777" w:rsidR="00D3344B" w:rsidRDefault="00D3344B">
      <w:pPr>
        <w:pStyle w:val="Estilo"/>
        <w:rPr>
          <w:rFonts w:cs="Arial"/>
        </w:rPr>
      </w:pPr>
    </w:p>
    <w:p w14:paraId="53FBE622" w14:textId="77777777" w:rsidR="00D3344B" w:rsidRDefault="00143C25">
      <w:pPr>
        <w:pStyle w:val="Estilo"/>
        <w:rPr>
          <w:rFonts w:cs="Arial"/>
        </w:rPr>
      </w:pPr>
      <w:r>
        <w:rPr>
          <w:rFonts w:cs="Arial"/>
          <w:b/>
        </w:rPr>
        <w:t>Artículo 16.</w:t>
      </w:r>
      <w:r>
        <w:rPr>
          <w:rFonts w:cs="Arial"/>
        </w:rPr>
        <w:t xml:space="preserve"> Las disposiciones fiscales que establezcan cargas a los particulares y las que señalen excepciones a las mismas, así como las que fijen infracciones y sanciones en materia fiscal, serán de aplicación estricta.</w:t>
      </w:r>
    </w:p>
    <w:p w14:paraId="01B87E9F" w14:textId="77777777" w:rsidR="00D3344B" w:rsidRDefault="00D3344B">
      <w:pPr>
        <w:pStyle w:val="Estilo"/>
        <w:rPr>
          <w:rFonts w:cs="Arial"/>
        </w:rPr>
      </w:pPr>
    </w:p>
    <w:p w14:paraId="1DDE4C31" w14:textId="77777777" w:rsidR="00D3344B" w:rsidRDefault="00143C25">
      <w:pPr>
        <w:pStyle w:val="Estilo"/>
        <w:rPr>
          <w:rFonts w:cs="Arial"/>
        </w:rPr>
      </w:pPr>
      <w:r>
        <w:rPr>
          <w:rFonts w:cs="Arial"/>
          <w:i/>
          <w:sz w:val="16"/>
        </w:rPr>
        <w:t>(REFORMADO, P.O. 31 DE DICIEMBRE DE 2007)</w:t>
      </w:r>
    </w:p>
    <w:p w14:paraId="741DB0A4" w14:textId="77777777" w:rsidR="00D3344B" w:rsidRDefault="00143C25">
      <w:pPr>
        <w:pStyle w:val="Estilo"/>
        <w:rPr>
          <w:rFonts w:cs="Arial"/>
        </w:rPr>
      </w:pPr>
      <w:r>
        <w:rPr>
          <w:rFonts w:cs="Arial"/>
        </w:rPr>
        <w:t>Se considera que establecen cargas a los particulares, las normas que se refieran al sujeto, objeto, base, tasa, cuota o tarifa.</w:t>
      </w:r>
    </w:p>
    <w:p w14:paraId="320E874E" w14:textId="77777777" w:rsidR="00D3344B" w:rsidRDefault="00D3344B">
      <w:pPr>
        <w:pStyle w:val="Estilo"/>
        <w:rPr>
          <w:rFonts w:cs="Arial"/>
        </w:rPr>
      </w:pPr>
    </w:p>
    <w:p w14:paraId="72697B66" w14:textId="77777777" w:rsidR="00D3344B" w:rsidRDefault="00143C25">
      <w:pPr>
        <w:pStyle w:val="Estilo"/>
        <w:rPr>
          <w:rFonts w:cs="Arial"/>
        </w:rPr>
      </w:pPr>
      <w:r>
        <w:rPr>
          <w:rFonts w:cs="Arial"/>
          <w:i/>
          <w:sz w:val="16"/>
        </w:rPr>
        <w:t>(REFORMADO, P.O. 30 DE DICIEMBRE DE 2005)</w:t>
      </w:r>
    </w:p>
    <w:p w14:paraId="53AFDD82" w14:textId="77777777" w:rsidR="00D3344B" w:rsidRDefault="00143C25">
      <w:pPr>
        <w:pStyle w:val="Estilo"/>
        <w:rPr>
          <w:rFonts w:cs="Arial"/>
        </w:rPr>
      </w:pPr>
      <w:r>
        <w:rPr>
          <w:rFonts w:cs="Arial"/>
        </w:rPr>
        <w:t>Las demás disposiciones fiscales se podrán aplicar, empleando cualquier método de interpretación jurídica. A falta de disposición fiscal expresa, se aplicarán supletoriamente las disposiciones legales del derecho estatal común y, en su caso, el derecho federal tributario y los principios generales del derecho que no resulten contrarios a la naturaleza del derecho fiscal.</w:t>
      </w:r>
    </w:p>
    <w:p w14:paraId="1CD19BF8" w14:textId="77777777" w:rsidR="00D3344B" w:rsidRDefault="00D3344B">
      <w:pPr>
        <w:pStyle w:val="Estilo"/>
        <w:rPr>
          <w:rFonts w:cs="Arial"/>
        </w:rPr>
      </w:pPr>
    </w:p>
    <w:p w14:paraId="30594778" w14:textId="77777777" w:rsidR="00D3344B" w:rsidRDefault="00143C25">
      <w:pPr>
        <w:pStyle w:val="Estilo"/>
        <w:rPr>
          <w:rFonts w:cs="Arial"/>
        </w:rPr>
      </w:pPr>
      <w:r>
        <w:rPr>
          <w:rFonts w:cs="Arial"/>
          <w:i/>
          <w:sz w:val="16"/>
        </w:rPr>
        <w:t>(REFORMADO, P.O. 24 DE DICIEMBRE DE 2003)</w:t>
      </w:r>
    </w:p>
    <w:p w14:paraId="6C17A048" w14:textId="77777777" w:rsidR="00D3344B" w:rsidRDefault="00143C25">
      <w:pPr>
        <w:pStyle w:val="Estilo"/>
        <w:rPr>
          <w:rFonts w:cs="Arial"/>
        </w:rPr>
      </w:pPr>
      <w:r>
        <w:rPr>
          <w:rFonts w:cs="Arial"/>
          <w:b/>
        </w:rPr>
        <w:t>Artículo 17.</w:t>
      </w:r>
      <w:r>
        <w:rPr>
          <w:rFonts w:cs="Arial"/>
        </w:rPr>
        <w:t xml:space="preserve"> Las contribuciones se causan cuando se realizan las situaciones previstas en este código y demás leyes fiscales municipales. Estas contribuciones se determinarán conforme a las disposiciones vigentes en el momento en que ocurran las situaciones jurídicas o de hecho que les den origen, pero le serán aplicables las normas sobre procedimiento que se expidan con posterioridad.</w:t>
      </w:r>
    </w:p>
    <w:p w14:paraId="616CD441" w14:textId="77777777" w:rsidR="00D3344B" w:rsidRDefault="00D3344B">
      <w:pPr>
        <w:pStyle w:val="Estilo"/>
        <w:rPr>
          <w:rFonts w:cs="Arial"/>
        </w:rPr>
      </w:pPr>
    </w:p>
    <w:p w14:paraId="2717A33F" w14:textId="77777777" w:rsidR="00D3344B" w:rsidRDefault="00143C25">
      <w:pPr>
        <w:pStyle w:val="Estilo"/>
        <w:rPr>
          <w:rFonts w:cs="Arial"/>
        </w:rPr>
      </w:pPr>
      <w:r>
        <w:rPr>
          <w:rFonts w:cs="Arial"/>
          <w:i/>
          <w:sz w:val="16"/>
        </w:rPr>
        <w:t>(ADICIONADO, P.O. 30 DE DICIEMBRE DE 2005)</w:t>
      </w:r>
    </w:p>
    <w:p w14:paraId="50DE755D" w14:textId="77777777" w:rsidR="00D3344B" w:rsidRDefault="00143C25">
      <w:pPr>
        <w:pStyle w:val="Estilo"/>
        <w:rPr>
          <w:rFonts w:cs="Arial"/>
        </w:rPr>
      </w:pPr>
      <w:r>
        <w:rPr>
          <w:rFonts w:cs="Arial"/>
        </w:rPr>
        <w:t xml:space="preserve">Corresponde a los contribuyentes la determinación de las contribuciones a su cargo, salvo disposición expresa en contrario. Si las autoridades fiscales deben hacer la </w:t>
      </w:r>
      <w:r>
        <w:rPr>
          <w:rFonts w:cs="Arial"/>
        </w:rPr>
        <w:lastRenderedPageBreak/>
        <w:t>determinación, los contribuyentes les proporcionarán la información necesaria dentro de los quince días hábiles siguientes a la fecha de su causación.</w:t>
      </w:r>
    </w:p>
    <w:p w14:paraId="01494396" w14:textId="77777777" w:rsidR="00D3344B" w:rsidRDefault="00D3344B">
      <w:pPr>
        <w:pStyle w:val="Estilo"/>
        <w:rPr>
          <w:rFonts w:cs="Arial"/>
        </w:rPr>
      </w:pPr>
    </w:p>
    <w:p w14:paraId="72B279F3" w14:textId="77777777" w:rsidR="00D3344B" w:rsidRDefault="00143C25">
      <w:pPr>
        <w:pStyle w:val="Estilo"/>
        <w:rPr>
          <w:rFonts w:cs="Arial"/>
        </w:rPr>
      </w:pPr>
      <w:r>
        <w:rPr>
          <w:rFonts w:cs="Arial"/>
          <w:b/>
        </w:rPr>
        <w:t>Artículo 18.</w:t>
      </w:r>
      <w:r>
        <w:rPr>
          <w:rFonts w:cs="Arial"/>
        </w:rPr>
        <w:t xml:space="preserve"> Los contribuyentes tienen la obligación de presentar declaraciones para el pago de contribuciones, en la forma y términos que señale este código.</w:t>
      </w:r>
    </w:p>
    <w:p w14:paraId="43FD62C7" w14:textId="77777777" w:rsidR="00D3344B" w:rsidRDefault="00D3344B">
      <w:pPr>
        <w:pStyle w:val="Estilo"/>
        <w:rPr>
          <w:rFonts w:cs="Arial"/>
        </w:rPr>
      </w:pPr>
    </w:p>
    <w:p w14:paraId="6AC34947" w14:textId="77777777" w:rsidR="00D3344B" w:rsidRDefault="00143C25">
      <w:pPr>
        <w:pStyle w:val="Estilo"/>
        <w:rPr>
          <w:rFonts w:cs="Arial"/>
        </w:rPr>
      </w:pPr>
      <w:r>
        <w:rPr>
          <w:rFonts w:cs="Arial"/>
        </w:rPr>
        <w:t>La Secretaría y las tesorerías, con el apoyo técnico de aquella, en su caso, expedirán los formatos necesarios para el llenado de declaraciones fiscales, siendo dichos formatos de uso obligatorio para los contribuyentes. Los formatos autorizados deberán ser publicados en el Periódico Oficial del Gobierno del Estado, para su observancia.</w:t>
      </w:r>
    </w:p>
    <w:p w14:paraId="60DF1297" w14:textId="77777777" w:rsidR="00D3344B" w:rsidRDefault="00D3344B">
      <w:pPr>
        <w:pStyle w:val="Estilo"/>
        <w:rPr>
          <w:rFonts w:cs="Arial"/>
        </w:rPr>
      </w:pPr>
    </w:p>
    <w:p w14:paraId="68D916FA" w14:textId="77777777" w:rsidR="00D3344B" w:rsidRDefault="00143C25">
      <w:pPr>
        <w:pStyle w:val="Estilo"/>
        <w:rPr>
          <w:rFonts w:cs="Arial"/>
        </w:rPr>
      </w:pPr>
      <w:r>
        <w:rPr>
          <w:rFonts w:cs="Arial"/>
          <w:b/>
        </w:rPr>
        <w:t>Artículo 19.</w:t>
      </w:r>
      <w:r>
        <w:rPr>
          <w:rFonts w:cs="Arial"/>
        </w:rPr>
        <w:t xml:space="preserve"> Sin perjuicio de lo dispuesto en el artículo anterior, la autoridad fiscal en todo tiempo podrá emitir propuestas de declaraciones, a efecto de facilitar a los contribuyentes el cumplimiento de sus obligaciones. Estas propuestas no tendrán el carácter de resolución fiscal y por tanto sólo relevarán al contribuyente, cuando éste la acepte y presente como declaración.</w:t>
      </w:r>
    </w:p>
    <w:p w14:paraId="6B5352C7" w14:textId="77777777" w:rsidR="00D3344B" w:rsidRDefault="00D3344B">
      <w:pPr>
        <w:pStyle w:val="Estilo"/>
        <w:rPr>
          <w:rFonts w:cs="Arial"/>
        </w:rPr>
      </w:pPr>
    </w:p>
    <w:p w14:paraId="769B93F3" w14:textId="77777777" w:rsidR="00D3344B" w:rsidRDefault="00143C25">
      <w:pPr>
        <w:pStyle w:val="Estilo"/>
        <w:rPr>
          <w:rFonts w:cs="Arial"/>
        </w:rPr>
      </w:pPr>
      <w:r>
        <w:rPr>
          <w:rFonts w:cs="Arial"/>
          <w:b/>
        </w:rPr>
        <w:t>Artículo 20.</w:t>
      </w:r>
      <w:r>
        <w:rPr>
          <w:rFonts w:cs="Arial"/>
        </w:rPr>
        <w:t xml:space="preserve"> Las declaraciones que presenten los contribuyentes sólo podrán ser complementadas hasta en tres ocasiones, excepto en el caso de aumento de la base gravable o de impuesto a cargo, siempre y cuando no se haya iniciado el procedimiento de comprobación por la autoridad fiscal.</w:t>
      </w:r>
    </w:p>
    <w:p w14:paraId="4987D4A0" w14:textId="77777777" w:rsidR="00D3344B" w:rsidRDefault="00D3344B">
      <w:pPr>
        <w:pStyle w:val="Estilo"/>
        <w:rPr>
          <w:rFonts w:cs="Arial"/>
        </w:rPr>
      </w:pPr>
    </w:p>
    <w:p w14:paraId="7AF4E7FF" w14:textId="77777777" w:rsidR="00D3344B" w:rsidRDefault="00143C25">
      <w:pPr>
        <w:pStyle w:val="Estilo"/>
        <w:rPr>
          <w:rFonts w:cs="Arial"/>
        </w:rPr>
      </w:pPr>
      <w:r>
        <w:rPr>
          <w:rFonts w:cs="Arial"/>
        </w:rPr>
        <w:t>Iniciado el ejercicio de facultades de comprobación, se podrá presentar declaración complementaria debiendo pagarse las multas o sanciones que en su caso correspondan.</w:t>
      </w:r>
    </w:p>
    <w:p w14:paraId="207514BB" w14:textId="77777777" w:rsidR="00D3344B" w:rsidRDefault="00D3344B">
      <w:pPr>
        <w:pStyle w:val="Estilo"/>
        <w:rPr>
          <w:rFonts w:cs="Arial"/>
        </w:rPr>
      </w:pPr>
    </w:p>
    <w:p w14:paraId="46A8FD69" w14:textId="77777777" w:rsidR="00D3344B" w:rsidRDefault="00143C25">
      <w:pPr>
        <w:pStyle w:val="Estilo"/>
        <w:rPr>
          <w:rFonts w:cs="Arial"/>
        </w:rPr>
      </w:pPr>
      <w:r>
        <w:rPr>
          <w:rFonts w:cs="Arial"/>
          <w:i/>
          <w:sz w:val="16"/>
        </w:rPr>
        <w:t>(REFORMADO PRIMER PÁRRAFO, P.O. 22 DE DICIEMBRE DE 2021)</w:t>
      </w:r>
    </w:p>
    <w:p w14:paraId="5C0E76D1" w14:textId="77777777" w:rsidR="00D3344B" w:rsidRDefault="00143C25">
      <w:pPr>
        <w:pStyle w:val="Estilo"/>
        <w:rPr>
          <w:rFonts w:cs="Arial"/>
        </w:rPr>
      </w:pPr>
      <w:r>
        <w:rPr>
          <w:rFonts w:cs="Arial"/>
          <w:b/>
        </w:rPr>
        <w:t>Artículo 20 A.</w:t>
      </w:r>
      <w:r>
        <w:rPr>
          <w:rFonts w:cs="Arial"/>
        </w:rPr>
        <w:t xml:space="preserve"> Los pagos que se efectúen se aplicarán a los créditos más antiguos siempre que se trate de la misma contribución, y antes del adeudo principal actualizado, a los accesorios en el orden siguiente:</w:t>
      </w:r>
    </w:p>
    <w:p w14:paraId="31F10951" w14:textId="77777777" w:rsidR="00D3344B" w:rsidRDefault="00D3344B">
      <w:pPr>
        <w:pStyle w:val="Estilo"/>
        <w:rPr>
          <w:rFonts w:cs="Arial"/>
        </w:rPr>
      </w:pPr>
    </w:p>
    <w:p w14:paraId="06FF36A8" w14:textId="77777777" w:rsidR="00D3344B" w:rsidRDefault="00143C25">
      <w:pPr>
        <w:pStyle w:val="Estilo"/>
        <w:ind w:left="567" w:hanging="567"/>
        <w:rPr>
          <w:rFonts w:cs="Arial"/>
        </w:rPr>
      </w:pPr>
      <w:r>
        <w:rPr>
          <w:rFonts w:cs="Arial"/>
        </w:rPr>
        <w:t xml:space="preserve">I </w:t>
      </w:r>
      <w:r>
        <w:rPr>
          <w:rFonts w:cs="Arial"/>
        </w:rPr>
        <w:tab/>
        <w:t>Los gastos de ejecución;</w:t>
      </w:r>
    </w:p>
    <w:p w14:paraId="07E0706D" w14:textId="77777777" w:rsidR="00D3344B" w:rsidRDefault="00D3344B">
      <w:pPr>
        <w:pStyle w:val="Estilo"/>
        <w:ind w:left="567" w:hanging="567"/>
        <w:rPr>
          <w:rFonts w:cs="Arial"/>
        </w:rPr>
      </w:pPr>
    </w:p>
    <w:p w14:paraId="4845AB36" w14:textId="77777777" w:rsidR="00D3344B" w:rsidRDefault="00143C25">
      <w:pPr>
        <w:pStyle w:val="Estilo"/>
        <w:ind w:left="567" w:hanging="567"/>
        <w:rPr>
          <w:rFonts w:cs="Arial"/>
        </w:rPr>
      </w:pPr>
      <w:r>
        <w:rPr>
          <w:rFonts w:cs="Arial"/>
        </w:rPr>
        <w:t xml:space="preserve">II </w:t>
      </w:r>
      <w:r>
        <w:rPr>
          <w:rFonts w:cs="Arial"/>
        </w:rPr>
        <w:tab/>
        <w:t>Las multas;</w:t>
      </w:r>
    </w:p>
    <w:p w14:paraId="33C61780" w14:textId="77777777" w:rsidR="00D3344B" w:rsidRDefault="00D3344B">
      <w:pPr>
        <w:pStyle w:val="Estilo"/>
        <w:ind w:left="567" w:hanging="567"/>
        <w:rPr>
          <w:rFonts w:cs="Arial"/>
        </w:rPr>
      </w:pPr>
    </w:p>
    <w:p w14:paraId="51805E05" w14:textId="77777777" w:rsidR="00D3344B" w:rsidRDefault="00143C25">
      <w:pPr>
        <w:pStyle w:val="Estilo"/>
        <w:ind w:left="567" w:hanging="567"/>
        <w:rPr>
          <w:rFonts w:cs="Arial"/>
        </w:rPr>
      </w:pPr>
      <w:r>
        <w:rPr>
          <w:rFonts w:cs="Arial"/>
        </w:rPr>
        <w:t xml:space="preserve">III </w:t>
      </w:r>
      <w:r>
        <w:rPr>
          <w:rFonts w:cs="Arial"/>
        </w:rPr>
        <w:tab/>
        <w:t>Los recargos;</w:t>
      </w:r>
    </w:p>
    <w:p w14:paraId="44A3BB76" w14:textId="77777777" w:rsidR="00D3344B" w:rsidRDefault="00D3344B">
      <w:pPr>
        <w:pStyle w:val="Estilo"/>
        <w:ind w:left="567" w:hanging="567"/>
        <w:rPr>
          <w:rFonts w:cs="Arial"/>
        </w:rPr>
      </w:pPr>
    </w:p>
    <w:p w14:paraId="585B68F2" w14:textId="77777777" w:rsidR="00D3344B" w:rsidRDefault="00143C25">
      <w:pPr>
        <w:pStyle w:val="Estilo"/>
        <w:ind w:left="567" w:hanging="567"/>
        <w:rPr>
          <w:rFonts w:cs="Arial"/>
        </w:rPr>
      </w:pPr>
      <w:r>
        <w:rPr>
          <w:rFonts w:cs="Arial"/>
        </w:rPr>
        <w:t xml:space="preserve">IV </w:t>
      </w:r>
      <w:r>
        <w:rPr>
          <w:rFonts w:cs="Arial"/>
        </w:rPr>
        <w:tab/>
      </w:r>
      <w:r>
        <w:rPr>
          <w:rFonts w:cs="Arial"/>
          <w:i/>
          <w:iCs/>
          <w:sz w:val="16"/>
          <w:szCs w:val="16"/>
        </w:rPr>
        <w:t>(DEROGADA, P.O. 22 DE DICIEMBRE DE 2021)</w:t>
      </w:r>
    </w:p>
    <w:p w14:paraId="45D5E5E7" w14:textId="77777777" w:rsidR="00D3344B" w:rsidRDefault="00D3344B">
      <w:pPr>
        <w:pStyle w:val="Estilo"/>
        <w:ind w:left="567" w:hanging="567"/>
        <w:rPr>
          <w:rFonts w:cs="Arial"/>
        </w:rPr>
      </w:pPr>
    </w:p>
    <w:p w14:paraId="39E1AE87" w14:textId="77777777" w:rsidR="00D3344B" w:rsidRDefault="00143C25">
      <w:pPr>
        <w:pStyle w:val="Estilo"/>
        <w:ind w:left="567" w:hanging="567"/>
        <w:rPr>
          <w:rFonts w:cs="Arial"/>
        </w:rPr>
      </w:pPr>
      <w:r>
        <w:rPr>
          <w:rFonts w:cs="Arial"/>
        </w:rPr>
        <w:t xml:space="preserve">V </w:t>
      </w:r>
      <w:r>
        <w:rPr>
          <w:rFonts w:cs="Arial"/>
        </w:rPr>
        <w:tab/>
        <w:t>La indemnización por cheques devueltos, y</w:t>
      </w:r>
    </w:p>
    <w:p w14:paraId="21F14231" w14:textId="77777777" w:rsidR="00D3344B" w:rsidRDefault="00D3344B">
      <w:pPr>
        <w:pStyle w:val="Estilo"/>
        <w:ind w:left="567" w:hanging="567"/>
        <w:rPr>
          <w:rFonts w:cs="Arial"/>
        </w:rPr>
      </w:pPr>
    </w:p>
    <w:p w14:paraId="3F8520C7" w14:textId="77777777" w:rsidR="00D3344B" w:rsidRDefault="00143C25">
      <w:pPr>
        <w:pStyle w:val="Estilo"/>
        <w:ind w:left="567" w:hanging="567"/>
        <w:rPr>
          <w:rFonts w:cs="Arial"/>
        </w:rPr>
      </w:pPr>
      <w:r>
        <w:rPr>
          <w:rFonts w:cs="Arial"/>
        </w:rPr>
        <w:t xml:space="preserve">VI </w:t>
      </w:r>
      <w:r>
        <w:rPr>
          <w:rFonts w:cs="Arial"/>
        </w:rPr>
        <w:tab/>
        <w:t>Las contribuciones.</w:t>
      </w:r>
    </w:p>
    <w:p w14:paraId="71473700" w14:textId="77777777" w:rsidR="00D3344B" w:rsidRDefault="00D3344B">
      <w:pPr>
        <w:pStyle w:val="Estilo"/>
        <w:rPr>
          <w:rFonts w:cs="Arial"/>
        </w:rPr>
      </w:pPr>
    </w:p>
    <w:p w14:paraId="5415EA7E" w14:textId="77777777" w:rsidR="00D3344B" w:rsidRDefault="00143C25">
      <w:pPr>
        <w:pStyle w:val="Estilo"/>
        <w:rPr>
          <w:rFonts w:cs="Arial"/>
        </w:rPr>
      </w:pPr>
      <w:r>
        <w:rPr>
          <w:rFonts w:cs="Arial"/>
        </w:rPr>
        <w:lastRenderedPageBreak/>
        <w:t>Cuando el contribuyente interponga algún medio de defensa legal impugnando alguno de los conceptos señalados en el párrafo anterior, el orden señalado en el mismo no será aplicable respecto del concepto impugnado y garantizado.</w:t>
      </w:r>
    </w:p>
    <w:p w14:paraId="67D1C866" w14:textId="77777777" w:rsidR="00D3344B" w:rsidRDefault="00D3344B">
      <w:pPr>
        <w:pStyle w:val="Estilo"/>
        <w:rPr>
          <w:rFonts w:cs="Arial"/>
        </w:rPr>
      </w:pPr>
    </w:p>
    <w:p w14:paraId="7601EF15" w14:textId="77777777" w:rsidR="00D3344B" w:rsidRDefault="00143C25">
      <w:pPr>
        <w:pStyle w:val="Estilo"/>
        <w:rPr>
          <w:rFonts w:cs="Arial"/>
        </w:rPr>
      </w:pPr>
      <w:r>
        <w:rPr>
          <w:rFonts w:cs="Arial"/>
          <w:i/>
          <w:sz w:val="16"/>
        </w:rPr>
        <w:t>(REFORMADO, P.O. 31 DE DICIEMBRE DE 2007)</w:t>
      </w:r>
    </w:p>
    <w:p w14:paraId="433DE666" w14:textId="77777777" w:rsidR="00D3344B" w:rsidRDefault="00143C25">
      <w:pPr>
        <w:pStyle w:val="Estilo"/>
        <w:rPr>
          <w:rFonts w:cs="Arial"/>
        </w:rPr>
      </w:pPr>
      <w:r>
        <w:rPr>
          <w:rFonts w:cs="Arial"/>
          <w:b/>
        </w:rPr>
        <w:t>Artículo 21.</w:t>
      </w:r>
      <w:r>
        <w:rPr>
          <w:rFonts w:cs="Arial"/>
        </w:rPr>
        <w:t xml:space="preserve"> Los contribuyentes, al presentar sus declaraciones, deberán acompañar los anexos que se le soliciten en cada caso, proporcionar los datos e informes requeridos en el formato, anotando nombre, denominación o razón social, domicilio fiscal y firma en el espacio destinado para tal efecto.</w:t>
      </w:r>
    </w:p>
    <w:p w14:paraId="38BCB4F1" w14:textId="77777777" w:rsidR="00D3344B" w:rsidRDefault="00D3344B">
      <w:pPr>
        <w:pStyle w:val="Estilo"/>
        <w:rPr>
          <w:rFonts w:cs="Arial"/>
        </w:rPr>
      </w:pPr>
    </w:p>
    <w:p w14:paraId="3A764BE1" w14:textId="77777777" w:rsidR="00D3344B" w:rsidRDefault="00143C25">
      <w:pPr>
        <w:pStyle w:val="Estilo"/>
        <w:rPr>
          <w:rFonts w:cs="Arial"/>
        </w:rPr>
      </w:pPr>
      <w:r>
        <w:rPr>
          <w:rFonts w:cs="Arial"/>
        </w:rPr>
        <w:t>Las oficinas e instituciones de crédito autorizadas por la Secretaría o las tesorerías para recibir las declaraciones, avisos, solicitudes y demás documentos que presenten los contribuyentes, deberán aceptarlos sin hacer en ese momento observaciones u objeciones a los mismos y expedirán la impresión de la máquina registradora, el sello, la constancia o el acuse de recibo correspondiente, con excepción de que el formato no contenga el nombre, denominación o razón social del contribuyente o el de su representante legal, su domicilio fiscal o no aparezcan firmados por él o por su representante legal; o tratándose de declaraciones, éstas contengan errores aritméticos en cuyo caso se rechazará el documento. En este último caso, podrán cobrar las contribuciones y los accesorios que resulten de corregir los errores aritméticos. Lo anterior no se entenderá como inicio de facultades de comprobación de la autoridad fiscal.</w:t>
      </w:r>
    </w:p>
    <w:p w14:paraId="6749D7C5" w14:textId="77777777" w:rsidR="00D3344B" w:rsidRDefault="00D3344B">
      <w:pPr>
        <w:pStyle w:val="Estilo"/>
        <w:rPr>
          <w:rFonts w:cs="Arial"/>
        </w:rPr>
      </w:pPr>
    </w:p>
    <w:p w14:paraId="16E78306" w14:textId="77777777" w:rsidR="00D3344B" w:rsidRDefault="00143C25">
      <w:pPr>
        <w:pStyle w:val="Estilo"/>
        <w:rPr>
          <w:rFonts w:cs="Arial"/>
        </w:rPr>
      </w:pPr>
      <w:r>
        <w:rPr>
          <w:rFonts w:cs="Arial"/>
          <w:i/>
          <w:sz w:val="16"/>
        </w:rPr>
        <w:t>(ADICIONADO, P.O. 31 DE DICIEMBRE DE 2007)</w:t>
      </w:r>
    </w:p>
    <w:p w14:paraId="4A9A4A95" w14:textId="77777777" w:rsidR="00D3344B" w:rsidRDefault="00143C25">
      <w:pPr>
        <w:pStyle w:val="Estilo"/>
        <w:rPr>
          <w:rFonts w:cs="Arial"/>
        </w:rPr>
      </w:pPr>
      <w:r>
        <w:rPr>
          <w:rFonts w:cs="Arial"/>
          <w:b/>
        </w:rPr>
        <w:t>Artículo 21 A.</w:t>
      </w:r>
      <w:r>
        <w:rPr>
          <w:rFonts w:cs="Arial"/>
        </w:rPr>
        <w:t>- Las promociones de los contribuyentes para las que no exista formato específico, deberán presentarse mediante escrito, por duplicado, el cual deberá cumplir cuando menos con los requisitos siguientes:</w:t>
      </w:r>
    </w:p>
    <w:p w14:paraId="1C2C01F5" w14:textId="77777777" w:rsidR="00D3344B" w:rsidRDefault="00D3344B">
      <w:pPr>
        <w:pStyle w:val="Estilo"/>
        <w:rPr>
          <w:rFonts w:cs="Arial"/>
        </w:rPr>
      </w:pPr>
    </w:p>
    <w:p w14:paraId="5F53E6F3" w14:textId="77777777" w:rsidR="00D3344B" w:rsidRDefault="00143C25">
      <w:pPr>
        <w:pStyle w:val="Estilo"/>
        <w:ind w:left="567" w:hanging="567"/>
        <w:rPr>
          <w:rFonts w:cs="Arial"/>
        </w:rPr>
      </w:pPr>
      <w:r>
        <w:rPr>
          <w:rFonts w:cs="Arial"/>
        </w:rPr>
        <w:t xml:space="preserve">I. </w:t>
      </w:r>
      <w:r>
        <w:rPr>
          <w:rFonts w:cs="Arial"/>
        </w:rPr>
        <w:tab/>
        <w:t>La autoridad a la que va dirigida;</w:t>
      </w:r>
    </w:p>
    <w:p w14:paraId="30CFD50A" w14:textId="77777777" w:rsidR="00D3344B" w:rsidRDefault="00D3344B">
      <w:pPr>
        <w:pStyle w:val="Estilo"/>
        <w:ind w:left="567" w:hanging="567"/>
        <w:rPr>
          <w:rFonts w:cs="Arial"/>
        </w:rPr>
      </w:pPr>
    </w:p>
    <w:p w14:paraId="302CB587" w14:textId="77777777" w:rsidR="00D3344B" w:rsidRDefault="00143C25">
      <w:pPr>
        <w:pStyle w:val="Estilo"/>
        <w:ind w:left="567" w:hanging="567"/>
        <w:rPr>
          <w:rFonts w:cs="Arial"/>
        </w:rPr>
      </w:pPr>
      <w:r>
        <w:rPr>
          <w:rFonts w:cs="Arial"/>
        </w:rPr>
        <w:t xml:space="preserve">II. </w:t>
      </w:r>
      <w:r>
        <w:rPr>
          <w:rFonts w:cs="Arial"/>
        </w:rPr>
        <w:tab/>
        <w:t>El nombre, denominación o razón social de quien formula la promoción correspondiente, y en su caso, su Registro Federal de Contribuyentes;</w:t>
      </w:r>
    </w:p>
    <w:p w14:paraId="3E3CCE2A" w14:textId="77777777" w:rsidR="00D3344B" w:rsidRDefault="00D3344B">
      <w:pPr>
        <w:pStyle w:val="Estilo"/>
        <w:ind w:left="567" w:hanging="567"/>
        <w:rPr>
          <w:rFonts w:cs="Arial"/>
        </w:rPr>
      </w:pPr>
    </w:p>
    <w:p w14:paraId="3DBDFE18" w14:textId="77777777" w:rsidR="00D3344B" w:rsidRDefault="00143C25">
      <w:pPr>
        <w:pStyle w:val="Estilo"/>
        <w:ind w:left="567" w:hanging="567"/>
        <w:rPr>
          <w:rFonts w:cs="Arial"/>
        </w:rPr>
      </w:pPr>
      <w:r>
        <w:rPr>
          <w:rFonts w:cs="Arial"/>
        </w:rPr>
        <w:t xml:space="preserve">III. </w:t>
      </w:r>
      <w:r>
        <w:rPr>
          <w:rFonts w:cs="Arial"/>
        </w:rPr>
        <w:tab/>
        <w:t>El domicilio para oír y recibir notificaciones;</w:t>
      </w:r>
    </w:p>
    <w:p w14:paraId="3CC9BA95" w14:textId="77777777" w:rsidR="00D3344B" w:rsidRDefault="00D3344B">
      <w:pPr>
        <w:pStyle w:val="Estilo"/>
        <w:ind w:left="567" w:hanging="567"/>
        <w:rPr>
          <w:rFonts w:cs="Arial"/>
        </w:rPr>
      </w:pPr>
    </w:p>
    <w:p w14:paraId="2207B422" w14:textId="77777777" w:rsidR="00D3344B" w:rsidRDefault="00143C25">
      <w:pPr>
        <w:pStyle w:val="Estilo"/>
        <w:ind w:left="567" w:hanging="567"/>
        <w:rPr>
          <w:rFonts w:cs="Arial"/>
        </w:rPr>
      </w:pPr>
      <w:r>
        <w:rPr>
          <w:rFonts w:cs="Arial"/>
        </w:rPr>
        <w:t xml:space="preserve">IV. </w:t>
      </w:r>
      <w:r>
        <w:rPr>
          <w:rFonts w:cs="Arial"/>
        </w:rPr>
        <w:tab/>
        <w:t>Los hechos, razones y fundamentos, en que se sustente la misma, acompañando los documentos que resulten necesarios para acreditar las circunstancias señaladas en la promoción.</w:t>
      </w:r>
    </w:p>
    <w:p w14:paraId="1C963334" w14:textId="77777777" w:rsidR="00D3344B" w:rsidRDefault="00D3344B">
      <w:pPr>
        <w:pStyle w:val="Estilo"/>
        <w:rPr>
          <w:rFonts w:cs="Arial"/>
        </w:rPr>
      </w:pPr>
    </w:p>
    <w:p w14:paraId="493703DE" w14:textId="77777777" w:rsidR="00D3344B" w:rsidRDefault="00143C25">
      <w:pPr>
        <w:pStyle w:val="Estilo"/>
        <w:rPr>
          <w:rFonts w:cs="Arial"/>
        </w:rPr>
      </w:pPr>
      <w:r>
        <w:rPr>
          <w:rFonts w:cs="Arial"/>
        </w:rPr>
        <w:t>La autoridad que conozca de la promoción podrá requerir de manera fundada y motivada al promovente la presentación de determinado documento o el cumplimiento de algún otro requisito que resulte indispensable para su resolución.</w:t>
      </w:r>
    </w:p>
    <w:p w14:paraId="5E9C3B68" w14:textId="77777777" w:rsidR="00D3344B" w:rsidRDefault="00D3344B">
      <w:pPr>
        <w:pStyle w:val="Estilo"/>
        <w:rPr>
          <w:rFonts w:cs="Arial"/>
        </w:rPr>
      </w:pPr>
    </w:p>
    <w:p w14:paraId="2A9FE3DE" w14:textId="77777777" w:rsidR="00D3344B" w:rsidRDefault="00143C25">
      <w:pPr>
        <w:pStyle w:val="Estilo"/>
        <w:rPr>
          <w:rFonts w:cs="Arial"/>
        </w:rPr>
      </w:pPr>
      <w:r>
        <w:rPr>
          <w:rFonts w:cs="Arial"/>
          <w:b/>
        </w:rPr>
        <w:t>Artículo 22.</w:t>
      </w:r>
      <w:r>
        <w:rPr>
          <w:rFonts w:cs="Arial"/>
        </w:rPr>
        <w:t xml:space="preserve"> Los plazos para efectos fiscales se sujetarán a lo dispuesto en este artículo:</w:t>
      </w:r>
    </w:p>
    <w:p w14:paraId="52F58261" w14:textId="77777777" w:rsidR="00D3344B" w:rsidRDefault="00D3344B">
      <w:pPr>
        <w:pStyle w:val="Estilo"/>
        <w:rPr>
          <w:rFonts w:cs="Arial"/>
        </w:rPr>
      </w:pPr>
    </w:p>
    <w:p w14:paraId="2F97AF10" w14:textId="77777777" w:rsidR="00D3344B" w:rsidRDefault="00143C25">
      <w:pPr>
        <w:pStyle w:val="Estilo"/>
        <w:ind w:left="567" w:hanging="567"/>
        <w:rPr>
          <w:rFonts w:cs="Arial"/>
        </w:rPr>
      </w:pPr>
      <w:r>
        <w:rPr>
          <w:rFonts w:cs="Arial"/>
        </w:rPr>
        <w:t xml:space="preserve">I. </w:t>
      </w:r>
      <w:r>
        <w:rPr>
          <w:rFonts w:cs="Arial"/>
        </w:rPr>
        <w:tab/>
        <w:t>Se computarán sólo los días hábiles;</w:t>
      </w:r>
    </w:p>
    <w:p w14:paraId="6923BAE6" w14:textId="77777777" w:rsidR="00D3344B" w:rsidRDefault="00D3344B">
      <w:pPr>
        <w:pStyle w:val="Estilo"/>
        <w:ind w:left="567" w:hanging="567"/>
        <w:rPr>
          <w:rFonts w:cs="Arial"/>
        </w:rPr>
      </w:pPr>
    </w:p>
    <w:p w14:paraId="1AC5EB57" w14:textId="77777777" w:rsidR="00D3344B" w:rsidRDefault="00143C25">
      <w:pPr>
        <w:pStyle w:val="Estilo"/>
        <w:ind w:left="567"/>
        <w:rPr>
          <w:rFonts w:cs="Arial"/>
        </w:rPr>
      </w:pPr>
      <w:r>
        <w:rPr>
          <w:rFonts w:cs="Arial"/>
          <w:i/>
          <w:sz w:val="16"/>
        </w:rPr>
        <w:t>(REFORMADA, P.O. 22 DE DICIEMBRE DE 2021)</w:t>
      </w:r>
    </w:p>
    <w:p w14:paraId="35E21DA8" w14:textId="77777777" w:rsidR="00D3344B" w:rsidRDefault="00143C25">
      <w:pPr>
        <w:pStyle w:val="Estilo"/>
        <w:ind w:left="567" w:hanging="567"/>
        <w:rPr>
          <w:rFonts w:cs="Arial"/>
        </w:rPr>
      </w:pPr>
      <w:r>
        <w:rPr>
          <w:rFonts w:cs="Arial"/>
        </w:rPr>
        <w:t xml:space="preserve">II. </w:t>
      </w:r>
      <w:r>
        <w:rPr>
          <w:rFonts w:cs="Arial"/>
        </w:rPr>
        <w:tab/>
        <w:t>No se considerarán días hábiles los sábados, domingos, y las fechas siguientes: uno de enero; treinta y uno de agosto de cada seis años, cuando corresponda a la transmisión del Poder Ejecutivo Estatal o de cada tres años cuando corresponda a la transmisión del poder de los ayuntamientos; el primer lunes de febrero en conmemoración del cinco de febrero; el tercer lunes de marzo en conmemoración del veintiuno de marzo; uno y cinco de mayo; dieciséis de septiembre; el tercer lunes de noviembre en conmemoración del veinte de noviembre; uno de diciembre de cada seis años, cuando corresponda a la transmisión del Poder Ejecutivo Federal, y veinticinco de diciembre.</w:t>
      </w:r>
    </w:p>
    <w:p w14:paraId="3E988096" w14:textId="77777777" w:rsidR="00D3344B" w:rsidRDefault="00D3344B">
      <w:pPr>
        <w:pStyle w:val="Estilo"/>
        <w:ind w:left="567" w:hanging="567"/>
        <w:rPr>
          <w:rFonts w:cs="Arial"/>
        </w:rPr>
      </w:pPr>
    </w:p>
    <w:p w14:paraId="7B89CA10" w14:textId="77777777" w:rsidR="00D3344B" w:rsidRDefault="00143C25">
      <w:pPr>
        <w:pStyle w:val="Estilo"/>
        <w:ind w:left="567"/>
        <w:rPr>
          <w:rFonts w:cs="Arial"/>
        </w:rPr>
      </w:pPr>
      <w:r>
        <w:rPr>
          <w:rFonts w:cs="Arial"/>
        </w:rPr>
        <w:t>Tampoco se consideran días hábiles, las vacaciones generales de las autoridades fiscales estatales, excepto cuando se trate de plazos para la presentación de declaraciones y pago de contribuciones, exclusivamente, en cuyos casos esos días se consideran hábiles. No son vacaciones generales las que se otorguen en forma escalonada. Los días que se consideren vacaciones generales se publicarán en el Periódico Oficial del Gobierno del Estado.</w:t>
      </w:r>
    </w:p>
    <w:p w14:paraId="7019C444" w14:textId="77777777" w:rsidR="00D3344B" w:rsidRDefault="00D3344B">
      <w:pPr>
        <w:pStyle w:val="Estilo"/>
        <w:ind w:left="567" w:hanging="567"/>
        <w:rPr>
          <w:rFonts w:cs="Arial"/>
        </w:rPr>
      </w:pPr>
    </w:p>
    <w:p w14:paraId="278B59AB" w14:textId="77777777" w:rsidR="00D3344B" w:rsidRDefault="00143C25">
      <w:pPr>
        <w:pStyle w:val="Estilo"/>
        <w:ind w:left="567" w:hanging="567"/>
        <w:rPr>
          <w:rFonts w:cs="Arial"/>
        </w:rPr>
      </w:pPr>
      <w:r>
        <w:rPr>
          <w:rFonts w:cs="Arial"/>
        </w:rPr>
        <w:t xml:space="preserve">III. </w:t>
      </w:r>
      <w:r>
        <w:rPr>
          <w:rFonts w:cs="Arial"/>
        </w:rPr>
        <w:tab/>
        <w:t>Las autoridades fiscales podrán habilitar, por acuerdo escrito, horas o días inhábiles para la práctica de actuaciones determinadas o para recibir pagos.</w:t>
      </w:r>
    </w:p>
    <w:p w14:paraId="27FBBD6E" w14:textId="77777777" w:rsidR="00D3344B" w:rsidRDefault="00D3344B">
      <w:pPr>
        <w:pStyle w:val="Estilo"/>
        <w:ind w:left="567" w:hanging="567"/>
        <w:rPr>
          <w:rFonts w:cs="Arial"/>
        </w:rPr>
      </w:pPr>
    </w:p>
    <w:p w14:paraId="7F9EE34C" w14:textId="77777777" w:rsidR="00D3344B" w:rsidRDefault="00143C25">
      <w:pPr>
        <w:pStyle w:val="Estilo"/>
        <w:ind w:left="567"/>
        <w:rPr>
          <w:rFonts w:cs="Arial"/>
        </w:rPr>
      </w:pPr>
      <w:r>
        <w:rPr>
          <w:rFonts w:cs="Arial"/>
          <w:i/>
          <w:sz w:val="16"/>
        </w:rPr>
        <w:t>(ADICIONADA, P.O. 30 DE DICIEMBRE DE 2005)</w:t>
      </w:r>
    </w:p>
    <w:p w14:paraId="0D82DF9C" w14:textId="77777777" w:rsidR="00D3344B" w:rsidRDefault="00143C25">
      <w:pPr>
        <w:pStyle w:val="Estilo"/>
        <w:ind w:left="567" w:hanging="567"/>
        <w:rPr>
          <w:rFonts w:cs="Arial"/>
        </w:rPr>
      </w:pPr>
      <w:r>
        <w:rPr>
          <w:rFonts w:cs="Arial"/>
        </w:rPr>
        <w:t xml:space="preserve">IV. </w:t>
      </w:r>
      <w:r>
        <w:rPr>
          <w:rFonts w:cs="Arial"/>
        </w:rPr>
        <w:tab/>
        <w:t xml:space="preserve">La práctica de diligencias y actuaciones deberán efectuarse en días y horas hábiles. Son horas hábiles las comprendidas entre las siete y las dieciocho horas. No </w:t>
      </w:r>
      <w:proofErr w:type="gramStart"/>
      <w:r>
        <w:rPr>
          <w:rFonts w:cs="Arial"/>
        </w:rPr>
        <w:t>obstante</w:t>
      </w:r>
      <w:proofErr w:type="gramEnd"/>
      <w:r>
        <w:rPr>
          <w:rFonts w:cs="Arial"/>
        </w:rPr>
        <w:t xml:space="preserve"> lo anterior, una diligencia iniciada en horas hábiles podrá concluir en hora inhábil, sin afectar su validez.</w:t>
      </w:r>
    </w:p>
    <w:p w14:paraId="70C92708" w14:textId="77777777" w:rsidR="00D3344B" w:rsidRDefault="00D3344B">
      <w:pPr>
        <w:pStyle w:val="Estilo"/>
        <w:rPr>
          <w:rFonts w:cs="Arial"/>
        </w:rPr>
      </w:pPr>
    </w:p>
    <w:p w14:paraId="6FEB430F" w14:textId="77777777" w:rsidR="00D3344B" w:rsidRDefault="00143C25">
      <w:pPr>
        <w:pStyle w:val="Estilo"/>
        <w:rPr>
          <w:rFonts w:cs="Arial"/>
        </w:rPr>
      </w:pPr>
      <w:r>
        <w:rPr>
          <w:rFonts w:cs="Arial"/>
        </w:rPr>
        <w:t xml:space="preserve">Cuando los plazos se fijen por mes o por año, sin especificar que sean de calendario, se entenderá </w:t>
      </w:r>
      <w:proofErr w:type="gramStart"/>
      <w:r>
        <w:rPr>
          <w:rFonts w:cs="Arial"/>
        </w:rPr>
        <w:t>que</w:t>
      </w:r>
      <w:proofErr w:type="gramEnd"/>
      <w:r>
        <w:rPr>
          <w:rFonts w:cs="Arial"/>
        </w:rPr>
        <w:t xml:space="preserve"> en el primer caso, concluye el mismo día del mes de calendario posterior a aquél en que se inició y, en el segundo, el término vencerá el mismo día del año de calendario siguiente, a aquél en que se inició.</w:t>
      </w:r>
    </w:p>
    <w:p w14:paraId="2F7878AE" w14:textId="77777777" w:rsidR="00D3344B" w:rsidRDefault="00D3344B">
      <w:pPr>
        <w:pStyle w:val="Estilo"/>
        <w:rPr>
          <w:rFonts w:cs="Arial"/>
        </w:rPr>
      </w:pPr>
    </w:p>
    <w:p w14:paraId="3BBA8A25" w14:textId="77777777" w:rsidR="00D3344B" w:rsidRDefault="00143C25">
      <w:pPr>
        <w:pStyle w:val="Estilo"/>
        <w:rPr>
          <w:rFonts w:cs="Arial"/>
        </w:rPr>
      </w:pPr>
      <w:r>
        <w:rPr>
          <w:rFonts w:cs="Arial"/>
        </w:rPr>
        <w:t>Cuando en los plazos que se fijen por mes o por año, no exista el mismo día en el mes de calendario correspondiente, el término fenecerá el primer día hábil siguiente.</w:t>
      </w:r>
    </w:p>
    <w:p w14:paraId="7E528C99" w14:textId="77777777" w:rsidR="00D3344B" w:rsidRDefault="00D3344B">
      <w:pPr>
        <w:pStyle w:val="Estilo"/>
        <w:rPr>
          <w:rFonts w:cs="Arial"/>
        </w:rPr>
      </w:pPr>
    </w:p>
    <w:p w14:paraId="3FE8BDA5" w14:textId="77777777" w:rsidR="00D3344B" w:rsidRDefault="00143C25">
      <w:pPr>
        <w:pStyle w:val="Estilo"/>
        <w:rPr>
          <w:rFonts w:cs="Arial"/>
        </w:rPr>
      </w:pPr>
      <w:r>
        <w:rPr>
          <w:rFonts w:cs="Arial"/>
        </w:rPr>
        <w:t xml:space="preserve">No </w:t>
      </w:r>
      <w:proofErr w:type="gramStart"/>
      <w:r>
        <w:rPr>
          <w:rFonts w:cs="Arial"/>
        </w:rPr>
        <w:t>obstante</w:t>
      </w:r>
      <w:proofErr w:type="gramEnd"/>
      <w:r>
        <w:rPr>
          <w:rFonts w:cs="Arial"/>
        </w:rPr>
        <w:t xml:space="preserve"> lo dispuesto en los párrafos anteriores, si el último día del plazo o en la fecha determinada, las oficinas ante las que se vaya a hacer el trámite permanecen cerradas durante el horario normal de labores o se trata de un día inhábil, se prorrogará el plazo hasta el día hábil siguiente.</w:t>
      </w:r>
    </w:p>
    <w:p w14:paraId="5EC04AB7" w14:textId="77777777" w:rsidR="00D3344B" w:rsidRDefault="00D3344B">
      <w:pPr>
        <w:pStyle w:val="Estilo"/>
        <w:rPr>
          <w:rFonts w:cs="Arial"/>
        </w:rPr>
      </w:pPr>
    </w:p>
    <w:p w14:paraId="11FF3E47" w14:textId="77777777" w:rsidR="00D3344B" w:rsidRDefault="00143C25">
      <w:pPr>
        <w:pStyle w:val="Estilo"/>
        <w:rPr>
          <w:rFonts w:cs="Arial"/>
        </w:rPr>
      </w:pPr>
      <w:r>
        <w:rPr>
          <w:rFonts w:cs="Arial"/>
          <w:b/>
        </w:rPr>
        <w:t>Artículo 23.</w:t>
      </w:r>
      <w:r>
        <w:rPr>
          <w:rFonts w:cs="Arial"/>
        </w:rPr>
        <w:t xml:space="preserve"> Los gobiernos Federal, Estatal y Municipal estarán obligados al pago de contribuciones, salvo las excepciones previstas en la Constitución Política de los Estados Unidos Mexicanos, la particular del Estado y en este código.</w:t>
      </w:r>
    </w:p>
    <w:p w14:paraId="0804DD92" w14:textId="77777777" w:rsidR="00D3344B" w:rsidRDefault="00D3344B">
      <w:pPr>
        <w:pStyle w:val="Estilo"/>
        <w:rPr>
          <w:rFonts w:cs="Arial"/>
        </w:rPr>
      </w:pPr>
    </w:p>
    <w:p w14:paraId="3DB4F139" w14:textId="77777777" w:rsidR="00D3344B" w:rsidRDefault="00143C25">
      <w:pPr>
        <w:pStyle w:val="Estilo"/>
        <w:rPr>
          <w:rFonts w:cs="Arial"/>
        </w:rPr>
      </w:pPr>
      <w:r>
        <w:rPr>
          <w:rFonts w:cs="Arial"/>
          <w:i/>
          <w:sz w:val="16"/>
        </w:rPr>
        <w:lastRenderedPageBreak/>
        <w:t>(ADICIONADO, P.O. 30 DE DICIEMBRE DE 2005)</w:t>
      </w:r>
    </w:p>
    <w:p w14:paraId="6196E09C" w14:textId="77777777" w:rsidR="00D3344B" w:rsidRDefault="00143C25">
      <w:pPr>
        <w:pStyle w:val="Estilo"/>
        <w:rPr>
          <w:rFonts w:cs="Arial"/>
        </w:rPr>
      </w:pPr>
      <w:r>
        <w:rPr>
          <w:rFonts w:cs="Arial"/>
          <w:b/>
        </w:rPr>
        <w:t>Artículo 23 A.</w:t>
      </w:r>
      <w:r>
        <w:rPr>
          <w:rFonts w:cs="Arial"/>
        </w:rPr>
        <w:t xml:space="preserve"> Los actos administrativos que se deban notificar deberán contener por lo menos los requisitos siguientes:</w:t>
      </w:r>
    </w:p>
    <w:p w14:paraId="7433B6C2" w14:textId="77777777" w:rsidR="00D3344B" w:rsidRDefault="00D3344B">
      <w:pPr>
        <w:pStyle w:val="Estilo"/>
        <w:rPr>
          <w:rFonts w:cs="Arial"/>
        </w:rPr>
      </w:pPr>
    </w:p>
    <w:p w14:paraId="7EF71481" w14:textId="77777777" w:rsidR="00D3344B" w:rsidRDefault="00143C25">
      <w:pPr>
        <w:pStyle w:val="Estilo"/>
        <w:ind w:left="567"/>
        <w:rPr>
          <w:rFonts w:cs="Arial"/>
        </w:rPr>
      </w:pPr>
      <w:r>
        <w:rPr>
          <w:rFonts w:cs="Arial"/>
          <w:i/>
          <w:sz w:val="16"/>
        </w:rPr>
        <w:t>N. DE E. EN RELACIÓN CON LA ENTRADA EN VIGOR DE LA PRESENTE FRACCIÓN, VÉASE TRANSITORIO ÚNICO DEL DECRETO QUE MODIFICA EL CÓDIGO.</w:t>
      </w:r>
    </w:p>
    <w:p w14:paraId="67DA8595" w14:textId="77777777" w:rsidR="00D3344B" w:rsidRDefault="00143C25">
      <w:pPr>
        <w:pStyle w:val="Estilo"/>
        <w:ind w:firstLine="567"/>
        <w:rPr>
          <w:rFonts w:cs="Arial"/>
        </w:rPr>
      </w:pPr>
      <w:r>
        <w:rPr>
          <w:rFonts w:cs="Arial"/>
          <w:i/>
          <w:sz w:val="16"/>
        </w:rPr>
        <w:t>(ADICIONADA [N. DE E. REFORMADA], P.O. 7 DE DICIEMBRE DE 2009)</w:t>
      </w:r>
    </w:p>
    <w:p w14:paraId="4543948C" w14:textId="77777777" w:rsidR="00D3344B" w:rsidRDefault="00143C25">
      <w:pPr>
        <w:pStyle w:val="Estilo"/>
        <w:ind w:left="567" w:hanging="567"/>
        <w:rPr>
          <w:rFonts w:cs="Arial"/>
        </w:rPr>
      </w:pPr>
      <w:r>
        <w:rPr>
          <w:rFonts w:cs="Arial"/>
        </w:rPr>
        <w:t xml:space="preserve">I. </w:t>
      </w:r>
      <w:r>
        <w:rPr>
          <w:rFonts w:cs="Arial"/>
        </w:rPr>
        <w:tab/>
        <w:t>Constar por escrito en documento impreso o digital; Tratándose de actos administrativos que consten en documentos digitales y deban ser notificados personalmente, deberán transmitirse codificados a los destinatarios;</w:t>
      </w:r>
    </w:p>
    <w:p w14:paraId="4CA69C85" w14:textId="77777777" w:rsidR="00D3344B" w:rsidRDefault="00D3344B">
      <w:pPr>
        <w:pStyle w:val="Estilo"/>
        <w:ind w:left="567" w:hanging="567"/>
        <w:rPr>
          <w:rFonts w:cs="Arial"/>
        </w:rPr>
      </w:pPr>
    </w:p>
    <w:p w14:paraId="2ECF761B" w14:textId="77777777" w:rsidR="00D3344B" w:rsidRDefault="00143C25">
      <w:pPr>
        <w:pStyle w:val="Estilo"/>
        <w:ind w:left="567" w:hanging="567"/>
        <w:rPr>
          <w:rFonts w:cs="Arial"/>
        </w:rPr>
      </w:pPr>
      <w:r>
        <w:rPr>
          <w:rFonts w:cs="Arial"/>
        </w:rPr>
        <w:t xml:space="preserve">II. </w:t>
      </w:r>
      <w:r>
        <w:rPr>
          <w:rFonts w:cs="Arial"/>
        </w:rPr>
        <w:tab/>
        <w:t>Señalar la autoridad que lo emite;</w:t>
      </w:r>
    </w:p>
    <w:p w14:paraId="67F2B0D7" w14:textId="77777777" w:rsidR="00D3344B" w:rsidRDefault="00D3344B">
      <w:pPr>
        <w:pStyle w:val="Estilo"/>
        <w:ind w:left="567" w:hanging="567"/>
        <w:rPr>
          <w:rFonts w:cs="Arial"/>
        </w:rPr>
      </w:pPr>
    </w:p>
    <w:p w14:paraId="6477096F" w14:textId="77777777" w:rsidR="00D3344B" w:rsidRDefault="00143C25">
      <w:pPr>
        <w:pStyle w:val="Estilo"/>
        <w:ind w:left="567" w:hanging="567"/>
        <w:rPr>
          <w:rFonts w:cs="Arial"/>
        </w:rPr>
      </w:pPr>
      <w:r>
        <w:rPr>
          <w:rFonts w:cs="Arial"/>
        </w:rPr>
        <w:t xml:space="preserve">III. </w:t>
      </w:r>
      <w:r>
        <w:rPr>
          <w:rFonts w:cs="Arial"/>
        </w:rPr>
        <w:tab/>
        <w:t>Estar fundado y motivado y expresar la resolución, objeto o propósito de que se trate;</w:t>
      </w:r>
    </w:p>
    <w:p w14:paraId="45B1E5A7" w14:textId="77777777" w:rsidR="00D3344B" w:rsidRDefault="00D3344B">
      <w:pPr>
        <w:pStyle w:val="Estilo"/>
        <w:ind w:left="567" w:hanging="567"/>
        <w:rPr>
          <w:rFonts w:cs="Arial"/>
        </w:rPr>
      </w:pPr>
    </w:p>
    <w:p w14:paraId="54C41AF2" w14:textId="77777777" w:rsidR="00D3344B" w:rsidRDefault="00143C25">
      <w:pPr>
        <w:pStyle w:val="Estilo"/>
        <w:ind w:left="567" w:hanging="567"/>
        <w:rPr>
          <w:rFonts w:cs="Arial"/>
        </w:rPr>
      </w:pPr>
      <w:r>
        <w:rPr>
          <w:rFonts w:cs="Arial"/>
        </w:rPr>
        <w:t xml:space="preserve">IV. </w:t>
      </w:r>
      <w:r>
        <w:rPr>
          <w:rFonts w:cs="Arial"/>
        </w:rPr>
        <w:tab/>
        <w:t>Ostentar la firma del funcionario competente, y</w:t>
      </w:r>
    </w:p>
    <w:p w14:paraId="024AA99C" w14:textId="77777777" w:rsidR="00D3344B" w:rsidRDefault="00D3344B">
      <w:pPr>
        <w:pStyle w:val="Estilo"/>
        <w:ind w:left="567" w:hanging="567"/>
        <w:rPr>
          <w:rFonts w:cs="Arial"/>
        </w:rPr>
      </w:pPr>
    </w:p>
    <w:p w14:paraId="0559642C" w14:textId="77777777" w:rsidR="00D3344B" w:rsidRDefault="00143C25">
      <w:pPr>
        <w:pStyle w:val="Estilo"/>
        <w:ind w:left="567" w:hanging="567"/>
        <w:rPr>
          <w:rFonts w:cs="Arial"/>
        </w:rPr>
      </w:pPr>
      <w:r>
        <w:rPr>
          <w:rFonts w:cs="Arial"/>
        </w:rPr>
        <w:t xml:space="preserve">V. </w:t>
      </w:r>
      <w:r>
        <w:rPr>
          <w:rFonts w:cs="Arial"/>
        </w:rPr>
        <w:tab/>
        <w:t>El nombre o nombres de las personas a las que vaya dirigido. Cuando se ignore el nombre de la persona a la que va dirigido, se señalarán los datos suficientes que permitan su identificación.</w:t>
      </w:r>
    </w:p>
    <w:p w14:paraId="51649CB0" w14:textId="77777777" w:rsidR="00D3344B" w:rsidRDefault="00D3344B">
      <w:pPr>
        <w:pStyle w:val="Estilo"/>
        <w:rPr>
          <w:rFonts w:cs="Arial"/>
        </w:rPr>
      </w:pPr>
    </w:p>
    <w:p w14:paraId="1BDBFF52" w14:textId="77777777" w:rsidR="00D3344B" w:rsidRDefault="00143C25">
      <w:pPr>
        <w:pStyle w:val="Estilo"/>
        <w:rPr>
          <w:rFonts w:cs="Arial"/>
        </w:rPr>
      </w:pPr>
      <w:r>
        <w:rPr>
          <w:rFonts w:cs="Arial"/>
        </w:rPr>
        <w:t>Si se trata de resoluciones administrativas que determinen la responsabilidad solidaria se señalará, además, la causa legal de la responsabilidad.</w:t>
      </w:r>
    </w:p>
    <w:p w14:paraId="61DEACDA" w14:textId="77777777" w:rsidR="00D3344B" w:rsidRDefault="00D3344B">
      <w:pPr>
        <w:pStyle w:val="Estilo"/>
        <w:rPr>
          <w:rFonts w:cs="Arial"/>
        </w:rPr>
      </w:pPr>
    </w:p>
    <w:p w14:paraId="369A0CA6" w14:textId="77777777" w:rsidR="00D3344B" w:rsidRDefault="00D3344B">
      <w:pPr>
        <w:pStyle w:val="Estilo"/>
        <w:rPr>
          <w:rFonts w:cs="Arial"/>
        </w:rPr>
      </w:pPr>
    </w:p>
    <w:p w14:paraId="4EE413E5" w14:textId="77777777" w:rsidR="00D3344B" w:rsidRDefault="00143C25">
      <w:pPr>
        <w:pStyle w:val="Estilo"/>
        <w:jc w:val="center"/>
        <w:rPr>
          <w:rFonts w:cs="Arial"/>
          <w:b/>
        </w:rPr>
      </w:pPr>
      <w:r>
        <w:rPr>
          <w:rFonts w:cs="Arial"/>
          <w:b/>
        </w:rPr>
        <w:t>Capítulo II</w:t>
      </w:r>
    </w:p>
    <w:p w14:paraId="1EDC1EFF" w14:textId="77777777" w:rsidR="00D3344B" w:rsidRDefault="00143C25">
      <w:pPr>
        <w:pStyle w:val="Estilo"/>
        <w:jc w:val="center"/>
        <w:rPr>
          <w:rFonts w:cs="Arial"/>
          <w:b/>
        </w:rPr>
      </w:pPr>
      <w:r>
        <w:rPr>
          <w:rFonts w:cs="Arial"/>
          <w:b/>
        </w:rPr>
        <w:t>Créditos Fiscales</w:t>
      </w:r>
    </w:p>
    <w:p w14:paraId="7D9DD834" w14:textId="77777777" w:rsidR="00D3344B" w:rsidRDefault="00D3344B">
      <w:pPr>
        <w:pStyle w:val="Estilo"/>
        <w:jc w:val="center"/>
        <w:rPr>
          <w:rFonts w:cs="Arial"/>
          <w:b/>
        </w:rPr>
      </w:pPr>
    </w:p>
    <w:p w14:paraId="2B7C2C3E" w14:textId="77777777" w:rsidR="00D3344B" w:rsidRDefault="00143C25">
      <w:pPr>
        <w:pStyle w:val="Estilo"/>
        <w:jc w:val="center"/>
        <w:rPr>
          <w:rFonts w:cs="Arial"/>
          <w:b/>
        </w:rPr>
      </w:pPr>
      <w:r>
        <w:rPr>
          <w:rFonts w:cs="Arial"/>
          <w:b/>
        </w:rPr>
        <w:t>Sección Primera</w:t>
      </w:r>
    </w:p>
    <w:p w14:paraId="55BA08FC" w14:textId="77777777" w:rsidR="00D3344B" w:rsidRDefault="00143C25">
      <w:pPr>
        <w:pStyle w:val="Estilo"/>
        <w:jc w:val="center"/>
        <w:rPr>
          <w:rFonts w:cs="Arial"/>
          <w:b/>
        </w:rPr>
      </w:pPr>
      <w:r>
        <w:rPr>
          <w:rFonts w:cs="Arial"/>
          <w:b/>
        </w:rPr>
        <w:t>Generalidades</w:t>
      </w:r>
    </w:p>
    <w:p w14:paraId="5CF789CE" w14:textId="77777777" w:rsidR="00D3344B" w:rsidRDefault="00D3344B">
      <w:pPr>
        <w:pStyle w:val="Estilo"/>
        <w:rPr>
          <w:rFonts w:cs="Arial"/>
        </w:rPr>
      </w:pPr>
    </w:p>
    <w:p w14:paraId="1F6E9102" w14:textId="77777777" w:rsidR="00D3344B" w:rsidRDefault="00143C25">
      <w:pPr>
        <w:pStyle w:val="Estilo"/>
        <w:rPr>
          <w:rFonts w:cs="Arial"/>
        </w:rPr>
      </w:pPr>
      <w:r>
        <w:rPr>
          <w:rFonts w:cs="Arial"/>
          <w:b/>
        </w:rPr>
        <w:t>Artículo 24.</w:t>
      </w:r>
      <w:r>
        <w:rPr>
          <w:rFonts w:cs="Arial"/>
        </w:rPr>
        <w:t xml:space="preserve"> Son créditos fiscales las obligaciones determinadas en cantidad líquida que tengan derecho a percibir el Estado, sus municipios o los organismos públicos descentralizados, estatales y municipales, que provengan de contribuciones, aprovechamientos o de sus accesorios, incluyendo los que deriven de responsabilidades que el Estado o sus municipios tengan derecho a exigir de sus servidores públicos o de los particulares, así como aquellos a los que las leyes les den ese carácter y el Estado o sus municipios tengan derecho a percibir por cuenta ajena.</w:t>
      </w:r>
    </w:p>
    <w:p w14:paraId="6FBDC627" w14:textId="77777777" w:rsidR="00D3344B" w:rsidRDefault="00D3344B">
      <w:pPr>
        <w:pStyle w:val="Estilo"/>
        <w:rPr>
          <w:rFonts w:cs="Arial"/>
        </w:rPr>
      </w:pPr>
    </w:p>
    <w:p w14:paraId="5E67AA7F" w14:textId="77777777" w:rsidR="00D3344B" w:rsidRDefault="00143C25">
      <w:pPr>
        <w:pStyle w:val="Estilo"/>
        <w:rPr>
          <w:rFonts w:cs="Arial"/>
        </w:rPr>
      </w:pPr>
      <w:r>
        <w:rPr>
          <w:rFonts w:cs="Arial"/>
          <w:i/>
          <w:sz w:val="16"/>
        </w:rPr>
        <w:t>(ADICIONADO, P.O. 30 DE DICIEMBRE DE 2005)</w:t>
      </w:r>
    </w:p>
    <w:p w14:paraId="4A04AC5E" w14:textId="77777777" w:rsidR="00D3344B" w:rsidRDefault="00143C25">
      <w:pPr>
        <w:pStyle w:val="Estilo"/>
        <w:rPr>
          <w:rFonts w:cs="Arial"/>
        </w:rPr>
      </w:pPr>
      <w:r>
        <w:rPr>
          <w:rFonts w:cs="Arial"/>
        </w:rPr>
        <w:t>La Secretaría, a través de la Dirección de Ingresos y Fiscalización, Oficinas Recaudadoras e Instituciones de crédito autorizadas; los ayuntamientos o las oficinas que éstos autoricen, en sus respectivas competencias, recaudarán los ingresos que tenga derecho a percibir el Estado, los municipios o sus organismos públicos descentralizados, conforme a este código y demás ordenamientos estatales y municipales.</w:t>
      </w:r>
    </w:p>
    <w:p w14:paraId="30557102" w14:textId="77777777" w:rsidR="00D3344B" w:rsidRDefault="00D3344B">
      <w:pPr>
        <w:pStyle w:val="Estilo"/>
        <w:rPr>
          <w:rFonts w:cs="Arial"/>
        </w:rPr>
      </w:pPr>
    </w:p>
    <w:p w14:paraId="58DD31EA" w14:textId="77777777" w:rsidR="00D3344B" w:rsidRDefault="00143C25">
      <w:pPr>
        <w:pStyle w:val="Estilo"/>
        <w:rPr>
          <w:rFonts w:cs="Arial"/>
        </w:rPr>
      </w:pPr>
      <w:r>
        <w:rPr>
          <w:rFonts w:cs="Arial"/>
          <w:b/>
        </w:rPr>
        <w:t>Artículo 25.</w:t>
      </w:r>
      <w:r>
        <w:rPr>
          <w:rFonts w:cs="Arial"/>
        </w:rPr>
        <w:t xml:space="preserve"> Corresponde a los contribuyentes la determinación de las contribuciones a su cargo, sin perjuicio de que la autoridad fiscal proceda a determinarlas cuando el contribuyente omita dicha determinación o lo haga incorrectamente, en este último supuesto, el contribuyente deberá proporcionar a la autoridad fiscal, toda la información necesaria, dentro del plazo que fije este código.</w:t>
      </w:r>
    </w:p>
    <w:p w14:paraId="38D0D632" w14:textId="77777777" w:rsidR="00D3344B" w:rsidRDefault="00D3344B">
      <w:pPr>
        <w:pStyle w:val="Estilo"/>
        <w:rPr>
          <w:rFonts w:cs="Arial"/>
        </w:rPr>
      </w:pPr>
    </w:p>
    <w:p w14:paraId="3EB5FD21" w14:textId="77777777" w:rsidR="00D3344B" w:rsidRDefault="00143C25">
      <w:pPr>
        <w:pStyle w:val="Estilo"/>
        <w:rPr>
          <w:rFonts w:cs="Arial"/>
        </w:rPr>
      </w:pPr>
      <w:r>
        <w:rPr>
          <w:rFonts w:cs="Arial"/>
          <w:i/>
          <w:sz w:val="16"/>
        </w:rPr>
        <w:t>(ADICIONADO, P.O. 31 DE DICIEMBRE DE 2007)</w:t>
      </w:r>
    </w:p>
    <w:p w14:paraId="66BCA0F8" w14:textId="77777777" w:rsidR="00D3344B" w:rsidRDefault="00143C25">
      <w:pPr>
        <w:pStyle w:val="Estilo"/>
        <w:rPr>
          <w:rFonts w:cs="Arial"/>
        </w:rPr>
      </w:pPr>
      <w:r>
        <w:rPr>
          <w:rFonts w:cs="Arial"/>
          <w:b/>
        </w:rPr>
        <w:t>Artículo 25 A.</w:t>
      </w:r>
      <w:r>
        <w:rPr>
          <w:rFonts w:cs="Arial"/>
        </w:rPr>
        <w:t xml:space="preserve"> De acuerdo a lo establecido en el artículo anterior, el contribuyente contará con un plazo máximo de diez días al que surta efectos la notificación del requerimiento, para que aclare su situación fiscal, exhibiendo la documentación necesaria que ampare el cumplimiento de la obligación solicitada.</w:t>
      </w:r>
    </w:p>
    <w:p w14:paraId="6D783CF5" w14:textId="77777777" w:rsidR="00D3344B" w:rsidRDefault="00D3344B">
      <w:pPr>
        <w:pStyle w:val="Estilo"/>
        <w:rPr>
          <w:rFonts w:cs="Arial"/>
        </w:rPr>
      </w:pPr>
    </w:p>
    <w:p w14:paraId="38C76E4D" w14:textId="77777777" w:rsidR="00D3344B" w:rsidRDefault="00D3344B">
      <w:pPr>
        <w:pStyle w:val="Estilo"/>
        <w:rPr>
          <w:rFonts w:cs="Arial"/>
        </w:rPr>
      </w:pPr>
    </w:p>
    <w:p w14:paraId="55DF5E02" w14:textId="77777777" w:rsidR="00D3344B" w:rsidRDefault="00143C25">
      <w:pPr>
        <w:pStyle w:val="Estilo"/>
        <w:rPr>
          <w:rFonts w:cs="Arial"/>
          <w:i/>
          <w:iCs/>
          <w:sz w:val="16"/>
          <w:szCs w:val="16"/>
        </w:rPr>
      </w:pPr>
      <w:r>
        <w:rPr>
          <w:rFonts w:cs="Arial"/>
          <w:i/>
          <w:iCs/>
          <w:sz w:val="16"/>
          <w:szCs w:val="16"/>
        </w:rPr>
        <w:t>(REFIORMADO, P.O. 21 DE JUNIO DE 2021)</w:t>
      </w:r>
    </w:p>
    <w:p w14:paraId="75264AFD" w14:textId="77777777" w:rsidR="00D3344B" w:rsidRDefault="00143C25">
      <w:pPr>
        <w:pStyle w:val="Estilo"/>
        <w:rPr>
          <w:rFonts w:cs="Arial"/>
        </w:rPr>
      </w:pPr>
      <w:r>
        <w:rPr>
          <w:rFonts w:cs="Arial"/>
          <w:b/>
        </w:rPr>
        <w:t>Artículo 26.</w:t>
      </w:r>
      <w:r>
        <w:rPr>
          <w:rFonts w:cs="Arial"/>
        </w:rPr>
        <w:t xml:space="preserve"> El monto de las contribuciones, aprovechamientos, así como de las devoluciones a cargo del fisco estatal, municipal y de organismos públicos descentralizados, se actualizarán de manera mensual aplicando al efecto el factor de actualización que se establezca conforme al procedimiento establecido en el artículo 26-A de este Código. </w:t>
      </w:r>
    </w:p>
    <w:p w14:paraId="5917CB10" w14:textId="77777777" w:rsidR="00D3344B" w:rsidRDefault="00143C25">
      <w:pPr>
        <w:pStyle w:val="Estilo"/>
        <w:rPr>
          <w:rFonts w:cs="Arial"/>
        </w:rPr>
      </w:pPr>
      <w:r>
        <w:rPr>
          <w:rFonts w:cs="Arial"/>
        </w:rPr>
        <w:t xml:space="preserve"> </w:t>
      </w:r>
    </w:p>
    <w:p w14:paraId="00D60819" w14:textId="77777777" w:rsidR="00D3344B" w:rsidRDefault="00143C25">
      <w:pPr>
        <w:pStyle w:val="Estilo"/>
        <w:rPr>
          <w:rFonts w:cs="Arial"/>
        </w:rPr>
      </w:pPr>
      <w:r>
        <w:rPr>
          <w:rFonts w:cs="Arial"/>
        </w:rPr>
        <w:t xml:space="preserve">Tratándose de municipios, la actualización a que se refiere el párrafo anterior, se realizará conforme al procedimiento previsto en la Ley de Ingresos Municipal correspondiente, en caso de preverlo, el cálculo de las actualizaciones se realizará conforme a lo previsto en el artículo 26-A de este ordenamiento legal. </w:t>
      </w:r>
    </w:p>
    <w:p w14:paraId="2E014E0C" w14:textId="77777777" w:rsidR="00D3344B" w:rsidRDefault="00143C25">
      <w:pPr>
        <w:pStyle w:val="Estilo"/>
        <w:rPr>
          <w:rFonts w:cs="Arial"/>
        </w:rPr>
      </w:pPr>
      <w:r>
        <w:rPr>
          <w:rFonts w:cs="Arial"/>
        </w:rPr>
        <w:t xml:space="preserve"> </w:t>
      </w:r>
    </w:p>
    <w:p w14:paraId="031BE739" w14:textId="77777777" w:rsidR="00D3344B" w:rsidRDefault="00143C25">
      <w:pPr>
        <w:pStyle w:val="Estilo"/>
        <w:rPr>
          <w:rFonts w:cs="Arial"/>
        </w:rPr>
      </w:pPr>
      <w:r>
        <w:rPr>
          <w:rFonts w:cs="Arial"/>
        </w:rPr>
        <w:t xml:space="preserve">Las cantidades actualizadas conservan la naturaleza jurídica que tenían antes de la actualización. </w:t>
      </w:r>
    </w:p>
    <w:p w14:paraId="608231E9" w14:textId="77777777" w:rsidR="00D3344B" w:rsidRDefault="00D3344B">
      <w:pPr>
        <w:pStyle w:val="Estilo"/>
        <w:rPr>
          <w:rFonts w:cs="Arial"/>
          <w:i/>
          <w:sz w:val="16"/>
        </w:rPr>
      </w:pPr>
    </w:p>
    <w:p w14:paraId="7DC1A2AE" w14:textId="77777777" w:rsidR="00D3344B" w:rsidRDefault="00143C25">
      <w:pPr>
        <w:pStyle w:val="Estilo"/>
        <w:rPr>
          <w:rFonts w:cs="Arial"/>
        </w:rPr>
      </w:pPr>
      <w:r>
        <w:rPr>
          <w:rFonts w:cs="Arial"/>
          <w:i/>
          <w:sz w:val="16"/>
        </w:rPr>
        <w:t>(REFORMADO, P.O. 22 DE DICIEMBRE DE 2021)</w:t>
      </w:r>
    </w:p>
    <w:p w14:paraId="088ADD02" w14:textId="77777777" w:rsidR="00D3344B" w:rsidRDefault="00143C25">
      <w:pPr>
        <w:pStyle w:val="Estilo"/>
        <w:rPr>
          <w:rFonts w:cs="Arial"/>
          <w:bCs/>
        </w:rPr>
      </w:pPr>
      <w:r>
        <w:rPr>
          <w:rFonts w:cs="Arial"/>
          <w:b/>
        </w:rPr>
        <w:t xml:space="preserve">Artículo 26-A. </w:t>
      </w:r>
      <w:r>
        <w:rPr>
          <w:rFonts w:cs="Arial"/>
          <w:bCs/>
        </w:rPr>
        <w:t>El monto de las contribuciones, aprovechamientos, así como de las devoluciones a cargo del fisco estatal, se actualizará por el transcurso del tiempo y con motivo de los cambios de precios en el país, para lo cual se aplicará el factor de actualización a las cantidades que se deban actualizar, desde el mes en que debió hacerse el pago y hasta que el mismo se efectúe.</w:t>
      </w:r>
    </w:p>
    <w:p w14:paraId="524D4980" w14:textId="77777777" w:rsidR="00D3344B" w:rsidRDefault="00D3344B">
      <w:pPr>
        <w:pStyle w:val="Estilo"/>
        <w:rPr>
          <w:rFonts w:cs="Arial"/>
          <w:bCs/>
        </w:rPr>
      </w:pPr>
    </w:p>
    <w:p w14:paraId="7A09A10B" w14:textId="77777777" w:rsidR="00D3344B" w:rsidRDefault="00143C25">
      <w:pPr>
        <w:pStyle w:val="Estilo"/>
        <w:rPr>
          <w:rFonts w:cs="Arial"/>
          <w:bCs/>
        </w:rPr>
      </w:pPr>
      <w:r>
        <w:rPr>
          <w:rFonts w:cs="Arial"/>
          <w:bCs/>
        </w:rPr>
        <w:t>En el caso de contribuciones, aprovechamientos y devoluciones, dicho factor se obtendrá dividiendo el Índice Nacional de Precios al Consumidor del mes anterior al más reciente del periodo entre el citado índice correspondiente al mes anterior al más antiguo de dicho periodo.</w:t>
      </w:r>
    </w:p>
    <w:p w14:paraId="5E741243" w14:textId="77777777" w:rsidR="00D3344B" w:rsidRDefault="00D3344B">
      <w:pPr>
        <w:pStyle w:val="Estilo"/>
        <w:rPr>
          <w:rFonts w:cs="Arial"/>
          <w:bCs/>
        </w:rPr>
      </w:pPr>
    </w:p>
    <w:p w14:paraId="25ED8A81" w14:textId="77777777" w:rsidR="00D3344B" w:rsidRDefault="00143C25">
      <w:pPr>
        <w:pStyle w:val="Estilo"/>
        <w:rPr>
          <w:rFonts w:cs="Arial"/>
          <w:bCs/>
        </w:rPr>
      </w:pPr>
      <w:r>
        <w:rPr>
          <w:rFonts w:cs="Arial"/>
          <w:bCs/>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14:paraId="24E73B80" w14:textId="77777777" w:rsidR="00D3344B" w:rsidRDefault="00D3344B">
      <w:pPr>
        <w:pStyle w:val="Estilo"/>
        <w:rPr>
          <w:rFonts w:cs="Arial"/>
          <w:bCs/>
        </w:rPr>
      </w:pPr>
    </w:p>
    <w:p w14:paraId="55E25FA9" w14:textId="77777777" w:rsidR="00D3344B" w:rsidRDefault="00143C25">
      <w:pPr>
        <w:pStyle w:val="Estilo"/>
        <w:rPr>
          <w:rFonts w:cs="Arial"/>
          <w:bCs/>
        </w:rPr>
      </w:pPr>
      <w:r>
        <w:rPr>
          <w:rFonts w:cs="Arial"/>
          <w:bCs/>
        </w:rPr>
        <w:lastRenderedPageBreak/>
        <w:t>Las contribuciones, los aprovechamientos, así como las devoluciones a cargo del fisco estatal, no se actualizarán por fracciones de mes.</w:t>
      </w:r>
    </w:p>
    <w:p w14:paraId="687CBF24" w14:textId="77777777" w:rsidR="00D3344B" w:rsidRDefault="00D3344B">
      <w:pPr>
        <w:pStyle w:val="Estilo"/>
        <w:rPr>
          <w:rFonts w:cs="Arial"/>
        </w:rPr>
      </w:pPr>
    </w:p>
    <w:p w14:paraId="14BDC5BC" w14:textId="77777777" w:rsidR="00D3344B" w:rsidRDefault="00143C25">
      <w:pPr>
        <w:pStyle w:val="Estilo"/>
        <w:rPr>
          <w:rFonts w:cs="Arial"/>
          <w:i/>
          <w:iCs/>
          <w:sz w:val="16"/>
          <w:szCs w:val="16"/>
        </w:rPr>
      </w:pPr>
      <w:r>
        <w:rPr>
          <w:rFonts w:cs="Arial"/>
          <w:i/>
          <w:iCs/>
          <w:sz w:val="16"/>
          <w:szCs w:val="16"/>
        </w:rPr>
        <w:t>(REFORMADO, PRIMER PARRAFO, P.O. 21 DE JUNIO DE 2021)</w:t>
      </w:r>
    </w:p>
    <w:p w14:paraId="4F578839" w14:textId="77777777" w:rsidR="00D3344B" w:rsidRDefault="00143C25">
      <w:pPr>
        <w:pStyle w:val="Estilo"/>
        <w:rPr>
          <w:rFonts w:cs="Arial"/>
        </w:rPr>
      </w:pPr>
      <w:r>
        <w:rPr>
          <w:rFonts w:cs="Arial"/>
          <w:b/>
        </w:rPr>
        <w:t>Artículo 27.</w:t>
      </w:r>
      <w:r>
        <w:rPr>
          <w:rFonts w:cs="Arial"/>
        </w:rPr>
        <w:t xml:space="preserve"> Cuando no se cubran las contribuciones o los aprovechamientos en la fecha o dentro del plazo fijado por las disposiciones fiscales, su monto se actualizará desde el mes en que debió hacerse el pago y hasta que el mismo se efectué; aplicando al efecto el factor establecido en el artículo 26-A de este Código; además, deberán pagarse recargos por concepto de indemnización por falta de pago oportuno al fisco estatal, municipal o al patrimonio de los organismos públicos descentralizados. Dichos recargos se calcularán aplicando al monto de las contribuciones o de los aprovechamientos actualizados por el periodo a que se refiere este párrafo, la tasa que resulte de sumar las   aplicadas en cada año y por cada uno de los meses transcurridos en el periodo de actualización de la contribución o aprovechamiento de que se trate. La tasa de recargos para cada uno de los meses de mora será la que se publique en la Ley de ingresos respectiva. </w:t>
      </w:r>
    </w:p>
    <w:p w14:paraId="6C11E51F" w14:textId="77777777" w:rsidR="00D3344B" w:rsidRDefault="00143C25">
      <w:pPr>
        <w:pStyle w:val="Estilo"/>
        <w:rPr>
          <w:rFonts w:cs="Arial"/>
        </w:rPr>
      </w:pPr>
      <w:r>
        <w:rPr>
          <w:rFonts w:cs="Arial"/>
        </w:rPr>
        <w:t xml:space="preserve"> </w:t>
      </w:r>
    </w:p>
    <w:p w14:paraId="058FBE1E" w14:textId="77777777" w:rsidR="00D3344B" w:rsidRDefault="00143C25">
      <w:pPr>
        <w:pStyle w:val="Estilo"/>
        <w:rPr>
          <w:rFonts w:cs="Arial"/>
          <w:i/>
          <w:iCs/>
          <w:sz w:val="16"/>
          <w:szCs w:val="16"/>
        </w:rPr>
      </w:pPr>
      <w:r>
        <w:rPr>
          <w:rFonts w:cs="Arial"/>
          <w:i/>
          <w:iCs/>
          <w:sz w:val="16"/>
          <w:szCs w:val="16"/>
        </w:rPr>
        <w:t>(REFORMADO, P.O. 21 DE JUNIO DE 2021)</w:t>
      </w:r>
    </w:p>
    <w:p w14:paraId="767D2F14" w14:textId="77777777" w:rsidR="00D3344B" w:rsidRDefault="00143C25">
      <w:pPr>
        <w:pStyle w:val="Estilo"/>
        <w:rPr>
          <w:rFonts w:cs="Arial"/>
        </w:rPr>
      </w:pPr>
      <w:r>
        <w:rPr>
          <w:rFonts w:cs="Arial"/>
        </w:rPr>
        <w:t xml:space="preserve">Los recargos se causarán hasta por cinco años, salvo en los casos a que se refiere el artículo 78 de este Código, supuestos en los cuales los recargos se causarán hasta en tanto no se extingan las facultades de las autoridades fiscales para determinar las contribuciones o aprovechamientos omitidos y sus accesorios, y se calcularán sobre el total de la contribución o aprovechamiento, excluyendo los propios recargos, la indemnización por expedir cheques no pagados, los gastos de ejecución y las multas por infracciones a disposiciones fiscales.   </w:t>
      </w:r>
    </w:p>
    <w:p w14:paraId="3B841C95" w14:textId="77777777" w:rsidR="00D3344B" w:rsidRDefault="00D3344B">
      <w:pPr>
        <w:pStyle w:val="Estilo"/>
        <w:rPr>
          <w:rFonts w:cs="Arial"/>
        </w:rPr>
      </w:pPr>
    </w:p>
    <w:p w14:paraId="564965F5" w14:textId="77777777" w:rsidR="00D3344B" w:rsidRDefault="00D3344B">
      <w:pPr>
        <w:pStyle w:val="Estilo"/>
        <w:rPr>
          <w:rFonts w:cs="Arial"/>
        </w:rPr>
      </w:pPr>
    </w:p>
    <w:p w14:paraId="58D93C12" w14:textId="77777777" w:rsidR="00D3344B" w:rsidRDefault="00143C25">
      <w:pPr>
        <w:pStyle w:val="Estilo"/>
        <w:rPr>
          <w:rFonts w:cs="Arial"/>
        </w:rPr>
      </w:pPr>
      <w:r>
        <w:rPr>
          <w:rFonts w:cs="Arial"/>
        </w:rPr>
        <w:t>Cuando el pago hubiera sido menor al que corresponda, los recargos se computarán sobre la diferencia.</w:t>
      </w:r>
    </w:p>
    <w:p w14:paraId="20E2771A" w14:textId="77777777" w:rsidR="00D3344B" w:rsidRDefault="00D3344B">
      <w:pPr>
        <w:pStyle w:val="Estilo"/>
        <w:rPr>
          <w:rFonts w:cs="Arial"/>
        </w:rPr>
      </w:pPr>
    </w:p>
    <w:p w14:paraId="2AFFDDE3" w14:textId="77777777" w:rsidR="00D3344B" w:rsidRDefault="00143C25">
      <w:pPr>
        <w:pStyle w:val="Estilo"/>
        <w:rPr>
          <w:rFonts w:cs="Arial"/>
        </w:rPr>
      </w:pPr>
      <w:r>
        <w:rPr>
          <w:rFonts w:cs="Arial"/>
        </w:rPr>
        <w:t>Los recargos se causarán por cada mes o fracción que transcurra a partir del día en que debió hacerse el pago y hasta que el mismo se efectúe.</w:t>
      </w:r>
    </w:p>
    <w:p w14:paraId="34F02535" w14:textId="77777777" w:rsidR="00D3344B" w:rsidRDefault="00D3344B">
      <w:pPr>
        <w:pStyle w:val="Estilo"/>
        <w:rPr>
          <w:rFonts w:cs="Arial"/>
        </w:rPr>
      </w:pPr>
    </w:p>
    <w:p w14:paraId="7BD030A0" w14:textId="77777777" w:rsidR="00D3344B" w:rsidRDefault="00143C25">
      <w:pPr>
        <w:pStyle w:val="Estilo"/>
        <w:rPr>
          <w:rFonts w:cs="Arial"/>
        </w:rPr>
      </w:pPr>
      <w:r>
        <w:rPr>
          <w:rFonts w:cs="Arial"/>
        </w:rPr>
        <w:t>Cuando los recargos determinados por el contribuyente sean inferiores a los que calcule la autoridad fiscal, ésta deberá aceptar el pago y procederá a exigir el remanente.</w:t>
      </w:r>
    </w:p>
    <w:p w14:paraId="7CE66A2D" w14:textId="77777777" w:rsidR="00D3344B" w:rsidRDefault="00D3344B">
      <w:pPr>
        <w:pStyle w:val="Estilo"/>
        <w:rPr>
          <w:rFonts w:cs="Arial"/>
        </w:rPr>
      </w:pPr>
    </w:p>
    <w:p w14:paraId="2E842A86" w14:textId="77777777" w:rsidR="00D3344B" w:rsidRDefault="00143C25">
      <w:pPr>
        <w:pStyle w:val="Estilo"/>
        <w:rPr>
          <w:rFonts w:cs="Arial"/>
        </w:rPr>
      </w:pPr>
      <w:r>
        <w:rPr>
          <w:rFonts w:cs="Arial"/>
          <w:b/>
        </w:rPr>
        <w:t>Artículo 28.</w:t>
      </w:r>
      <w:r>
        <w:rPr>
          <w:rFonts w:cs="Arial"/>
        </w:rPr>
        <w:t xml:space="preserve"> Para efectos fiscales se considerará domicilio de las personas físicas o morales, o responsables solidarios, los siguientes:</w:t>
      </w:r>
    </w:p>
    <w:p w14:paraId="1F6018FE" w14:textId="77777777" w:rsidR="00D3344B" w:rsidRDefault="00D3344B">
      <w:pPr>
        <w:pStyle w:val="Estilo"/>
        <w:rPr>
          <w:rFonts w:cs="Arial"/>
        </w:rPr>
      </w:pPr>
    </w:p>
    <w:p w14:paraId="44AB9899" w14:textId="77777777" w:rsidR="00D3344B" w:rsidRDefault="00143C25">
      <w:pPr>
        <w:pStyle w:val="Estilo"/>
        <w:ind w:left="567" w:hanging="567"/>
        <w:rPr>
          <w:rFonts w:cs="Arial"/>
        </w:rPr>
      </w:pPr>
      <w:r>
        <w:rPr>
          <w:rFonts w:cs="Arial"/>
        </w:rPr>
        <w:t xml:space="preserve">I. </w:t>
      </w:r>
      <w:r>
        <w:rPr>
          <w:rFonts w:cs="Arial"/>
        </w:rPr>
        <w:tab/>
        <w:t>El lugar o lugares en que realicen actividades que generen obligaciones fiscales;</w:t>
      </w:r>
    </w:p>
    <w:p w14:paraId="0609F4A3" w14:textId="77777777" w:rsidR="00D3344B" w:rsidRDefault="00D3344B">
      <w:pPr>
        <w:pStyle w:val="Estilo"/>
        <w:ind w:left="567" w:hanging="567"/>
        <w:rPr>
          <w:rFonts w:cs="Arial"/>
        </w:rPr>
      </w:pPr>
    </w:p>
    <w:p w14:paraId="46FAB687" w14:textId="77777777" w:rsidR="00D3344B" w:rsidRDefault="00143C25">
      <w:pPr>
        <w:pStyle w:val="Estilo"/>
        <w:ind w:left="567" w:hanging="567"/>
        <w:rPr>
          <w:rFonts w:cs="Arial"/>
        </w:rPr>
      </w:pPr>
      <w:r>
        <w:rPr>
          <w:rFonts w:cs="Arial"/>
        </w:rPr>
        <w:t xml:space="preserve">II. </w:t>
      </w:r>
      <w:r>
        <w:rPr>
          <w:rFonts w:cs="Arial"/>
        </w:rPr>
        <w:tab/>
        <w:t>El lugar en que se realice el hecho generador de la obligación fiscal, cuando las actividades no se realicen en forma habitual;</w:t>
      </w:r>
    </w:p>
    <w:p w14:paraId="1B39446B" w14:textId="77777777" w:rsidR="00D3344B" w:rsidRDefault="00D3344B">
      <w:pPr>
        <w:pStyle w:val="Estilo"/>
        <w:ind w:left="567" w:hanging="567"/>
        <w:rPr>
          <w:rFonts w:cs="Arial"/>
        </w:rPr>
      </w:pPr>
    </w:p>
    <w:p w14:paraId="7F027B82" w14:textId="77777777" w:rsidR="00D3344B" w:rsidRDefault="00143C25">
      <w:pPr>
        <w:pStyle w:val="Estilo"/>
        <w:ind w:left="567" w:hanging="567"/>
        <w:rPr>
          <w:rFonts w:cs="Arial"/>
        </w:rPr>
      </w:pPr>
      <w:r>
        <w:rPr>
          <w:rFonts w:cs="Arial"/>
        </w:rPr>
        <w:lastRenderedPageBreak/>
        <w:t xml:space="preserve">III. </w:t>
      </w:r>
      <w:r>
        <w:rPr>
          <w:rFonts w:cs="Arial"/>
        </w:rPr>
        <w:tab/>
        <w:t>Si se trata de sucursales, agencias o depósitos cuya matriz no se encuentre en el Estado o Municipio de que se trate, el lugar donde se establezcan, pero si varias dependen de una misma negociación, deberán señalar a una de ellas para que haga las veces de casa matriz y de no hacerlo en un plazo de quince días a partir de la fecha en que presenten su aviso de iniciación de operaciones, la Secretaría o la Tesorería lo determinará, en su caso;</w:t>
      </w:r>
    </w:p>
    <w:p w14:paraId="1D4924BD" w14:textId="77777777" w:rsidR="00D3344B" w:rsidRDefault="00D3344B">
      <w:pPr>
        <w:pStyle w:val="Estilo"/>
        <w:ind w:left="567" w:hanging="567"/>
        <w:rPr>
          <w:rFonts w:cs="Arial"/>
        </w:rPr>
      </w:pPr>
    </w:p>
    <w:p w14:paraId="1A13198A" w14:textId="77777777" w:rsidR="00D3344B" w:rsidRDefault="00143C25">
      <w:pPr>
        <w:pStyle w:val="Estilo"/>
        <w:ind w:left="567" w:hanging="567"/>
        <w:rPr>
          <w:rFonts w:cs="Arial"/>
        </w:rPr>
      </w:pPr>
      <w:r>
        <w:rPr>
          <w:rFonts w:cs="Arial"/>
        </w:rPr>
        <w:t xml:space="preserve">IV. </w:t>
      </w:r>
      <w:r>
        <w:rPr>
          <w:rFonts w:cs="Arial"/>
        </w:rPr>
        <w:tab/>
        <w:t>Tratándose de personas físicas o morales residentes fuera del Estado, que realicen actividades gravadas dentro del territorio del mismo, a través de representantes, se considerará como su domicilio el del representante, y</w:t>
      </w:r>
    </w:p>
    <w:p w14:paraId="69C7836B" w14:textId="77777777" w:rsidR="00D3344B" w:rsidRDefault="00D3344B">
      <w:pPr>
        <w:pStyle w:val="Estilo"/>
        <w:ind w:left="567" w:hanging="567"/>
        <w:rPr>
          <w:rFonts w:cs="Arial"/>
        </w:rPr>
      </w:pPr>
    </w:p>
    <w:p w14:paraId="26099A3B" w14:textId="77777777" w:rsidR="00D3344B" w:rsidRDefault="00143C25">
      <w:pPr>
        <w:pStyle w:val="Estilo"/>
        <w:ind w:left="567"/>
        <w:rPr>
          <w:rFonts w:cs="Arial"/>
        </w:rPr>
      </w:pPr>
      <w:r>
        <w:rPr>
          <w:rFonts w:cs="Arial"/>
          <w:i/>
          <w:sz w:val="16"/>
        </w:rPr>
        <w:t>N. DE E. EN RELACIÓN CON LA ENTRADA EN VIGOR DE LA PRESENTE FRACCIÓN, VÉASE ARTÍCULO ÚNICO TRANSITORIO DEL DECRETO QUE MODIFICA EL CÓDIGO.</w:t>
      </w:r>
    </w:p>
    <w:p w14:paraId="596E94A9" w14:textId="77777777" w:rsidR="00D3344B" w:rsidRDefault="00143C25">
      <w:pPr>
        <w:pStyle w:val="Estilo"/>
        <w:ind w:left="567" w:hanging="567"/>
        <w:rPr>
          <w:rFonts w:cs="Arial"/>
        </w:rPr>
      </w:pPr>
      <w:r>
        <w:rPr>
          <w:rFonts w:cs="Arial"/>
          <w:i/>
          <w:sz w:val="16"/>
        </w:rPr>
        <w:tab/>
        <w:t>(REFORMADA, P.O. 23 DE DICIEMBRE DE 2008)</w:t>
      </w:r>
    </w:p>
    <w:p w14:paraId="0249FF53" w14:textId="77777777" w:rsidR="00D3344B" w:rsidRDefault="00143C25">
      <w:pPr>
        <w:pStyle w:val="Estilo"/>
        <w:ind w:left="567" w:hanging="567"/>
        <w:rPr>
          <w:rFonts w:cs="Arial"/>
        </w:rPr>
      </w:pPr>
      <w:r>
        <w:rPr>
          <w:rFonts w:cs="Arial"/>
        </w:rPr>
        <w:t xml:space="preserve">V. </w:t>
      </w:r>
      <w:r>
        <w:rPr>
          <w:rFonts w:cs="Arial"/>
        </w:rPr>
        <w:tab/>
        <w:t>Independientemente de lo previsto en las fracciones anteriores, la autoridad fiscal podrá considerar como domicilio fiscal, el que señalen las personas físicas o morales ante la propia autoridad fiscal. En el caso de las personas físicas, que no cuenten con un local se considerará que su casa habitación es su domicilio fiscal. En ningún caso se podrá señalar domicilio fuera del territorio del estado o del municipio de que se trate, para efectos de cumplir obligaciones fiscales;</w:t>
      </w:r>
    </w:p>
    <w:p w14:paraId="6BD4C427" w14:textId="77777777" w:rsidR="00D3344B" w:rsidRDefault="00D3344B">
      <w:pPr>
        <w:pStyle w:val="Estilo"/>
        <w:ind w:left="567" w:hanging="567"/>
        <w:rPr>
          <w:rFonts w:cs="Arial"/>
        </w:rPr>
      </w:pPr>
    </w:p>
    <w:p w14:paraId="5C76046E" w14:textId="77777777" w:rsidR="00D3344B" w:rsidRDefault="00143C25">
      <w:pPr>
        <w:pStyle w:val="Estilo"/>
        <w:ind w:left="567"/>
        <w:rPr>
          <w:rFonts w:cs="Arial"/>
        </w:rPr>
      </w:pPr>
      <w:r>
        <w:rPr>
          <w:rFonts w:cs="Arial"/>
          <w:i/>
          <w:sz w:val="16"/>
        </w:rPr>
        <w:t>N. DE E. EN RELACIÓN CON LA ENTRADA EN VIGOR DE LA PRESENTE FRACCIÓN, VÉASE ARTÍCULO ÚNICO TRANSITORIO DEL DECRETO QUE MODIFICA EL CÓDIGO.</w:t>
      </w:r>
    </w:p>
    <w:p w14:paraId="3694CEE5" w14:textId="77777777" w:rsidR="00D3344B" w:rsidRDefault="00143C25">
      <w:pPr>
        <w:pStyle w:val="Estilo"/>
        <w:ind w:left="567" w:hanging="567"/>
        <w:rPr>
          <w:rFonts w:cs="Arial"/>
        </w:rPr>
      </w:pPr>
      <w:r>
        <w:rPr>
          <w:rFonts w:cs="Arial"/>
          <w:i/>
          <w:sz w:val="16"/>
        </w:rPr>
        <w:tab/>
        <w:t>(ADICIONADA, P.O. 7 DE DICIEMBRE DE 2009)</w:t>
      </w:r>
    </w:p>
    <w:p w14:paraId="05D2065B" w14:textId="77777777" w:rsidR="00D3344B" w:rsidRDefault="00143C25">
      <w:pPr>
        <w:pStyle w:val="Estilo"/>
        <w:ind w:left="567" w:hanging="567"/>
        <w:rPr>
          <w:rFonts w:cs="Arial"/>
        </w:rPr>
      </w:pPr>
      <w:r>
        <w:rPr>
          <w:rFonts w:cs="Arial"/>
        </w:rPr>
        <w:t xml:space="preserve">VI. </w:t>
      </w:r>
      <w:r>
        <w:rPr>
          <w:rFonts w:cs="Arial"/>
        </w:rPr>
        <w:tab/>
        <w:t>Cuando los contribuyentes no hayan designado o manifestado un domicilio fiscal estando obligados a ello, o hubieran designado como domicilio fiscal un lugar distinto al que les corresponda o cuando hayan manifestado un domicilio ficticio, las autoridades fiscales podrán practicar diligencias en cualquier lugar en que los contribuyentes realicen su actividad preponderante o en el lugar que conforme a este artículo se considere su domicilio, indistintamente.</w:t>
      </w:r>
    </w:p>
    <w:p w14:paraId="654A7865" w14:textId="77777777" w:rsidR="00D3344B" w:rsidRDefault="00D3344B">
      <w:pPr>
        <w:pStyle w:val="Estilo"/>
        <w:rPr>
          <w:rFonts w:cs="Arial"/>
        </w:rPr>
      </w:pPr>
    </w:p>
    <w:p w14:paraId="74F9A264" w14:textId="77777777" w:rsidR="00D3344B" w:rsidRDefault="00143C25">
      <w:pPr>
        <w:pStyle w:val="Estilo"/>
        <w:rPr>
          <w:rFonts w:cs="Arial"/>
        </w:rPr>
      </w:pPr>
      <w:r>
        <w:rPr>
          <w:rFonts w:cs="Arial"/>
          <w:i/>
          <w:sz w:val="16"/>
        </w:rPr>
        <w:t>(ADICIONADO, P.O. 31 DE DICIEMBRE DE 2007)</w:t>
      </w:r>
    </w:p>
    <w:p w14:paraId="27D7BF28" w14:textId="77777777" w:rsidR="00D3344B" w:rsidRDefault="00143C25">
      <w:pPr>
        <w:pStyle w:val="Estilo"/>
        <w:rPr>
          <w:rFonts w:cs="Arial"/>
        </w:rPr>
      </w:pPr>
      <w:r>
        <w:rPr>
          <w:rFonts w:cs="Arial"/>
        </w:rPr>
        <w:t>Se considera que hay cambio de domicilio fiscal, cuando el contribuyente lo establezca en lugar distinto al que se tiene manifestado.</w:t>
      </w:r>
    </w:p>
    <w:p w14:paraId="1ACD1981" w14:textId="77777777" w:rsidR="00D3344B" w:rsidRDefault="00D3344B">
      <w:pPr>
        <w:pStyle w:val="Estilo"/>
        <w:rPr>
          <w:rFonts w:cs="Arial"/>
        </w:rPr>
      </w:pPr>
    </w:p>
    <w:p w14:paraId="495837A3" w14:textId="77777777" w:rsidR="00D3344B" w:rsidRDefault="00143C25">
      <w:pPr>
        <w:pStyle w:val="Estilo"/>
        <w:rPr>
          <w:rFonts w:cs="Arial"/>
        </w:rPr>
      </w:pPr>
      <w:r>
        <w:rPr>
          <w:rFonts w:cs="Arial"/>
          <w:i/>
          <w:sz w:val="16"/>
        </w:rPr>
        <w:t>(ADICIONADO, P.O. 31 DE DICIEMBRE DE 2007)</w:t>
      </w:r>
    </w:p>
    <w:p w14:paraId="585B56E2" w14:textId="77777777" w:rsidR="00D3344B" w:rsidRDefault="00143C25">
      <w:pPr>
        <w:pStyle w:val="Estilo"/>
        <w:rPr>
          <w:rFonts w:cs="Arial"/>
        </w:rPr>
      </w:pPr>
      <w:r>
        <w:rPr>
          <w:rFonts w:cs="Arial"/>
        </w:rPr>
        <w:t xml:space="preserve">El aviso de cambio de domicilio fiscal deberá presentarse dentro del mes siguiente al día en que tenga lugar la situación jurídica </w:t>
      </w:r>
      <w:proofErr w:type="gramStart"/>
      <w:r>
        <w:rPr>
          <w:rFonts w:cs="Arial"/>
        </w:rPr>
        <w:t>o</w:t>
      </w:r>
      <w:proofErr w:type="gramEnd"/>
      <w:r>
        <w:rPr>
          <w:rFonts w:cs="Arial"/>
        </w:rPr>
        <w:t xml:space="preserve"> de hecho, ante la Oficina Recaudadora que corresponda al nuevo domicilio fiscal, mediante las formas oficiales aprobadas.</w:t>
      </w:r>
    </w:p>
    <w:p w14:paraId="432100CE" w14:textId="77777777" w:rsidR="00D3344B" w:rsidRDefault="00D3344B">
      <w:pPr>
        <w:pStyle w:val="Estilo"/>
        <w:rPr>
          <w:rFonts w:cs="Arial"/>
        </w:rPr>
      </w:pPr>
    </w:p>
    <w:p w14:paraId="6428BD78" w14:textId="77777777" w:rsidR="00D3344B" w:rsidRDefault="00143C25">
      <w:pPr>
        <w:pStyle w:val="Estilo"/>
        <w:rPr>
          <w:rFonts w:cs="Arial"/>
        </w:rPr>
      </w:pPr>
      <w:r>
        <w:rPr>
          <w:rFonts w:cs="Arial"/>
          <w:b/>
        </w:rPr>
        <w:t>Artículo 29.</w:t>
      </w:r>
      <w:r>
        <w:rPr>
          <w:rFonts w:cs="Arial"/>
        </w:rPr>
        <w:t xml:space="preserve"> Son responsables solidarios del pago de créditos fiscales:</w:t>
      </w:r>
    </w:p>
    <w:p w14:paraId="09F98E3F" w14:textId="77777777" w:rsidR="00D3344B" w:rsidRDefault="00D3344B">
      <w:pPr>
        <w:pStyle w:val="Estilo"/>
        <w:rPr>
          <w:rFonts w:cs="Arial"/>
        </w:rPr>
      </w:pPr>
    </w:p>
    <w:p w14:paraId="45D2BEB5" w14:textId="77777777" w:rsidR="00D3344B" w:rsidRDefault="00143C25">
      <w:pPr>
        <w:pStyle w:val="Estilo"/>
        <w:ind w:left="567" w:hanging="567"/>
        <w:rPr>
          <w:rFonts w:cs="Arial"/>
        </w:rPr>
      </w:pPr>
      <w:r>
        <w:rPr>
          <w:rFonts w:cs="Arial"/>
        </w:rPr>
        <w:t xml:space="preserve">I. </w:t>
      </w:r>
      <w:r>
        <w:rPr>
          <w:rFonts w:cs="Arial"/>
        </w:rPr>
        <w:tab/>
        <w:t>Las personas que manifiesten expresamente su voluntad de asumir responsabilidad solidaria;</w:t>
      </w:r>
    </w:p>
    <w:p w14:paraId="40EB0BF5" w14:textId="77777777" w:rsidR="00D3344B" w:rsidRDefault="00D3344B">
      <w:pPr>
        <w:pStyle w:val="Estilo"/>
        <w:ind w:left="567" w:hanging="567"/>
        <w:rPr>
          <w:rFonts w:cs="Arial"/>
        </w:rPr>
      </w:pPr>
    </w:p>
    <w:p w14:paraId="1436868E" w14:textId="77777777" w:rsidR="00D3344B" w:rsidRDefault="00143C25">
      <w:pPr>
        <w:pStyle w:val="Estilo"/>
        <w:ind w:left="567" w:hanging="567"/>
        <w:rPr>
          <w:rFonts w:cs="Arial"/>
        </w:rPr>
      </w:pPr>
      <w:r>
        <w:rPr>
          <w:rFonts w:cs="Arial"/>
        </w:rPr>
        <w:t xml:space="preserve">II. </w:t>
      </w:r>
      <w:r>
        <w:rPr>
          <w:rFonts w:cs="Arial"/>
        </w:rPr>
        <w:tab/>
        <w:t>Los retenedores y las personas a quienes la ley imponga la obligación de recaudar contribuciones, hasta por el importe de las mismas;</w:t>
      </w:r>
    </w:p>
    <w:p w14:paraId="0AD4B32E" w14:textId="77777777" w:rsidR="00D3344B" w:rsidRDefault="00D3344B">
      <w:pPr>
        <w:pStyle w:val="Estilo"/>
        <w:ind w:left="567" w:hanging="567"/>
        <w:rPr>
          <w:rFonts w:cs="Arial"/>
        </w:rPr>
      </w:pPr>
    </w:p>
    <w:p w14:paraId="1CEAAB07" w14:textId="77777777" w:rsidR="00D3344B" w:rsidRDefault="00143C25">
      <w:pPr>
        <w:pStyle w:val="Estilo"/>
        <w:ind w:left="567" w:hanging="567"/>
        <w:rPr>
          <w:rFonts w:cs="Arial"/>
        </w:rPr>
      </w:pPr>
      <w:r>
        <w:rPr>
          <w:rFonts w:cs="Arial"/>
        </w:rPr>
        <w:t xml:space="preserve">III. </w:t>
      </w:r>
      <w:r>
        <w:rPr>
          <w:rFonts w:cs="Arial"/>
        </w:rPr>
        <w:tab/>
        <w:t>Los adquirentes de bienes muebles, negociaciones o inmuebles respecto de las contribuciones que hayan omitido los enajenantes de los mismos o que se hubieren causado en la negociación, cuando pertenecía a otra persona, hasta por el valor de la propia negociación o del bien;</w:t>
      </w:r>
    </w:p>
    <w:p w14:paraId="71AFF1AC" w14:textId="77777777" w:rsidR="00D3344B" w:rsidRDefault="00D3344B">
      <w:pPr>
        <w:pStyle w:val="Estilo"/>
        <w:ind w:left="567" w:hanging="567"/>
        <w:rPr>
          <w:rFonts w:cs="Arial"/>
        </w:rPr>
      </w:pPr>
    </w:p>
    <w:p w14:paraId="05D7544A" w14:textId="77777777" w:rsidR="00D3344B" w:rsidRDefault="00143C25">
      <w:pPr>
        <w:pStyle w:val="Estilo"/>
        <w:ind w:left="567" w:hanging="567"/>
        <w:rPr>
          <w:rFonts w:cs="Arial"/>
        </w:rPr>
      </w:pPr>
      <w:r>
        <w:rPr>
          <w:rFonts w:cs="Arial"/>
        </w:rPr>
        <w:t xml:space="preserve">IV. </w:t>
      </w:r>
      <w:r>
        <w:rPr>
          <w:rFonts w:cs="Arial"/>
        </w:rPr>
        <w:tab/>
        <w:t>Los tutores y quienes ejerzan la patria potestad, respecto de las contribuciones a cargo de su representado;</w:t>
      </w:r>
    </w:p>
    <w:p w14:paraId="30C957A7" w14:textId="77777777" w:rsidR="00D3344B" w:rsidRDefault="00D3344B">
      <w:pPr>
        <w:pStyle w:val="Estilo"/>
        <w:ind w:left="567" w:hanging="567"/>
        <w:rPr>
          <w:rFonts w:cs="Arial"/>
        </w:rPr>
      </w:pPr>
    </w:p>
    <w:p w14:paraId="3734610F" w14:textId="77777777" w:rsidR="00D3344B" w:rsidRDefault="00143C25">
      <w:pPr>
        <w:pStyle w:val="Estilo"/>
        <w:ind w:left="567" w:hanging="567"/>
        <w:rPr>
          <w:rFonts w:cs="Arial"/>
        </w:rPr>
      </w:pPr>
      <w:r>
        <w:rPr>
          <w:rFonts w:cs="Arial"/>
        </w:rPr>
        <w:t xml:space="preserve">V. </w:t>
      </w:r>
      <w:r>
        <w:rPr>
          <w:rFonts w:cs="Arial"/>
        </w:rPr>
        <w:tab/>
        <w:t>Los mandatarios, albaceas y demás representantes legales, por los créditos fiscales cuyo pago haya sido omitido por sus mandantes o representados;</w:t>
      </w:r>
    </w:p>
    <w:p w14:paraId="6F7C498C" w14:textId="77777777" w:rsidR="00D3344B" w:rsidRDefault="00D3344B">
      <w:pPr>
        <w:pStyle w:val="Estilo"/>
        <w:ind w:left="567" w:hanging="567"/>
        <w:rPr>
          <w:rFonts w:cs="Arial"/>
        </w:rPr>
      </w:pPr>
    </w:p>
    <w:p w14:paraId="0E1E7C8B" w14:textId="77777777" w:rsidR="00D3344B" w:rsidRDefault="00143C25">
      <w:pPr>
        <w:pStyle w:val="Estilo"/>
        <w:ind w:left="567" w:hanging="567"/>
        <w:rPr>
          <w:rFonts w:cs="Arial"/>
        </w:rPr>
      </w:pPr>
      <w:r>
        <w:rPr>
          <w:rFonts w:cs="Arial"/>
          <w:i/>
          <w:sz w:val="16"/>
        </w:rPr>
        <w:tab/>
        <w:t>(REFORMADA, P.O. 31 DE DICIEMBRE DE 2007)</w:t>
      </w:r>
    </w:p>
    <w:p w14:paraId="429C9D90" w14:textId="77777777" w:rsidR="00D3344B" w:rsidRDefault="00143C25">
      <w:pPr>
        <w:pStyle w:val="Estilo"/>
        <w:ind w:left="567" w:hanging="567"/>
        <w:rPr>
          <w:rFonts w:cs="Arial"/>
        </w:rPr>
      </w:pPr>
      <w:r>
        <w:rPr>
          <w:rFonts w:cs="Arial"/>
        </w:rPr>
        <w:t xml:space="preserve">VI. </w:t>
      </w:r>
      <w:r>
        <w:rPr>
          <w:rFonts w:cs="Arial"/>
        </w:rPr>
        <w:tab/>
        <w:t>Los servidores públicos, notarios y corredores que autoricen algún acto jurídico, expidan testimonios o den trámite a algún documento en que se consignen actos, convenios, contratos u operaciones, si no se cercioran de que se han cubierto los impuestos o derechos respectivos, o no den cumplimiento a las disposiciones correspondientes que regulen el pago de gravámenes;</w:t>
      </w:r>
    </w:p>
    <w:p w14:paraId="0D557894" w14:textId="77777777" w:rsidR="00D3344B" w:rsidRDefault="00D3344B">
      <w:pPr>
        <w:pStyle w:val="Estilo"/>
        <w:ind w:left="567" w:hanging="567"/>
        <w:rPr>
          <w:rFonts w:cs="Arial"/>
        </w:rPr>
      </w:pPr>
    </w:p>
    <w:p w14:paraId="22FF8262" w14:textId="77777777" w:rsidR="00D3344B" w:rsidRDefault="00143C25">
      <w:pPr>
        <w:pStyle w:val="Estilo"/>
        <w:ind w:left="567" w:hanging="567"/>
        <w:rPr>
          <w:rFonts w:cs="Arial"/>
        </w:rPr>
      </w:pPr>
      <w:r>
        <w:rPr>
          <w:rFonts w:cs="Arial"/>
        </w:rPr>
        <w:t xml:space="preserve">VII. </w:t>
      </w:r>
      <w:r>
        <w:rPr>
          <w:rFonts w:cs="Arial"/>
        </w:rPr>
        <w:tab/>
        <w:t>Los herederos, legatarios o donatarios, respecto de los créditos fiscales causados con relación a los bienes que les hubieren sido heredados, legados o donados, hasta por el monto del valor de los mismos;</w:t>
      </w:r>
    </w:p>
    <w:p w14:paraId="3F39C16B" w14:textId="77777777" w:rsidR="00D3344B" w:rsidRDefault="00D3344B">
      <w:pPr>
        <w:pStyle w:val="Estilo"/>
        <w:ind w:left="567" w:hanging="567"/>
        <w:rPr>
          <w:rFonts w:cs="Arial"/>
        </w:rPr>
      </w:pPr>
    </w:p>
    <w:p w14:paraId="25BDFB37" w14:textId="77777777" w:rsidR="00D3344B" w:rsidRDefault="00143C25">
      <w:pPr>
        <w:pStyle w:val="Estilo"/>
        <w:ind w:left="567" w:hanging="567"/>
        <w:rPr>
          <w:rFonts w:cs="Arial"/>
        </w:rPr>
      </w:pPr>
      <w:r>
        <w:rPr>
          <w:rFonts w:cs="Arial"/>
        </w:rPr>
        <w:t xml:space="preserve">VIII. </w:t>
      </w:r>
      <w:r>
        <w:rPr>
          <w:rFonts w:cs="Arial"/>
        </w:rPr>
        <w:tab/>
        <w:t>Los socios, accionistas, liquidadores, síndicos, administradores, directores, gerentes o quienes ejerzan esas funciones, independientemente del nombre que reciban, en las sociedades civiles y mercantiles, en la parte del crédito fiscal que no se garantice con los bienes de la sociedad, durante el período de su gestión o participación en la sociedad, de acuerdo a lo que establezcan las leyes civiles y mercantiles, y</w:t>
      </w:r>
    </w:p>
    <w:p w14:paraId="045B428D" w14:textId="77777777" w:rsidR="00D3344B" w:rsidRDefault="00D3344B">
      <w:pPr>
        <w:pStyle w:val="Estilo"/>
        <w:ind w:left="567" w:hanging="567"/>
        <w:rPr>
          <w:rFonts w:cs="Arial"/>
        </w:rPr>
      </w:pPr>
    </w:p>
    <w:p w14:paraId="3C14DF55" w14:textId="77777777" w:rsidR="00D3344B" w:rsidRDefault="00143C25">
      <w:pPr>
        <w:pStyle w:val="Estilo"/>
        <w:ind w:left="567" w:hanging="567"/>
        <w:rPr>
          <w:rFonts w:cs="Arial"/>
        </w:rPr>
      </w:pPr>
      <w:r>
        <w:rPr>
          <w:rFonts w:cs="Arial"/>
        </w:rPr>
        <w:t xml:space="preserve">IX. </w:t>
      </w:r>
      <w:r>
        <w:rPr>
          <w:rFonts w:cs="Arial"/>
        </w:rPr>
        <w:tab/>
        <w:t>Los terceros que para garantizar el interés fiscal constituyan depósito, prenda o hipoteca o permitan el secuestro de bienes, hasta por el valor de los dados en garantía, sin que en ningún caso su responsabilidad exceda del monto del interés garantizado;</w:t>
      </w:r>
    </w:p>
    <w:p w14:paraId="07C89DFE" w14:textId="77777777" w:rsidR="00D3344B" w:rsidRDefault="00D3344B">
      <w:pPr>
        <w:pStyle w:val="Estilo"/>
        <w:ind w:left="567" w:hanging="567"/>
        <w:rPr>
          <w:rFonts w:cs="Arial"/>
        </w:rPr>
      </w:pPr>
    </w:p>
    <w:p w14:paraId="3661D225" w14:textId="77777777" w:rsidR="00D3344B" w:rsidRDefault="00143C25">
      <w:pPr>
        <w:pStyle w:val="Estilo"/>
        <w:ind w:left="567" w:hanging="567"/>
        <w:rPr>
          <w:rFonts w:cs="Arial"/>
        </w:rPr>
      </w:pPr>
      <w:r>
        <w:rPr>
          <w:rFonts w:cs="Arial"/>
          <w:i/>
          <w:sz w:val="16"/>
        </w:rPr>
        <w:tab/>
        <w:t>(ADICIONADA, P.O. 24 DE DICIEMBRE DE 2003)</w:t>
      </w:r>
    </w:p>
    <w:p w14:paraId="61C7AA1C" w14:textId="77777777" w:rsidR="00D3344B" w:rsidRDefault="00143C25">
      <w:pPr>
        <w:pStyle w:val="Estilo"/>
        <w:ind w:left="567" w:hanging="567"/>
        <w:rPr>
          <w:rFonts w:cs="Arial"/>
        </w:rPr>
      </w:pPr>
      <w:r>
        <w:rPr>
          <w:rFonts w:cs="Arial"/>
        </w:rPr>
        <w:t xml:space="preserve">X. </w:t>
      </w:r>
      <w:r>
        <w:rPr>
          <w:rFonts w:cs="Arial"/>
        </w:rPr>
        <w:tab/>
        <w:t>Los encargados o quienes se beneficien directamente con la organización de un espectáculo público.</w:t>
      </w:r>
    </w:p>
    <w:p w14:paraId="43D5D7C0" w14:textId="77777777" w:rsidR="00D3344B" w:rsidRDefault="00D3344B">
      <w:pPr>
        <w:pStyle w:val="Estilo"/>
        <w:rPr>
          <w:rFonts w:cs="Arial"/>
        </w:rPr>
      </w:pPr>
    </w:p>
    <w:p w14:paraId="7DC2C9F2" w14:textId="77777777" w:rsidR="00D3344B" w:rsidRDefault="00143C25">
      <w:pPr>
        <w:pStyle w:val="Estilo"/>
        <w:rPr>
          <w:rFonts w:cs="Arial"/>
        </w:rPr>
      </w:pPr>
      <w:r>
        <w:rPr>
          <w:rFonts w:cs="Arial"/>
          <w:b/>
        </w:rPr>
        <w:t>Artículo 30.</w:t>
      </w:r>
      <w:r>
        <w:rPr>
          <w:rFonts w:cs="Arial"/>
        </w:rPr>
        <w:t xml:space="preserve"> El Gobernador o los ayuntamientos, según corresponda, mediante resoluciones de carácter general podrán:</w:t>
      </w:r>
    </w:p>
    <w:p w14:paraId="34CA4A04" w14:textId="77777777" w:rsidR="00D3344B" w:rsidRDefault="00D3344B">
      <w:pPr>
        <w:pStyle w:val="Estilo"/>
        <w:rPr>
          <w:rFonts w:cs="Arial"/>
        </w:rPr>
      </w:pPr>
    </w:p>
    <w:p w14:paraId="4F865418" w14:textId="77777777" w:rsidR="00D3344B" w:rsidRDefault="00143C25">
      <w:pPr>
        <w:pStyle w:val="Estilo"/>
        <w:ind w:left="567" w:hanging="567"/>
        <w:rPr>
          <w:rFonts w:cs="Arial"/>
        </w:rPr>
      </w:pPr>
      <w:r>
        <w:rPr>
          <w:rFonts w:cs="Arial"/>
        </w:rPr>
        <w:t xml:space="preserve">I. </w:t>
      </w:r>
      <w:r>
        <w:rPr>
          <w:rFonts w:cs="Arial"/>
        </w:rPr>
        <w:tab/>
        <w:t>Condonar, subsidiar o eximir total o parcialmente, del pago de contribuciones, aprovechamientos o sus accesorios, por causas de fuerza mayor o cuando se afecte la situación económica de algún municipio o región del Estado, y</w:t>
      </w:r>
    </w:p>
    <w:p w14:paraId="6F54F1FC" w14:textId="77777777" w:rsidR="00D3344B" w:rsidRDefault="00D3344B">
      <w:pPr>
        <w:pStyle w:val="Estilo"/>
        <w:ind w:left="567" w:hanging="567"/>
        <w:rPr>
          <w:rFonts w:cs="Arial"/>
        </w:rPr>
      </w:pPr>
    </w:p>
    <w:p w14:paraId="28D44583" w14:textId="77777777" w:rsidR="00D3344B" w:rsidRDefault="00143C25">
      <w:pPr>
        <w:pStyle w:val="Estilo"/>
        <w:ind w:left="567" w:hanging="567"/>
        <w:rPr>
          <w:rFonts w:cs="Arial"/>
        </w:rPr>
      </w:pPr>
      <w:r>
        <w:rPr>
          <w:rFonts w:cs="Arial"/>
        </w:rPr>
        <w:lastRenderedPageBreak/>
        <w:t xml:space="preserve">II. </w:t>
      </w:r>
      <w:r>
        <w:rPr>
          <w:rFonts w:cs="Arial"/>
        </w:rPr>
        <w:tab/>
        <w:t>Dictar las medidas necesarias para facilitar el cumplimiento de las obligaciones fiscales y para propiciar el fortalecimiento de alguna rama productiva.</w:t>
      </w:r>
    </w:p>
    <w:p w14:paraId="727B7AE5" w14:textId="77777777" w:rsidR="00D3344B" w:rsidRDefault="00D3344B">
      <w:pPr>
        <w:pStyle w:val="Estilo"/>
        <w:rPr>
          <w:rFonts w:cs="Arial"/>
        </w:rPr>
      </w:pPr>
    </w:p>
    <w:p w14:paraId="062687E6" w14:textId="77777777" w:rsidR="00D3344B" w:rsidRDefault="00143C25">
      <w:pPr>
        <w:pStyle w:val="Estilo"/>
        <w:rPr>
          <w:rFonts w:cs="Arial"/>
        </w:rPr>
      </w:pPr>
      <w:r>
        <w:rPr>
          <w:rFonts w:cs="Arial"/>
          <w:i/>
          <w:sz w:val="16"/>
        </w:rPr>
        <w:t>(REFORMADO, P.O. 30 DE DICIEMBRE DE 2006)</w:t>
      </w:r>
    </w:p>
    <w:p w14:paraId="0F383AD4" w14:textId="77777777" w:rsidR="00D3344B" w:rsidRDefault="00143C25">
      <w:pPr>
        <w:pStyle w:val="Estilo"/>
        <w:rPr>
          <w:rFonts w:cs="Arial"/>
        </w:rPr>
      </w:pPr>
      <w:r>
        <w:rPr>
          <w:rFonts w:cs="Arial"/>
          <w:b/>
        </w:rPr>
        <w:t>Artículo 31.</w:t>
      </w:r>
      <w:r>
        <w:rPr>
          <w:rFonts w:cs="Arial"/>
        </w:rPr>
        <w:t xml:space="preserve"> La Secretaría y los presidentes municipales en sus respectivas competencias podrán, previa solicitud del contribuyente, autorizar el pago diferido o en parcialidades de contribuciones omitidas y sus accesorios, sin que el plazo exceda del término de doce meses.</w:t>
      </w:r>
    </w:p>
    <w:p w14:paraId="7B359A4C" w14:textId="77777777" w:rsidR="00D3344B" w:rsidRDefault="00D3344B">
      <w:pPr>
        <w:pStyle w:val="Estilo"/>
        <w:rPr>
          <w:rFonts w:cs="Arial"/>
        </w:rPr>
      </w:pPr>
    </w:p>
    <w:p w14:paraId="526D5A28" w14:textId="77777777" w:rsidR="00D3344B" w:rsidRDefault="00143C25">
      <w:pPr>
        <w:pStyle w:val="Estilo"/>
        <w:rPr>
          <w:rFonts w:cs="Arial"/>
        </w:rPr>
      </w:pPr>
      <w:r>
        <w:rPr>
          <w:rFonts w:cs="Arial"/>
          <w:b/>
        </w:rPr>
        <w:t>Artículo 32.</w:t>
      </w:r>
      <w:r>
        <w:rPr>
          <w:rFonts w:cs="Arial"/>
        </w:rPr>
        <w:t xml:space="preserve"> El crédito fiscal podrá ser exigible de manera inmediata y, en consecuencia, cesará la autorización de pago diferido o en parcialidades, cuando el contribuyente no cumpla con cualesquiera de los pagos que se le hubieren autorizado en la fecha establecida en la autorización o dentro del plazo concedido o cuando el contribuyente incurra en alguna de las causas siguientes:</w:t>
      </w:r>
    </w:p>
    <w:p w14:paraId="482896CF" w14:textId="77777777" w:rsidR="00D3344B" w:rsidRDefault="00D3344B">
      <w:pPr>
        <w:pStyle w:val="Estilo"/>
        <w:rPr>
          <w:rFonts w:cs="Arial"/>
        </w:rPr>
      </w:pPr>
    </w:p>
    <w:p w14:paraId="582E5AB7" w14:textId="77777777" w:rsidR="00D3344B" w:rsidRDefault="00143C25">
      <w:pPr>
        <w:pStyle w:val="Estilo"/>
        <w:ind w:left="567" w:hanging="567"/>
        <w:rPr>
          <w:rFonts w:cs="Arial"/>
        </w:rPr>
      </w:pPr>
      <w:r>
        <w:rPr>
          <w:rFonts w:cs="Arial"/>
        </w:rPr>
        <w:t xml:space="preserve">I. </w:t>
      </w:r>
      <w:r>
        <w:rPr>
          <w:rFonts w:cs="Arial"/>
        </w:rPr>
        <w:tab/>
        <w:t>Cambie su domicilio fiscal sin dar aviso a la autoridad fiscal que otorgó la autorización, y</w:t>
      </w:r>
    </w:p>
    <w:p w14:paraId="055AFE51" w14:textId="77777777" w:rsidR="00D3344B" w:rsidRDefault="00D3344B">
      <w:pPr>
        <w:pStyle w:val="Estilo"/>
        <w:ind w:left="567" w:hanging="567"/>
        <w:rPr>
          <w:rFonts w:cs="Arial"/>
        </w:rPr>
      </w:pPr>
    </w:p>
    <w:p w14:paraId="0EDB291E" w14:textId="77777777" w:rsidR="00D3344B" w:rsidRDefault="00143C25">
      <w:pPr>
        <w:pStyle w:val="Estilo"/>
        <w:ind w:left="567" w:hanging="567"/>
        <w:rPr>
          <w:rFonts w:cs="Arial"/>
        </w:rPr>
      </w:pPr>
      <w:r>
        <w:rPr>
          <w:rFonts w:cs="Arial"/>
        </w:rPr>
        <w:t xml:space="preserve">II. </w:t>
      </w:r>
      <w:r>
        <w:rPr>
          <w:rFonts w:cs="Arial"/>
        </w:rPr>
        <w:tab/>
        <w:t>No garantice o resulte insuficiente la garantía del interés fiscal.</w:t>
      </w:r>
    </w:p>
    <w:p w14:paraId="08C52683" w14:textId="77777777" w:rsidR="00D3344B" w:rsidRDefault="00D3344B">
      <w:pPr>
        <w:pStyle w:val="Estilo"/>
        <w:rPr>
          <w:rFonts w:cs="Arial"/>
        </w:rPr>
      </w:pPr>
    </w:p>
    <w:p w14:paraId="0E63356D" w14:textId="77777777" w:rsidR="00D3344B" w:rsidRDefault="00D3344B">
      <w:pPr>
        <w:pStyle w:val="Estilo"/>
        <w:rPr>
          <w:rFonts w:cs="Arial"/>
        </w:rPr>
      </w:pPr>
    </w:p>
    <w:p w14:paraId="0F05552B" w14:textId="77777777" w:rsidR="00D3344B" w:rsidRDefault="00143C25">
      <w:pPr>
        <w:pStyle w:val="Estilo"/>
        <w:jc w:val="center"/>
        <w:rPr>
          <w:rFonts w:cs="Arial"/>
          <w:b/>
        </w:rPr>
      </w:pPr>
      <w:r>
        <w:rPr>
          <w:rFonts w:cs="Arial"/>
          <w:b/>
        </w:rPr>
        <w:t>Sección Segunda</w:t>
      </w:r>
    </w:p>
    <w:p w14:paraId="5AA0F96F" w14:textId="77777777" w:rsidR="00D3344B" w:rsidRDefault="00143C25">
      <w:pPr>
        <w:pStyle w:val="Estilo"/>
        <w:jc w:val="center"/>
        <w:rPr>
          <w:rFonts w:cs="Arial"/>
          <w:b/>
        </w:rPr>
      </w:pPr>
      <w:r>
        <w:rPr>
          <w:rFonts w:cs="Arial"/>
          <w:b/>
        </w:rPr>
        <w:t>Pago de Contribuciones y Créditos Fiscales</w:t>
      </w:r>
    </w:p>
    <w:p w14:paraId="6C8DF49C" w14:textId="77777777" w:rsidR="00D3344B" w:rsidRDefault="00D3344B">
      <w:pPr>
        <w:pStyle w:val="Estilo"/>
        <w:rPr>
          <w:rFonts w:cs="Arial"/>
        </w:rPr>
      </w:pPr>
    </w:p>
    <w:p w14:paraId="1CEDE3FC"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6D4FEFD2" w14:textId="77777777" w:rsidR="00D3344B" w:rsidRDefault="00143C25">
      <w:pPr>
        <w:pStyle w:val="Estilo"/>
        <w:rPr>
          <w:rFonts w:cs="Arial"/>
        </w:rPr>
      </w:pPr>
      <w:r>
        <w:rPr>
          <w:rFonts w:cs="Arial"/>
          <w:i/>
          <w:sz w:val="16"/>
        </w:rPr>
        <w:t>(REFORMADO PRIMER PÁRRAFO, P.O. 23 DE DICIEMBRE DE 2008)</w:t>
      </w:r>
    </w:p>
    <w:p w14:paraId="2EB02AC0" w14:textId="77777777" w:rsidR="00D3344B" w:rsidRDefault="00143C25">
      <w:pPr>
        <w:pStyle w:val="Estilo"/>
        <w:rPr>
          <w:rFonts w:cs="Arial"/>
        </w:rPr>
      </w:pPr>
      <w:r>
        <w:rPr>
          <w:rFonts w:cs="Arial"/>
          <w:b/>
        </w:rPr>
        <w:t>Artículo 33.</w:t>
      </w:r>
      <w:r>
        <w:rPr>
          <w:rFonts w:cs="Arial"/>
        </w:rPr>
        <w:t xml:space="preserve"> Los pagos podrán hacerse indistintamente en efectivo; con cheque de caja o certificado; con tarjeta de crédito o débito; por transferencia electrónica o vía internet.</w:t>
      </w:r>
    </w:p>
    <w:p w14:paraId="3764CB1D" w14:textId="77777777" w:rsidR="00D3344B" w:rsidRDefault="00D3344B">
      <w:pPr>
        <w:pStyle w:val="Estilo"/>
        <w:rPr>
          <w:rFonts w:cs="Arial"/>
        </w:rPr>
      </w:pPr>
    </w:p>
    <w:p w14:paraId="30D0D654" w14:textId="77777777" w:rsidR="00D3344B" w:rsidRDefault="00143C25">
      <w:pPr>
        <w:pStyle w:val="Estilo"/>
        <w:rPr>
          <w:rFonts w:cs="Arial"/>
        </w:rPr>
      </w:pPr>
      <w:r>
        <w:rPr>
          <w:rFonts w:cs="Arial"/>
        </w:rPr>
        <w:t>Los pagos que se pretendan hacer en forma distinta, deberán ser autorizados previamente por la autoridad fiscal que corresponda, quien en este caso recibirá el pago con la condición salvo buen cobro.</w:t>
      </w:r>
    </w:p>
    <w:p w14:paraId="56BB103B" w14:textId="77777777" w:rsidR="00D3344B" w:rsidRDefault="00D3344B">
      <w:pPr>
        <w:pStyle w:val="Estilo"/>
        <w:rPr>
          <w:rFonts w:cs="Arial"/>
        </w:rPr>
      </w:pPr>
    </w:p>
    <w:p w14:paraId="616A9EB8"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5257D947" w14:textId="77777777" w:rsidR="00D3344B" w:rsidRDefault="00143C25">
      <w:pPr>
        <w:pStyle w:val="Estilo"/>
        <w:rPr>
          <w:rFonts w:cs="Arial"/>
        </w:rPr>
      </w:pPr>
      <w:r>
        <w:rPr>
          <w:rFonts w:cs="Arial"/>
          <w:i/>
          <w:sz w:val="16"/>
        </w:rPr>
        <w:t>(DEROGADO ÚLTIMO PÁRRAFO, P.O. 23 DE DICIEMBRE DE 2008)</w:t>
      </w:r>
    </w:p>
    <w:p w14:paraId="0F3749DE" w14:textId="77777777" w:rsidR="00D3344B" w:rsidRDefault="00D3344B">
      <w:pPr>
        <w:pStyle w:val="Estilo"/>
        <w:rPr>
          <w:rFonts w:cs="Arial"/>
        </w:rPr>
      </w:pPr>
    </w:p>
    <w:p w14:paraId="571991A7" w14:textId="77777777" w:rsidR="00D3344B" w:rsidRDefault="00143C25">
      <w:pPr>
        <w:pStyle w:val="Estilo"/>
        <w:rPr>
          <w:rFonts w:cs="Arial"/>
        </w:rPr>
      </w:pPr>
      <w:r>
        <w:rPr>
          <w:rFonts w:cs="Arial"/>
          <w:b/>
        </w:rPr>
        <w:t>Artículo 34.</w:t>
      </w:r>
      <w:r>
        <w:rPr>
          <w:rFonts w:cs="Arial"/>
        </w:rPr>
        <w:t xml:space="preserve"> El pago de los derechos que establece este código, debe hacerse antes de recibir el servicio correspondiente. En el caso de servicios continuos, la falta de pago dará lugar a la suspensión del servicio, salvo disposición expresa en contrario.</w:t>
      </w:r>
    </w:p>
    <w:p w14:paraId="0AF5A2DD" w14:textId="77777777" w:rsidR="00D3344B" w:rsidRDefault="00D3344B">
      <w:pPr>
        <w:pStyle w:val="Estilo"/>
        <w:rPr>
          <w:rFonts w:cs="Arial"/>
        </w:rPr>
      </w:pPr>
    </w:p>
    <w:p w14:paraId="0C75C10B" w14:textId="77777777" w:rsidR="00D3344B" w:rsidRDefault="00143C25">
      <w:pPr>
        <w:pStyle w:val="Estilo"/>
        <w:rPr>
          <w:rFonts w:cs="Arial"/>
        </w:rPr>
      </w:pPr>
      <w:r>
        <w:rPr>
          <w:rFonts w:cs="Arial"/>
          <w:b/>
        </w:rPr>
        <w:t>Artículo 35.</w:t>
      </w:r>
      <w:r>
        <w:rPr>
          <w:rFonts w:cs="Arial"/>
        </w:rPr>
        <w:t xml:space="preserve"> Las contribuciones establecidas en este código deberán pagarse en la fecha o dentro del plazo previsto por las disposiciones correspondientes. A falta de señalamiento expreso, el pago deberá hacerse mediante declaración que presentará dentro de los diez días hábiles siguientes, al en que se cause la </w:t>
      </w:r>
      <w:r>
        <w:rPr>
          <w:rFonts w:cs="Arial"/>
        </w:rPr>
        <w:lastRenderedPageBreak/>
        <w:t>obligación, en las Instituciones de Crédito autorizadas más cercanas a su domicilio fiscal.</w:t>
      </w:r>
    </w:p>
    <w:p w14:paraId="1C7B84C9" w14:textId="77777777" w:rsidR="00D3344B" w:rsidRDefault="00D3344B">
      <w:pPr>
        <w:pStyle w:val="Estilo"/>
        <w:rPr>
          <w:rFonts w:cs="Arial"/>
        </w:rPr>
      </w:pPr>
    </w:p>
    <w:p w14:paraId="49A1D8ED" w14:textId="77777777" w:rsidR="00D3344B" w:rsidRDefault="00143C25">
      <w:pPr>
        <w:pStyle w:val="Estilo"/>
        <w:rPr>
          <w:rFonts w:cs="Arial"/>
        </w:rPr>
      </w:pPr>
      <w:r>
        <w:rPr>
          <w:rFonts w:cs="Arial"/>
          <w:i/>
          <w:sz w:val="16"/>
        </w:rPr>
        <w:t>(ADICIONADO, P.O. 31 DE DICIEMBRE DE 2007)</w:t>
      </w:r>
    </w:p>
    <w:p w14:paraId="610BE7FE" w14:textId="77777777" w:rsidR="00D3344B" w:rsidRDefault="00143C25">
      <w:pPr>
        <w:pStyle w:val="Estilo"/>
        <w:rPr>
          <w:rFonts w:cs="Arial"/>
        </w:rPr>
      </w:pPr>
      <w:r>
        <w:rPr>
          <w:rFonts w:cs="Arial"/>
          <w:b/>
        </w:rPr>
        <w:t>Artículo 35 A.</w:t>
      </w:r>
      <w:r>
        <w:rPr>
          <w:rFonts w:cs="Arial"/>
        </w:rPr>
        <w:t xml:space="preserve"> Los contribuyentes que estén obligados a realizar pagos de conformidad con lo establecido en este código, en lugar de utilizar las formas de declaración a que se refiere el artículo 18 de este ordenamiento, podrán presentarlas a través de medios electrónicos, en los términos que señale la Subsección Primera de esta Sección.</w:t>
      </w:r>
    </w:p>
    <w:p w14:paraId="20CFEAB2" w14:textId="77777777" w:rsidR="00D3344B" w:rsidRDefault="00D3344B">
      <w:pPr>
        <w:pStyle w:val="Estilo"/>
        <w:rPr>
          <w:rFonts w:cs="Arial"/>
        </w:rPr>
      </w:pPr>
    </w:p>
    <w:p w14:paraId="636B65F6" w14:textId="77777777" w:rsidR="00D3344B" w:rsidRDefault="00143C25">
      <w:pPr>
        <w:pStyle w:val="Estilo"/>
        <w:rPr>
          <w:rFonts w:cs="Arial"/>
        </w:rPr>
      </w:pPr>
      <w:r>
        <w:rPr>
          <w:rFonts w:cs="Arial"/>
          <w:i/>
          <w:sz w:val="16"/>
        </w:rPr>
        <w:t>(REFORMADO PRIMER PÁRRAFO, P.O. 30 DE DICIEMBRE DE 2006)</w:t>
      </w:r>
    </w:p>
    <w:p w14:paraId="2A336A28" w14:textId="77777777" w:rsidR="00D3344B" w:rsidRDefault="00143C25">
      <w:pPr>
        <w:pStyle w:val="Estilo"/>
        <w:rPr>
          <w:rFonts w:cs="Arial"/>
        </w:rPr>
      </w:pPr>
      <w:r>
        <w:rPr>
          <w:rFonts w:cs="Arial"/>
          <w:b/>
        </w:rPr>
        <w:t>Artículo 36.</w:t>
      </w:r>
      <w:r>
        <w:rPr>
          <w:rFonts w:cs="Arial"/>
        </w:rPr>
        <w:t xml:space="preserve"> En los casos en que un contribuyente demuestre que la falta de pago de un crédito fiscal, obedece a causas imputables a las autoridades, no habrá lugar al pago de accesorios adicionales sobre dicho crédito.</w:t>
      </w:r>
    </w:p>
    <w:p w14:paraId="117C4791" w14:textId="77777777" w:rsidR="00D3344B" w:rsidRDefault="00D3344B">
      <w:pPr>
        <w:pStyle w:val="Estilo"/>
        <w:rPr>
          <w:rFonts w:cs="Arial"/>
        </w:rPr>
      </w:pPr>
    </w:p>
    <w:p w14:paraId="67D240A4" w14:textId="77777777" w:rsidR="00D3344B" w:rsidRDefault="00143C25">
      <w:pPr>
        <w:pStyle w:val="Estilo"/>
        <w:rPr>
          <w:rFonts w:cs="Arial"/>
        </w:rPr>
      </w:pPr>
      <w:r>
        <w:rPr>
          <w:rFonts w:cs="Arial"/>
          <w:i/>
          <w:sz w:val="16"/>
        </w:rPr>
        <w:t>(REFORMADO, P.O. 27 DE SEPTIEMBRE DE 2013)</w:t>
      </w:r>
    </w:p>
    <w:p w14:paraId="0806D1E9" w14:textId="77777777" w:rsidR="00D3344B" w:rsidRDefault="00143C25">
      <w:pPr>
        <w:pStyle w:val="Estilo"/>
        <w:rPr>
          <w:rFonts w:cs="Arial"/>
        </w:rPr>
      </w:pPr>
      <w:r>
        <w:rPr>
          <w:rFonts w:cs="Arial"/>
        </w:rPr>
        <w:t>En caso contrario, el contribuyente deberá cubrir el crédito o créditos determinados, dentro de los quince días hábiles siguientes al de su notificación.</w:t>
      </w:r>
    </w:p>
    <w:p w14:paraId="08AF9491" w14:textId="77777777" w:rsidR="00D3344B" w:rsidRDefault="00D3344B">
      <w:pPr>
        <w:pStyle w:val="Estilo"/>
        <w:rPr>
          <w:rFonts w:cs="Arial"/>
        </w:rPr>
      </w:pPr>
    </w:p>
    <w:p w14:paraId="52E325A3" w14:textId="77777777" w:rsidR="00D3344B" w:rsidRDefault="00143C25">
      <w:pPr>
        <w:pStyle w:val="Estilo"/>
        <w:rPr>
          <w:rFonts w:cs="Arial"/>
          <w:i/>
          <w:iCs/>
          <w:sz w:val="16"/>
          <w:szCs w:val="16"/>
        </w:rPr>
      </w:pPr>
      <w:r>
        <w:rPr>
          <w:rFonts w:cs="Arial"/>
          <w:i/>
          <w:iCs/>
          <w:sz w:val="16"/>
          <w:szCs w:val="16"/>
        </w:rPr>
        <w:t>(REFORMADO, PRIMER PARRAFO, P.O. 21 DE JUNIO DE 2021)</w:t>
      </w:r>
    </w:p>
    <w:p w14:paraId="6F27C96F" w14:textId="77777777" w:rsidR="00D3344B" w:rsidRDefault="00143C25">
      <w:pPr>
        <w:pStyle w:val="Estilo"/>
        <w:rPr>
          <w:rFonts w:cs="Arial"/>
        </w:rPr>
      </w:pPr>
      <w:r>
        <w:rPr>
          <w:rFonts w:cs="Arial"/>
          <w:b/>
        </w:rPr>
        <w:t>Artículo 37.</w:t>
      </w:r>
      <w:r>
        <w:rPr>
          <w:rFonts w:cs="Arial"/>
        </w:rPr>
        <w:t xml:space="preserve"> Cuando en este código se haga mención a UMA deberá entenderse que se refiere a la Unidad de Medida y Actualización vigente, cuyo valor diario, mensual y anual determine el Instituto Nacional de Estadística y Geografía (INEGI).</w:t>
      </w:r>
    </w:p>
    <w:p w14:paraId="6467A4C1" w14:textId="77777777" w:rsidR="00D3344B" w:rsidRDefault="00D3344B">
      <w:pPr>
        <w:pStyle w:val="Estilo"/>
        <w:rPr>
          <w:rFonts w:cs="Arial"/>
        </w:rPr>
      </w:pPr>
    </w:p>
    <w:p w14:paraId="77285CA6" w14:textId="77777777" w:rsidR="00D3344B" w:rsidRDefault="00143C25">
      <w:pPr>
        <w:pStyle w:val="Estilo"/>
        <w:rPr>
          <w:rFonts w:cs="Arial"/>
        </w:rPr>
      </w:pPr>
      <w:r>
        <w:rPr>
          <w:rFonts w:cs="Arial"/>
        </w:rPr>
        <w:t>En el momento de efectuarse la determinación y pago de los créditos fiscales, no se incluirán las fracciones de la unidad monetaria nacional, para tal efecto se deberá ajustarla para que las cantidades que incluyan de uno a cincuenta centavos se ajusten a la unidad inmediata inferior y las que contengan cantidades de cincuenta y uno a noventa y nueve centavos, se ajustarán a la unidad inmediata superior.</w:t>
      </w:r>
    </w:p>
    <w:p w14:paraId="627732A8" w14:textId="77777777" w:rsidR="00D3344B" w:rsidRDefault="00D3344B">
      <w:pPr>
        <w:pStyle w:val="Estilo"/>
        <w:rPr>
          <w:rFonts w:cs="Arial"/>
        </w:rPr>
      </w:pPr>
    </w:p>
    <w:p w14:paraId="11DF35AB" w14:textId="77777777" w:rsidR="00D3344B" w:rsidRDefault="00143C25">
      <w:pPr>
        <w:pStyle w:val="Estilo"/>
        <w:rPr>
          <w:rFonts w:cs="Arial"/>
        </w:rPr>
      </w:pPr>
      <w:r>
        <w:rPr>
          <w:rFonts w:cs="Arial"/>
          <w:b/>
        </w:rPr>
        <w:t>Artículo 38.</w:t>
      </w:r>
      <w:r>
        <w:rPr>
          <w:rFonts w:cs="Arial"/>
        </w:rPr>
        <w:t xml:space="preserve"> La falta de pago de los créditos fiscales y sus accesorios hará que sean exigibles mediante el procedimiento administrativo de ejecución, independientemente de que se actualicen dichos créditos de acuerdo a las disposiciones de este código, conforme al factor que señale la Ley de Ingresos respectiva.</w:t>
      </w:r>
    </w:p>
    <w:p w14:paraId="3B1AA468" w14:textId="77777777" w:rsidR="00D3344B" w:rsidRDefault="00D3344B">
      <w:pPr>
        <w:pStyle w:val="Estilo"/>
        <w:rPr>
          <w:rFonts w:cs="Arial"/>
        </w:rPr>
      </w:pPr>
    </w:p>
    <w:p w14:paraId="082207F8" w14:textId="77777777" w:rsidR="00D3344B" w:rsidRDefault="00143C25">
      <w:pPr>
        <w:pStyle w:val="Estilo"/>
        <w:rPr>
          <w:rFonts w:cs="Arial"/>
        </w:rPr>
      </w:pPr>
      <w:r>
        <w:rPr>
          <w:rFonts w:cs="Arial"/>
          <w:i/>
          <w:sz w:val="16"/>
        </w:rPr>
        <w:t>(REFORMADO, P.O. 29 DE NOVIEMBRE DE 2023)</w:t>
      </w:r>
    </w:p>
    <w:p w14:paraId="1C9874EF" w14:textId="77777777" w:rsidR="00D3344B" w:rsidRDefault="00143C25">
      <w:pPr>
        <w:pStyle w:val="Estilo"/>
        <w:rPr>
          <w:rFonts w:cs="Arial"/>
          <w:bCs/>
        </w:rPr>
      </w:pPr>
      <w:r>
        <w:rPr>
          <w:rFonts w:cs="Arial"/>
          <w:b/>
        </w:rPr>
        <w:t xml:space="preserve">Artículo 39. </w:t>
      </w:r>
      <w:r>
        <w:rPr>
          <w:rFonts w:cs="Arial"/>
          <w:bCs/>
        </w:rPr>
        <w:t>Las autoridades fiscales, a petición de los contribuyentes, podrán autorizar el pago a plazos, ya sea en parcialidades o diferido, de las contribuciones omitidas y de sus accesorios sin que dicho plazo exceda de doce meses para pago diferido y de hasta treinta y seis meses para pago en parcialidades, siempre y cuando los contribuyentes:</w:t>
      </w:r>
    </w:p>
    <w:p w14:paraId="1FCAC560" w14:textId="77777777" w:rsidR="00D3344B" w:rsidRDefault="00D3344B">
      <w:pPr>
        <w:pStyle w:val="Estilo"/>
        <w:rPr>
          <w:rFonts w:cs="Arial"/>
          <w:bCs/>
        </w:rPr>
      </w:pPr>
    </w:p>
    <w:p w14:paraId="4102B177" w14:textId="77777777" w:rsidR="00D3344B" w:rsidRDefault="00143C25">
      <w:pPr>
        <w:pStyle w:val="Estilo"/>
        <w:rPr>
          <w:rFonts w:cs="Arial"/>
          <w:bCs/>
        </w:rPr>
      </w:pPr>
      <w:r>
        <w:rPr>
          <w:rFonts w:cs="Arial"/>
          <w:bCs/>
        </w:rPr>
        <w:t>I.</w:t>
      </w:r>
      <w:r>
        <w:rPr>
          <w:rFonts w:cs="Arial"/>
          <w:bCs/>
        </w:rPr>
        <w:tab/>
        <w:t>Presenten la solicitud por escrito.</w:t>
      </w:r>
    </w:p>
    <w:p w14:paraId="1F5F07E9" w14:textId="77777777" w:rsidR="00D3344B" w:rsidRDefault="00D3344B">
      <w:pPr>
        <w:pStyle w:val="Estilo"/>
        <w:rPr>
          <w:rFonts w:cs="Arial"/>
          <w:bCs/>
        </w:rPr>
      </w:pPr>
    </w:p>
    <w:p w14:paraId="1BBF3BC8" w14:textId="77777777" w:rsidR="00D3344B" w:rsidRDefault="00143C25">
      <w:pPr>
        <w:pStyle w:val="Estilo"/>
        <w:ind w:left="709" w:hanging="709"/>
        <w:rPr>
          <w:rFonts w:cs="Arial"/>
          <w:bCs/>
        </w:rPr>
      </w:pPr>
      <w:r>
        <w:rPr>
          <w:rFonts w:cs="Arial"/>
          <w:bCs/>
        </w:rPr>
        <w:t>II.</w:t>
      </w:r>
      <w:r>
        <w:rPr>
          <w:rFonts w:cs="Arial"/>
          <w:bCs/>
        </w:rPr>
        <w:tab/>
        <w:t>Realice el pago inicial correspondiente al 20% del monto total del crédito fiscal al momento de la solicitud de autorización del pago a plazos.</w:t>
      </w:r>
    </w:p>
    <w:p w14:paraId="12651BBC" w14:textId="77777777" w:rsidR="00D3344B" w:rsidRDefault="00D3344B">
      <w:pPr>
        <w:pStyle w:val="Estilo"/>
        <w:rPr>
          <w:rFonts w:cs="Arial"/>
          <w:bCs/>
        </w:rPr>
      </w:pPr>
    </w:p>
    <w:p w14:paraId="4BE5B7FD" w14:textId="77777777" w:rsidR="00D3344B" w:rsidRDefault="00143C25">
      <w:pPr>
        <w:pStyle w:val="Estilo"/>
        <w:rPr>
          <w:rFonts w:cs="Arial"/>
          <w:bCs/>
        </w:rPr>
      </w:pPr>
      <w:r>
        <w:rPr>
          <w:rFonts w:cs="Arial"/>
          <w:bCs/>
        </w:rPr>
        <w:lastRenderedPageBreak/>
        <w:t>El monto total del crédito fiscal se integrará por la suma de los conceptos siguientes:</w:t>
      </w:r>
    </w:p>
    <w:p w14:paraId="46D043B2" w14:textId="77777777" w:rsidR="00D3344B" w:rsidRDefault="00D3344B">
      <w:pPr>
        <w:pStyle w:val="Estilo"/>
        <w:rPr>
          <w:rFonts w:cs="Arial"/>
          <w:bCs/>
        </w:rPr>
      </w:pPr>
    </w:p>
    <w:p w14:paraId="3EC1D4E3" w14:textId="77777777" w:rsidR="00D3344B" w:rsidRDefault="00143C25">
      <w:pPr>
        <w:pStyle w:val="Estilo"/>
        <w:ind w:left="709" w:hanging="709"/>
        <w:rPr>
          <w:rFonts w:cs="Arial"/>
          <w:bCs/>
        </w:rPr>
      </w:pPr>
      <w:r>
        <w:rPr>
          <w:rFonts w:cs="Arial"/>
          <w:bCs/>
        </w:rPr>
        <w:t>a)</w:t>
      </w:r>
      <w:r>
        <w:rPr>
          <w:rFonts w:cs="Arial"/>
          <w:bCs/>
        </w:rPr>
        <w:tab/>
        <w:t>El monto de las contribuciones omitidas actualizado desde el mes en que se debieron pagar y hasta aquél en que se solicite la autorización;</w:t>
      </w:r>
    </w:p>
    <w:p w14:paraId="2D10DE69" w14:textId="77777777" w:rsidR="00D3344B" w:rsidRDefault="00D3344B">
      <w:pPr>
        <w:pStyle w:val="Estilo"/>
        <w:ind w:left="709" w:hanging="709"/>
        <w:rPr>
          <w:rFonts w:cs="Arial"/>
          <w:bCs/>
        </w:rPr>
      </w:pPr>
    </w:p>
    <w:p w14:paraId="7B3122BB" w14:textId="77777777" w:rsidR="00D3344B" w:rsidRDefault="00143C25">
      <w:pPr>
        <w:pStyle w:val="Estilo"/>
        <w:ind w:left="709" w:hanging="709"/>
        <w:rPr>
          <w:rFonts w:cs="Arial"/>
          <w:bCs/>
        </w:rPr>
      </w:pPr>
      <w:r>
        <w:rPr>
          <w:rFonts w:cs="Arial"/>
          <w:bCs/>
        </w:rPr>
        <w:t>b)</w:t>
      </w:r>
      <w:r>
        <w:rPr>
          <w:rFonts w:cs="Arial"/>
          <w:bCs/>
        </w:rPr>
        <w:tab/>
        <w:t>Las multas que correspondan actualizadas desde el mes en que se debieron pagar y hasta aquél en que se solicite la autorización, e</w:t>
      </w:r>
    </w:p>
    <w:p w14:paraId="270E4FCE" w14:textId="77777777" w:rsidR="00D3344B" w:rsidRDefault="00D3344B">
      <w:pPr>
        <w:pStyle w:val="Estilo"/>
        <w:ind w:left="709" w:hanging="709"/>
        <w:rPr>
          <w:rFonts w:cs="Arial"/>
          <w:bCs/>
        </w:rPr>
      </w:pPr>
    </w:p>
    <w:p w14:paraId="6B184CA7" w14:textId="77777777" w:rsidR="00D3344B" w:rsidRDefault="00143C25">
      <w:pPr>
        <w:pStyle w:val="Estilo"/>
        <w:ind w:left="709" w:hanging="709"/>
        <w:rPr>
          <w:rFonts w:cs="Arial"/>
          <w:bCs/>
        </w:rPr>
      </w:pPr>
      <w:r>
        <w:rPr>
          <w:rFonts w:cs="Arial"/>
          <w:bCs/>
        </w:rPr>
        <w:t>c)</w:t>
      </w:r>
      <w:r>
        <w:rPr>
          <w:rFonts w:cs="Arial"/>
          <w:bCs/>
        </w:rPr>
        <w:tab/>
        <w:t>Los accesorios distintos de las multas que tenga a su cargo el contribuyente a la fecha en que solicite la autorización.</w:t>
      </w:r>
    </w:p>
    <w:p w14:paraId="1E419310" w14:textId="77777777" w:rsidR="00D3344B" w:rsidRDefault="00D3344B">
      <w:pPr>
        <w:pStyle w:val="Estilo"/>
        <w:rPr>
          <w:rFonts w:cs="Arial"/>
          <w:i/>
          <w:sz w:val="16"/>
        </w:rPr>
      </w:pPr>
    </w:p>
    <w:p w14:paraId="54B391F8" w14:textId="77777777" w:rsidR="00D3344B" w:rsidRDefault="00143C25">
      <w:pPr>
        <w:pStyle w:val="Estilo"/>
        <w:rPr>
          <w:rFonts w:cs="Arial"/>
        </w:rPr>
      </w:pPr>
      <w:r>
        <w:rPr>
          <w:rFonts w:cs="Arial"/>
          <w:i/>
          <w:sz w:val="16"/>
        </w:rPr>
        <w:t>(ADICIONADO, P.O. 29 DE NOVIEMBRE DE 2023)</w:t>
      </w:r>
    </w:p>
    <w:p w14:paraId="07F3CA0A" w14:textId="77777777" w:rsidR="00D3344B" w:rsidRDefault="00143C25">
      <w:pPr>
        <w:pStyle w:val="Estilo"/>
        <w:rPr>
          <w:rFonts w:cs="Arial"/>
        </w:rPr>
      </w:pPr>
      <w:r>
        <w:rPr>
          <w:rFonts w:cs="Arial"/>
          <w:b/>
          <w:bCs/>
        </w:rPr>
        <w:t>Artículo 39 Bis.</w:t>
      </w:r>
      <w:r>
        <w:rPr>
          <w:rFonts w:cs="Arial"/>
        </w:rPr>
        <w:t xml:space="preserve"> 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artículo que antecede,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14:paraId="2E9A872C" w14:textId="77777777" w:rsidR="00D3344B" w:rsidRDefault="00D3344B">
      <w:pPr>
        <w:pStyle w:val="Estilo"/>
        <w:ind w:left="567" w:hanging="567"/>
        <w:rPr>
          <w:rFonts w:cs="Arial"/>
        </w:rPr>
      </w:pPr>
    </w:p>
    <w:p w14:paraId="79407CE5" w14:textId="77777777" w:rsidR="00D3344B" w:rsidRDefault="00143C25">
      <w:pPr>
        <w:pStyle w:val="Estilo"/>
        <w:ind w:left="567" w:hanging="567"/>
        <w:rPr>
          <w:rFonts w:cs="Arial"/>
        </w:rPr>
      </w:pPr>
      <w:r>
        <w:rPr>
          <w:rFonts w:cs="Arial"/>
        </w:rPr>
        <w:t>I.</w:t>
      </w:r>
      <w:r>
        <w:rPr>
          <w:rFonts w:cs="Arial"/>
        </w:rPr>
        <w:tab/>
        <w:t>El contribuyente presentará la solicitud, así como un proyecto de pagos estableciendo fechas y montos concretos;</w:t>
      </w:r>
    </w:p>
    <w:p w14:paraId="3A045C32" w14:textId="77777777" w:rsidR="00D3344B" w:rsidRDefault="00D3344B">
      <w:pPr>
        <w:pStyle w:val="Estilo"/>
        <w:ind w:left="567" w:hanging="567"/>
        <w:rPr>
          <w:rFonts w:cs="Arial"/>
        </w:rPr>
      </w:pPr>
    </w:p>
    <w:p w14:paraId="5451BF82" w14:textId="77777777" w:rsidR="00D3344B" w:rsidRDefault="00143C25">
      <w:pPr>
        <w:pStyle w:val="Estilo"/>
        <w:ind w:left="567" w:hanging="567"/>
        <w:rPr>
          <w:rFonts w:cs="Arial"/>
        </w:rPr>
      </w:pPr>
      <w:r>
        <w:rPr>
          <w:rFonts w:cs="Arial"/>
        </w:rPr>
        <w:t>II.</w:t>
      </w:r>
      <w:r>
        <w:rPr>
          <w:rFonts w:cs="Arial"/>
        </w:rPr>
        <w:tab/>
        <w:t>La autoridad, una vez recibida la solicitud y el proyecto de pagos procederá a efectuar la valoración y emitirá una resolución de aceptación o negación de la propuesta de pagos, según</w:t>
      </w:r>
    </w:p>
    <w:p w14:paraId="5F2CB3CB" w14:textId="77777777" w:rsidR="00D3344B" w:rsidRDefault="00143C25">
      <w:pPr>
        <w:pStyle w:val="Estilo"/>
        <w:ind w:left="567" w:hanging="567"/>
        <w:rPr>
          <w:rFonts w:cs="Arial"/>
        </w:rPr>
      </w:pPr>
      <w:r>
        <w:rPr>
          <w:rFonts w:cs="Arial"/>
        </w:rPr>
        <w:t xml:space="preserve"> </w:t>
      </w:r>
    </w:p>
    <w:p w14:paraId="50FA5D38" w14:textId="77777777" w:rsidR="00D3344B" w:rsidRDefault="00143C25">
      <w:pPr>
        <w:pStyle w:val="Estilo"/>
        <w:ind w:left="567"/>
        <w:rPr>
          <w:rFonts w:cs="Arial"/>
        </w:rPr>
      </w:pPr>
      <w:r>
        <w:rPr>
          <w:rFonts w:cs="Arial"/>
        </w:rPr>
        <w:t>corresponda, dentro del plazo de quince días contados a partir del día siguiente a aquel en que se recibió la solicitud;</w:t>
      </w:r>
    </w:p>
    <w:p w14:paraId="2FD70B74" w14:textId="77777777" w:rsidR="00D3344B" w:rsidRDefault="00D3344B">
      <w:pPr>
        <w:pStyle w:val="Estilo"/>
        <w:ind w:left="567" w:hanging="567"/>
        <w:rPr>
          <w:rFonts w:cs="Arial"/>
        </w:rPr>
      </w:pPr>
    </w:p>
    <w:p w14:paraId="67DF405F" w14:textId="77777777" w:rsidR="00D3344B" w:rsidRDefault="00143C25">
      <w:pPr>
        <w:pStyle w:val="Estilo"/>
        <w:ind w:left="567" w:hanging="567"/>
        <w:rPr>
          <w:rFonts w:cs="Arial"/>
        </w:rPr>
      </w:pPr>
      <w:r>
        <w:rPr>
          <w:rFonts w:cs="Arial"/>
        </w:rPr>
        <w:t>III.</w:t>
      </w:r>
      <w:r>
        <w:rPr>
          <w:rFonts w:cs="Arial"/>
        </w:rPr>
        <w:tab/>
        <w:t>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p>
    <w:p w14:paraId="7AB5778A" w14:textId="77777777" w:rsidR="00D3344B" w:rsidRDefault="00D3344B">
      <w:pPr>
        <w:pStyle w:val="Estilo"/>
        <w:rPr>
          <w:rFonts w:cs="Arial"/>
        </w:rPr>
      </w:pPr>
    </w:p>
    <w:p w14:paraId="1EB7F314" w14:textId="77777777" w:rsidR="00D3344B" w:rsidRDefault="00143C25">
      <w:pPr>
        <w:pStyle w:val="Estilo"/>
        <w:rPr>
          <w:rFonts w:cs="Arial"/>
        </w:rPr>
      </w:pPr>
      <w:r>
        <w:rPr>
          <w:rFonts w:cs="Arial"/>
        </w:rPr>
        <w:t>En el caso de que en la resolución a que se refiere la fracción anterior se haya negado la autorización del proyecto de pago presentado por el contribuyente, la autoridad fiscal procederá a concluir el ejercicio de facultades de comprobación y emitirá la resolución determinativa de crédito fiscal que corresponda.</w:t>
      </w:r>
    </w:p>
    <w:p w14:paraId="11F5092E" w14:textId="77777777" w:rsidR="00D3344B" w:rsidRDefault="00D3344B">
      <w:pPr>
        <w:pStyle w:val="Estilo"/>
        <w:rPr>
          <w:rFonts w:cs="Arial"/>
        </w:rPr>
      </w:pPr>
    </w:p>
    <w:p w14:paraId="006DE50F" w14:textId="77777777" w:rsidR="00D3344B" w:rsidRDefault="00143C25">
      <w:pPr>
        <w:pStyle w:val="Estilo"/>
        <w:rPr>
          <w:rFonts w:cs="Arial"/>
        </w:rPr>
      </w:pPr>
      <w:r>
        <w:rPr>
          <w:rFonts w:cs="Arial"/>
          <w:i/>
          <w:sz w:val="16"/>
        </w:rPr>
        <w:t>(ADICIONADO, P.O. 29 DE NOVIEMBRE DE 2023)</w:t>
      </w:r>
    </w:p>
    <w:p w14:paraId="12F91E88" w14:textId="77777777" w:rsidR="00D3344B" w:rsidRDefault="00143C25">
      <w:pPr>
        <w:pStyle w:val="Estilo"/>
        <w:rPr>
          <w:rFonts w:cs="Arial"/>
        </w:rPr>
      </w:pPr>
      <w:r>
        <w:rPr>
          <w:rFonts w:cs="Arial"/>
          <w:b/>
          <w:bCs/>
        </w:rPr>
        <w:t>Artículo 39 Ter.</w:t>
      </w:r>
      <w:r>
        <w:rPr>
          <w:rFonts w:cs="Arial"/>
        </w:rPr>
        <w:t xml:space="preserve"> Para los efectos de la autorización a que se refiere el artículo anterior se estará a lo siguiente:</w:t>
      </w:r>
    </w:p>
    <w:p w14:paraId="7A151614" w14:textId="77777777" w:rsidR="00D3344B" w:rsidRDefault="00D3344B">
      <w:pPr>
        <w:pStyle w:val="Estilo"/>
        <w:rPr>
          <w:rFonts w:cs="Arial"/>
        </w:rPr>
      </w:pPr>
    </w:p>
    <w:p w14:paraId="15FCFE55" w14:textId="77777777" w:rsidR="00D3344B" w:rsidRDefault="00143C25">
      <w:pPr>
        <w:pStyle w:val="Estilo"/>
        <w:ind w:left="567" w:hanging="567"/>
        <w:rPr>
          <w:rFonts w:cs="Arial"/>
        </w:rPr>
      </w:pPr>
      <w:r>
        <w:rPr>
          <w:rFonts w:cs="Arial"/>
        </w:rPr>
        <w:t>I.</w:t>
      </w:r>
      <w:r>
        <w:rPr>
          <w:rFonts w:cs="Arial"/>
        </w:rPr>
        <w:tab/>
        <w:t>Tratándose de la autorización del pago a plazos en parcialidades, el saldo que se utilizará para el cálculo de las parcialidades será el resultado de disminuir el pago correspondiente al 20% señalado en la fracción II del artículo anterior, del monto total del adeudo a que hace referencia dicha fracción;</w:t>
      </w:r>
    </w:p>
    <w:p w14:paraId="25B5C4E5" w14:textId="77777777" w:rsidR="00D3344B" w:rsidRDefault="00D3344B">
      <w:pPr>
        <w:pStyle w:val="Estilo"/>
        <w:ind w:left="567" w:hanging="567"/>
        <w:rPr>
          <w:rFonts w:cs="Arial"/>
        </w:rPr>
      </w:pPr>
    </w:p>
    <w:p w14:paraId="494F39A4" w14:textId="77777777" w:rsidR="00D3344B" w:rsidRDefault="00143C25">
      <w:pPr>
        <w:pStyle w:val="Estilo"/>
        <w:ind w:left="567" w:hanging="567"/>
        <w:rPr>
          <w:rFonts w:cs="Arial"/>
        </w:rPr>
      </w:pPr>
      <w:r>
        <w:rPr>
          <w:rFonts w:cs="Arial"/>
        </w:rPr>
        <w:t>II.</w:t>
      </w:r>
      <w:r>
        <w:rPr>
          <w:rFonts w:cs="Arial"/>
        </w:rPr>
        <w:tab/>
        <w:t>La primera parcialidad será el resultado de dividir el saldo del adeudo inicial menos el pago señalado en la fracción I.</w:t>
      </w:r>
    </w:p>
    <w:p w14:paraId="7F63281C" w14:textId="77777777" w:rsidR="00D3344B" w:rsidRDefault="00D3344B">
      <w:pPr>
        <w:pStyle w:val="Estilo"/>
        <w:ind w:left="567" w:hanging="567"/>
        <w:rPr>
          <w:rFonts w:cs="Arial"/>
        </w:rPr>
      </w:pPr>
    </w:p>
    <w:p w14:paraId="1A06AAB8" w14:textId="77777777" w:rsidR="00D3344B" w:rsidRDefault="00143C25">
      <w:pPr>
        <w:pStyle w:val="Estilo"/>
        <w:ind w:left="567"/>
        <w:rPr>
          <w:rFonts w:cs="Arial"/>
        </w:rPr>
      </w:pPr>
      <w:r>
        <w:rPr>
          <w:rFonts w:cs="Arial"/>
        </w:rPr>
        <w:t>El monto de cada una de las parcialidades deberá ser igual más el pago correspondiente a los recargos sobre saldos insolutos establecido en la Ley de Ingresos del Estado de Tlaxcala y sus Municipios, y pagadas en forma mensual y sucesiva.</w:t>
      </w:r>
    </w:p>
    <w:p w14:paraId="0CD001BB" w14:textId="77777777" w:rsidR="00D3344B" w:rsidRDefault="00D3344B">
      <w:pPr>
        <w:pStyle w:val="Estilo"/>
        <w:ind w:left="567" w:hanging="567"/>
        <w:rPr>
          <w:rFonts w:cs="Arial"/>
        </w:rPr>
      </w:pPr>
    </w:p>
    <w:p w14:paraId="22DF0ED8" w14:textId="77777777" w:rsidR="00D3344B" w:rsidRDefault="00143C25">
      <w:pPr>
        <w:pStyle w:val="Estilo"/>
        <w:ind w:left="567"/>
        <w:rPr>
          <w:rFonts w:cs="Arial"/>
        </w:rPr>
      </w:pPr>
      <w:r>
        <w:rPr>
          <w:rFonts w:cs="Arial"/>
        </w:rPr>
        <w:t>Cuando no se paguen oportunamente los montos de los pagos en las parcialidades autorizadas, el contribuyente estará obligado a pagar recargos y actualizaciones por los pagos extemporáneos sobre el monto total de las parcialidades no cubiertas actualizadas. Para efectos de esta fracción, el saldo del adeudo inicial a la fecha de autorización, se integrará por la suma de los siguientes conceptos:</w:t>
      </w:r>
    </w:p>
    <w:p w14:paraId="624938E0" w14:textId="77777777" w:rsidR="00D3344B" w:rsidRDefault="00D3344B">
      <w:pPr>
        <w:pStyle w:val="Estilo"/>
        <w:ind w:left="567" w:hanging="567"/>
        <w:rPr>
          <w:rFonts w:cs="Arial"/>
        </w:rPr>
      </w:pPr>
    </w:p>
    <w:p w14:paraId="2E17E35C" w14:textId="77777777" w:rsidR="00D3344B" w:rsidRDefault="00143C25">
      <w:pPr>
        <w:pStyle w:val="Estilo"/>
        <w:ind w:left="1134" w:hanging="567"/>
        <w:rPr>
          <w:rFonts w:cs="Arial"/>
        </w:rPr>
      </w:pPr>
      <w:r>
        <w:rPr>
          <w:rFonts w:cs="Arial"/>
        </w:rPr>
        <w:t>a)</w:t>
      </w:r>
      <w:r>
        <w:rPr>
          <w:rFonts w:cs="Arial"/>
        </w:rPr>
        <w:tab/>
        <w:t>El monto de las contribuciones omitidas actualizadas;</w:t>
      </w:r>
    </w:p>
    <w:p w14:paraId="657A0F2B" w14:textId="77777777" w:rsidR="00D3344B" w:rsidRDefault="00D3344B">
      <w:pPr>
        <w:pStyle w:val="Estilo"/>
        <w:ind w:left="1134" w:hanging="567"/>
        <w:rPr>
          <w:rFonts w:cs="Arial"/>
        </w:rPr>
      </w:pPr>
    </w:p>
    <w:p w14:paraId="16A4E128" w14:textId="77777777" w:rsidR="00D3344B" w:rsidRDefault="00143C25">
      <w:pPr>
        <w:pStyle w:val="Estilo"/>
        <w:ind w:left="1134" w:hanging="567"/>
        <w:rPr>
          <w:rFonts w:cs="Arial"/>
        </w:rPr>
      </w:pPr>
      <w:r>
        <w:rPr>
          <w:rFonts w:cs="Arial"/>
        </w:rPr>
        <w:t>b)</w:t>
      </w:r>
      <w:r>
        <w:rPr>
          <w:rFonts w:cs="Arial"/>
        </w:rPr>
        <w:tab/>
        <w:t>Las multas actualizadas que correspondan, e</w:t>
      </w:r>
    </w:p>
    <w:p w14:paraId="4E5E6AA9" w14:textId="77777777" w:rsidR="00D3344B" w:rsidRDefault="00D3344B">
      <w:pPr>
        <w:pStyle w:val="Estilo"/>
        <w:ind w:left="1134" w:hanging="567"/>
        <w:rPr>
          <w:rFonts w:cs="Arial"/>
        </w:rPr>
      </w:pPr>
    </w:p>
    <w:p w14:paraId="172EB8E7" w14:textId="77777777" w:rsidR="00D3344B" w:rsidRDefault="00143C25">
      <w:pPr>
        <w:pStyle w:val="Estilo"/>
        <w:ind w:left="1134" w:hanging="567"/>
        <w:rPr>
          <w:rFonts w:cs="Arial"/>
        </w:rPr>
      </w:pPr>
      <w:r>
        <w:rPr>
          <w:rFonts w:cs="Arial"/>
        </w:rPr>
        <w:t>c)</w:t>
      </w:r>
      <w:r>
        <w:rPr>
          <w:rFonts w:cs="Arial"/>
        </w:rPr>
        <w:tab/>
        <w:t>Los accesorios distintos de las multas o sanciones que tenga a su cargo el contribuyente.</w:t>
      </w:r>
    </w:p>
    <w:p w14:paraId="767831C8" w14:textId="77777777" w:rsidR="00D3344B" w:rsidRDefault="00D3344B">
      <w:pPr>
        <w:pStyle w:val="Estilo"/>
        <w:ind w:left="567" w:hanging="567"/>
        <w:rPr>
          <w:rFonts w:cs="Arial"/>
        </w:rPr>
      </w:pPr>
    </w:p>
    <w:p w14:paraId="7C1ACAE0" w14:textId="77777777" w:rsidR="00D3344B" w:rsidRDefault="00143C25">
      <w:pPr>
        <w:pStyle w:val="Estilo"/>
        <w:ind w:left="567" w:hanging="567"/>
        <w:rPr>
          <w:rFonts w:cs="Arial"/>
        </w:rPr>
      </w:pPr>
      <w:r>
        <w:rPr>
          <w:rFonts w:cs="Arial"/>
        </w:rPr>
        <w:t>III.</w:t>
      </w:r>
      <w:r>
        <w:rPr>
          <w:rFonts w:cs="Arial"/>
        </w:rPr>
        <w:tab/>
        <w:t>Las autoridades fiscales al autorizar el pago a plazos ya sea en forma diferida o en parcialidades exigirán que se garantice el crédito fiscal, hasta por tres veces su importe total;</w:t>
      </w:r>
    </w:p>
    <w:p w14:paraId="2AE5F215" w14:textId="77777777" w:rsidR="00D3344B" w:rsidRDefault="00D3344B">
      <w:pPr>
        <w:pStyle w:val="Estilo"/>
        <w:ind w:left="567" w:hanging="567"/>
        <w:rPr>
          <w:rFonts w:cs="Arial"/>
        </w:rPr>
      </w:pPr>
    </w:p>
    <w:p w14:paraId="5284C919" w14:textId="77777777" w:rsidR="00D3344B" w:rsidRDefault="00143C25">
      <w:pPr>
        <w:pStyle w:val="Estilo"/>
        <w:ind w:left="567" w:hanging="567"/>
        <w:rPr>
          <w:rFonts w:cs="Arial"/>
        </w:rPr>
      </w:pPr>
      <w:r>
        <w:rPr>
          <w:rFonts w:cs="Arial"/>
        </w:rPr>
        <w:t>IV.</w:t>
      </w:r>
      <w:r>
        <w:rPr>
          <w:rFonts w:cs="Arial"/>
        </w:rPr>
        <w:tab/>
        <w:t>Quedará revocada la autorización para pagar a plazos en forma diferida o en parcialidades, cuando:</w:t>
      </w:r>
    </w:p>
    <w:p w14:paraId="4B23AA22" w14:textId="77777777" w:rsidR="00D3344B" w:rsidRDefault="00D3344B">
      <w:pPr>
        <w:pStyle w:val="Estilo"/>
        <w:rPr>
          <w:rFonts w:cs="Arial"/>
        </w:rPr>
      </w:pPr>
    </w:p>
    <w:p w14:paraId="3242C354" w14:textId="77777777" w:rsidR="00D3344B" w:rsidRDefault="00143C25">
      <w:pPr>
        <w:pStyle w:val="Estilo"/>
        <w:ind w:left="1134" w:hanging="567"/>
        <w:rPr>
          <w:rFonts w:cs="Arial"/>
        </w:rPr>
      </w:pPr>
      <w:r>
        <w:rPr>
          <w:rFonts w:cs="Arial"/>
        </w:rPr>
        <w:t>a)</w:t>
      </w:r>
      <w:r>
        <w:rPr>
          <w:rFonts w:cs="Arial"/>
        </w:rPr>
        <w:tab/>
        <w:t>No se otorgue o resulte insuficiente la garantía del crédito fiscal o desaparezca el contribuyente o su representante legal, e</w:t>
      </w:r>
    </w:p>
    <w:p w14:paraId="464C3359" w14:textId="77777777" w:rsidR="00D3344B" w:rsidRDefault="00D3344B">
      <w:pPr>
        <w:pStyle w:val="Estilo"/>
        <w:ind w:left="1134" w:hanging="567"/>
        <w:rPr>
          <w:rFonts w:cs="Arial"/>
        </w:rPr>
      </w:pPr>
    </w:p>
    <w:p w14:paraId="745AC242" w14:textId="77777777" w:rsidR="00D3344B" w:rsidRDefault="00143C25">
      <w:pPr>
        <w:pStyle w:val="Estilo"/>
        <w:ind w:left="1134" w:hanging="567"/>
        <w:rPr>
          <w:rFonts w:cs="Arial"/>
        </w:rPr>
      </w:pPr>
      <w:r>
        <w:rPr>
          <w:rFonts w:cs="Arial"/>
        </w:rPr>
        <w:t>b)</w:t>
      </w:r>
      <w:r>
        <w:rPr>
          <w:rFonts w:cs="Arial"/>
        </w:rPr>
        <w:tab/>
        <w:t>El contribuyente deje de pagar dos o más parcialidades.</w:t>
      </w:r>
    </w:p>
    <w:p w14:paraId="58DB5184" w14:textId="77777777" w:rsidR="00D3344B" w:rsidRDefault="00143C25">
      <w:pPr>
        <w:pStyle w:val="Estilo"/>
        <w:ind w:left="1134" w:hanging="567"/>
        <w:rPr>
          <w:rFonts w:cs="Arial"/>
        </w:rPr>
      </w:pPr>
      <w:r>
        <w:rPr>
          <w:rFonts w:cs="Arial"/>
        </w:rPr>
        <w:t xml:space="preserve"> </w:t>
      </w:r>
    </w:p>
    <w:p w14:paraId="70D31263" w14:textId="77777777" w:rsidR="00D3344B" w:rsidRDefault="00143C25">
      <w:pPr>
        <w:pStyle w:val="Estilo"/>
        <w:ind w:left="567" w:hanging="567"/>
        <w:rPr>
          <w:rFonts w:cs="Arial"/>
        </w:rPr>
      </w:pPr>
      <w:r>
        <w:rPr>
          <w:rFonts w:cs="Arial"/>
        </w:rPr>
        <w:t>V.</w:t>
      </w:r>
      <w:r>
        <w:rPr>
          <w:rFonts w:cs="Arial"/>
        </w:rPr>
        <w:tab/>
        <w:t>Los pagos que se hagan en parcialidades se aplicarán en el orden siguiente:</w:t>
      </w:r>
    </w:p>
    <w:p w14:paraId="6C754D35" w14:textId="77777777" w:rsidR="00D3344B" w:rsidRDefault="00D3344B">
      <w:pPr>
        <w:pStyle w:val="Estilo"/>
        <w:ind w:left="1134" w:hanging="567"/>
        <w:rPr>
          <w:rFonts w:cs="Arial"/>
        </w:rPr>
      </w:pPr>
    </w:p>
    <w:p w14:paraId="6B1FE429" w14:textId="77777777" w:rsidR="00D3344B" w:rsidRDefault="00143C25">
      <w:pPr>
        <w:pStyle w:val="Estilo"/>
        <w:ind w:left="1134" w:hanging="567"/>
        <w:rPr>
          <w:rFonts w:cs="Arial"/>
        </w:rPr>
      </w:pPr>
      <w:r>
        <w:rPr>
          <w:rFonts w:cs="Arial"/>
        </w:rPr>
        <w:t>a)</w:t>
      </w:r>
      <w:r>
        <w:rPr>
          <w:rFonts w:cs="Arial"/>
        </w:rPr>
        <w:tab/>
        <w:t>Los gastos de ejecución;</w:t>
      </w:r>
    </w:p>
    <w:p w14:paraId="4180E71D" w14:textId="77777777" w:rsidR="00D3344B" w:rsidRDefault="00D3344B">
      <w:pPr>
        <w:pStyle w:val="Estilo"/>
        <w:ind w:left="1134" w:hanging="567"/>
        <w:rPr>
          <w:rFonts w:cs="Arial"/>
        </w:rPr>
      </w:pPr>
    </w:p>
    <w:p w14:paraId="092F24DF" w14:textId="77777777" w:rsidR="00D3344B" w:rsidRDefault="00143C25">
      <w:pPr>
        <w:pStyle w:val="Estilo"/>
        <w:ind w:left="1134" w:hanging="567"/>
        <w:rPr>
          <w:rFonts w:cs="Arial"/>
        </w:rPr>
      </w:pPr>
      <w:r>
        <w:rPr>
          <w:rFonts w:cs="Arial"/>
        </w:rPr>
        <w:t>b)</w:t>
      </w:r>
      <w:r>
        <w:rPr>
          <w:rFonts w:cs="Arial"/>
        </w:rPr>
        <w:tab/>
        <w:t>Las multas;</w:t>
      </w:r>
    </w:p>
    <w:p w14:paraId="70A6309D" w14:textId="77777777" w:rsidR="00D3344B" w:rsidRDefault="00D3344B">
      <w:pPr>
        <w:pStyle w:val="Estilo"/>
        <w:ind w:left="1134" w:hanging="567"/>
        <w:rPr>
          <w:rFonts w:cs="Arial"/>
        </w:rPr>
      </w:pPr>
    </w:p>
    <w:p w14:paraId="32A3DA51" w14:textId="77777777" w:rsidR="00D3344B" w:rsidRDefault="00143C25">
      <w:pPr>
        <w:pStyle w:val="Estilo"/>
        <w:ind w:left="1134" w:hanging="567"/>
        <w:rPr>
          <w:rFonts w:cs="Arial"/>
        </w:rPr>
      </w:pPr>
      <w:r>
        <w:rPr>
          <w:rFonts w:cs="Arial"/>
        </w:rPr>
        <w:lastRenderedPageBreak/>
        <w:t>c)</w:t>
      </w:r>
      <w:r>
        <w:rPr>
          <w:rFonts w:cs="Arial"/>
        </w:rPr>
        <w:tab/>
        <w:t>Los recargos;</w:t>
      </w:r>
    </w:p>
    <w:p w14:paraId="52FB22D3" w14:textId="77777777" w:rsidR="00D3344B" w:rsidRDefault="00D3344B">
      <w:pPr>
        <w:pStyle w:val="Estilo"/>
        <w:ind w:left="1134" w:hanging="567"/>
        <w:rPr>
          <w:rFonts w:cs="Arial"/>
        </w:rPr>
      </w:pPr>
    </w:p>
    <w:p w14:paraId="0773EAD9" w14:textId="77777777" w:rsidR="00D3344B" w:rsidRDefault="00143C25">
      <w:pPr>
        <w:pStyle w:val="Estilo"/>
        <w:ind w:left="1134" w:hanging="567"/>
        <w:rPr>
          <w:rFonts w:cs="Arial"/>
        </w:rPr>
      </w:pPr>
      <w:r>
        <w:rPr>
          <w:rFonts w:cs="Arial"/>
        </w:rPr>
        <w:t>d)</w:t>
      </w:r>
      <w:r>
        <w:rPr>
          <w:rFonts w:cs="Arial"/>
        </w:rPr>
        <w:tab/>
        <w:t>Los créditos fiscales debidamente actualizados, e</w:t>
      </w:r>
    </w:p>
    <w:p w14:paraId="0505336B" w14:textId="77777777" w:rsidR="00D3344B" w:rsidRDefault="00D3344B">
      <w:pPr>
        <w:pStyle w:val="Estilo"/>
        <w:ind w:left="1134" w:hanging="567"/>
        <w:rPr>
          <w:rFonts w:cs="Arial"/>
        </w:rPr>
      </w:pPr>
    </w:p>
    <w:p w14:paraId="33924645" w14:textId="77777777" w:rsidR="00D3344B" w:rsidRDefault="00143C25">
      <w:pPr>
        <w:pStyle w:val="Estilo"/>
        <w:ind w:left="1134" w:hanging="567"/>
        <w:rPr>
          <w:rFonts w:cs="Arial"/>
        </w:rPr>
      </w:pPr>
      <w:r>
        <w:rPr>
          <w:rFonts w:cs="Arial"/>
        </w:rPr>
        <w:t>e)</w:t>
      </w:r>
      <w:r>
        <w:rPr>
          <w:rFonts w:cs="Arial"/>
        </w:rPr>
        <w:tab/>
        <w:t>La indemnización por cheques devueltos.</w:t>
      </w:r>
    </w:p>
    <w:p w14:paraId="0D9E99F7" w14:textId="77777777" w:rsidR="00D3344B" w:rsidRDefault="00D3344B">
      <w:pPr>
        <w:pStyle w:val="Estilo"/>
        <w:rPr>
          <w:rFonts w:cs="Arial"/>
        </w:rPr>
      </w:pPr>
    </w:p>
    <w:p w14:paraId="1885447E" w14:textId="77777777" w:rsidR="00D3344B" w:rsidRDefault="00143C25">
      <w:pPr>
        <w:pStyle w:val="Estilo"/>
        <w:rPr>
          <w:rFonts w:cs="Arial"/>
        </w:rPr>
      </w:pPr>
      <w:r>
        <w:rPr>
          <w:rFonts w:cs="Arial"/>
        </w:rPr>
        <w:t>Los pagos se aplicarán a cuenta de los adeudos más antiguos.</w:t>
      </w:r>
    </w:p>
    <w:p w14:paraId="4BA14C3F" w14:textId="77777777" w:rsidR="00D3344B" w:rsidRDefault="00D3344B">
      <w:pPr>
        <w:pStyle w:val="Estilo"/>
        <w:rPr>
          <w:rFonts w:cs="Arial"/>
        </w:rPr>
      </w:pPr>
    </w:p>
    <w:p w14:paraId="05F6E8C1"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6C4BDBBF" w14:textId="77777777" w:rsidR="00D3344B" w:rsidRDefault="00143C25">
      <w:pPr>
        <w:pStyle w:val="Estilo"/>
        <w:rPr>
          <w:rFonts w:cs="Arial"/>
        </w:rPr>
      </w:pPr>
      <w:r>
        <w:rPr>
          <w:rFonts w:cs="Arial"/>
          <w:i/>
          <w:sz w:val="16"/>
        </w:rPr>
        <w:t>(REFORMADO PRIMER PÁRRAFO, P.O. 7 DE DICIEMBRE DE 2009)</w:t>
      </w:r>
    </w:p>
    <w:p w14:paraId="353A31F6" w14:textId="77777777" w:rsidR="00D3344B" w:rsidRDefault="00143C25">
      <w:pPr>
        <w:pStyle w:val="Estilo"/>
        <w:rPr>
          <w:rFonts w:cs="Arial"/>
        </w:rPr>
      </w:pPr>
      <w:r>
        <w:rPr>
          <w:rFonts w:cs="Arial"/>
          <w:b/>
        </w:rPr>
        <w:t>Artículo 40.</w:t>
      </w:r>
      <w:r>
        <w:rPr>
          <w:rFonts w:cs="Arial"/>
        </w:rPr>
        <w:t xml:space="preserve"> La autoridad fiscal devolverá las cantidades que le hubieren sido pagadas indebidamente, a solicitud del contribuyente. Para tal efecto deberá cumplir con los requisitos previstos en el artículo 21-A de este código y </w:t>
      </w:r>
      <w:proofErr w:type="spellStart"/>
      <w:r>
        <w:rPr>
          <w:rFonts w:cs="Arial"/>
        </w:rPr>
        <w:t>requisitar</w:t>
      </w:r>
      <w:proofErr w:type="spellEnd"/>
      <w:r>
        <w:rPr>
          <w:rFonts w:cs="Arial"/>
        </w:rPr>
        <w:t xml:space="preserve"> el formato de devolución que para tal efecto establezca la Secretaría. La resolución de la autoridad deberá ser emitida dentro de los treinta días siguientes a la fecha en que se presentó la solicitud ante la autoridad fiscal.</w:t>
      </w:r>
    </w:p>
    <w:p w14:paraId="149B82B6" w14:textId="77777777" w:rsidR="00D3344B" w:rsidRDefault="00D3344B">
      <w:pPr>
        <w:pStyle w:val="Estilo"/>
        <w:rPr>
          <w:rFonts w:cs="Arial"/>
        </w:rPr>
      </w:pPr>
    </w:p>
    <w:p w14:paraId="2CF23984"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639535AC" w14:textId="77777777" w:rsidR="00D3344B" w:rsidRDefault="00143C25">
      <w:pPr>
        <w:pStyle w:val="Estilo"/>
        <w:rPr>
          <w:rFonts w:cs="Arial"/>
        </w:rPr>
      </w:pPr>
      <w:r>
        <w:rPr>
          <w:rFonts w:cs="Arial"/>
          <w:i/>
          <w:sz w:val="16"/>
        </w:rPr>
        <w:t>(REFORMADO, P.O. 7 DE DICIEMBRE DE 2009)</w:t>
      </w:r>
    </w:p>
    <w:p w14:paraId="6E38F494" w14:textId="77777777" w:rsidR="00D3344B" w:rsidRDefault="00143C25">
      <w:pPr>
        <w:pStyle w:val="Estilo"/>
        <w:rPr>
          <w:rFonts w:cs="Arial"/>
        </w:rPr>
      </w:pPr>
      <w:r>
        <w:rPr>
          <w:rFonts w:cs="Arial"/>
        </w:rPr>
        <w:t xml:space="preserve">Para verificar la procedencia de la devolución, las autoridades fiscales podrán requerir al contribuyente, en un plazo no mayor de quince días posteriores a la presentación de la solicitud de devolución, los datos, informes y documentos adicionales que estén relacionados con la misma. Para tal efecto, las autoridades fiscales requerirán al promovente a fin de que en un plazo máximo de quince días cumpla con lo solicitado, apercibido de </w:t>
      </w:r>
      <w:proofErr w:type="gramStart"/>
      <w:r>
        <w:rPr>
          <w:rFonts w:cs="Arial"/>
        </w:rPr>
        <w:t>que</w:t>
      </w:r>
      <w:proofErr w:type="gramEnd"/>
      <w:r>
        <w:rPr>
          <w:rFonts w:cs="Arial"/>
        </w:rPr>
        <w:t xml:space="preserve"> de no hacerlo dentro de dicho plazo, se le tendrá por desistido de la solicitud de devolución correspondiente.</w:t>
      </w:r>
    </w:p>
    <w:p w14:paraId="1A0BBD97" w14:textId="77777777" w:rsidR="00D3344B" w:rsidRDefault="00D3344B">
      <w:pPr>
        <w:pStyle w:val="Estilo"/>
        <w:rPr>
          <w:rFonts w:cs="Arial"/>
        </w:rPr>
      </w:pPr>
    </w:p>
    <w:p w14:paraId="4F750C04"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585ADE34" w14:textId="77777777" w:rsidR="00D3344B" w:rsidRDefault="00143C25">
      <w:pPr>
        <w:pStyle w:val="Estilo"/>
        <w:rPr>
          <w:rFonts w:cs="Arial"/>
        </w:rPr>
      </w:pPr>
      <w:r>
        <w:rPr>
          <w:rFonts w:cs="Arial"/>
          <w:i/>
          <w:sz w:val="16"/>
        </w:rPr>
        <w:t>(REFORMADO, P.O. 7 DE DICIEMBRE DE 2009)</w:t>
      </w:r>
    </w:p>
    <w:p w14:paraId="310B482F" w14:textId="77777777" w:rsidR="00D3344B" w:rsidRDefault="00143C25">
      <w:pPr>
        <w:pStyle w:val="Estilo"/>
        <w:rPr>
          <w:rFonts w:cs="Arial"/>
        </w:rPr>
      </w:pPr>
      <w:r>
        <w:rPr>
          <w:rFonts w:cs="Arial"/>
        </w:rPr>
        <w:t>Cuando la autoridad requiera al contribuyente los datos, informes o documentos antes señalados, el período transcurrido entre la fecha en que se hubiere notificado el requerimiento de los mismos y la fecha en que éstos sean proporcionados en su totalidad por el contribuyente, no se computarán en la determinación del término para la devolución antes mencionada. No se considerará que las autoridades fiscales inician el ejercicio de sus facultades de comprobación, cuando soliciten los datos, informes o documentos a que se refiere este artículo.</w:t>
      </w:r>
    </w:p>
    <w:p w14:paraId="18DCFE01" w14:textId="77777777" w:rsidR="00D3344B" w:rsidRDefault="00D3344B">
      <w:pPr>
        <w:pStyle w:val="Estilo"/>
        <w:rPr>
          <w:rFonts w:cs="Arial"/>
        </w:rPr>
      </w:pPr>
    </w:p>
    <w:p w14:paraId="7109386A" w14:textId="77777777" w:rsidR="00D3344B" w:rsidRDefault="00143C25">
      <w:pPr>
        <w:pStyle w:val="Estilo"/>
        <w:rPr>
          <w:rFonts w:cs="Arial"/>
        </w:rPr>
      </w:pPr>
      <w:r>
        <w:rPr>
          <w:rFonts w:cs="Arial"/>
        </w:rPr>
        <w:t>La autoridad fiscal deberá pagar la devolución que proceda, actualizada de conformidad con el artículo 27 de este código, desde el mes en que se realizó el pago de lo indebido o se presentó la declaración que contenga el saldo a favor hasta a aquél en que ésta se autorice. Si la devolución no se efectuare dentro del plazo indicado, computado en los términos del segundo párrafo de este artículo, las autoridades fiscales pagarán intereses que se calcularán a partir del día siguiente al del vencimiento de dicho plazo, conforme a una tasa que será igual a la de recargos por mora prevista en la Ley de Ingresos respectiva, que se aplicará sobre la devolución actualizada.</w:t>
      </w:r>
    </w:p>
    <w:p w14:paraId="09C6225D" w14:textId="77777777" w:rsidR="00D3344B" w:rsidRDefault="00D3344B">
      <w:pPr>
        <w:pStyle w:val="Estilo"/>
        <w:rPr>
          <w:rFonts w:cs="Arial"/>
        </w:rPr>
      </w:pPr>
    </w:p>
    <w:p w14:paraId="1120F3F9"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383C550D" w14:textId="77777777" w:rsidR="00D3344B" w:rsidRDefault="00143C25">
      <w:pPr>
        <w:pStyle w:val="Estilo"/>
        <w:rPr>
          <w:rFonts w:cs="Arial"/>
        </w:rPr>
      </w:pPr>
      <w:r>
        <w:rPr>
          <w:rFonts w:cs="Arial"/>
          <w:i/>
          <w:sz w:val="16"/>
        </w:rPr>
        <w:t>(REFORMADO, P.O. 7 DE DICIEMBRE DE 2009)</w:t>
      </w:r>
    </w:p>
    <w:p w14:paraId="7D979309" w14:textId="77777777" w:rsidR="00D3344B" w:rsidRDefault="00143C25">
      <w:pPr>
        <w:pStyle w:val="Estilo"/>
        <w:rPr>
          <w:rFonts w:cs="Arial"/>
        </w:rPr>
      </w:pPr>
      <w:r>
        <w:rPr>
          <w:rFonts w:cs="Arial"/>
        </w:rPr>
        <w:t>Cuando las autoridades fiscales procedan a la devolución de cantidades señaladas como saldo a favor en las declaraciones presentadas por los contribuyentes, sin que medie más trámite que el requerimiento de datos, informes o documentos adicionales a que se refiere el tercer párrafo de este artículo o la simple comprobación de que se efectuaron los pagos de contribuciones que el contribuyente declara haber hecho, la autorización de la devolución solicitada no implica que sea resolución favorable al contribuyente. Si la devolución se hubiera efectuado y no procediera, se causarán recargos, tanto sobre las cantidades devueltas indebidamente, como por las de los posibles intereses pagados por las autoridades fiscales, a partir de la fecha de la devolución.</w:t>
      </w:r>
    </w:p>
    <w:p w14:paraId="3AF0ACC4" w14:textId="77777777" w:rsidR="00D3344B" w:rsidRDefault="00D3344B">
      <w:pPr>
        <w:pStyle w:val="Estilo"/>
        <w:rPr>
          <w:rFonts w:cs="Arial"/>
        </w:rPr>
      </w:pPr>
    </w:p>
    <w:p w14:paraId="3E20B5A4" w14:textId="77777777" w:rsidR="00D3344B" w:rsidRDefault="00143C25">
      <w:pPr>
        <w:pStyle w:val="Estilo"/>
        <w:rPr>
          <w:rFonts w:cs="Arial"/>
        </w:rPr>
      </w:pPr>
      <w:r>
        <w:rPr>
          <w:rFonts w:cs="Arial"/>
          <w:b/>
        </w:rPr>
        <w:t>Artículo 41.</w:t>
      </w:r>
      <w:r>
        <w:rPr>
          <w:rFonts w:cs="Arial"/>
        </w:rPr>
        <w:t xml:space="preserve"> La obligación de devolver prescribe en los mismos términos y condiciones que el crédito fiscal.</w:t>
      </w:r>
    </w:p>
    <w:p w14:paraId="07E537A3" w14:textId="77777777" w:rsidR="00D3344B" w:rsidRDefault="00D3344B">
      <w:pPr>
        <w:pStyle w:val="Estilo"/>
        <w:rPr>
          <w:rFonts w:cs="Arial"/>
        </w:rPr>
      </w:pPr>
    </w:p>
    <w:p w14:paraId="7F9420A2" w14:textId="77777777" w:rsidR="00D3344B" w:rsidRDefault="00143C25">
      <w:pPr>
        <w:pStyle w:val="Estilo"/>
        <w:jc w:val="center"/>
        <w:rPr>
          <w:rFonts w:cs="Arial"/>
        </w:rPr>
      </w:pPr>
      <w:r>
        <w:rPr>
          <w:rFonts w:cs="Arial"/>
          <w:i/>
          <w:sz w:val="16"/>
        </w:rPr>
        <w:t>(ADICIONADA CON LOS ARTÍCULOS QUE LA INTEGRAN, P.O. 31 DE DICIEMBRE DE 2007)</w:t>
      </w:r>
    </w:p>
    <w:p w14:paraId="70B4DE6F" w14:textId="77777777" w:rsidR="00D3344B" w:rsidRDefault="00143C25">
      <w:pPr>
        <w:pStyle w:val="Estilo"/>
        <w:jc w:val="center"/>
        <w:rPr>
          <w:rFonts w:cs="Arial"/>
          <w:b/>
        </w:rPr>
      </w:pPr>
      <w:r>
        <w:rPr>
          <w:rFonts w:cs="Arial"/>
          <w:b/>
        </w:rPr>
        <w:t>Subsección Primera</w:t>
      </w:r>
    </w:p>
    <w:p w14:paraId="65C644A1" w14:textId="77777777" w:rsidR="00D3344B" w:rsidRDefault="00143C25">
      <w:pPr>
        <w:pStyle w:val="Estilo"/>
        <w:jc w:val="center"/>
        <w:rPr>
          <w:rFonts w:cs="Arial"/>
          <w:b/>
        </w:rPr>
      </w:pPr>
      <w:r>
        <w:rPr>
          <w:rFonts w:cs="Arial"/>
          <w:b/>
        </w:rPr>
        <w:t>De los Medios Electrónicos de Pago</w:t>
      </w:r>
    </w:p>
    <w:p w14:paraId="0243BB85" w14:textId="77777777" w:rsidR="00D3344B" w:rsidRDefault="00D3344B">
      <w:pPr>
        <w:pStyle w:val="Estilo"/>
        <w:rPr>
          <w:rFonts w:cs="Arial"/>
        </w:rPr>
      </w:pPr>
    </w:p>
    <w:p w14:paraId="7B7D876C" w14:textId="77777777" w:rsidR="00D3344B" w:rsidRDefault="00143C25">
      <w:pPr>
        <w:pStyle w:val="Estilo"/>
        <w:rPr>
          <w:rFonts w:cs="Arial"/>
        </w:rPr>
      </w:pPr>
      <w:r>
        <w:rPr>
          <w:rFonts w:cs="Arial"/>
          <w:i/>
          <w:sz w:val="16"/>
        </w:rPr>
        <w:t>(ADICIONADO, P.O. 31 DE DICIEMBRE DE 2007)</w:t>
      </w:r>
    </w:p>
    <w:p w14:paraId="19C13D97" w14:textId="77777777" w:rsidR="00D3344B" w:rsidRDefault="00143C25">
      <w:pPr>
        <w:pStyle w:val="Estilo"/>
        <w:rPr>
          <w:rFonts w:cs="Arial"/>
        </w:rPr>
      </w:pPr>
      <w:r>
        <w:rPr>
          <w:rFonts w:cs="Arial"/>
          <w:b/>
        </w:rPr>
        <w:t>Artículo 41 A.</w:t>
      </w:r>
      <w:r>
        <w:rPr>
          <w:rFonts w:cs="Arial"/>
        </w:rPr>
        <w:t xml:space="preserve"> Para efectos del artículo 35-A de este código, los contribuyentes obligados a presentar declaraciones de pagos mensuales de los impuestos establecidos en el Título Cuarto de este ordenamiento y de otras contribuciones, las podrán efectuar vía Internet mediante transferencia electrónica, respecto de cada una de sus obligaciones fiscales derivadas de los citados impuestos y contribuciones, incluyendo sus complementarias, extemporáneas y de corrección fiscal.</w:t>
      </w:r>
    </w:p>
    <w:p w14:paraId="25647DEF" w14:textId="77777777" w:rsidR="00D3344B" w:rsidRDefault="00D3344B">
      <w:pPr>
        <w:pStyle w:val="Estilo"/>
        <w:rPr>
          <w:rFonts w:cs="Arial"/>
        </w:rPr>
      </w:pPr>
    </w:p>
    <w:p w14:paraId="1B3FF685" w14:textId="77777777" w:rsidR="00D3344B" w:rsidRDefault="00143C25">
      <w:pPr>
        <w:pStyle w:val="Estilo"/>
        <w:rPr>
          <w:rFonts w:cs="Arial"/>
        </w:rPr>
      </w:pPr>
      <w:r>
        <w:rPr>
          <w:rFonts w:cs="Arial"/>
          <w:i/>
          <w:sz w:val="16"/>
        </w:rPr>
        <w:t>(ADICIONADO, P.O. 31 DE DICIEMBRE DE 2007)</w:t>
      </w:r>
    </w:p>
    <w:p w14:paraId="7FE104BC" w14:textId="77777777" w:rsidR="00D3344B" w:rsidRDefault="00143C25">
      <w:pPr>
        <w:pStyle w:val="Estilo"/>
        <w:rPr>
          <w:rFonts w:cs="Arial"/>
        </w:rPr>
      </w:pPr>
      <w:r>
        <w:rPr>
          <w:rFonts w:cs="Arial"/>
          <w:b/>
        </w:rPr>
        <w:t>Artículo 41 B.</w:t>
      </w:r>
      <w:r>
        <w:rPr>
          <w:rFonts w:cs="Arial"/>
        </w:rPr>
        <w:t xml:space="preserve"> Se entiende por transferencia electrónica de fondos, para efectos de este código, el pago de las contribuciones </w:t>
      </w:r>
      <w:proofErr w:type="gramStart"/>
      <w:r>
        <w:rPr>
          <w:rFonts w:cs="Arial"/>
        </w:rPr>
        <w:t>que</w:t>
      </w:r>
      <w:proofErr w:type="gramEnd"/>
      <w:r>
        <w:rPr>
          <w:rFonts w:cs="Arial"/>
        </w:rPr>
        <w:t xml:space="preserve"> por instrucción de los contribuyentes, a través de la afectación de fondos de su cuenta bancaria a favor de la Secretaría, se realiza por las instituciones de crédito, en forma electrónica.</w:t>
      </w:r>
    </w:p>
    <w:p w14:paraId="767F97E1" w14:textId="77777777" w:rsidR="00D3344B" w:rsidRDefault="00D3344B">
      <w:pPr>
        <w:pStyle w:val="Estilo"/>
        <w:rPr>
          <w:rFonts w:cs="Arial"/>
        </w:rPr>
      </w:pPr>
    </w:p>
    <w:p w14:paraId="17F28F0C" w14:textId="77777777" w:rsidR="00D3344B" w:rsidRDefault="00143C25">
      <w:pPr>
        <w:pStyle w:val="Estilo"/>
        <w:rPr>
          <w:rFonts w:cs="Arial"/>
        </w:rPr>
      </w:pPr>
      <w:r>
        <w:rPr>
          <w:rFonts w:cs="Arial"/>
          <w:i/>
          <w:sz w:val="16"/>
        </w:rPr>
        <w:t>(ADICIONADO, P.O. 31 DE DICIEMBRE DE 2007)</w:t>
      </w:r>
    </w:p>
    <w:p w14:paraId="4F668006" w14:textId="77777777" w:rsidR="00D3344B" w:rsidRDefault="00143C25">
      <w:pPr>
        <w:pStyle w:val="Estilo"/>
        <w:rPr>
          <w:rFonts w:cs="Arial"/>
        </w:rPr>
      </w:pPr>
      <w:r>
        <w:rPr>
          <w:rFonts w:cs="Arial"/>
          <w:b/>
        </w:rPr>
        <w:t>Artículo 41 C.</w:t>
      </w:r>
      <w:r>
        <w:rPr>
          <w:rFonts w:cs="Arial"/>
        </w:rPr>
        <w:t xml:space="preserve"> El comprobante electrónico de pago emitido, contará con el sello digital de la Secretaría y datos de identificación del contribuyente o representante legal, sustituyendo a las firmas autógrafas y producirán los mismos efectos que las leyes otorgan a los documentos correspondientes, teniendo el mismo valor probatorio.</w:t>
      </w:r>
    </w:p>
    <w:p w14:paraId="2A4A36A8" w14:textId="77777777" w:rsidR="00D3344B" w:rsidRDefault="00D3344B">
      <w:pPr>
        <w:pStyle w:val="Estilo"/>
        <w:rPr>
          <w:rFonts w:cs="Arial"/>
        </w:rPr>
      </w:pPr>
    </w:p>
    <w:p w14:paraId="7C1F81A7" w14:textId="77777777" w:rsidR="00D3344B" w:rsidRDefault="00143C25">
      <w:pPr>
        <w:pStyle w:val="Estilo"/>
        <w:rPr>
          <w:rFonts w:cs="Arial"/>
        </w:rPr>
      </w:pPr>
      <w:r>
        <w:rPr>
          <w:rFonts w:cs="Arial"/>
          <w:i/>
          <w:sz w:val="16"/>
        </w:rPr>
        <w:t>(ADICIONADO, P.O. 03 DE OCTUBRE DE 2023)</w:t>
      </w:r>
    </w:p>
    <w:p w14:paraId="5FBDCD77" w14:textId="77777777" w:rsidR="00D3344B" w:rsidRDefault="00143C25">
      <w:pPr>
        <w:pStyle w:val="Estilo"/>
        <w:rPr>
          <w:rFonts w:cs="Arial"/>
        </w:rPr>
      </w:pPr>
      <w:r>
        <w:rPr>
          <w:rFonts w:cs="Arial"/>
          <w:b/>
          <w:bCs/>
        </w:rPr>
        <w:t>Artículo 41-D.</w:t>
      </w:r>
      <w:r>
        <w:rPr>
          <w:rFonts w:cs="Arial"/>
        </w:rPr>
        <w:t xml:space="preserve"> Las autoridades fiscales implementarán los mecanismos para la aplicación de las tecnologías de la información y las comunicaciones, a fin de que las personas contribuyentes den cumplimiento, por estos medios, a sus obligaciones fiscales, así como para el pago de derechos, servicios y </w:t>
      </w:r>
      <w:r>
        <w:rPr>
          <w:rFonts w:cs="Arial"/>
        </w:rPr>
        <w:lastRenderedPageBreak/>
        <w:t>aprovechamientos objeto de este Código, procurando la eficiencia, así como la accesibilidad tecnológica.</w:t>
      </w:r>
    </w:p>
    <w:p w14:paraId="0F803A5B" w14:textId="77777777" w:rsidR="00D3344B" w:rsidRDefault="00D3344B">
      <w:pPr>
        <w:pStyle w:val="Estilo"/>
        <w:rPr>
          <w:rFonts w:cs="Arial"/>
        </w:rPr>
      </w:pPr>
    </w:p>
    <w:p w14:paraId="454B6CA8" w14:textId="77777777" w:rsidR="00D3344B" w:rsidRDefault="00143C25">
      <w:pPr>
        <w:pStyle w:val="Estilo"/>
        <w:jc w:val="center"/>
        <w:rPr>
          <w:rFonts w:cs="Arial"/>
          <w:b/>
        </w:rPr>
      </w:pPr>
      <w:r>
        <w:rPr>
          <w:rFonts w:cs="Arial"/>
          <w:b/>
        </w:rPr>
        <w:t>Sección Tercera</w:t>
      </w:r>
    </w:p>
    <w:p w14:paraId="79943A53" w14:textId="77777777" w:rsidR="00D3344B" w:rsidRDefault="00143C25">
      <w:pPr>
        <w:pStyle w:val="Estilo"/>
        <w:jc w:val="center"/>
        <w:rPr>
          <w:rFonts w:cs="Arial"/>
          <w:b/>
        </w:rPr>
      </w:pPr>
      <w:r>
        <w:rPr>
          <w:rFonts w:cs="Arial"/>
          <w:b/>
        </w:rPr>
        <w:t>Garantías Fiscales</w:t>
      </w:r>
    </w:p>
    <w:p w14:paraId="468E856D" w14:textId="77777777" w:rsidR="00D3344B" w:rsidRDefault="00D3344B">
      <w:pPr>
        <w:pStyle w:val="Estilo"/>
        <w:rPr>
          <w:rFonts w:cs="Arial"/>
        </w:rPr>
      </w:pPr>
    </w:p>
    <w:p w14:paraId="64A1896D" w14:textId="77777777" w:rsidR="00D3344B" w:rsidRDefault="00143C25">
      <w:pPr>
        <w:pStyle w:val="Estilo"/>
        <w:rPr>
          <w:rFonts w:cs="Arial"/>
        </w:rPr>
      </w:pPr>
      <w:r>
        <w:rPr>
          <w:rFonts w:cs="Arial"/>
          <w:b/>
        </w:rPr>
        <w:t>Artículo 42.</w:t>
      </w:r>
      <w:r>
        <w:rPr>
          <w:rFonts w:cs="Arial"/>
        </w:rPr>
        <w:t xml:space="preserve"> La garantía del interés fiscal se ofrecerá por el interesado ante la autoridad que corresponda, para </w:t>
      </w:r>
      <w:proofErr w:type="gramStart"/>
      <w:r>
        <w:rPr>
          <w:rFonts w:cs="Arial"/>
        </w:rPr>
        <w:t>que</w:t>
      </w:r>
      <w:proofErr w:type="gramEnd"/>
      <w:r>
        <w:rPr>
          <w:rFonts w:cs="Arial"/>
        </w:rPr>
        <w:t xml:space="preserve"> en un plazo de diez días hábiles, previa calificación la acepte o rechace, según proceda en cada caso. El ofrecimiento deberá acompañarse de los documentos relativos al crédito fiscal y expresará la causa por la cual se ofrece la garantía.</w:t>
      </w:r>
    </w:p>
    <w:p w14:paraId="24220AD8" w14:textId="77777777" w:rsidR="00D3344B" w:rsidRDefault="00D3344B">
      <w:pPr>
        <w:pStyle w:val="Estilo"/>
        <w:rPr>
          <w:rFonts w:cs="Arial"/>
        </w:rPr>
      </w:pPr>
    </w:p>
    <w:p w14:paraId="4906B7B1" w14:textId="77777777" w:rsidR="00D3344B" w:rsidRDefault="00143C25">
      <w:pPr>
        <w:pStyle w:val="Estilo"/>
        <w:rPr>
          <w:rFonts w:cs="Arial"/>
        </w:rPr>
      </w:pPr>
      <w:r>
        <w:rPr>
          <w:rFonts w:cs="Arial"/>
          <w:i/>
          <w:sz w:val="16"/>
        </w:rPr>
        <w:t>(REFORMADO, P.O. 30 DE DICIEMBRE DE 2005)</w:t>
      </w:r>
    </w:p>
    <w:p w14:paraId="21C1D61F" w14:textId="77777777" w:rsidR="00D3344B" w:rsidRDefault="00143C25">
      <w:pPr>
        <w:pStyle w:val="Estilo"/>
        <w:rPr>
          <w:rFonts w:cs="Arial"/>
        </w:rPr>
      </w:pPr>
      <w:r>
        <w:rPr>
          <w:rFonts w:cs="Arial"/>
        </w:rPr>
        <w:t xml:space="preserve">La autoridad, al calificar la garantía verificará que el interesado cumpla con los requisitos establecidos por este Código, en caso contrario, requerirá al contribuyente, a fin de </w:t>
      </w:r>
      <w:proofErr w:type="gramStart"/>
      <w:r>
        <w:rPr>
          <w:rFonts w:cs="Arial"/>
        </w:rPr>
        <w:t>que</w:t>
      </w:r>
      <w:proofErr w:type="gramEnd"/>
      <w:r>
        <w:rPr>
          <w:rFonts w:cs="Arial"/>
        </w:rPr>
        <w:t xml:space="preserve"> en un plazo de diez días hábiles, mismos que empezarán a correr a partir del día siguiente a aquel en que surta efectos la notificación, cumpla con los requisitos omitidos, apercibiéndolo de que en caso de incumplimiento, se tendrá por no aceptada la garantía.</w:t>
      </w:r>
    </w:p>
    <w:p w14:paraId="24402E6B" w14:textId="77777777" w:rsidR="00D3344B" w:rsidRDefault="00D3344B">
      <w:pPr>
        <w:pStyle w:val="Estilo"/>
        <w:rPr>
          <w:rFonts w:cs="Arial"/>
        </w:rPr>
      </w:pPr>
    </w:p>
    <w:p w14:paraId="4D417977" w14:textId="77777777" w:rsidR="00D3344B" w:rsidRDefault="00143C25">
      <w:pPr>
        <w:pStyle w:val="Estilo"/>
        <w:rPr>
          <w:rFonts w:cs="Arial"/>
        </w:rPr>
      </w:pPr>
      <w:r>
        <w:rPr>
          <w:rFonts w:cs="Arial"/>
        </w:rPr>
        <w:t>En ningún caso las autoridades fiscales podrán dispensar el otorgamiento de la garantía.</w:t>
      </w:r>
    </w:p>
    <w:p w14:paraId="63DDA5B7" w14:textId="77777777" w:rsidR="00D3344B" w:rsidRDefault="00D3344B">
      <w:pPr>
        <w:pStyle w:val="Estilo"/>
        <w:rPr>
          <w:rFonts w:cs="Arial"/>
        </w:rPr>
      </w:pPr>
    </w:p>
    <w:p w14:paraId="492B555E" w14:textId="77777777" w:rsidR="00D3344B" w:rsidRDefault="00143C25">
      <w:pPr>
        <w:pStyle w:val="Estilo"/>
        <w:rPr>
          <w:rFonts w:cs="Arial"/>
        </w:rPr>
      </w:pPr>
      <w:r>
        <w:rPr>
          <w:rFonts w:cs="Arial"/>
          <w:b/>
        </w:rPr>
        <w:t>Artículo 43.</w:t>
      </w:r>
      <w:r>
        <w:rPr>
          <w:rFonts w:cs="Arial"/>
        </w:rPr>
        <w:t xml:space="preserve"> Procede garantizar el interés fiscal, cuando:</w:t>
      </w:r>
    </w:p>
    <w:p w14:paraId="1E76C29B" w14:textId="77777777" w:rsidR="00D3344B" w:rsidRDefault="00D3344B">
      <w:pPr>
        <w:pStyle w:val="Estilo"/>
        <w:rPr>
          <w:rFonts w:cs="Arial"/>
        </w:rPr>
      </w:pPr>
    </w:p>
    <w:p w14:paraId="4D146469" w14:textId="77777777" w:rsidR="00D3344B" w:rsidRDefault="00143C25">
      <w:pPr>
        <w:pStyle w:val="Estilo"/>
        <w:ind w:left="567" w:hanging="567"/>
        <w:rPr>
          <w:rFonts w:cs="Arial"/>
        </w:rPr>
      </w:pPr>
      <w:r>
        <w:rPr>
          <w:rFonts w:cs="Arial"/>
          <w:i/>
          <w:sz w:val="16"/>
        </w:rPr>
        <w:tab/>
        <w:t>(REFORMADA, P.O. 31 DE DICIEMBRE DE 2007)</w:t>
      </w:r>
    </w:p>
    <w:p w14:paraId="225D0183" w14:textId="77777777" w:rsidR="00D3344B" w:rsidRDefault="00143C25">
      <w:pPr>
        <w:pStyle w:val="Estilo"/>
        <w:ind w:left="567" w:hanging="567"/>
        <w:rPr>
          <w:rFonts w:cs="Arial"/>
        </w:rPr>
      </w:pPr>
      <w:r>
        <w:rPr>
          <w:rFonts w:cs="Arial"/>
        </w:rPr>
        <w:t xml:space="preserve">I. </w:t>
      </w:r>
      <w:r>
        <w:rPr>
          <w:rFonts w:cs="Arial"/>
        </w:rPr>
        <w:tab/>
        <w:t>El contribuyente interponga algún medio de defensa y solicite la suspensión del procedimiento administrativo de ejecución;</w:t>
      </w:r>
    </w:p>
    <w:p w14:paraId="650FD19C" w14:textId="77777777" w:rsidR="00D3344B" w:rsidRDefault="00D3344B">
      <w:pPr>
        <w:pStyle w:val="Estilo"/>
        <w:ind w:left="567" w:hanging="567"/>
        <w:rPr>
          <w:rFonts w:cs="Arial"/>
        </w:rPr>
      </w:pPr>
    </w:p>
    <w:p w14:paraId="2AE93167" w14:textId="77777777" w:rsidR="00D3344B" w:rsidRDefault="00143C25">
      <w:pPr>
        <w:pStyle w:val="Estilo"/>
        <w:ind w:left="567" w:hanging="567"/>
        <w:rPr>
          <w:rFonts w:cs="Arial"/>
        </w:rPr>
      </w:pPr>
      <w:r>
        <w:rPr>
          <w:rFonts w:cs="Arial"/>
          <w:i/>
          <w:sz w:val="16"/>
        </w:rPr>
        <w:tab/>
        <w:t>(REFORMADA, P.O. 31 DE DICIEMBRE DE 2007)</w:t>
      </w:r>
    </w:p>
    <w:p w14:paraId="4F190D31" w14:textId="77777777" w:rsidR="00D3344B" w:rsidRDefault="00143C25">
      <w:pPr>
        <w:pStyle w:val="Estilo"/>
        <w:ind w:left="567" w:hanging="567"/>
        <w:rPr>
          <w:rFonts w:cs="Arial"/>
        </w:rPr>
      </w:pPr>
      <w:r>
        <w:rPr>
          <w:rFonts w:cs="Arial"/>
        </w:rPr>
        <w:t xml:space="preserve">II. </w:t>
      </w:r>
      <w:r>
        <w:rPr>
          <w:rFonts w:cs="Arial"/>
        </w:rPr>
        <w:tab/>
        <w:t>Solicite plazo para pagar en forma diferida sus contribuciones o créditos fiscales o para que los mismos sean cubiertos en parcialidades, y</w:t>
      </w:r>
    </w:p>
    <w:p w14:paraId="0F1BE34D" w14:textId="77777777" w:rsidR="00D3344B" w:rsidRDefault="00D3344B">
      <w:pPr>
        <w:pStyle w:val="Estilo"/>
        <w:ind w:left="567" w:hanging="567"/>
        <w:rPr>
          <w:rFonts w:cs="Arial"/>
        </w:rPr>
      </w:pPr>
    </w:p>
    <w:p w14:paraId="3BEBB3ED" w14:textId="77777777" w:rsidR="00D3344B" w:rsidRDefault="00143C25">
      <w:pPr>
        <w:pStyle w:val="Estilo"/>
        <w:ind w:left="567" w:hanging="567"/>
        <w:rPr>
          <w:rFonts w:cs="Arial"/>
        </w:rPr>
      </w:pPr>
      <w:r>
        <w:rPr>
          <w:rFonts w:cs="Arial"/>
        </w:rPr>
        <w:t xml:space="preserve">III. </w:t>
      </w:r>
      <w:r>
        <w:rPr>
          <w:rFonts w:cs="Arial"/>
        </w:rPr>
        <w:tab/>
        <w:t>En los demás casos que este código disponga.</w:t>
      </w:r>
    </w:p>
    <w:p w14:paraId="5C62525A" w14:textId="77777777" w:rsidR="00D3344B" w:rsidRDefault="00D3344B">
      <w:pPr>
        <w:pStyle w:val="Estilo"/>
        <w:ind w:left="567" w:hanging="567"/>
        <w:rPr>
          <w:rFonts w:cs="Arial"/>
        </w:rPr>
      </w:pPr>
    </w:p>
    <w:p w14:paraId="42FE3CEF" w14:textId="77777777" w:rsidR="00D3344B" w:rsidRDefault="00143C25">
      <w:pPr>
        <w:pStyle w:val="Estilo"/>
        <w:ind w:left="567" w:hanging="567"/>
        <w:rPr>
          <w:rFonts w:cs="Arial"/>
        </w:rPr>
      </w:pPr>
      <w:r>
        <w:rPr>
          <w:rFonts w:cs="Arial"/>
          <w:b/>
        </w:rPr>
        <w:t>Artículo 44.</w:t>
      </w:r>
      <w:r>
        <w:rPr>
          <w:rFonts w:cs="Arial"/>
        </w:rPr>
        <w:t xml:space="preserve"> Los créditos fiscales podrán garantizarse mediante:</w:t>
      </w:r>
    </w:p>
    <w:p w14:paraId="2E74686E" w14:textId="77777777" w:rsidR="00D3344B" w:rsidRDefault="00D3344B">
      <w:pPr>
        <w:pStyle w:val="Estilo"/>
        <w:ind w:left="567" w:hanging="567"/>
        <w:rPr>
          <w:rFonts w:cs="Arial"/>
        </w:rPr>
      </w:pPr>
    </w:p>
    <w:p w14:paraId="42D70200" w14:textId="77777777" w:rsidR="00D3344B" w:rsidRDefault="00143C25">
      <w:pPr>
        <w:pStyle w:val="Estilo"/>
        <w:ind w:left="567" w:hanging="567"/>
        <w:rPr>
          <w:rFonts w:cs="Arial"/>
        </w:rPr>
      </w:pPr>
      <w:r>
        <w:rPr>
          <w:rFonts w:cs="Arial"/>
        </w:rPr>
        <w:t xml:space="preserve">I. </w:t>
      </w:r>
      <w:r>
        <w:rPr>
          <w:rFonts w:cs="Arial"/>
        </w:rPr>
        <w:tab/>
        <w:t>Depósito en dinero;</w:t>
      </w:r>
    </w:p>
    <w:p w14:paraId="4D74A320" w14:textId="77777777" w:rsidR="00D3344B" w:rsidRDefault="00D3344B">
      <w:pPr>
        <w:pStyle w:val="Estilo"/>
        <w:ind w:left="567" w:hanging="567"/>
        <w:rPr>
          <w:rFonts w:cs="Arial"/>
        </w:rPr>
      </w:pPr>
    </w:p>
    <w:p w14:paraId="0EA2D666" w14:textId="77777777" w:rsidR="00D3344B" w:rsidRDefault="00143C25">
      <w:pPr>
        <w:pStyle w:val="Estilo"/>
        <w:ind w:left="567" w:hanging="567"/>
        <w:rPr>
          <w:rFonts w:cs="Arial"/>
        </w:rPr>
      </w:pPr>
      <w:r>
        <w:rPr>
          <w:rFonts w:cs="Arial"/>
        </w:rPr>
        <w:t xml:space="preserve">II. </w:t>
      </w:r>
      <w:r>
        <w:rPr>
          <w:rFonts w:cs="Arial"/>
        </w:rPr>
        <w:tab/>
        <w:t>Prenda o hipoteca;</w:t>
      </w:r>
    </w:p>
    <w:p w14:paraId="1807BD61" w14:textId="77777777" w:rsidR="00D3344B" w:rsidRDefault="00D3344B">
      <w:pPr>
        <w:pStyle w:val="Estilo"/>
        <w:ind w:left="567" w:hanging="567"/>
        <w:rPr>
          <w:rFonts w:cs="Arial"/>
        </w:rPr>
      </w:pPr>
    </w:p>
    <w:p w14:paraId="7BF90029" w14:textId="77777777" w:rsidR="00D3344B" w:rsidRDefault="00143C25">
      <w:pPr>
        <w:pStyle w:val="Estilo"/>
        <w:ind w:left="567" w:hanging="567"/>
        <w:rPr>
          <w:rFonts w:cs="Arial"/>
        </w:rPr>
      </w:pPr>
      <w:r>
        <w:rPr>
          <w:rFonts w:cs="Arial"/>
        </w:rPr>
        <w:t xml:space="preserve">III. </w:t>
      </w:r>
      <w:r>
        <w:rPr>
          <w:rFonts w:cs="Arial"/>
        </w:rPr>
        <w:tab/>
        <w:t>Póliza de fianza, siempre y cuando se establezca en la misma la renuncia de los beneficios de orden y excusión de la compañía que la expida;</w:t>
      </w:r>
    </w:p>
    <w:p w14:paraId="1A882181" w14:textId="77777777" w:rsidR="00D3344B" w:rsidRDefault="00D3344B">
      <w:pPr>
        <w:pStyle w:val="Estilo"/>
        <w:ind w:left="567" w:hanging="567"/>
        <w:rPr>
          <w:rFonts w:cs="Arial"/>
        </w:rPr>
      </w:pPr>
    </w:p>
    <w:p w14:paraId="737A0809" w14:textId="77777777" w:rsidR="00D3344B" w:rsidRDefault="00143C25">
      <w:pPr>
        <w:pStyle w:val="Estilo"/>
        <w:ind w:left="567" w:hanging="567"/>
        <w:rPr>
          <w:rFonts w:cs="Arial"/>
        </w:rPr>
      </w:pPr>
      <w:r>
        <w:rPr>
          <w:rFonts w:cs="Arial"/>
        </w:rPr>
        <w:t xml:space="preserve">IV. </w:t>
      </w:r>
      <w:r>
        <w:rPr>
          <w:rFonts w:cs="Arial"/>
        </w:rPr>
        <w:tab/>
        <w:t>Obligación solidaria voluntaria, asumida por un tercero que acredite su solvencia;</w:t>
      </w:r>
    </w:p>
    <w:p w14:paraId="2B9327A0" w14:textId="77777777" w:rsidR="00D3344B" w:rsidRDefault="00D3344B">
      <w:pPr>
        <w:pStyle w:val="Estilo"/>
        <w:ind w:left="567" w:hanging="567"/>
        <w:rPr>
          <w:rFonts w:cs="Arial"/>
        </w:rPr>
      </w:pPr>
    </w:p>
    <w:p w14:paraId="4763DD65" w14:textId="77777777" w:rsidR="00D3344B" w:rsidRDefault="00143C25">
      <w:pPr>
        <w:pStyle w:val="Estilo"/>
        <w:ind w:left="567" w:hanging="567"/>
        <w:rPr>
          <w:rFonts w:cs="Arial"/>
        </w:rPr>
      </w:pPr>
      <w:r>
        <w:rPr>
          <w:rFonts w:cs="Arial"/>
        </w:rPr>
        <w:lastRenderedPageBreak/>
        <w:t xml:space="preserve">V. </w:t>
      </w:r>
      <w:r>
        <w:rPr>
          <w:rFonts w:cs="Arial"/>
        </w:rPr>
        <w:tab/>
        <w:t>Embargo en la vía administrativa;</w:t>
      </w:r>
    </w:p>
    <w:p w14:paraId="5D315557" w14:textId="77777777" w:rsidR="00D3344B" w:rsidRDefault="00D3344B">
      <w:pPr>
        <w:pStyle w:val="Estilo"/>
        <w:ind w:left="567" w:hanging="567"/>
        <w:rPr>
          <w:rFonts w:cs="Arial"/>
        </w:rPr>
      </w:pPr>
    </w:p>
    <w:p w14:paraId="48A3C8CA" w14:textId="77777777" w:rsidR="00D3344B" w:rsidRDefault="00143C25">
      <w:pPr>
        <w:pStyle w:val="Estilo"/>
        <w:ind w:left="567" w:hanging="567"/>
        <w:rPr>
          <w:rFonts w:cs="Arial"/>
        </w:rPr>
      </w:pPr>
      <w:r>
        <w:rPr>
          <w:rFonts w:cs="Arial"/>
        </w:rPr>
        <w:t xml:space="preserve">VI. </w:t>
      </w:r>
      <w:r>
        <w:rPr>
          <w:rFonts w:cs="Arial"/>
        </w:rPr>
        <w:tab/>
        <w:t>Los demás medios similares que resulten adecuados, conforme a los criterios que expida la Secretaría o los ayuntamientos, según corresponda, y</w:t>
      </w:r>
    </w:p>
    <w:p w14:paraId="4E5AD396" w14:textId="77777777" w:rsidR="00D3344B" w:rsidRDefault="00D3344B">
      <w:pPr>
        <w:pStyle w:val="Estilo"/>
        <w:rPr>
          <w:rFonts w:cs="Arial"/>
        </w:rPr>
      </w:pPr>
    </w:p>
    <w:p w14:paraId="0D73F20B" w14:textId="77777777" w:rsidR="00D3344B" w:rsidRDefault="00143C25">
      <w:pPr>
        <w:pStyle w:val="Estilo"/>
        <w:rPr>
          <w:rFonts w:cs="Arial"/>
          <w:i/>
          <w:sz w:val="16"/>
          <w:szCs w:val="16"/>
        </w:rPr>
      </w:pPr>
      <w:r>
        <w:rPr>
          <w:rFonts w:cs="Arial"/>
          <w:i/>
          <w:sz w:val="16"/>
          <w:szCs w:val="16"/>
        </w:rPr>
        <w:t>(REFORMADO [N. DE E. ADICIONADO, ANTES FRACCIÓN VII], P.O. 31 DE DICIEMBRE DE 2007)</w:t>
      </w:r>
    </w:p>
    <w:p w14:paraId="34194D97" w14:textId="77777777" w:rsidR="00D3344B" w:rsidRDefault="00143C25">
      <w:pPr>
        <w:pStyle w:val="Estilo"/>
        <w:rPr>
          <w:rFonts w:cs="Arial"/>
        </w:rPr>
      </w:pPr>
      <w:r>
        <w:rPr>
          <w:rFonts w:cs="Arial"/>
        </w:rPr>
        <w:t>Podrán combinarse las diferentes formas de garantía del interés fiscal a que se refieren las fracciones anteriores, respecto de un mismo crédito, siempre que, sumando sus respectivos importes, resulten suficientes para garantizar el crédito fiscal.</w:t>
      </w:r>
    </w:p>
    <w:p w14:paraId="49C2592B" w14:textId="77777777" w:rsidR="00D3344B" w:rsidRDefault="00D3344B">
      <w:pPr>
        <w:pStyle w:val="Estilo"/>
        <w:rPr>
          <w:rFonts w:cs="Arial"/>
        </w:rPr>
      </w:pPr>
    </w:p>
    <w:p w14:paraId="3FE3B31E" w14:textId="77777777" w:rsidR="00D3344B" w:rsidRDefault="00143C25">
      <w:pPr>
        <w:pStyle w:val="Estilo"/>
        <w:rPr>
          <w:rFonts w:cs="Arial"/>
        </w:rPr>
      </w:pPr>
      <w:r>
        <w:rPr>
          <w:rFonts w:cs="Arial"/>
          <w:i/>
          <w:sz w:val="16"/>
        </w:rPr>
        <w:t>(REFORMADO, P.O. 27 DE SEPTIEMBRE DE 2013)</w:t>
      </w:r>
    </w:p>
    <w:p w14:paraId="1D5B6057" w14:textId="77777777" w:rsidR="00D3344B" w:rsidRDefault="00143C25">
      <w:pPr>
        <w:pStyle w:val="Estilo"/>
        <w:rPr>
          <w:rFonts w:cs="Arial"/>
        </w:rPr>
      </w:pPr>
      <w:r>
        <w:rPr>
          <w:rFonts w:cs="Arial"/>
          <w:b/>
        </w:rPr>
        <w:t>Artículo 45.</w:t>
      </w:r>
      <w:r>
        <w:rPr>
          <w:rFonts w:cs="Arial"/>
        </w:rPr>
        <w:t xml:space="preserve"> La garantía deberá constituirse dentro de los quince días hábiles siguientes a la fecha en que se hubiere notificado el crédito respectivo, o el contribuyente se hubiere hecho sabedor del mismo; en todos los casos se deberá incluir dentro de la misma, las contribuciones adeudadas, sus actualizaciones, las multas y recargos que se hubieren causado hasta el momento de su constitución. En tanto no se cubra el crédito, al término de cada ejercicio fiscal deberá ampliarse la garantía para que se incluyan los accesorios generados.</w:t>
      </w:r>
    </w:p>
    <w:p w14:paraId="558BA64C" w14:textId="77777777" w:rsidR="00D3344B" w:rsidRDefault="00D3344B">
      <w:pPr>
        <w:pStyle w:val="Estilo"/>
        <w:rPr>
          <w:rFonts w:cs="Arial"/>
        </w:rPr>
      </w:pPr>
    </w:p>
    <w:p w14:paraId="69779064" w14:textId="77777777" w:rsidR="00D3344B" w:rsidRDefault="00143C25">
      <w:pPr>
        <w:pStyle w:val="Estilo"/>
        <w:rPr>
          <w:rFonts w:cs="Arial"/>
        </w:rPr>
      </w:pPr>
      <w:r>
        <w:rPr>
          <w:rFonts w:cs="Arial"/>
          <w:b/>
        </w:rPr>
        <w:t>Artículo 46.</w:t>
      </w:r>
      <w:r>
        <w:rPr>
          <w:rFonts w:cs="Arial"/>
        </w:rPr>
        <w:t xml:space="preserve"> Las garantías del interés fiscal se harán efectivas mediante el procedimiento administrativo de ejecución si se trata de prenda, hipoteca, obligación solidaria voluntaria asumida por un tercero o embargo en la vía administrativa. Si se trata de depósito en dinero, se procederá a su aplicación en pago y en el caso de póliza de fianza, se procederá en la vía específica conforme a la ley de la materia.</w:t>
      </w:r>
    </w:p>
    <w:p w14:paraId="2AEB43EA" w14:textId="77777777" w:rsidR="00D3344B" w:rsidRDefault="00D3344B">
      <w:pPr>
        <w:pStyle w:val="Estilo"/>
        <w:rPr>
          <w:rFonts w:cs="Arial"/>
        </w:rPr>
      </w:pPr>
    </w:p>
    <w:p w14:paraId="1E993DF4" w14:textId="77777777" w:rsidR="00D3344B" w:rsidRDefault="00143C25">
      <w:pPr>
        <w:pStyle w:val="Estilo"/>
        <w:jc w:val="center"/>
        <w:rPr>
          <w:rFonts w:cs="Arial"/>
          <w:b/>
        </w:rPr>
      </w:pPr>
      <w:r>
        <w:rPr>
          <w:rFonts w:cs="Arial"/>
          <w:b/>
        </w:rPr>
        <w:t>Sección Cuarta</w:t>
      </w:r>
    </w:p>
    <w:p w14:paraId="77EA7A3A" w14:textId="77777777" w:rsidR="00D3344B" w:rsidRDefault="00143C25">
      <w:pPr>
        <w:pStyle w:val="Estilo"/>
        <w:jc w:val="center"/>
        <w:rPr>
          <w:rFonts w:cs="Arial"/>
          <w:b/>
        </w:rPr>
      </w:pPr>
      <w:r>
        <w:rPr>
          <w:rFonts w:cs="Arial"/>
          <w:b/>
        </w:rPr>
        <w:t>Extinción y Cancelación</w:t>
      </w:r>
    </w:p>
    <w:p w14:paraId="795FF2EF" w14:textId="77777777" w:rsidR="00D3344B" w:rsidRDefault="00D3344B">
      <w:pPr>
        <w:pStyle w:val="Estilo"/>
        <w:rPr>
          <w:rFonts w:cs="Arial"/>
        </w:rPr>
      </w:pPr>
    </w:p>
    <w:p w14:paraId="70F7C25E" w14:textId="77777777" w:rsidR="00D3344B" w:rsidRDefault="00143C25">
      <w:pPr>
        <w:pStyle w:val="Estilo"/>
        <w:rPr>
          <w:rFonts w:cs="Arial"/>
        </w:rPr>
      </w:pPr>
      <w:r>
        <w:rPr>
          <w:rFonts w:cs="Arial"/>
          <w:b/>
        </w:rPr>
        <w:t>Artículo 47.</w:t>
      </w:r>
      <w:r>
        <w:rPr>
          <w:rFonts w:cs="Arial"/>
        </w:rPr>
        <w:t xml:space="preserve"> Será procedente la extinción del crédito fiscal en los casos siguientes:</w:t>
      </w:r>
    </w:p>
    <w:p w14:paraId="6BE8809D" w14:textId="77777777" w:rsidR="00D3344B" w:rsidRDefault="00D3344B">
      <w:pPr>
        <w:pStyle w:val="Estilo"/>
        <w:rPr>
          <w:rFonts w:cs="Arial"/>
        </w:rPr>
      </w:pPr>
    </w:p>
    <w:p w14:paraId="519AF99A" w14:textId="77777777" w:rsidR="00D3344B" w:rsidRDefault="00143C25">
      <w:pPr>
        <w:pStyle w:val="Estilo"/>
        <w:ind w:left="567" w:hanging="567"/>
        <w:rPr>
          <w:rFonts w:cs="Arial"/>
        </w:rPr>
      </w:pPr>
      <w:r>
        <w:rPr>
          <w:rFonts w:cs="Arial"/>
        </w:rPr>
        <w:t xml:space="preserve">I. </w:t>
      </w:r>
      <w:r>
        <w:rPr>
          <w:rFonts w:cs="Arial"/>
        </w:rPr>
        <w:tab/>
        <w:t>Por pago;</w:t>
      </w:r>
    </w:p>
    <w:p w14:paraId="41665872" w14:textId="77777777" w:rsidR="00D3344B" w:rsidRDefault="00D3344B">
      <w:pPr>
        <w:pStyle w:val="Estilo"/>
        <w:ind w:left="567" w:hanging="567"/>
        <w:rPr>
          <w:rFonts w:cs="Arial"/>
        </w:rPr>
      </w:pPr>
    </w:p>
    <w:p w14:paraId="0E5BDC8B" w14:textId="77777777" w:rsidR="00D3344B" w:rsidRDefault="00143C25">
      <w:pPr>
        <w:pStyle w:val="Estilo"/>
        <w:ind w:left="567" w:hanging="567"/>
        <w:rPr>
          <w:rFonts w:cs="Arial"/>
        </w:rPr>
      </w:pPr>
      <w:r>
        <w:rPr>
          <w:rFonts w:cs="Arial"/>
        </w:rPr>
        <w:t xml:space="preserve">II. </w:t>
      </w:r>
      <w:r>
        <w:rPr>
          <w:rFonts w:cs="Arial"/>
        </w:rPr>
        <w:tab/>
        <w:t>Por prescripción en los términos de este código;</w:t>
      </w:r>
    </w:p>
    <w:p w14:paraId="75286CC7" w14:textId="77777777" w:rsidR="00D3344B" w:rsidRDefault="00D3344B">
      <w:pPr>
        <w:pStyle w:val="Estilo"/>
        <w:ind w:left="567" w:hanging="567"/>
        <w:rPr>
          <w:rFonts w:cs="Arial"/>
        </w:rPr>
      </w:pPr>
    </w:p>
    <w:p w14:paraId="2AE1F58C" w14:textId="77777777" w:rsidR="00D3344B" w:rsidRDefault="00143C25">
      <w:pPr>
        <w:pStyle w:val="Estilo"/>
        <w:ind w:left="567" w:hanging="567"/>
        <w:rPr>
          <w:rFonts w:cs="Arial"/>
        </w:rPr>
      </w:pPr>
      <w:r>
        <w:rPr>
          <w:rFonts w:cs="Arial"/>
        </w:rPr>
        <w:t xml:space="preserve">III. </w:t>
      </w:r>
      <w:r>
        <w:rPr>
          <w:rFonts w:cs="Arial"/>
        </w:rPr>
        <w:tab/>
        <w:t>Cuando quede sin efecto, de manera definitiva, la resolución que haya dado origen al crédito, y</w:t>
      </w:r>
    </w:p>
    <w:p w14:paraId="3995BB06" w14:textId="77777777" w:rsidR="00D3344B" w:rsidRDefault="00D3344B">
      <w:pPr>
        <w:pStyle w:val="Estilo"/>
        <w:ind w:left="567" w:hanging="567"/>
        <w:rPr>
          <w:rFonts w:cs="Arial"/>
        </w:rPr>
      </w:pPr>
    </w:p>
    <w:p w14:paraId="4034B3BD" w14:textId="77777777" w:rsidR="00D3344B" w:rsidRDefault="00143C25">
      <w:pPr>
        <w:pStyle w:val="Estilo"/>
        <w:ind w:left="567" w:hanging="567"/>
        <w:rPr>
          <w:rFonts w:cs="Arial"/>
        </w:rPr>
      </w:pPr>
      <w:r>
        <w:rPr>
          <w:rFonts w:cs="Arial"/>
        </w:rPr>
        <w:t xml:space="preserve">IV. </w:t>
      </w:r>
      <w:r>
        <w:rPr>
          <w:rFonts w:cs="Arial"/>
        </w:rPr>
        <w:tab/>
        <w:t>En cualquier otro caso en que proceda, en los términos de este código.</w:t>
      </w:r>
    </w:p>
    <w:p w14:paraId="40E03C57" w14:textId="77777777" w:rsidR="00D3344B" w:rsidRDefault="00D3344B">
      <w:pPr>
        <w:pStyle w:val="Estilo"/>
        <w:rPr>
          <w:rFonts w:cs="Arial"/>
        </w:rPr>
      </w:pPr>
    </w:p>
    <w:p w14:paraId="7577B7E9" w14:textId="77777777" w:rsidR="00D3344B" w:rsidRDefault="00143C25">
      <w:pPr>
        <w:pStyle w:val="Estilo"/>
        <w:rPr>
          <w:rFonts w:cs="Arial"/>
        </w:rPr>
      </w:pPr>
      <w:r>
        <w:rPr>
          <w:rFonts w:cs="Arial"/>
          <w:i/>
          <w:sz w:val="16"/>
        </w:rPr>
        <w:t>(ADICIONADO, P.O. 23 DE DICIEMBRE DE 2013)</w:t>
      </w:r>
    </w:p>
    <w:p w14:paraId="0CD74B7A" w14:textId="77777777" w:rsidR="00D3344B" w:rsidRDefault="00143C25">
      <w:pPr>
        <w:pStyle w:val="Estilo"/>
        <w:rPr>
          <w:rFonts w:cs="Arial"/>
        </w:rPr>
      </w:pPr>
      <w:r>
        <w:rPr>
          <w:rFonts w:cs="Arial"/>
        </w:rPr>
        <w:t>Los depósitos en garantía, así como aquellos al cuidado o a disposición de la Secretaría constituidos en dinero o en valores, inclusive los intereses que en su caso generen, prescribirán a favor del Fisco Estatal en dos años contados a partir de la fecha en que legalmente pudo exigirse su devolución por el depositante.</w:t>
      </w:r>
    </w:p>
    <w:p w14:paraId="3A77351A" w14:textId="77777777" w:rsidR="00D3344B" w:rsidRDefault="00D3344B">
      <w:pPr>
        <w:pStyle w:val="Estilo"/>
        <w:rPr>
          <w:rFonts w:cs="Arial"/>
        </w:rPr>
      </w:pPr>
    </w:p>
    <w:p w14:paraId="0A3CFF9D"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EL CÓDIGO.</w:t>
      </w:r>
    </w:p>
    <w:p w14:paraId="6126E35B" w14:textId="77777777" w:rsidR="00D3344B" w:rsidRDefault="00143C25">
      <w:pPr>
        <w:pStyle w:val="Estilo"/>
        <w:rPr>
          <w:rFonts w:cs="Arial"/>
        </w:rPr>
      </w:pPr>
      <w:r>
        <w:rPr>
          <w:rFonts w:cs="Arial"/>
          <w:i/>
          <w:sz w:val="16"/>
        </w:rPr>
        <w:lastRenderedPageBreak/>
        <w:t>(REFORMADO, P.O. 23 DE DICIEMBRE DE 2008)</w:t>
      </w:r>
    </w:p>
    <w:p w14:paraId="2BECF22D" w14:textId="77777777" w:rsidR="00D3344B" w:rsidRDefault="00143C25">
      <w:pPr>
        <w:pStyle w:val="Estilo"/>
        <w:rPr>
          <w:rFonts w:cs="Arial"/>
        </w:rPr>
      </w:pPr>
      <w:r>
        <w:rPr>
          <w:rFonts w:cs="Arial"/>
          <w:b/>
        </w:rPr>
        <w:t>Artículo 48.</w:t>
      </w:r>
      <w:r>
        <w:rPr>
          <w:rFonts w:cs="Arial"/>
        </w:rPr>
        <w:t xml:space="preserve"> La autoridad fiscal podrá cancelar créditos fiscales, por incosteabilidad en el cobro o por insolvencia del deudor o de los responsables solidarios, de conformidad con lo siguiente:</w:t>
      </w:r>
    </w:p>
    <w:p w14:paraId="3C137334" w14:textId="77777777" w:rsidR="00D3344B" w:rsidRDefault="00D3344B">
      <w:pPr>
        <w:pStyle w:val="Estilo"/>
        <w:rPr>
          <w:rFonts w:cs="Arial"/>
        </w:rPr>
      </w:pPr>
    </w:p>
    <w:p w14:paraId="513756F9" w14:textId="77777777" w:rsidR="00D3344B" w:rsidRDefault="00143C25">
      <w:pPr>
        <w:pStyle w:val="Estilo"/>
        <w:rPr>
          <w:rFonts w:cs="Arial"/>
        </w:rPr>
      </w:pPr>
      <w:r>
        <w:rPr>
          <w:rFonts w:cs="Arial"/>
          <w:i/>
          <w:sz w:val="16"/>
        </w:rPr>
        <w:t>(REFORMADA, P.O. 21 DE JUNIO DE 2021)</w:t>
      </w:r>
    </w:p>
    <w:p w14:paraId="53107A6E" w14:textId="77777777" w:rsidR="00D3344B" w:rsidRDefault="00143C25">
      <w:pPr>
        <w:pStyle w:val="Estilo"/>
        <w:ind w:left="567" w:hanging="567"/>
        <w:rPr>
          <w:rFonts w:cs="Arial"/>
        </w:rPr>
      </w:pPr>
      <w:r>
        <w:rPr>
          <w:rFonts w:cs="Arial"/>
        </w:rPr>
        <w:t xml:space="preserve">I. </w:t>
      </w:r>
      <w:r>
        <w:rPr>
          <w:rFonts w:cs="Arial"/>
        </w:rPr>
        <w:tab/>
        <w:t>Se consideran créditos de cobro incosteable cuando su importe sea menor o equivalente a cinco UMA y cuyo costo de recuperación rebase el 75% del importe del crédito, así como aquellos que estando en el supuesto anterior, no sean liquidados espontáneamente dentro de los sesenta días siguientes a la fecha en que las autoridades fiscales hayan exigido el pago.</w:t>
      </w:r>
    </w:p>
    <w:p w14:paraId="3A359DFC" w14:textId="77777777" w:rsidR="00D3344B" w:rsidRDefault="00D3344B">
      <w:pPr>
        <w:pStyle w:val="Estilo"/>
        <w:ind w:left="567" w:hanging="567"/>
        <w:rPr>
          <w:rFonts w:cs="Arial"/>
        </w:rPr>
      </w:pPr>
    </w:p>
    <w:p w14:paraId="35FAA616" w14:textId="77777777" w:rsidR="00D3344B" w:rsidRDefault="00143C25">
      <w:pPr>
        <w:pStyle w:val="Estilo"/>
        <w:ind w:left="567" w:hanging="567"/>
        <w:rPr>
          <w:rFonts w:cs="Arial"/>
        </w:rPr>
      </w:pPr>
      <w:r>
        <w:rPr>
          <w:rFonts w:cs="Arial"/>
        </w:rPr>
        <w:t xml:space="preserve">II. </w:t>
      </w:r>
      <w:r>
        <w:rPr>
          <w:rFonts w:cs="Arial"/>
        </w:rPr>
        <w:tab/>
        <w:t>Se consideran insolventes los deudores o los responsables solidarios, cuando no tengan bienes embargables para cubrir el crédito o éstos ya se hubieran realizado, o cuando hubieran fallecido sin dejar bienes que puedan ser objeto del procedimiento administrativo de ejecución, previa comprobación de esta circunstancia por las autoridades fiscales.</w:t>
      </w:r>
    </w:p>
    <w:p w14:paraId="6BC27627" w14:textId="77777777" w:rsidR="00D3344B" w:rsidRDefault="00D3344B">
      <w:pPr>
        <w:pStyle w:val="Estilo"/>
        <w:rPr>
          <w:rFonts w:cs="Arial"/>
        </w:rPr>
      </w:pPr>
    </w:p>
    <w:p w14:paraId="1E3BA00B" w14:textId="77777777" w:rsidR="00D3344B" w:rsidRDefault="00143C25">
      <w:pPr>
        <w:pStyle w:val="Estilo"/>
        <w:rPr>
          <w:rFonts w:cs="Arial"/>
        </w:rPr>
      </w:pPr>
      <w:r>
        <w:rPr>
          <w:rFonts w:cs="Arial"/>
        </w:rPr>
        <w:t>La cancelación de los créditos fiscales se sujetará a las reglas generales que dicte la Secretaría.</w:t>
      </w:r>
    </w:p>
    <w:p w14:paraId="707792CC" w14:textId="77777777" w:rsidR="00D3344B" w:rsidRDefault="00D3344B">
      <w:pPr>
        <w:pStyle w:val="Estilo"/>
        <w:rPr>
          <w:rFonts w:cs="Arial"/>
        </w:rPr>
      </w:pPr>
    </w:p>
    <w:p w14:paraId="36477CEB" w14:textId="77777777" w:rsidR="00D3344B" w:rsidRDefault="00143C25">
      <w:pPr>
        <w:pStyle w:val="Estilo"/>
        <w:rPr>
          <w:rFonts w:cs="Arial"/>
        </w:rPr>
      </w:pPr>
      <w:r>
        <w:rPr>
          <w:rFonts w:cs="Arial"/>
        </w:rPr>
        <w:t>Tratándose de contribuyentes no localizados, las reglas antes señaladas establecerán el procedimiento de depuración de los padrones correspondientes.</w:t>
      </w:r>
    </w:p>
    <w:p w14:paraId="6F9010EB" w14:textId="77777777" w:rsidR="00D3344B" w:rsidRDefault="00D3344B">
      <w:pPr>
        <w:pStyle w:val="Estilo"/>
        <w:rPr>
          <w:rFonts w:cs="Arial"/>
        </w:rPr>
      </w:pPr>
    </w:p>
    <w:p w14:paraId="04E60781" w14:textId="77777777" w:rsidR="00D3344B" w:rsidRDefault="00143C25">
      <w:pPr>
        <w:pStyle w:val="Estilo"/>
        <w:rPr>
          <w:rFonts w:cs="Arial"/>
        </w:rPr>
      </w:pPr>
      <w:r>
        <w:rPr>
          <w:rFonts w:cs="Arial"/>
          <w:i/>
          <w:sz w:val="16"/>
        </w:rPr>
        <w:t>(REFORMADO, P.O. 29 DE NOVIEMBRE DE 2023)</w:t>
      </w:r>
    </w:p>
    <w:p w14:paraId="07BA845B" w14:textId="77777777" w:rsidR="00D3344B" w:rsidRDefault="00143C25">
      <w:pPr>
        <w:pStyle w:val="Estilo"/>
        <w:rPr>
          <w:rFonts w:cs="Arial"/>
        </w:rPr>
      </w:pPr>
      <w:r>
        <w:rPr>
          <w:rFonts w:cs="Arial"/>
          <w:b/>
        </w:rPr>
        <w:t>Artículo 49.</w:t>
      </w:r>
      <w:r>
        <w:rPr>
          <w:rFonts w:cs="Arial"/>
        </w:rPr>
        <w:t xml:space="preserve"> El crédito fiscal se extingue por prescripción en el término de cinco años, contados a partir de la fecha en que el pago pudo ser legalmente exigible, no obstante haber presentado aviso de suspensión de actividades.</w:t>
      </w:r>
    </w:p>
    <w:p w14:paraId="19745C25" w14:textId="77777777" w:rsidR="00D3344B" w:rsidRDefault="00D3344B">
      <w:pPr>
        <w:pStyle w:val="Estilo"/>
        <w:rPr>
          <w:rFonts w:cs="Arial"/>
        </w:rPr>
      </w:pPr>
    </w:p>
    <w:p w14:paraId="1FFFBD0D" w14:textId="77777777" w:rsidR="00D3344B" w:rsidRDefault="00143C25">
      <w:pPr>
        <w:pStyle w:val="Estilo"/>
        <w:rPr>
          <w:rFonts w:cs="Arial"/>
        </w:rPr>
      </w:pPr>
      <w:r>
        <w:rPr>
          <w:rFonts w:cs="Arial"/>
        </w:rPr>
        <w:t>El término para la prescripción se interrumpe con cada gestión de cobro que la autoridad notifique al contribuyente o por el reconocimiento expreso o tácito de éste, respecto de la existencia del crédito. Se considera gestión de cobro cualquier actuación de la autoridad dentro del procedimiento administrativo de ejecución, siempre que se haga del conocimiento del deudor.</w:t>
      </w:r>
    </w:p>
    <w:p w14:paraId="31046BBF" w14:textId="77777777" w:rsidR="00D3344B" w:rsidRDefault="00D3344B">
      <w:pPr>
        <w:pStyle w:val="Estilo"/>
        <w:rPr>
          <w:rFonts w:cs="Arial"/>
        </w:rPr>
      </w:pPr>
    </w:p>
    <w:p w14:paraId="11A657EE" w14:textId="77777777" w:rsidR="00D3344B" w:rsidRDefault="00143C25">
      <w:pPr>
        <w:pStyle w:val="Estilo"/>
        <w:rPr>
          <w:rFonts w:cs="Arial"/>
        </w:rPr>
      </w:pPr>
      <w:r>
        <w:rPr>
          <w:rFonts w:cs="Arial"/>
        </w:rPr>
        <w:t>Se suspenderá el plazo a que se refiere el primer párrafo de este artículo, cuando el contribuyente:</w:t>
      </w:r>
    </w:p>
    <w:p w14:paraId="3587FB43" w14:textId="77777777" w:rsidR="00D3344B" w:rsidRDefault="00D3344B">
      <w:pPr>
        <w:pStyle w:val="Estilo"/>
        <w:rPr>
          <w:rFonts w:cs="Arial"/>
        </w:rPr>
      </w:pPr>
    </w:p>
    <w:p w14:paraId="3CBEFCDA" w14:textId="77777777" w:rsidR="00D3344B" w:rsidRDefault="00143C25">
      <w:pPr>
        <w:pStyle w:val="Estilo"/>
        <w:ind w:left="567" w:hanging="567"/>
        <w:rPr>
          <w:rFonts w:cs="Arial"/>
        </w:rPr>
      </w:pPr>
      <w:r>
        <w:rPr>
          <w:rFonts w:cs="Arial"/>
        </w:rPr>
        <w:t>a)</w:t>
      </w:r>
      <w:r>
        <w:rPr>
          <w:rFonts w:cs="Arial"/>
        </w:rPr>
        <w:tab/>
        <w:t>Hubiera desocupado su domicilio sin presentar el aviso a que se refiere la fracción I del artículo 60 de este Código;</w:t>
      </w:r>
    </w:p>
    <w:p w14:paraId="05F703ED" w14:textId="77777777" w:rsidR="00D3344B" w:rsidRDefault="00D3344B">
      <w:pPr>
        <w:pStyle w:val="Estilo"/>
        <w:ind w:left="567" w:hanging="567"/>
        <w:rPr>
          <w:rFonts w:cs="Arial"/>
        </w:rPr>
      </w:pPr>
    </w:p>
    <w:p w14:paraId="705E4E92" w14:textId="77777777" w:rsidR="00D3344B" w:rsidRDefault="00143C25">
      <w:pPr>
        <w:pStyle w:val="Estilo"/>
        <w:ind w:left="567" w:hanging="567"/>
        <w:rPr>
          <w:rFonts w:cs="Arial"/>
        </w:rPr>
      </w:pPr>
      <w:r>
        <w:rPr>
          <w:rFonts w:cs="Arial"/>
        </w:rPr>
        <w:t>b)</w:t>
      </w:r>
      <w:r>
        <w:rPr>
          <w:rFonts w:cs="Arial"/>
        </w:rPr>
        <w:tab/>
        <w:t>Cuando se encuentre como no localizado en su domicilio; e,</w:t>
      </w:r>
    </w:p>
    <w:p w14:paraId="6CF92F12" w14:textId="77777777" w:rsidR="00D3344B" w:rsidRDefault="00D3344B">
      <w:pPr>
        <w:pStyle w:val="Estilo"/>
        <w:ind w:left="567" w:hanging="567"/>
        <w:rPr>
          <w:rFonts w:cs="Arial"/>
        </w:rPr>
      </w:pPr>
    </w:p>
    <w:p w14:paraId="2E8FC571" w14:textId="77777777" w:rsidR="00D3344B" w:rsidRDefault="00143C25">
      <w:pPr>
        <w:pStyle w:val="Estilo"/>
        <w:ind w:left="567" w:hanging="567"/>
        <w:rPr>
          <w:rFonts w:cs="Arial"/>
        </w:rPr>
      </w:pPr>
      <w:r>
        <w:rPr>
          <w:rFonts w:cs="Arial"/>
        </w:rPr>
        <w:t>c)</w:t>
      </w:r>
      <w:r>
        <w:rPr>
          <w:rFonts w:cs="Arial"/>
        </w:rPr>
        <w:tab/>
        <w:t>Cuando el contribuyente impugne el crédito fiscal a través de cualquiera de los medios de defensa existentes.</w:t>
      </w:r>
    </w:p>
    <w:p w14:paraId="5C965C49" w14:textId="77777777" w:rsidR="00D3344B" w:rsidRDefault="00D3344B">
      <w:pPr>
        <w:pStyle w:val="Estilo"/>
        <w:rPr>
          <w:rFonts w:cs="Arial"/>
        </w:rPr>
      </w:pPr>
    </w:p>
    <w:p w14:paraId="0F5F4D5D" w14:textId="77777777" w:rsidR="00D3344B" w:rsidRDefault="00143C25">
      <w:pPr>
        <w:pStyle w:val="Estilo"/>
        <w:rPr>
          <w:rFonts w:cs="Arial"/>
        </w:rPr>
      </w:pPr>
      <w:r>
        <w:rPr>
          <w:rFonts w:cs="Arial"/>
        </w:rPr>
        <w:lastRenderedPageBreak/>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14:paraId="5627B164" w14:textId="77777777" w:rsidR="00D3344B" w:rsidRDefault="00D3344B">
      <w:pPr>
        <w:pStyle w:val="Estilo"/>
        <w:rPr>
          <w:rFonts w:cs="Arial"/>
        </w:rPr>
      </w:pPr>
    </w:p>
    <w:p w14:paraId="4BCD238B" w14:textId="77777777" w:rsidR="00D3344B" w:rsidRDefault="00143C25">
      <w:pPr>
        <w:pStyle w:val="Estilo"/>
        <w:rPr>
          <w:rFonts w:cs="Arial"/>
        </w:rPr>
      </w:pPr>
      <w:r>
        <w:rPr>
          <w:rFonts w:cs="Arial"/>
        </w:rPr>
        <w:t>Tratándose de créditos fiscales extintos por prescripción, las autoridades fiscales señaladas en este Código depuraran los padrones correspondientes.</w:t>
      </w:r>
    </w:p>
    <w:p w14:paraId="17D959A6" w14:textId="77777777" w:rsidR="00D3344B" w:rsidRDefault="00D3344B">
      <w:pPr>
        <w:pStyle w:val="Estilo"/>
        <w:rPr>
          <w:rFonts w:cs="Arial"/>
        </w:rPr>
      </w:pPr>
    </w:p>
    <w:p w14:paraId="0850FA18" w14:textId="77777777" w:rsidR="00D3344B" w:rsidRDefault="00143C25">
      <w:pPr>
        <w:pStyle w:val="Estilo"/>
        <w:rPr>
          <w:rFonts w:cs="Arial"/>
        </w:rPr>
      </w:pPr>
      <w:r>
        <w:rPr>
          <w:rFonts w:cs="Arial"/>
          <w:b/>
        </w:rPr>
        <w:t>Artículo 50.</w:t>
      </w:r>
      <w:r>
        <w:rPr>
          <w:rFonts w:cs="Arial"/>
        </w:rPr>
        <w:t xml:space="preserve"> El crédito fiscal prescribirá según corresponda:</w:t>
      </w:r>
    </w:p>
    <w:p w14:paraId="25971475" w14:textId="77777777" w:rsidR="00D3344B" w:rsidRDefault="00D3344B">
      <w:pPr>
        <w:pStyle w:val="Estilo"/>
        <w:rPr>
          <w:rFonts w:cs="Arial"/>
        </w:rPr>
      </w:pPr>
    </w:p>
    <w:p w14:paraId="2FF886A6" w14:textId="77777777" w:rsidR="00D3344B" w:rsidRDefault="00143C25">
      <w:pPr>
        <w:pStyle w:val="Estilo"/>
        <w:ind w:left="567" w:hanging="567"/>
        <w:rPr>
          <w:rFonts w:cs="Arial"/>
        </w:rPr>
      </w:pPr>
      <w:r>
        <w:rPr>
          <w:rFonts w:cs="Arial"/>
        </w:rPr>
        <w:t xml:space="preserve">I. </w:t>
      </w:r>
      <w:r>
        <w:rPr>
          <w:rFonts w:cs="Arial"/>
        </w:rPr>
        <w:tab/>
        <w:t>En el término de diez años en el caso siguiente:</w:t>
      </w:r>
    </w:p>
    <w:p w14:paraId="6C526658" w14:textId="77777777" w:rsidR="00D3344B" w:rsidRDefault="00D3344B">
      <w:pPr>
        <w:pStyle w:val="Estilo"/>
        <w:ind w:left="567" w:hanging="567"/>
        <w:rPr>
          <w:rFonts w:cs="Arial"/>
        </w:rPr>
      </w:pPr>
    </w:p>
    <w:p w14:paraId="302D2838" w14:textId="77777777" w:rsidR="00D3344B" w:rsidRDefault="00143C25">
      <w:pPr>
        <w:pStyle w:val="Estilo"/>
        <w:ind w:left="1134" w:hanging="567"/>
        <w:rPr>
          <w:rFonts w:cs="Arial"/>
        </w:rPr>
      </w:pPr>
      <w:r>
        <w:rPr>
          <w:rFonts w:cs="Arial"/>
        </w:rPr>
        <w:t xml:space="preserve">a) </w:t>
      </w:r>
      <w:r>
        <w:rPr>
          <w:rFonts w:cs="Arial"/>
        </w:rPr>
        <w:tab/>
        <w:t>Que el interesado no se haya empadronado o registrado;</w:t>
      </w:r>
    </w:p>
    <w:p w14:paraId="4F6CB5B3" w14:textId="77777777" w:rsidR="00D3344B" w:rsidRDefault="00D3344B">
      <w:pPr>
        <w:pStyle w:val="Estilo"/>
        <w:ind w:left="567" w:hanging="567"/>
        <w:rPr>
          <w:rFonts w:cs="Arial"/>
        </w:rPr>
      </w:pPr>
    </w:p>
    <w:p w14:paraId="18836733" w14:textId="77777777" w:rsidR="00D3344B" w:rsidRDefault="00143C25">
      <w:pPr>
        <w:pStyle w:val="Estilo"/>
        <w:ind w:left="567" w:hanging="567"/>
        <w:rPr>
          <w:rFonts w:cs="Arial"/>
        </w:rPr>
      </w:pPr>
      <w:r>
        <w:rPr>
          <w:rFonts w:cs="Arial"/>
        </w:rPr>
        <w:t xml:space="preserve">II. </w:t>
      </w:r>
      <w:r>
        <w:rPr>
          <w:rFonts w:cs="Arial"/>
        </w:rPr>
        <w:tab/>
        <w:t>En el término de cinco años en los casos siguientes:</w:t>
      </w:r>
    </w:p>
    <w:p w14:paraId="041ADAD6" w14:textId="77777777" w:rsidR="00D3344B" w:rsidRDefault="00D3344B">
      <w:pPr>
        <w:pStyle w:val="Estilo"/>
        <w:ind w:left="567" w:hanging="567"/>
        <w:rPr>
          <w:rFonts w:cs="Arial"/>
        </w:rPr>
      </w:pPr>
    </w:p>
    <w:p w14:paraId="1549E5EA" w14:textId="77777777" w:rsidR="00D3344B" w:rsidRDefault="00143C25">
      <w:pPr>
        <w:pStyle w:val="Estilo"/>
        <w:ind w:left="1134" w:hanging="567"/>
        <w:rPr>
          <w:rFonts w:cs="Arial"/>
        </w:rPr>
      </w:pPr>
      <w:r>
        <w:rPr>
          <w:rFonts w:cs="Arial"/>
        </w:rPr>
        <w:t xml:space="preserve">a) </w:t>
      </w:r>
      <w:r>
        <w:rPr>
          <w:rFonts w:cs="Arial"/>
        </w:rPr>
        <w:tab/>
        <w:t>Que el interesado no haya presentado declaraciones de pago, y</w:t>
      </w:r>
    </w:p>
    <w:p w14:paraId="4F05EEE4" w14:textId="77777777" w:rsidR="00D3344B" w:rsidRDefault="00D3344B">
      <w:pPr>
        <w:pStyle w:val="Estilo"/>
        <w:ind w:left="1134" w:hanging="567"/>
        <w:rPr>
          <w:rFonts w:cs="Arial"/>
        </w:rPr>
      </w:pPr>
    </w:p>
    <w:p w14:paraId="31AA731A" w14:textId="77777777" w:rsidR="00D3344B" w:rsidRDefault="00143C25">
      <w:pPr>
        <w:pStyle w:val="Estilo"/>
        <w:ind w:left="1134" w:hanging="567"/>
        <w:rPr>
          <w:rFonts w:cs="Arial"/>
        </w:rPr>
      </w:pPr>
      <w:r>
        <w:rPr>
          <w:rFonts w:cs="Arial"/>
        </w:rPr>
        <w:t xml:space="preserve">b) </w:t>
      </w:r>
      <w:r>
        <w:rPr>
          <w:rFonts w:cs="Arial"/>
        </w:rPr>
        <w:tab/>
        <w:t>Que existan hechos constitutivos de delito en materia fiscal.</w:t>
      </w:r>
    </w:p>
    <w:p w14:paraId="730E70DA" w14:textId="77777777" w:rsidR="00D3344B" w:rsidRDefault="00D3344B">
      <w:pPr>
        <w:pStyle w:val="Estilo"/>
        <w:rPr>
          <w:rFonts w:cs="Arial"/>
        </w:rPr>
      </w:pPr>
    </w:p>
    <w:p w14:paraId="0C0C552F" w14:textId="77777777" w:rsidR="00D3344B" w:rsidRDefault="00143C25">
      <w:pPr>
        <w:pStyle w:val="Estilo"/>
        <w:rPr>
          <w:rFonts w:cs="Arial"/>
        </w:rPr>
      </w:pPr>
      <w:r>
        <w:rPr>
          <w:rFonts w:cs="Arial"/>
          <w:b/>
        </w:rPr>
        <w:t>Artículo 51.</w:t>
      </w:r>
      <w:r>
        <w:rPr>
          <w:rFonts w:cs="Arial"/>
        </w:rPr>
        <w:t xml:space="preserve"> Transcurrido el término a que se refieren los artículos 49 y 50, la autoridad competente hará la declaratoria de oficio o a petición de la parte interesada, de prescripción de los créditos respectivos.</w:t>
      </w:r>
    </w:p>
    <w:p w14:paraId="502C9476" w14:textId="77777777" w:rsidR="00D3344B" w:rsidRDefault="00D3344B">
      <w:pPr>
        <w:pStyle w:val="Estilo"/>
        <w:rPr>
          <w:rFonts w:cs="Arial"/>
        </w:rPr>
      </w:pPr>
    </w:p>
    <w:p w14:paraId="59484909" w14:textId="77777777" w:rsidR="00D3344B" w:rsidRDefault="00143C25">
      <w:pPr>
        <w:pStyle w:val="Estilo"/>
        <w:jc w:val="center"/>
        <w:rPr>
          <w:rFonts w:cs="Arial"/>
          <w:b/>
        </w:rPr>
      </w:pPr>
      <w:r>
        <w:rPr>
          <w:rFonts w:cs="Arial"/>
          <w:b/>
        </w:rPr>
        <w:t>Capítulo III</w:t>
      </w:r>
    </w:p>
    <w:p w14:paraId="4526B3C3" w14:textId="77777777" w:rsidR="00D3344B" w:rsidRDefault="00143C25">
      <w:pPr>
        <w:pStyle w:val="Estilo"/>
        <w:jc w:val="center"/>
        <w:rPr>
          <w:rFonts w:cs="Arial"/>
          <w:b/>
        </w:rPr>
      </w:pPr>
      <w:r>
        <w:rPr>
          <w:rFonts w:cs="Arial"/>
          <w:b/>
        </w:rPr>
        <w:t>Compensación</w:t>
      </w:r>
    </w:p>
    <w:p w14:paraId="78CB2357" w14:textId="77777777" w:rsidR="00D3344B" w:rsidRDefault="00D3344B">
      <w:pPr>
        <w:pStyle w:val="Estilo"/>
        <w:rPr>
          <w:rFonts w:cs="Arial"/>
        </w:rPr>
      </w:pPr>
    </w:p>
    <w:p w14:paraId="2417C934" w14:textId="77777777" w:rsidR="00D3344B" w:rsidRDefault="00143C25">
      <w:pPr>
        <w:pStyle w:val="Estilo"/>
        <w:rPr>
          <w:rFonts w:cs="Arial"/>
        </w:rPr>
      </w:pPr>
      <w:r>
        <w:rPr>
          <w:rFonts w:cs="Arial"/>
          <w:b/>
        </w:rPr>
        <w:t>Artículo 52.</w:t>
      </w:r>
      <w:r>
        <w:rPr>
          <w:rFonts w:cs="Arial"/>
        </w:rPr>
        <w:t xml:space="preserve"> Procederá la compensación cuando los contribuyentes que tengan cantidades a su favor lo soliciten contra las que estén obligados a pagar, siempre que ambas deriven de una misma contribución, incluyendo sus accesorios.</w:t>
      </w:r>
    </w:p>
    <w:p w14:paraId="3F8E8876" w14:textId="77777777" w:rsidR="00D3344B" w:rsidRDefault="00D3344B">
      <w:pPr>
        <w:pStyle w:val="Estilo"/>
        <w:rPr>
          <w:rFonts w:cs="Arial"/>
        </w:rPr>
      </w:pPr>
    </w:p>
    <w:p w14:paraId="5A15F606" w14:textId="77777777" w:rsidR="00D3344B" w:rsidRDefault="00143C25">
      <w:pPr>
        <w:pStyle w:val="Estilo"/>
        <w:rPr>
          <w:rFonts w:cs="Arial"/>
        </w:rPr>
      </w:pPr>
      <w:r>
        <w:rPr>
          <w:rFonts w:cs="Arial"/>
        </w:rPr>
        <w:t>Si las cantidades que tengan a su favor los contribuyentes no derivan de una misma contribución, sólo se podrán compensar previa solicitud del contribuyente. Al efecto, bastará que efectúen la compensación de dichas cantidades actualizadas desde el mes en que se realizó el pago de lo indebido o se presentó la declaración que contenga el saldo a favor, hasta aquel en que la compensación se realizó, presentando para ello el aviso de compensación correspondiente, dentro de los cinco días siguientes a aquél en que la misma se haya efectuado.</w:t>
      </w:r>
    </w:p>
    <w:p w14:paraId="178C383F" w14:textId="77777777" w:rsidR="00D3344B" w:rsidRDefault="00D3344B">
      <w:pPr>
        <w:pStyle w:val="Estilo"/>
        <w:rPr>
          <w:rFonts w:cs="Arial"/>
        </w:rPr>
      </w:pPr>
    </w:p>
    <w:p w14:paraId="79568A39" w14:textId="77777777" w:rsidR="00D3344B" w:rsidRDefault="00143C25">
      <w:pPr>
        <w:pStyle w:val="Estilo"/>
        <w:rPr>
          <w:rFonts w:cs="Arial"/>
        </w:rPr>
      </w:pPr>
      <w:r>
        <w:rPr>
          <w:rFonts w:cs="Arial"/>
        </w:rPr>
        <w:t>Se entenderá que es una misma contribución, cuando se trate del mismo impuesto.</w:t>
      </w:r>
    </w:p>
    <w:p w14:paraId="08019589" w14:textId="77777777" w:rsidR="00D3344B" w:rsidRDefault="00D3344B">
      <w:pPr>
        <w:pStyle w:val="Estilo"/>
        <w:rPr>
          <w:rFonts w:cs="Arial"/>
        </w:rPr>
      </w:pPr>
    </w:p>
    <w:p w14:paraId="3FD260BE" w14:textId="77777777" w:rsidR="00D3344B" w:rsidRDefault="00143C25">
      <w:pPr>
        <w:pStyle w:val="Estilo"/>
        <w:rPr>
          <w:rFonts w:cs="Arial"/>
        </w:rPr>
      </w:pPr>
      <w:r>
        <w:rPr>
          <w:rFonts w:cs="Arial"/>
        </w:rPr>
        <w:t>Si la compensación se hubiera efectuado y no procediera, se causarán recargos sobre las cantidades compensadas indebidamente, actualizadas por el periodo transcurrido desde el mes en que se efectuó la compensación, hasta aquel en que se haga el pago del monto de la compensación efectuada.</w:t>
      </w:r>
    </w:p>
    <w:p w14:paraId="04D626CE" w14:textId="77777777" w:rsidR="00D3344B" w:rsidRDefault="00D3344B">
      <w:pPr>
        <w:pStyle w:val="Estilo"/>
        <w:rPr>
          <w:rFonts w:cs="Arial"/>
        </w:rPr>
      </w:pPr>
    </w:p>
    <w:p w14:paraId="269B4EC8" w14:textId="77777777" w:rsidR="00D3344B" w:rsidRDefault="00143C25">
      <w:pPr>
        <w:pStyle w:val="Estilo"/>
        <w:rPr>
          <w:rFonts w:cs="Arial"/>
        </w:rPr>
      </w:pPr>
      <w:r>
        <w:rPr>
          <w:rFonts w:cs="Arial"/>
        </w:rPr>
        <w:t>No se podrán compensar las cantidades cuya devolución se haya solicitado o prescrito la obligación de devolverlas.</w:t>
      </w:r>
    </w:p>
    <w:p w14:paraId="2F2A0CFF" w14:textId="77777777" w:rsidR="00D3344B" w:rsidRDefault="00D3344B">
      <w:pPr>
        <w:pStyle w:val="Estilo"/>
        <w:rPr>
          <w:rFonts w:cs="Arial"/>
        </w:rPr>
      </w:pPr>
    </w:p>
    <w:p w14:paraId="7B417145" w14:textId="77777777" w:rsidR="00D3344B" w:rsidRDefault="00143C25">
      <w:pPr>
        <w:pStyle w:val="Estilo"/>
        <w:rPr>
          <w:rFonts w:cs="Arial"/>
        </w:rPr>
      </w:pPr>
      <w:r>
        <w:rPr>
          <w:rFonts w:cs="Arial"/>
          <w:b/>
        </w:rPr>
        <w:t>Artículo 53.</w:t>
      </w:r>
      <w:r>
        <w:rPr>
          <w:rFonts w:cs="Arial"/>
        </w:rPr>
        <w:t xml:space="preserve"> No se causarán recargos cuando el contribuyente compense el saldo a su favor hasta por el monto de dicho saldo, siempre que éste se haya originado con anterioridad a la fecha en que debió pagarse la contribución de que se trate. Sólo se causarán recargos por el periodo comprendido entre la fecha en que debió pagarse la contribución y la fecha en que se originó el saldo a compensar, cuando este último saldo se hubiere originado con posterioridad a la fecha en que se causó la contribución a pagar.</w:t>
      </w:r>
    </w:p>
    <w:p w14:paraId="18A34DB8" w14:textId="77777777" w:rsidR="00D3344B" w:rsidRDefault="00D3344B">
      <w:pPr>
        <w:pStyle w:val="Estilo"/>
        <w:rPr>
          <w:rFonts w:cs="Arial"/>
        </w:rPr>
      </w:pPr>
    </w:p>
    <w:p w14:paraId="4BE943D1" w14:textId="77777777" w:rsidR="00D3344B" w:rsidRDefault="00143C25">
      <w:pPr>
        <w:pStyle w:val="Estilo"/>
        <w:jc w:val="center"/>
        <w:rPr>
          <w:rFonts w:cs="Arial"/>
          <w:b/>
        </w:rPr>
      </w:pPr>
      <w:r>
        <w:rPr>
          <w:rFonts w:cs="Arial"/>
          <w:b/>
        </w:rPr>
        <w:t>Capítulo IV</w:t>
      </w:r>
    </w:p>
    <w:p w14:paraId="4EDB76B3" w14:textId="77777777" w:rsidR="00D3344B" w:rsidRDefault="00143C25">
      <w:pPr>
        <w:pStyle w:val="Estilo"/>
        <w:jc w:val="center"/>
        <w:rPr>
          <w:rFonts w:cs="Arial"/>
          <w:b/>
        </w:rPr>
      </w:pPr>
      <w:r>
        <w:rPr>
          <w:rFonts w:cs="Arial"/>
          <w:b/>
        </w:rPr>
        <w:t>Valuaciones</w:t>
      </w:r>
    </w:p>
    <w:p w14:paraId="54659FB2" w14:textId="77777777" w:rsidR="00D3344B" w:rsidRDefault="00D3344B">
      <w:pPr>
        <w:pStyle w:val="Estilo"/>
        <w:rPr>
          <w:rFonts w:cs="Arial"/>
        </w:rPr>
      </w:pPr>
    </w:p>
    <w:p w14:paraId="59AC545E" w14:textId="77777777" w:rsidR="00D3344B" w:rsidRDefault="00143C25">
      <w:pPr>
        <w:pStyle w:val="Estilo"/>
        <w:rPr>
          <w:rFonts w:cs="Arial"/>
        </w:rPr>
      </w:pPr>
      <w:r>
        <w:rPr>
          <w:rFonts w:cs="Arial"/>
          <w:b/>
        </w:rPr>
        <w:t>Artículo 54.</w:t>
      </w:r>
      <w:r>
        <w:rPr>
          <w:rFonts w:cs="Arial"/>
        </w:rPr>
        <w:t xml:space="preserve"> Para los efectos fiscales, los avalúos vinculados con las contribuciones establecidas en este código sólo podrán ser practicados, además de la autoridad fiscal, por:</w:t>
      </w:r>
    </w:p>
    <w:p w14:paraId="432D78C8" w14:textId="77777777" w:rsidR="00D3344B" w:rsidRDefault="00D3344B">
      <w:pPr>
        <w:pStyle w:val="Estilo"/>
        <w:rPr>
          <w:rFonts w:cs="Arial"/>
        </w:rPr>
      </w:pPr>
    </w:p>
    <w:p w14:paraId="427F7A4E" w14:textId="77777777" w:rsidR="00D3344B" w:rsidRDefault="00143C25">
      <w:pPr>
        <w:pStyle w:val="Estilo"/>
        <w:ind w:left="567" w:hanging="567"/>
        <w:rPr>
          <w:rFonts w:cs="Arial"/>
        </w:rPr>
      </w:pPr>
      <w:r>
        <w:rPr>
          <w:rFonts w:cs="Arial"/>
        </w:rPr>
        <w:t xml:space="preserve">I. </w:t>
      </w:r>
      <w:r>
        <w:rPr>
          <w:rFonts w:cs="Arial"/>
        </w:rPr>
        <w:tab/>
        <w:t>Instituciones de crédito;</w:t>
      </w:r>
    </w:p>
    <w:p w14:paraId="2F83E086" w14:textId="77777777" w:rsidR="00D3344B" w:rsidRDefault="00D3344B">
      <w:pPr>
        <w:pStyle w:val="Estilo"/>
        <w:ind w:left="567" w:hanging="567"/>
        <w:rPr>
          <w:rFonts w:cs="Arial"/>
        </w:rPr>
      </w:pPr>
    </w:p>
    <w:p w14:paraId="71493484" w14:textId="77777777" w:rsidR="00D3344B" w:rsidRDefault="00143C25">
      <w:pPr>
        <w:pStyle w:val="Estilo"/>
        <w:ind w:left="567" w:hanging="567"/>
        <w:rPr>
          <w:rFonts w:cs="Arial"/>
        </w:rPr>
      </w:pPr>
      <w:r>
        <w:rPr>
          <w:rFonts w:cs="Arial"/>
        </w:rPr>
        <w:t xml:space="preserve">II. </w:t>
      </w:r>
      <w:r>
        <w:rPr>
          <w:rFonts w:cs="Arial"/>
        </w:rPr>
        <w:tab/>
        <w:t>Sociedades civiles o mercantiles cuyo objeto específico sea la realización de avalúos;</w:t>
      </w:r>
    </w:p>
    <w:p w14:paraId="2070A2DE" w14:textId="77777777" w:rsidR="00D3344B" w:rsidRDefault="00D3344B">
      <w:pPr>
        <w:pStyle w:val="Estilo"/>
        <w:ind w:left="567" w:hanging="567"/>
        <w:rPr>
          <w:rFonts w:cs="Arial"/>
        </w:rPr>
      </w:pPr>
    </w:p>
    <w:p w14:paraId="1C24DC51" w14:textId="77777777" w:rsidR="00D3344B" w:rsidRDefault="00143C25">
      <w:pPr>
        <w:pStyle w:val="Estilo"/>
        <w:ind w:left="567" w:hanging="567"/>
        <w:rPr>
          <w:rFonts w:cs="Arial"/>
        </w:rPr>
      </w:pPr>
      <w:r>
        <w:rPr>
          <w:rFonts w:cs="Arial"/>
        </w:rPr>
        <w:t xml:space="preserve">III. </w:t>
      </w:r>
      <w:r>
        <w:rPr>
          <w:rFonts w:cs="Arial"/>
        </w:rPr>
        <w:tab/>
        <w:t>Corredores públicos, y</w:t>
      </w:r>
    </w:p>
    <w:p w14:paraId="4D24D5B5" w14:textId="77777777" w:rsidR="00D3344B" w:rsidRDefault="00D3344B">
      <w:pPr>
        <w:pStyle w:val="Estilo"/>
        <w:ind w:left="567" w:hanging="567"/>
        <w:rPr>
          <w:rFonts w:cs="Arial"/>
        </w:rPr>
      </w:pPr>
    </w:p>
    <w:p w14:paraId="19276922" w14:textId="77777777" w:rsidR="00D3344B" w:rsidRDefault="00143C25">
      <w:pPr>
        <w:pStyle w:val="Estilo"/>
        <w:ind w:left="567" w:hanging="567"/>
        <w:rPr>
          <w:rFonts w:cs="Arial"/>
        </w:rPr>
      </w:pPr>
      <w:r>
        <w:rPr>
          <w:rFonts w:cs="Arial"/>
        </w:rPr>
        <w:t xml:space="preserve">IV. </w:t>
      </w:r>
      <w:r>
        <w:rPr>
          <w:rFonts w:cs="Arial"/>
        </w:rPr>
        <w:tab/>
        <w:t>Peritos valuadores debidamente autorizados.</w:t>
      </w:r>
    </w:p>
    <w:p w14:paraId="17F8F1CE" w14:textId="77777777" w:rsidR="00D3344B" w:rsidRDefault="00D3344B">
      <w:pPr>
        <w:pStyle w:val="Estilo"/>
        <w:rPr>
          <w:rFonts w:cs="Arial"/>
        </w:rPr>
      </w:pPr>
    </w:p>
    <w:p w14:paraId="44612502" w14:textId="77777777" w:rsidR="00D3344B" w:rsidRDefault="00143C25">
      <w:pPr>
        <w:pStyle w:val="Estilo"/>
        <w:rPr>
          <w:rFonts w:cs="Arial"/>
        </w:rPr>
      </w:pPr>
      <w:r>
        <w:rPr>
          <w:rFonts w:cs="Arial"/>
          <w:b/>
        </w:rPr>
        <w:t>Artículo 55.</w:t>
      </w:r>
      <w:r>
        <w:rPr>
          <w:rFonts w:cs="Arial"/>
        </w:rPr>
        <w:t xml:space="preserve"> Las instituciones de crédito, así como las sociedades civiles o mercantiles a que se hace mención en el artículo anterior, deberán auxiliarse para la realización de los avalúos, de personas físicas registradas ante la autoridad fiscal, debiendo acreditar ante ella lo siguiente:</w:t>
      </w:r>
    </w:p>
    <w:p w14:paraId="5DD587E7" w14:textId="77777777" w:rsidR="00D3344B" w:rsidRDefault="00D3344B">
      <w:pPr>
        <w:pStyle w:val="Estilo"/>
        <w:rPr>
          <w:rFonts w:cs="Arial"/>
        </w:rPr>
      </w:pPr>
    </w:p>
    <w:p w14:paraId="63CBA260" w14:textId="77777777" w:rsidR="00D3344B" w:rsidRDefault="00143C25">
      <w:pPr>
        <w:pStyle w:val="Estilo"/>
        <w:ind w:left="567" w:hanging="567"/>
        <w:rPr>
          <w:rFonts w:cs="Arial"/>
        </w:rPr>
      </w:pPr>
      <w:r>
        <w:rPr>
          <w:rFonts w:cs="Arial"/>
        </w:rPr>
        <w:t xml:space="preserve">I. </w:t>
      </w:r>
      <w:r>
        <w:rPr>
          <w:rFonts w:cs="Arial"/>
        </w:rPr>
        <w:tab/>
        <w:t>Que tengan registro como perito valuador ante la Comisión Nacional Bancaria y de Valores, o que figuren en la lista anual de peritos valuadores de bienes, elaborada por el colegio profesional respectivo, en concordancia con la ley de la materia;</w:t>
      </w:r>
    </w:p>
    <w:p w14:paraId="16212793" w14:textId="77777777" w:rsidR="00D3344B" w:rsidRDefault="00D3344B">
      <w:pPr>
        <w:pStyle w:val="Estilo"/>
        <w:ind w:left="567" w:hanging="567"/>
        <w:rPr>
          <w:rFonts w:cs="Arial"/>
        </w:rPr>
      </w:pPr>
    </w:p>
    <w:p w14:paraId="10F7FF0F" w14:textId="77777777" w:rsidR="00D3344B" w:rsidRDefault="00143C25">
      <w:pPr>
        <w:pStyle w:val="Estilo"/>
        <w:ind w:left="567" w:hanging="567"/>
        <w:rPr>
          <w:rFonts w:cs="Arial"/>
        </w:rPr>
      </w:pPr>
      <w:r>
        <w:rPr>
          <w:rFonts w:cs="Arial"/>
        </w:rPr>
        <w:t xml:space="preserve">II. </w:t>
      </w:r>
      <w:r>
        <w:rPr>
          <w:rFonts w:cs="Arial"/>
        </w:rPr>
        <w:tab/>
        <w:t>Que tengan como mínimo una experiencia de dos años en valuación, y</w:t>
      </w:r>
    </w:p>
    <w:p w14:paraId="15008EF6" w14:textId="77777777" w:rsidR="00D3344B" w:rsidRDefault="00D3344B">
      <w:pPr>
        <w:pStyle w:val="Estilo"/>
        <w:ind w:left="567" w:hanging="567"/>
        <w:rPr>
          <w:rFonts w:cs="Arial"/>
        </w:rPr>
      </w:pPr>
    </w:p>
    <w:p w14:paraId="517922CC" w14:textId="77777777" w:rsidR="00D3344B" w:rsidRDefault="00143C25">
      <w:pPr>
        <w:pStyle w:val="Estilo"/>
        <w:ind w:left="567" w:hanging="567"/>
        <w:rPr>
          <w:rFonts w:cs="Arial"/>
        </w:rPr>
      </w:pPr>
      <w:r>
        <w:rPr>
          <w:rFonts w:cs="Arial"/>
        </w:rPr>
        <w:t xml:space="preserve">III. </w:t>
      </w:r>
      <w:r>
        <w:rPr>
          <w:rFonts w:cs="Arial"/>
        </w:rPr>
        <w:tab/>
        <w:t xml:space="preserve">Que tengan título profesional en algún ramo relacionado con la materia </w:t>
      </w:r>
      <w:proofErr w:type="spellStart"/>
      <w:r>
        <w:rPr>
          <w:rFonts w:cs="Arial"/>
        </w:rPr>
        <w:t>valuatoria</w:t>
      </w:r>
      <w:proofErr w:type="spellEnd"/>
      <w:r>
        <w:rPr>
          <w:rFonts w:cs="Arial"/>
        </w:rPr>
        <w:t xml:space="preserve"> registrado ante la autoridad competente, o que legalmente se encuentren habilitados para ejercer como corredores, y que figuren en la lista anual de peritos autorizados del colegio profesional respectivo.</w:t>
      </w:r>
    </w:p>
    <w:p w14:paraId="2F38C520" w14:textId="77777777" w:rsidR="00D3344B" w:rsidRDefault="00D3344B">
      <w:pPr>
        <w:pStyle w:val="Estilo"/>
        <w:rPr>
          <w:rFonts w:cs="Arial"/>
        </w:rPr>
      </w:pPr>
    </w:p>
    <w:p w14:paraId="2FEF2E60" w14:textId="77777777" w:rsidR="00D3344B" w:rsidRDefault="00143C25">
      <w:pPr>
        <w:pStyle w:val="Estilo"/>
        <w:rPr>
          <w:rFonts w:cs="Arial"/>
        </w:rPr>
      </w:pPr>
      <w:r>
        <w:rPr>
          <w:rFonts w:cs="Arial"/>
        </w:rPr>
        <w:lastRenderedPageBreak/>
        <w:t>Los corredores públicos deberán acreditar ante la autoridad fiscal, que cumplen con los requisitos de las fracciones II y III de este artículo.</w:t>
      </w:r>
    </w:p>
    <w:p w14:paraId="05D2D2E0" w14:textId="77777777" w:rsidR="00D3344B" w:rsidRDefault="00D3344B">
      <w:pPr>
        <w:pStyle w:val="Estilo"/>
        <w:rPr>
          <w:rFonts w:cs="Arial"/>
        </w:rPr>
      </w:pPr>
    </w:p>
    <w:p w14:paraId="03F07F1F" w14:textId="77777777" w:rsidR="00D3344B" w:rsidRDefault="00143C25">
      <w:pPr>
        <w:pStyle w:val="Estilo"/>
        <w:rPr>
          <w:rFonts w:cs="Arial"/>
        </w:rPr>
      </w:pPr>
      <w:r>
        <w:rPr>
          <w:rFonts w:cs="Arial"/>
          <w:b/>
        </w:rPr>
        <w:t>Artículo 56.</w:t>
      </w:r>
      <w:r>
        <w:rPr>
          <w:rFonts w:cs="Arial"/>
        </w:rPr>
        <w:t xml:space="preserve"> En caso de que las personas autorizadas por la autoridad fiscal o registradas ante ella, practiquen avalúos sin ajustarse a los procedimientos y lineamientos técnicos y a los manuales de valuación emitidos por la autoridad fiscal, dicha autorización o registro, previa audiencia, será suspendida hasta por tres años. Si hubiere reincidencia o participación en la comisión de algún delito fiscal, se procederá a la cancelación definitiva de dicha autorización o registro, sin perjuicio de las sanciones administrativas o penales en que pudieran llegar a incurrir, así como la solicitud al colegio respectivo para que les sea cancelado su acceso a las listas de peritos autorizados.</w:t>
      </w:r>
    </w:p>
    <w:p w14:paraId="3C496E07" w14:textId="77777777" w:rsidR="00D3344B" w:rsidRDefault="00D3344B">
      <w:pPr>
        <w:pStyle w:val="Estilo"/>
        <w:rPr>
          <w:rFonts w:cs="Arial"/>
        </w:rPr>
      </w:pPr>
    </w:p>
    <w:p w14:paraId="680ECAFF" w14:textId="77777777" w:rsidR="00D3344B" w:rsidRDefault="00143C25">
      <w:pPr>
        <w:pStyle w:val="Estilo"/>
        <w:rPr>
          <w:rFonts w:cs="Arial"/>
        </w:rPr>
      </w:pPr>
      <w:r>
        <w:rPr>
          <w:rFonts w:cs="Arial"/>
          <w:i/>
          <w:sz w:val="16"/>
        </w:rPr>
        <w:t>(REFORMADO, P.O. 29 DE NOVIEMBRE DE 2023)</w:t>
      </w:r>
    </w:p>
    <w:p w14:paraId="1A8E8B48" w14:textId="77777777" w:rsidR="00D3344B" w:rsidRDefault="00143C25">
      <w:pPr>
        <w:pStyle w:val="Estilo"/>
        <w:rPr>
          <w:rFonts w:cs="Arial"/>
        </w:rPr>
      </w:pPr>
      <w:r>
        <w:rPr>
          <w:rFonts w:cs="Arial"/>
          <w:b/>
        </w:rPr>
        <w:t>Artículo 57.</w:t>
      </w:r>
      <w:r>
        <w:rPr>
          <w:rFonts w:cs="Arial"/>
        </w:rPr>
        <w:t xml:space="preserve"> Los contribuyentes que celebren ante notarios, jueces, corredores públicos y demás personas que por disposición legal tengan fe pública, actos o contratos mediante los cuales se adquiera o transmita la propiedad de bienes inmuebles, así como en la constitución o transmisión de derechos reales sobre los mismos, deberán presentar a las autoridades fiscales por conducto de los referidos fedatarios, un aviso en que se relacionen las declaraciones y comprobantes de pago relativos a contribuciones relacionadas con bienes inmuebles, incluyendo el impuesto sobre transmisión de bienes inmuebles, respecto del bien de que se trate, correspondientes al último año, contado a partir de la fecha en que se autoricen las escrituras correspondientes.</w:t>
      </w:r>
    </w:p>
    <w:p w14:paraId="6981F92F" w14:textId="77777777" w:rsidR="00D3344B" w:rsidRDefault="00D3344B">
      <w:pPr>
        <w:pStyle w:val="Estilo"/>
        <w:rPr>
          <w:rFonts w:cs="Arial"/>
        </w:rPr>
      </w:pPr>
    </w:p>
    <w:p w14:paraId="3A416A79" w14:textId="77777777" w:rsidR="00D3344B" w:rsidRDefault="00143C25">
      <w:pPr>
        <w:pStyle w:val="Estilo"/>
        <w:jc w:val="center"/>
        <w:rPr>
          <w:rFonts w:cs="Arial"/>
          <w:b/>
        </w:rPr>
      </w:pPr>
      <w:r>
        <w:rPr>
          <w:rFonts w:cs="Arial"/>
          <w:b/>
        </w:rPr>
        <w:t>Capítulo V</w:t>
      </w:r>
    </w:p>
    <w:p w14:paraId="7A9E7B18" w14:textId="77777777" w:rsidR="00D3344B" w:rsidRDefault="00143C25">
      <w:pPr>
        <w:pStyle w:val="Estilo"/>
        <w:jc w:val="center"/>
        <w:rPr>
          <w:rFonts w:cs="Arial"/>
          <w:b/>
        </w:rPr>
      </w:pPr>
      <w:r>
        <w:rPr>
          <w:rFonts w:cs="Arial"/>
          <w:b/>
        </w:rPr>
        <w:t>Derechos y Obligaciones de los Contribuyentes</w:t>
      </w:r>
    </w:p>
    <w:p w14:paraId="2CE55170" w14:textId="77777777" w:rsidR="00D3344B" w:rsidRDefault="00D3344B">
      <w:pPr>
        <w:pStyle w:val="Estilo"/>
        <w:rPr>
          <w:rFonts w:cs="Arial"/>
        </w:rPr>
      </w:pPr>
    </w:p>
    <w:p w14:paraId="74720A21" w14:textId="77777777" w:rsidR="00D3344B" w:rsidRDefault="00143C25">
      <w:pPr>
        <w:pStyle w:val="Estilo"/>
        <w:rPr>
          <w:rFonts w:cs="Arial"/>
        </w:rPr>
      </w:pPr>
      <w:r>
        <w:rPr>
          <w:rFonts w:cs="Arial"/>
          <w:b/>
        </w:rPr>
        <w:t>Artículo 58.</w:t>
      </w:r>
      <w:r>
        <w:rPr>
          <w:rFonts w:cs="Arial"/>
        </w:rPr>
        <w:t xml:space="preserve"> Son derechos de los contribuyentes:</w:t>
      </w:r>
    </w:p>
    <w:p w14:paraId="55FB8906" w14:textId="77777777" w:rsidR="00D3344B" w:rsidRDefault="00D3344B">
      <w:pPr>
        <w:pStyle w:val="Estilo"/>
        <w:rPr>
          <w:rFonts w:cs="Arial"/>
        </w:rPr>
      </w:pPr>
    </w:p>
    <w:p w14:paraId="2DC4A0E5" w14:textId="77777777" w:rsidR="00D3344B" w:rsidRDefault="00143C25">
      <w:pPr>
        <w:pStyle w:val="Estilo"/>
        <w:ind w:left="567" w:hanging="567"/>
        <w:rPr>
          <w:rFonts w:cs="Arial"/>
        </w:rPr>
      </w:pPr>
      <w:r>
        <w:rPr>
          <w:rFonts w:cs="Arial"/>
        </w:rPr>
        <w:t xml:space="preserve">I. </w:t>
      </w:r>
      <w:r>
        <w:rPr>
          <w:rFonts w:cs="Arial"/>
        </w:rPr>
        <w:tab/>
        <w:t>Solicitar por escrito a la autoridad fiscal, la orientación que requieran para el cumplimiento de sus obligaciones fiscales;</w:t>
      </w:r>
    </w:p>
    <w:p w14:paraId="6B5D3260" w14:textId="77777777" w:rsidR="00D3344B" w:rsidRDefault="00D3344B">
      <w:pPr>
        <w:pStyle w:val="Estilo"/>
        <w:ind w:left="567" w:hanging="567"/>
        <w:rPr>
          <w:rFonts w:cs="Arial"/>
        </w:rPr>
      </w:pPr>
    </w:p>
    <w:p w14:paraId="71628E20" w14:textId="77777777" w:rsidR="00D3344B" w:rsidRDefault="00143C25">
      <w:pPr>
        <w:pStyle w:val="Estilo"/>
        <w:ind w:left="567" w:hanging="567"/>
        <w:rPr>
          <w:rFonts w:cs="Arial"/>
        </w:rPr>
      </w:pPr>
      <w:r>
        <w:rPr>
          <w:rFonts w:cs="Arial"/>
        </w:rPr>
        <w:t xml:space="preserve">II. </w:t>
      </w:r>
      <w:r>
        <w:rPr>
          <w:rFonts w:cs="Arial"/>
        </w:rPr>
        <w:tab/>
        <w:t>Obtener la devolución o compensación de las cantidades indebidamente pagadas;</w:t>
      </w:r>
    </w:p>
    <w:p w14:paraId="6CF34833" w14:textId="77777777" w:rsidR="00D3344B" w:rsidRDefault="00D3344B">
      <w:pPr>
        <w:pStyle w:val="Estilo"/>
        <w:ind w:left="567" w:hanging="567"/>
        <w:rPr>
          <w:rFonts w:cs="Arial"/>
        </w:rPr>
      </w:pPr>
    </w:p>
    <w:p w14:paraId="4C25BFFE" w14:textId="77777777" w:rsidR="00D3344B" w:rsidRDefault="00143C25">
      <w:pPr>
        <w:pStyle w:val="Estilo"/>
        <w:ind w:left="567" w:hanging="567"/>
        <w:rPr>
          <w:rFonts w:cs="Arial"/>
        </w:rPr>
      </w:pPr>
      <w:r>
        <w:rPr>
          <w:rFonts w:cs="Arial"/>
        </w:rPr>
        <w:t xml:space="preserve">III. </w:t>
      </w:r>
      <w:r>
        <w:rPr>
          <w:rFonts w:cs="Arial"/>
        </w:rPr>
        <w:tab/>
        <w:t>Recibir de la autoridad fiscal el comprobante de pago de sus obligaciones fiscales;</w:t>
      </w:r>
    </w:p>
    <w:p w14:paraId="5F4349AA" w14:textId="77777777" w:rsidR="00D3344B" w:rsidRDefault="00D3344B">
      <w:pPr>
        <w:pStyle w:val="Estilo"/>
        <w:ind w:left="567" w:hanging="567"/>
        <w:rPr>
          <w:rFonts w:cs="Arial"/>
        </w:rPr>
      </w:pPr>
    </w:p>
    <w:p w14:paraId="336DE928" w14:textId="77777777" w:rsidR="00D3344B" w:rsidRDefault="00143C25">
      <w:pPr>
        <w:pStyle w:val="Estilo"/>
        <w:ind w:left="567" w:hanging="567"/>
        <w:rPr>
          <w:rFonts w:cs="Arial"/>
        </w:rPr>
      </w:pPr>
      <w:r>
        <w:rPr>
          <w:rFonts w:cs="Arial"/>
        </w:rPr>
        <w:t xml:space="preserve">IV. </w:t>
      </w:r>
      <w:r>
        <w:rPr>
          <w:rFonts w:cs="Arial"/>
        </w:rPr>
        <w:tab/>
        <w:t>Presentar declaraciones complementarias en los términos previstos por este código;</w:t>
      </w:r>
    </w:p>
    <w:p w14:paraId="1A967AAD" w14:textId="77777777" w:rsidR="00D3344B" w:rsidRDefault="00D3344B">
      <w:pPr>
        <w:pStyle w:val="Estilo"/>
        <w:ind w:left="567" w:hanging="567"/>
        <w:rPr>
          <w:rFonts w:cs="Arial"/>
        </w:rPr>
      </w:pPr>
    </w:p>
    <w:p w14:paraId="19ECFBD8" w14:textId="77777777" w:rsidR="00D3344B" w:rsidRDefault="00143C25">
      <w:pPr>
        <w:pStyle w:val="Estilo"/>
        <w:ind w:left="567" w:hanging="567"/>
        <w:rPr>
          <w:rFonts w:cs="Arial"/>
        </w:rPr>
      </w:pPr>
      <w:r>
        <w:rPr>
          <w:rFonts w:cs="Arial"/>
        </w:rPr>
        <w:t xml:space="preserve">V. </w:t>
      </w:r>
      <w:r>
        <w:rPr>
          <w:rFonts w:cs="Arial"/>
        </w:rPr>
        <w:tab/>
        <w:t xml:space="preserve">Obtener la contestación de las consultas o solicitudes </w:t>
      </w:r>
      <w:proofErr w:type="gramStart"/>
      <w:r>
        <w:rPr>
          <w:rFonts w:cs="Arial"/>
        </w:rPr>
        <w:t>que</w:t>
      </w:r>
      <w:proofErr w:type="gramEnd"/>
      <w:r>
        <w:rPr>
          <w:rFonts w:cs="Arial"/>
        </w:rPr>
        <w:t xml:space="preserve"> sobre situaciones reales y concretas, formule ante la autoridad fiscal, la que contará con un plazo de treinta días hábiles para resolver y en caso de no hacerlo, el interesado podrá considerar que la autoridad resolvió negativamente, y</w:t>
      </w:r>
    </w:p>
    <w:p w14:paraId="33863B67" w14:textId="77777777" w:rsidR="00D3344B" w:rsidRDefault="00D3344B">
      <w:pPr>
        <w:pStyle w:val="Estilo"/>
        <w:ind w:left="567" w:hanging="567"/>
        <w:rPr>
          <w:rFonts w:cs="Arial"/>
        </w:rPr>
      </w:pPr>
    </w:p>
    <w:p w14:paraId="3FA19F28" w14:textId="77777777" w:rsidR="00D3344B" w:rsidRDefault="00143C25">
      <w:pPr>
        <w:pStyle w:val="Estilo"/>
        <w:ind w:left="567" w:hanging="567"/>
        <w:rPr>
          <w:rFonts w:cs="Arial"/>
        </w:rPr>
      </w:pPr>
      <w:r>
        <w:rPr>
          <w:rFonts w:cs="Arial"/>
          <w:i/>
          <w:sz w:val="16"/>
        </w:rPr>
        <w:tab/>
        <w:t>(ADICIONADA, P.O. 24 DE DICIEMBRE DE 2003)</w:t>
      </w:r>
    </w:p>
    <w:p w14:paraId="366398F9" w14:textId="77777777" w:rsidR="00D3344B" w:rsidRDefault="00143C25">
      <w:pPr>
        <w:pStyle w:val="Estilo"/>
        <w:ind w:left="567" w:hanging="567"/>
        <w:rPr>
          <w:rFonts w:cs="Arial"/>
        </w:rPr>
      </w:pPr>
      <w:r>
        <w:rPr>
          <w:rFonts w:cs="Arial"/>
        </w:rPr>
        <w:t xml:space="preserve">VI. </w:t>
      </w:r>
      <w:r>
        <w:rPr>
          <w:rFonts w:cs="Arial"/>
        </w:rPr>
        <w:tab/>
        <w:t>Designar síndicos que los representen ante las autoridades fiscales, los cuales podrán solicitar opiniones o recomendaciones a las autoridades fiscales, respecto de los asuntos que les sean planteados por los contribuyentes conforme al reglamento de este código; y</w:t>
      </w:r>
    </w:p>
    <w:p w14:paraId="25F06153" w14:textId="77777777" w:rsidR="00D3344B" w:rsidRDefault="00D3344B">
      <w:pPr>
        <w:pStyle w:val="Estilo"/>
        <w:ind w:left="567" w:hanging="567"/>
        <w:rPr>
          <w:rFonts w:cs="Arial"/>
        </w:rPr>
      </w:pPr>
    </w:p>
    <w:p w14:paraId="11D270F7" w14:textId="77777777" w:rsidR="00D3344B" w:rsidRDefault="00143C25">
      <w:pPr>
        <w:pStyle w:val="Estilo"/>
        <w:ind w:left="567" w:hanging="567"/>
        <w:rPr>
          <w:rFonts w:cs="Arial"/>
        </w:rPr>
      </w:pPr>
      <w:r>
        <w:rPr>
          <w:rFonts w:cs="Arial"/>
        </w:rPr>
        <w:t xml:space="preserve">VII. </w:t>
      </w:r>
      <w:r>
        <w:rPr>
          <w:rFonts w:cs="Arial"/>
        </w:rPr>
        <w:tab/>
        <w:t>Las demás que establezcan otras leyes.</w:t>
      </w:r>
    </w:p>
    <w:p w14:paraId="514475F7" w14:textId="77777777" w:rsidR="00D3344B" w:rsidRDefault="00D3344B">
      <w:pPr>
        <w:pStyle w:val="Estilo"/>
        <w:rPr>
          <w:rFonts w:cs="Arial"/>
        </w:rPr>
      </w:pPr>
    </w:p>
    <w:p w14:paraId="4A6E7473" w14:textId="77777777" w:rsidR="00D3344B" w:rsidRDefault="00143C25">
      <w:pPr>
        <w:pStyle w:val="Estilo"/>
        <w:rPr>
          <w:rFonts w:cs="Arial"/>
        </w:rPr>
      </w:pPr>
      <w:r>
        <w:rPr>
          <w:rFonts w:cs="Arial"/>
          <w:b/>
        </w:rPr>
        <w:t>Artículo 59.</w:t>
      </w:r>
      <w:r>
        <w:rPr>
          <w:rFonts w:cs="Arial"/>
        </w:rPr>
        <w:t xml:space="preserve"> Son obligaciones de los contribuyentes:</w:t>
      </w:r>
    </w:p>
    <w:p w14:paraId="0A7632F4" w14:textId="77777777" w:rsidR="00D3344B" w:rsidRDefault="00D3344B">
      <w:pPr>
        <w:pStyle w:val="Estilo"/>
        <w:rPr>
          <w:rFonts w:cs="Arial"/>
        </w:rPr>
      </w:pPr>
    </w:p>
    <w:p w14:paraId="738D5F94" w14:textId="77777777" w:rsidR="00D3344B" w:rsidRDefault="00143C25">
      <w:pPr>
        <w:pStyle w:val="Estilo"/>
        <w:ind w:left="567" w:hanging="567"/>
        <w:rPr>
          <w:rFonts w:cs="Arial"/>
        </w:rPr>
      </w:pPr>
      <w:r>
        <w:rPr>
          <w:rFonts w:cs="Arial"/>
        </w:rPr>
        <w:t xml:space="preserve">I. </w:t>
      </w:r>
      <w:r>
        <w:rPr>
          <w:rFonts w:cs="Arial"/>
        </w:rPr>
        <w:tab/>
        <w:t>Inscribirse en los registros y padrones fiscales, dentro del término de treinta días, contados a partir de que se dé la situación jurídica o del hecho generador de la obligación fiscal;</w:t>
      </w:r>
    </w:p>
    <w:p w14:paraId="11989FAA" w14:textId="77777777" w:rsidR="00D3344B" w:rsidRDefault="00D3344B">
      <w:pPr>
        <w:pStyle w:val="Estilo"/>
        <w:ind w:left="567" w:hanging="567"/>
        <w:rPr>
          <w:rFonts w:cs="Arial"/>
        </w:rPr>
      </w:pPr>
    </w:p>
    <w:p w14:paraId="2731E9A4"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40DD0ADA" w14:textId="77777777" w:rsidR="00D3344B" w:rsidRDefault="00143C25">
      <w:pPr>
        <w:pStyle w:val="Estilo"/>
        <w:ind w:left="567" w:hanging="567"/>
        <w:rPr>
          <w:rFonts w:cs="Arial"/>
        </w:rPr>
      </w:pPr>
      <w:r>
        <w:rPr>
          <w:rFonts w:cs="Arial"/>
        </w:rPr>
        <w:t xml:space="preserve">II. </w:t>
      </w:r>
      <w:r>
        <w:rPr>
          <w:rFonts w:cs="Arial"/>
        </w:rPr>
        <w:tab/>
        <w:t>Expedir los comprobantes fiscales digitales por internet por los actos o actividades, por los ingresos que se perciban o por las retenciones de contribuciones que efectúen, los contribuyentes deberán emitirlos mediante documentos digitales. Dichos documentos deberán contener los requisitos siguientes:</w:t>
      </w:r>
    </w:p>
    <w:p w14:paraId="7AF6119A" w14:textId="77777777" w:rsidR="00D3344B" w:rsidRDefault="00D3344B">
      <w:pPr>
        <w:pStyle w:val="Estilo"/>
        <w:ind w:left="567" w:hanging="567"/>
        <w:rPr>
          <w:rFonts w:cs="Arial"/>
        </w:rPr>
      </w:pPr>
    </w:p>
    <w:p w14:paraId="4D0E3AEE" w14:textId="77777777" w:rsidR="00D3344B" w:rsidRDefault="00143C25">
      <w:pPr>
        <w:pStyle w:val="Estilo"/>
        <w:ind w:left="993" w:hanging="426"/>
        <w:rPr>
          <w:rFonts w:cs="Arial"/>
        </w:rPr>
      </w:pPr>
      <w:r>
        <w:rPr>
          <w:rFonts w:cs="Arial"/>
        </w:rPr>
        <w:t xml:space="preserve">a) </w:t>
      </w:r>
      <w:r>
        <w:rPr>
          <w:rFonts w:cs="Arial"/>
        </w:rPr>
        <w:tab/>
        <w:t>Nombre o razón social del contribuyente;</w:t>
      </w:r>
    </w:p>
    <w:p w14:paraId="35F78B36" w14:textId="77777777" w:rsidR="00D3344B" w:rsidRDefault="00D3344B">
      <w:pPr>
        <w:pStyle w:val="Estilo"/>
        <w:ind w:left="993" w:hanging="426"/>
        <w:rPr>
          <w:rFonts w:cs="Arial"/>
        </w:rPr>
      </w:pPr>
    </w:p>
    <w:p w14:paraId="74A46CC8" w14:textId="77777777" w:rsidR="00D3344B" w:rsidRDefault="00143C25">
      <w:pPr>
        <w:pStyle w:val="Estilo"/>
        <w:ind w:left="993" w:hanging="426"/>
        <w:rPr>
          <w:rFonts w:cs="Arial"/>
        </w:rPr>
      </w:pPr>
      <w:r>
        <w:rPr>
          <w:rFonts w:cs="Arial"/>
        </w:rPr>
        <w:t xml:space="preserve">b) </w:t>
      </w:r>
      <w:r>
        <w:rPr>
          <w:rFonts w:cs="Arial"/>
        </w:rPr>
        <w:tab/>
        <w:t>Registro Federal de Contribuyentes de quien lo expida;</w:t>
      </w:r>
    </w:p>
    <w:p w14:paraId="62EE3083" w14:textId="77777777" w:rsidR="00D3344B" w:rsidRDefault="00D3344B">
      <w:pPr>
        <w:pStyle w:val="Estilo"/>
        <w:ind w:left="993" w:hanging="426"/>
        <w:rPr>
          <w:rFonts w:cs="Arial"/>
        </w:rPr>
      </w:pPr>
    </w:p>
    <w:p w14:paraId="66C7F52B" w14:textId="77777777" w:rsidR="00D3344B" w:rsidRDefault="00143C25">
      <w:pPr>
        <w:pStyle w:val="Estilo"/>
        <w:ind w:left="993" w:hanging="426"/>
        <w:rPr>
          <w:rFonts w:cs="Arial"/>
        </w:rPr>
      </w:pPr>
      <w:r>
        <w:rPr>
          <w:rFonts w:cs="Arial"/>
        </w:rPr>
        <w:t xml:space="preserve">c) </w:t>
      </w:r>
      <w:r>
        <w:rPr>
          <w:rFonts w:cs="Arial"/>
        </w:rPr>
        <w:tab/>
        <w:t>Domicilio fiscal.</w:t>
      </w:r>
    </w:p>
    <w:p w14:paraId="20155BD3" w14:textId="77777777" w:rsidR="00D3344B" w:rsidRDefault="00D3344B">
      <w:pPr>
        <w:pStyle w:val="Estilo"/>
        <w:ind w:left="1134"/>
        <w:rPr>
          <w:rFonts w:cs="Arial"/>
        </w:rPr>
      </w:pPr>
    </w:p>
    <w:p w14:paraId="6E706206" w14:textId="77777777" w:rsidR="00D3344B" w:rsidRDefault="00143C25">
      <w:pPr>
        <w:pStyle w:val="Estilo"/>
        <w:ind w:left="567"/>
        <w:rPr>
          <w:rFonts w:cs="Arial"/>
        </w:rPr>
      </w:pPr>
      <w:r>
        <w:rPr>
          <w:rFonts w:cs="Arial"/>
        </w:rPr>
        <w:t>Tratándose de contribuyentes que tengan más de un local o establecimiento, se deberá señalar el domicilio del local o establecimiento en el que se expidan los comprobantes fiscales;</w:t>
      </w:r>
    </w:p>
    <w:p w14:paraId="686D7F1B" w14:textId="77777777" w:rsidR="00D3344B" w:rsidRDefault="00D3344B">
      <w:pPr>
        <w:pStyle w:val="Estilo"/>
        <w:ind w:left="1134" w:hanging="567"/>
        <w:rPr>
          <w:rFonts w:cs="Arial"/>
        </w:rPr>
      </w:pPr>
    </w:p>
    <w:p w14:paraId="4BB2239F" w14:textId="77777777" w:rsidR="00D3344B" w:rsidRDefault="00143C25">
      <w:pPr>
        <w:pStyle w:val="Estilo"/>
        <w:ind w:left="993" w:hanging="426"/>
        <w:rPr>
          <w:rFonts w:cs="Arial"/>
        </w:rPr>
      </w:pPr>
      <w:r>
        <w:rPr>
          <w:rFonts w:cs="Arial"/>
        </w:rPr>
        <w:t xml:space="preserve">d) </w:t>
      </w:r>
      <w:r>
        <w:rPr>
          <w:rFonts w:cs="Arial"/>
        </w:rPr>
        <w:tab/>
        <w:t>Lugar y fecha de expedición;</w:t>
      </w:r>
    </w:p>
    <w:p w14:paraId="0C0D6B6C" w14:textId="77777777" w:rsidR="00D3344B" w:rsidRDefault="00D3344B">
      <w:pPr>
        <w:pStyle w:val="Estilo"/>
        <w:ind w:left="993" w:hanging="426"/>
        <w:rPr>
          <w:rFonts w:cs="Arial"/>
        </w:rPr>
      </w:pPr>
    </w:p>
    <w:p w14:paraId="79DECDD8" w14:textId="77777777" w:rsidR="00D3344B" w:rsidRDefault="00143C25">
      <w:pPr>
        <w:pStyle w:val="Estilo"/>
        <w:ind w:left="993" w:hanging="426"/>
        <w:rPr>
          <w:rFonts w:cs="Arial"/>
        </w:rPr>
      </w:pPr>
      <w:r>
        <w:rPr>
          <w:rFonts w:cs="Arial"/>
        </w:rPr>
        <w:t xml:space="preserve">e) </w:t>
      </w:r>
      <w:r>
        <w:rPr>
          <w:rFonts w:cs="Arial"/>
        </w:rPr>
        <w:tab/>
        <w:t>Número progresivo numerado;</w:t>
      </w:r>
    </w:p>
    <w:p w14:paraId="738BDFD6" w14:textId="77777777" w:rsidR="00D3344B" w:rsidRDefault="00D3344B">
      <w:pPr>
        <w:pStyle w:val="Estilo"/>
        <w:ind w:left="993" w:hanging="426"/>
        <w:rPr>
          <w:rFonts w:cs="Arial"/>
        </w:rPr>
      </w:pPr>
    </w:p>
    <w:p w14:paraId="5817050F" w14:textId="77777777" w:rsidR="00D3344B" w:rsidRDefault="00143C25">
      <w:pPr>
        <w:pStyle w:val="Estilo"/>
        <w:ind w:left="993" w:hanging="426"/>
        <w:rPr>
          <w:rFonts w:cs="Arial"/>
        </w:rPr>
      </w:pPr>
      <w:r>
        <w:rPr>
          <w:rFonts w:cs="Arial"/>
        </w:rPr>
        <w:t xml:space="preserve">f) </w:t>
      </w:r>
      <w:r>
        <w:rPr>
          <w:rFonts w:cs="Arial"/>
        </w:rPr>
        <w:tab/>
        <w:t>La clave del registro federal de contribuyentes de la persona a favor de quien se expide.</w:t>
      </w:r>
    </w:p>
    <w:p w14:paraId="0629F515" w14:textId="77777777" w:rsidR="00D3344B" w:rsidRDefault="00D3344B">
      <w:pPr>
        <w:pStyle w:val="Estilo"/>
        <w:ind w:left="1134" w:hanging="567"/>
        <w:rPr>
          <w:rFonts w:cs="Arial"/>
        </w:rPr>
      </w:pPr>
    </w:p>
    <w:p w14:paraId="12ABD7EF" w14:textId="77777777" w:rsidR="00D3344B" w:rsidRDefault="00143C25">
      <w:pPr>
        <w:pStyle w:val="Estilo"/>
        <w:ind w:left="567"/>
        <w:rPr>
          <w:rFonts w:cs="Arial"/>
        </w:rPr>
      </w:pPr>
      <w:r>
        <w:rPr>
          <w:rFonts w:cs="Arial"/>
        </w:rPr>
        <w:t>Cuando no se cuente con la clave del registro federal de contribuyentes a que se refiere esta fracción, se señalará la clave genérica que establezca el Servicio de Administración Tributaria mediante reglas de carácter general, considerándose la operación como celebrada con el público en general;</w:t>
      </w:r>
    </w:p>
    <w:p w14:paraId="6587B33B" w14:textId="77777777" w:rsidR="00D3344B" w:rsidRDefault="00D3344B">
      <w:pPr>
        <w:pStyle w:val="Estilo"/>
        <w:ind w:left="1134" w:hanging="567"/>
        <w:rPr>
          <w:rFonts w:cs="Arial"/>
        </w:rPr>
      </w:pPr>
    </w:p>
    <w:p w14:paraId="21F3BC3F" w14:textId="77777777" w:rsidR="00D3344B" w:rsidRDefault="00143C25">
      <w:pPr>
        <w:pStyle w:val="Estilo"/>
        <w:ind w:left="1134" w:hanging="567"/>
        <w:rPr>
          <w:rFonts w:cs="Arial"/>
        </w:rPr>
      </w:pPr>
      <w:r>
        <w:rPr>
          <w:rFonts w:cs="Arial"/>
        </w:rPr>
        <w:t>g) La cantidad, unidad de medida y clase del servicio que amparen;</w:t>
      </w:r>
    </w:p>
    <w:p w14:paraId="1E898040" w14:textId="77777777" w:rsidR="00D3344B" w:rsidRDefault="00143C25">
      <w:pPr>
        <w:pStyle w:val="Estilo"/>
        <w:ind w:left="993" w:hanging="426"/>
        <w:rPr>
          <w:rFonts w:cs="Arial"/>
        </w:rPr>
      </w:pPr>
      <w:r>
        <w:rPr>
          <w:rFonts w:cs="Arial"/>
        </w:rPr>
        <w:t xml:space="preserve">h) </w:t>
      </w:r>
      <w:r>
        <w:rPr>
          <w:rFonts w:cs="Arial"/>
        </w:rPr>
        <w:tab/>
        <w:t>Valor unitario consignado en número, y</w:t>
      </w:r>
    </w:p>
    <w:p w14:paraId="1C09D60B" w14:textId="77777777" w:rsidR="00D3344B" w:rsidRDefault="00D3344B">
      <w:pPr>
        <w:pStyle w:val="Estilo"/>
        <w:ind w:left="993" w:hanging="426"/>
        <w:rPr>
          <w:rFonts w:cs="Arial"/>
        </w:rPr>
      </w:pPr>
    </w:p>
    <w:p w14:paraId="40651FB7" w14:textId="77777777" w:rsidR="00D3344B" w:rsidRDefault="00143C25">
      <w:pPr>
        <w:pStyle w:val="Estilo"/>
        <w:ind w:left="993" w:hanging="426"/>
        <w:rPr>
          <w:rFonts w:cs="Arial"/>
        </w:rPr>
      </w:pPr>
      <w:r>
        <w:rPr>
          <w:rFonts w:cs="Arial"/>
        </w:rPr>
        <w:lastRenderedPageBreak/>
        <w:t xml:space="preserve">i) </w:t>
      </w:r>
      <w:r>
        <w:rPr>
          <w:rFonts w:cs="Arial"/>
        </w:rPr>
        <w:tab/>
        <w:t>El importe total de la operación consignado en número o letra.</w:t>
      </w:r>
    </w:p>
    <w:p w14:paraId="027E8068" w14:textId="77777777" w:rsidR="00D3344B" w:rsidRDefault="00D3344B">
      <w:pPr>
        <w:pStyle w:val="Estilo"/>
        <w:ind w:left="567" w:hanging="567"/>
        <w:rPr>
          <w:rFonts w:cs="Arial"/>
        </w:rPr>
      </w:pPr>
    </w:p>
    <w:p w14:paraId="4A10CFDA" w14:textId="77777777" w:rsidR="00D3344B" w:rsidRDefault="00143C25">
      <w:pPr>
        <w:pStyle w:val="Estilo"/>
        <w:ind w:left="567" w:hanging="567"/>
        <w:rPr>
          <w:rFonts w:cs="Arial"/>
        </w:rPr>
      </w:pPr>
      <w:r>
        <w:rPr>
          <w:rFonts w:cs="Arial"/>
        </w:rPr>
        <w:t xml:space="preserve">III. </w:t>
      </w:r>
      <w:r>
        <w:rPr>
          <w:rFonts w:cs="Arial"/>
        </w:rPr>
        <w:tab/>
        <w:t>Señalar el domicilio fiscal en el que deban ser requeridos del cumplimiento de sus obligaciones fiscales;</w:t>
      </w:r>
    </w:p>
    <w:p w14:paraId="0202AF46" w14:textId="77777777" w:rsidR="00D3344B" w:rsidRDefault="00D3344B">
      <w:pPr>
        <w:pStyle w:val="Estilo"/>
        <w:ind w:left="567" w:hanging="567"/>
        <w:rPr>
          <w:rFonts w:cs="Arial"/>
        </w:rPr>
      </w:pPr>
    </w:p>
    <w:p w14:paraId="3C0AC913" w14:textId="77777777" w:rsidR="00D3344B" w:rsidRDefault="00143C25">
      <w:pPr>
        <w:pStyle w:val="Estilo"/>
        <w:ind w:left="567" w:hanging="567"/>
        <w:rPr>
          <w:rFonts w:cs="Arial"/>
        </w:rPr>
      </w:pPr>
      <w:r>
        <w:rPr>
          <w:rFonts w:cs="Arial"/>
        </w:rPr>
        <w:t xml:space="preserve">IV. </w:t>
      </w:r>
      <w:r>
        <w:rPr>
          <w:rFonts w:cs="Arial"/>
        </w:rPr>
        <w:tab/>
        <w:t>Consignar en las declaraciones, manifestaciones y avisos, los datos que se soliciten en cada caso;</w:t>
      </w:r>
    </w:p>
    <w:p w14:paraId="04D0C409" w14:textId="77777777" w:rsidR="00D3344B" w:rsidRDefault="00D3344B">
      <w:pPr>
        <w:pStyle w:val="Estilo"/>
        <w:ind w:left="567" w:hanging="567"/>
        <w:rPr>
          <w:rFonts w:cs="Arial"/>
        </w:rPr>
      </w:pPr>
    </w:p>
    <w:p w14:paraId="57FD477D" w14:textId="77777777" w:rsidR="00D3344B" w:rsidRDefault="00143C25">
      <w:pPr>
        <w:pStyle w:val="Estilo"/>
        <w:ind w:left="567" w:hanging="567"/>
        <w:rPr>
          <w:rFonts w:cs="Arial"/>
        </w:rPr>
      </w:pPr>
      <w:r>
        <w:rPr>
          <w:rFonts w:cs="Arial"/>
        </w:rPr>
        <w:t xml:space="preserve">V. </w:t>
      </w:r>
      <w:r>
        <w:rPr>
          <w:rFonts w:cs="Arial"/>
        </w:rPr>
        <w:tab/>
        <w:t>Declarar y en su caso, pagar los créditos fiscales a su cargo, en los términos que dispone este código;</w:t>
      </w:r>
    </w:p>
    <w:p w14:paraId="2AAC656C" w14:textId="77777777" w:rsidR="00D3344B" w:rsidRDefault="00D3344B">
      <w:pPr>
        <w:pStyle w:val="Estilo"/>
        <w:ind w:left="567" w:hanging="567"/>
        <w:rPr>
          <w:rFonts w:cs="Arial"/>
        </w:rPr>
      </w:pPr>
    </w:p>
    <w:p w14:paraId="32BBA000" w14:textId="77777777" w:rsidR="00D3344B" w:rsidRDefault="00143C25">
      <w:pPr>
        <w:pStyle w:val="Estilo"/>
        <w:ind w:left="567" w:hanging="567"/>
        <w:rPr>
          <w:rFonts w:cs="Arial"/>
        </w:rPr>
      </w:pPr>
      <w:r>
        <w:rPr>
          <w:rFonts w:cs="Arial"/>
        </w:rPr>
        <w:t xml:space="preserve">VI. </w:t>
      </w:r>
      <w:r>
        <w:rPr>
          <w:rFonts w:cs="Arial"/>
        </w:rPr>
        <w:tab/>
        <w:t>Presentar y firmar, bajo protesta de decir verdad, las declaraciones manifestaciones y avisos previstos por este código;</w:t>
      </w:r>
    </w:p>
    <w:p w14:paraId="62F5E994" w14:textId="77777777" w:rsidR="00D3344B" w:rsidRDefault="00D3344B">
      <w:pPr>
        <w:pStyle w:val="Estilo"/>
        <w:ind w:left="567" w:hanging="567"/>
        <w:rPr>
          <w:rFonts w:cs="Arial"/>
        </w:rPr>
      </w:pPr>
    </w:p>
    <w:p w14:paraId="0F0EBAD8" w14:textId="77777777" w:rsidR="00D3344B" w:rsidRDefault="00143C25">
      <w:pPr>
        <w:pStyle w:val="Estilo"/>
        <w:ind w:left="567" w:hanging="567"/>
        <w:rPr>
          <w:rFonts w:cs="Arial"/>
        </w:rPr>
      </w:pPr>
      <w:r>
        <w:rPr>
          <w:rFonts w:cs="Arial"/>
        </w:rPr>
        <w:t xml:space="preserve">VII. </w:t>
      </w:r>
      <w:r>
        <w:rPr>
          <w:rFonts w:cs="Arial"/>
        </w:rPr>
        <w:tab/>
        <w:t>Proporcionar, cuando les sean exigidos por la autoridad, los libros, registros y documentos relacionados con el cumplimiento de sus obligaciones fiscales y en general todo lo que integre su contabilidad como son, sistemas electrónicos de registro fiscal, así como la documentación comprobatoria;</w:t>
      </w:r>
    </w:p>
    <w:p w14:paraId="4322AF69" w14:textId="77777777" w:rsidR="00D3344B" w:rsidRDefault="00D3344B">
      <w:pPr>
        <w:pStyle w:val="Estilo"/>
        <w:ind w:left="567" w:hanging="567"/>
        <w:rPr>
          <w:rFonts w:cs="Arial"/>
        </w:rPr>
      </w:pPr>
    </w:p>
    <w:p w14:paraId="24B018CD" w14:textId="77777777" w:rsidR="00D3344B" w:rsidRDefault="00143C25">
      <w:pPr>
        <w:pStyle w:val="Estilo"/>
        <w:ind w:left="567" w:hanging="567"/>
        <w:rPr>
          <w:rFonts w:cs="Arial"/>
        </w:rPr>
      </w:pPr>
      <w:r>
        <w:rPr>
          <w:rFonts w:cs="Arial"/>
        </w:rPr>
        <w:t xml:space="preserve">VIII. </w:t>
      </w:r>
      <w:r>
        <w:rPr>
          <w:rFonts w:cs="Arial"/>
        </w:rPr>
        <w:tab/>
        <w:t>Llevar en su domicilio fiscal los sistemas y registros contables que determinen las leyes de la materia, en los que se consignen claramente los datos que resulten necesarios para comprobar el cumplimiento de sus obligaciones fiscales;</w:t>
      </w:r>
    </w:p>
    <w:p w14:paraId="12B43928" w14:textId="77777777" w:rsidR="00D3344B" w:rsidRDefault="00D3344B">
      <w:pPr>
        <w:pStyle w:val="Estilo"/>
        <w:ind w:left="567" w:hanging="567"/>
        <w:rPr>
          <w:rFonts w:cs="Arial"/>
        </w:rPr>
      </w:pPr>
    </w:p>
    <w:p w14:paraId="27016E5A" w14:textId="77777777" w:rsidR="00D3344B" w:rsidRDefault="00143C25">
      <w:pPr>
        <w:pStyle w:val="Estilo"/>
        <w:ind w:left="567" w:hanging="567"/>
        <w:rPr>
          <w:rFonts w:cs="Arial"/>
        </w:rPr>
      </w:pPr>
      <w:r>
        <w:rPr>
          <w:rFonts w:cs="Arial"/>
        </w:rPr>
        <w:t xml:space="preserve">IX. </w:t>
      </w:r>
      <w:r>
        <w:rPr>
          <w:rFonts w:cs="Arial"/>
        </w:rPr>
        <w:tab/>
        <w:t>Proporcionar a las autoridades fiscales, dentro de los plazos fijados para tal efecto, los datos, sistemas e informaciones que se le soliciten, con relación al cumplimiento de sus obligaciones fiscales;</w:t>
      </w:r>
    </w:p>
    <w:p w14:paraId="7CF33CB9" w14:textId="77777777" w:rsidR="00D3344B" w:rsidRDefault="00D3344B">
      <w:pPr>
        <w:pStyle w:val="Estilo"/>
        <w:ind w:left="567" w:hanging="567"/>
        <w:rPr>
          <w:rFonts w:cs="Arial"/>
        </w:rPr>
      </w:pPr>
    </w:p>
    <w:p w14:paraId="1A6D70BB" w14:textId="77777777" w:rsidR="00D3344B" w:rsidRDefault="00143C25">
      <w:pPr>
        <w:pStyle w:val="Estilo"/>
        <w:ind w:left="567" w:hanging="567"/>
        <w:rPr>
          <w:rFonts w:cs="Arial"/>
        </w:rPr>
      </w:pPr>
      <w:r>
        <w:rPr>
          <w:rFonts w:cs="Arial"/>
        </w:rPr>
        <w:t xml:space="preserve">X. </w:t>
      </w:r>
      <w:r>
        <w:rPr>
          <w:rFonts w:cs="Arial"/>
        </w:rPr>
        <w:tab/>
        <w:t>Obtener y mantener vigentes, las licencias, permisos, concesiones y autorizaciones que el contribuyente requiera para llevar a cabo su actividad, en los plazos que para cada caso se establezca conforme a este código, y</w:t>
      </w:r>
    </w:p>
    <w:p w14:paraId="738A8295" w14:textId="77777777" w:rsidR="00D3344B" w:rsidRDefault="00D3344B">
      <w:pPr>
        <w:pStyle w:val="Estilo"/>
        <w:ind w:left="567" w:hanging="567"/>
        <w:rPr>
          <w:rFonts w:cs="Arial"/>
        </w:rPr>
      </w:pPr>
    </w:p>
    <w:p w14:paraId="23C0875D" w14:textId="77777777" w:rsidR="00D3344B" w:rsidRDefault="00143C25">
      <w:pPr>
        <w:pStyle w:val="Estilo"/>
        <w:ind w:left="567" w:hanging="567"/>
        <w:rPr>
          <w:rFonts w:cs="Arial"/>
        </w:rPr>
      </w:pPr>
      <w:r>
        <w:rPr>
          <w:rFonts w:cs="Arial"/>
        </w:rPr>
        <w:t xml:space="preserve">XI. </w:t>
      </w:r>
      <w:r>
        <w:rPr>
          <w:rFonts w:cs="Arial"/>
        </w:rPr>
        <w:tab/>
        <w:t>Las demás que establezca este código u otras disposiciones legales aplicables.</w:t>
      </w:r>
    </w:p>
    <w:p w14:paraId="2C15D0BB" w14:textId="77777777" w:rsidR="00D3344B" w:rsidRDefault="00D3344B">
      <w:pPr>
        <w:pStyle w:val="Estilo"/>
        <w:rPr>
          <w:rFonts w:cs="Arial"/>
        </w:rPr>
      </w:pPr>
    </w:p>
    <w:p w14:paraId="5BF55685" w14:textId="77777777" w:rsidR="00D3344B" w:rsidRDefault="00143C25">
      <w:pPr>
        <w:pStyle w:val="Estilo"/>
        <w:rPr>
          <w:rFonts w:cs="Arial"/>
        </w:rPr>
      </w:pPr>
      <w:r>
        <w:rPr>
          <w:rFonts w:cs="Arial"/>
          <w:b/>
        </w:rPr>
        <w:t>Artículo 60.</w:t>
      </w:r>
      <w:r>
        <w:rPr>
          <w:rFonts w:cs="Arial"/>
        </w:rPr>
        <w:t xml:space="preserve"> Para los efectos del artículo anterior, se observarán las reglas siguientes:</w:t>
      </w:r>
    </w:p>
    <w:p w14:paraId="6E051C2F" w14:textId="77777777" w:rsidR="00D3344B" w:rsidRDefault="00D3344B">
      <w:pPr>
        <w:pStyle w:val="Estilo"/>
        <w:rPr>
          <w:rFonts w:cs="Arial"/>
        </w:rPr>
      </w:pPr>
    </w:p>
    <w:p w14:paraId="5517182E" w14:textId="77777777" w:rsidR="00D3344B" w:rsidRDefault="00143C25">
      <w:pPr>
        <w:pStyle w:val="Estilo"/>
        <w:ind w:left="567" w:hanging="567"/>
        <w:rPr>
          <w:rFonts w:cs="Arial"/>
        </w:rPr>
      </w:pPr>
      <w:r>
        <w:rPr>
          <w:rFonts w:cs="Arial"/>
        </w:rPr>
        <w:t xml:space="preserve">I. </w:t>
      </w:r>
      <w:r>
        <w:rPr>
          <w:rFonts w:cs="Arial"/>
        </w:rPr>
        <w:tab/>
        <w:t>La solicitud de Inscripción, así como el cambio de situación fiscal, deberán hacerse en las formas aprobadas por la autoridad fiscal competente, proporcionando los datos e informes que las mismas requieran.</w:t>
      </w:r>
    </w:p>
    <w:p w14:paraId="72078622" w14:textId="77777777" w:rsidR="00D3344B" w:rsidRDefault="00D3344B">
      <w:pPr>
        <w:pStyle w:val="Estilo"/>
        <w:ind w:left="567" w:hanging="567"/>
        <w:rPr>
          <w:rFonts w:cs="Arial"/>
        </w:rPr>
      </w:pPr>
    </w:p>
    <w:p w14:paraId="25B1B5FF" w14:textId="77777777" w:rsidR="00D3344B" w:rsidRDefault="00143C25">
      <w:pPr>
        <w:pStyle w:val="Estilo"/>
        <w:ind w:left="567" w:hanging="567"/>
        <w:rPr>
          <w:rFonts w:cs="Arial"/>
          <w:i/>
          <w:iCs/>
          <w:sz w:val="16"/>
          <w:szCs w:val="16"/>
        </w:rPr>
      </w:pPr>
      <w:r>
        <w:rPr>
          <w:rFonts w:cs="Arial"/>
          <w:i/>
          <w:iCs/>
          <w:sz w:val="16"/>
          <w:szCs w:val="16"/>
        </w:rPr>
        <w:t>(REFORMADO, P.O. 22 DE DICIEMBRE DE 2021)</w:t>
      </w:r>
    </w:p>
    <w:p w14:paraId="2D9FC3FD" w14:textId="77777777" w:rsidR="00D3344B" w:rsidRDefault="00143C25">
      <w:pPr>
        <w:pStyle w:val="Estilo"/>
        <w:ind w:left="567"/>
        <w:rPr>
          <w:rFonts w:cs="Arial"/>
        </w:rPr>
      </w:pPr>
      <w:r>
        <w:rPr>
          <w:rFonts w:cs="Arial"/>
        </w:rPr>
        <w:t xml:space="preserve">En el supuesto de que el contribuyente cambie su domicilio a otra Entidad Federativa y esté sujeto al ejercicio de las facultades de comprobación deberá informar a ésta, mediante escrito libre con diez días de anticipación a dicho </w:t>
      </w:r>
      <w:r>
        <w:rPr>
          <w:rFonts w:cs="Arial"/>
        </w:rPr>
        <w:lastRenderedPageBreak/>
        <w:t>cambio de domicilio. Si el cambio de domicilio se efectúa antes de que se le notifique la resolución a que se refiere el artículo 65-A de este Código, el contribuyente deberá presentar el aviso de suspensión de actividades señalando un domicilio en el Estado de Tlaxcala para oír y recibir notificaciones.</w:t>
      </w:r>
    </w:p>
    <w:p w14:paraId="652E9E45" w14:textId="77777777" w:rsidR="00D3344B" w:rsidRDefault="00D3344B">
      <w:pPr>
        <w:pStyle w:val="Estilo"/>
        <w:ind w:left="567" w:hanging="567"/>
        <w:rPr>
          <w:rFonts w:cs="Arial"/>
        </w:rPr>
      </w:pPr>
    </w:p>
    <w:p w14:paraId="487AA358" w14:textId="77777777" w:rsidR="00D3344B" w:rsidRDefault="00143C25">
      <w:pPr>
        <w:pStyle w:val="Estilo"/>
        <w:ind w:left="567" w:hanging="567"/>
        <w:rPr>
          <w:rFonts w:cs="Arial"/>
        </w:rPr>
      </w:pPr>
      <w:r>
        <w:rPr>
          <w:rFonts w:cs="Arial"/>
        </w:rPr>
        <w:t xml:space="preserve">II. </w:t>
      </w:r>
      <w:r>
        <w:rPr>
          <w:rFonts w:cs="Arial"/>
        </w:rPr>
        <w:tab/>
        <w:t>Cuando en las disposiciones tributarias se establezca que los contribuyentes expidan o recaben documentación comprobatoria de las operaciones realizadas, ésta deberá contener los datos que señalen esas disposiciones y que serán los suficientes para identificar la operación de que se trate y la persona que la realice, y</w:t>
      </w:r>
    </w:p>
    <w:p w14:paraId="23D93E7D" w14:textId="77777777" w:rsidR="00D3344B" w:rsidRDefault="00D3344B">
      <w:pPr>
        <w:pStyle w:val="Estilo"/>
        <w:ind w:left="567" w:hanging="567"/>
        <w:rPr>
          <w:rFonts w:cs="Arial"/>
        </w:rPr>
      </w:pPr>
    </w:p>
    <w:p w14:paraId="603EFAE1" w14:textId="77777777" w:rsidR="00D3344B" w:rsidRDefault="00143C25">
      <w:pPr>
        <w:pStyle w:val="Estilo"/>
        <w:ind w:left="567" w:hanging="567"/>
        <w:rPr>
          <w:rFonts w:cs="Arial"/>
        </w:rPr>
      </w:pPr>
      <w:r>
        <w:rPr>
          <w:rFonts w:cs="Arial"/>
        </w:rPr>
        <w:t xml:space="preserve">III. </w:t>
      </w:r>
      <w:r>
        <w:rPr>
          <w:rFonts w:cs="Arial"/>
        </w:rPr>
        <w:tab/>
        <w:t>Respecto de los libros, registros o sistemas electrónicos de contabilidad que están obligados a llevar los contribuyentes, se observará lo siguiente:</w:t>
      </w:r>
    </w:p>
    <w:p w14:paraId="6B2B6FCA" w14:textId="77777777" w:rsidR="00D3344B" w:rsidRDefault="00D3344B">
      <w:pPr>
        <w:pStyle w:val="Estilo"/>
        <w:ind w:left="567" w:hanging="567"/>
        <w:rPr>
          <w:rFonts w:cs="Arial"/>
        </w:rPr>
      </w:pPr>
    </w:p>
    <w:p w14:paraId="7C6C815B" w14:textId="77777777" w:rsidR="00D3344B" w:rsidRDefault="00143C25">
      <w:pPr>
        <w:pStyle w:val="Estilo"/>
        <w:ind w:left="1134" w:hanging="567"/>
        <w:rPr>
          <w:rFonts w:cs="Arial"/>
        </w:rPr>
      </w:pPr>
      <w:r>
        <w:rPr>
          <w:rFonts w:cs="Arial"/>
        </w:rPr>
        <w:t xml:space="preserve">a) </w:t>
      </w:r>
      <w:r>
        <w:rPr>
          <w:rFonts w:cs="Arial"/>
        </w:rPr>
        <w:tab/>
        <w:t>Los asientos de contabilidad hechos en los libros, deberán correrse dentro de los sesenta días siguientes a la fecha en que se realicen las operaciones que los originen y sin incurrir en alteraciones, borraduras o enmendaduras.</w:t>
      </w:r>
    </w:p>
    <w:p w14:paraId="69AB6C54" w14:textId="77777777" w:rsidR="00D3344B" w:rsidRDefault="00D3344B">
      <w:pPr>
        <w:pStyle w:val="Estilo"/>
        <w:ind w:left="1134" w:hanging="567"/>
        <w:rPr>
          <w:rFonts w:cs="Arial"/>
        </w:rPr>
      </w:pPr>
    </w:p>
    <w:p w14:paraId="7067BE7C" w14:textId="77777777" w:rsidR="00D3344B" w:rsidRDefault="00143C25">
      <w:pPr>
        <w:pStyle w:val="Estilo"/>
        <w:ind w:left="1134"/>
        <w:rPr>
          <w:rFonts w:cs="Arial"/>
        </w:rPr>
      </w:pPr>
      <w:r>
        <w:rPr>
          <w:rFonts w:cs="Arial"/>
        </w:rPr>
        <w:t>Cuando al inicio de una visita domiciliaria el contribuyente hubiera omitido asentar registros en su contabilidad dentro del plazo citado en este inciso, dichos registros sólo podrán efectuarse después de que la omisión correspondiente haya sido asentada en acta parcial. El contribuyente deberá seguir llevando su contabilidad independientemente de lo dispuesto en este párrafo, y</w:t>
      </w:r>
    </w:p>
    <w:p w14:paraId="5703916F" w14:textId="77777777" w:rsidR="00D3344B" w:rsidRDefault="00D3344B">
      <w:pPr>
        <w:pStyle w:val="Estilo"/>
        <w:ind w:left="1134" w:hanging="567"/>
        <w:rPr>
          <w:rFonts w:cs="Arial"/>
        </w:rPr>
      </w:pPr>
    </w:p>
    <w:p w14:paraId="3EEF28DD" w14:textId="77777777" w:rsidR="00D3344B" w:rsidRDefault="00143C25">
      <w:pPr>
        <w:pStyle w:val="Estilo"/>
        <w:ind w:left="1134" w:hanging="567"/>
        <w:rPr>
          <w:rFonts w:cs="Arial"/>
        </w:rPr>
      </w:pPr>
      <w:r>
        <w:rPr>
          <w:rFonts w:cs="Arial"/>
        </w:rPr>
        <w:t xml:space="preserve">b) </w:t>
      </w:r>
      <w:r>
        <w:rPr>
          <w:rFonts w:cs="Arial"/>
        </w:rPr>
        <w:tab/>
        <w:t>Los libros, registros, sistemas de contabilidad, la documentación comprobatoria de los asientos respectivos y los comprobantes de haber cumplido con las obligaciones fiscales, deberán conservarse en el domicilio del contribuyente por un plazo mínimo de cinco años. En casos de suspensión o liquidación, el plazo se contará a partir de la fecha en que hayan ocurrido las mismas.</w:t>
      </w:r>
    </w:p>
    <w:p w14:paraId="77FF8272" w14:textId="77777777" w:rsidR="00D3344B" w:rsidRDefault="00D3344B">
      <w:pPr>
        <w:pStyle w:val="Estilo"/>
        <w:rPr>
          <w:rFonts w:cs="Arial"/>
        </w:rPr>
      </w:pPr>
    </w:p>
    <w:p w14:paraId="203C394A" w14:textId="77777777" w:rsidR="00D3344B" w:rsidRDefault="00143C25">
      <w:pPr>
        <w:pStyle w:val="Estilo"/>
        <w:rPr>
          <w:rFonts w:cs="Arial"/>
        </w:rPr>
      </w:pPr>
      <w:r>
        <w:rPr>
          <w:rFonts w:cs="Arial"/>
        </w:rPr>
        <w:t>Tratándose de registros electrónicos a que se refiere esta fracción, los contribuyentes deberán proporcionar a las autoridades fiscales cuando así lo soliciten éstas, los medios procesables que utilicen, así como la información relacionada con su contabilidad que tengan en dichos medios.</w:t>
      </w:r>
    </w:p>
    <w:p w14:paraId="416E98AF" w14:textId="77777777" w:rsidR="00D3344B" w:rsidRDefault="00D3344B">
      <w:pPr>
        <w:pStyle w:val="Estilo"/>
        <w:rPr>
          <w:rFonts w:cs="Arial"/>
        </w:rPr>
      </w:pPr>
    </w:p>
    <w:p w14:paraId="4AE45262" w14:textId="77777777" w:rsidR="00D3344B" w:rsidRDefault="00143C25">
      <w:pPr>
        <w:pStyle w:val="Estilo"/>
        <w:jc w:val="center"/>
        <w:rPr>
          <w:rFonts w:cs="Arial"/>
          <w:b/>
        </w:rPr>
      </w:pPr>
      <w:r>
        <w:rPr>
          <w:rFonts w:cs="Arial"/>
          <w:b/>
        </w:rPr>
        <w:t>Capítulo VI</w:t>
      </w:r>
    </w:p>
    <w:p w14:paraId="34394727" w14:textId="77777777" w:rsidR="00D3344B" w:rsidRDefault="00143C25">
      <w:pPr>
        <w:pStyle w:val="Estilo"/>
        <w:jc w:val="center"/>
        <w:rPr>
          <w:rFonts w:cs="Arial"/>
        </w:rPr>
      </w:pPr>
      <w:r>
        <w:rPr>
          <w:rFonts w:cs="Arial"/>
          <w:b/>
        </w:rPr>
        <w:t>Facultades de las Autoridades</w:t>
      </w:r>
    </w:p>
    <w:p w14:paraId="146B7CEF" w14:textId="77777777" w:rsidR="00D3344B" w:rsidRDefault="00D3344B">
      <w:pPr>
        <w:pStyle w:val="Estilo"/>
        <w:rPr>
          <w:rFonts w:cs="Arial"/>
        </w:rPr>
      </w:pPr>
    </w:p>
    <w:p w14:paraId="7AA4A786" w14:textId="77777777" w:rsidR="00D3344B" w:rsidRDefault="00143C25">
      <w:pPr>
        <w:pStyle w:val="Estilo"/>
        <w:rPr>
          <w:rFonts w:cs="Arial"/>
        </w:rPr>
      </w:pPr>
      <w:r>
        <w:rPr>
          <w:rFonts w:cs="Arial"/>
          <w:b/>
        </w:rPr>
        <w:t>Artículo 61.</w:t>
      </w:r>
      <w:r>
        <w:rPr>
          <w:rFonts w:cs="Arial"/>
        </w:rPr>
        <w:t xml:space="preserve"> Para determinar las contribuciones omitidas o la existencia de créditos fiscales y dar las bases de su liquidación o fijarlo en cantidad líquida, comprobar el cumplimiento de las obligaciones fiscales y la comisión de infracciones a dichas </w:t>
      </w:r>
      <w:r>
        <w:rPr>
          <w:rFonts w:cs="Arial"/>
        </w:rPr>
        <w:lastRenderedPageBreak/>
        <w:t>disposiciones, las autoridades fiscales tendrán, en el ámbito de sus respectivas competencias, las facultades siguientes:</w:t>
      </w:r>
    </w:p>
    <w:p w14:paraId="19BBC38E" w14:textId="77777777" w:rsidR="00D3344B" w:rsidRDefault="00D3344B">
      <w:pPr>
        <w:pStyle w:val="Estilo"/>
        <w:rPr>
          <w:rFonts w:cs="Arial"/>
        </w:rPr>
      </w:pPr>
    </w:p>
    <w:p w14:paraId="5349EC70" w14:textId="77777777" w:rsidR="00D3344B" w:rsidRDefault="00143C25">
      <w:pPr>
        <w:pStyle w:val="Estilo"/>
        <w:ind w:left="567" w:hanging="567"/>
        <w:rPr>
          <w:rFonts w:cs="Arial"/>
        </w:rPr>
      </w:pPr>
      <w:r>
        <w:rPr>
          <w:rFonts w:cs="Arial"/>
        </w:rPr>
        <w:t xml:space="preserve">I. </w:t>
      </w:r>
      <w:r>
        <w:rPr>
          <w:rFonts w:cs="Arial"/>
        </w:rPr>
        <w:tab/>
        <w:t>Ordenar y practicar visitas en el domicilio fiscal de los contribuyentes, los responsables solidarios y los terceros relacionados con ellos, para revisar su contabilidad, documentación, bienes y mercancías, productos, materias primas u otros objetos, libros, documentos y correspondencia que tenga relación con las obligaciones fiscales y, en su caso, asegurarlos, dejando en calidad de depositario al contribuyente, previo inventario que al efecto se formule;</w:t>
      </w:r>
    </w:p>
    <w:p w14:paraId="560053F6" w14:textId="77777777" w:rsidR="00D3344B" w:rsidRDefault="00D3344B">
      <w:pPr>
        <w:pStyle w:val="Estilo"/>
        <w:ind w:left="567" w:hanging="567"/>
        <w:rPr>
          <w:rFonts w:cs="Arial"/>
        </w:rPr>
      </w:pPr>
    </w:p>
    <w:p w14:paraId="65A1E4F3" w14:textId="77777777" w:rsidR="00D3344B" w:rsidRDefault="00143C25">
      <w:pPr>
        <w:pStyle w:val="Estilo"/>
        <w:ind w:left="567" w:hanging="567"/>
        <w:rPr>
          <w:rFonts w:cs="Arial"/>
        </w:rPr>
      </w:pPr>
      <w:r>
        <w:rPr>
          <w:rFonts w:cs="Arial"/>
        </w:rPr>
        <w:t xml:space="preserve">II. </w:t>
      </w:r>
      <w:r>
        <w:rPr>
          <w:rFonts w:cs="Arial"/>
        </w:rPr>
        <w:tab/>
        <w:t>Proceder a la verificación física, clasificación, valuación y comprobación de toda clase de bienes, relacionados con las obligaciones fiscales;</w:t>
      </w:r>
    </w:p>
    <w:p w14:paraId="0ED91D4A" w14:textId="77777777" w:rsidR="00D3344B" w:rsidRDefault="00D3344B">
      <w:pPr>
        <w:pStyle w:val="Estilo"/>
        <w:ind w:left="567" w:hanging="567"/>
        <w:rPr>
          <w:rFonts w:cs="Arial"/>
        </w:rPr>
      </w:pPr>
    </w:p>
    <w:p w14:paraId="3A455FA6" w14:textId="77777777" w:rsidR="00D3344B" w:rsidRDefault="00143C25">
      <w:pPr>
        <w:pStyle w:val="Estilo"/>
        <w:ind w:left="567" w:hanging="567"/>
        <w:rPr>
          <w:rFonts w:cs="Arial"/>
        </w:rPr>
      </w:pPr>
      <w:r>
        <w:rPr>
          <w:rFonts w:cs="Arial"/>
        </w:rPr>
        <w:t xml:space="preserve">III. </w:t>
      </w:r>
      <w:r>
        <w:rPr>
          <w:rFonts w:cs="Arial"/>
        </w:rPr>
        <w:tab/>
        <w:t>Requerir a los contribuyentes, responsables solidarios o terceros relacionados con ellos, en cualquier aspecto de carácter fiscal, para que exhiban en su domicilio fiscal, establecimiento o en las oficinas de las propias autoridades, a efecto de llevar a cabo su revisión, la contabilidad, así como que proporcionen los datos, otros documentos o informes que se les requieran;</w:t>
      </w:r>
    </w:p>
    <w:p w14:paraId="12732CE3" w14:textId="77777777" w:rsidR="00D3344B" w:rsidRDefault="00D3344B">
      <w:pPr>
        <w:pStyle w:val="Estilo"/>
        <w:ind w:left="567" w:hanging="567"/>
        <w:rPr>
          <w:rFonts w:cs="Arial"/>
        </w:rPr>
      </w:pPr>
    </w:p>
    <w:p w14:paraId="678DC22D" w14:textId="77777777" w:rsidR="00D3344B" w:rsidRDefault="00143C25">
      <w:pPr>
        <w:pStyle w:val="Estilo"/>
        <w:ind w:left="567" w:hanging="567"/>
        <w:rPr>
          <w:rFonts w:cs="Arial"/>
        </w:rPr>
      </w:pPr>
      <w:r>
        <w:rPr>
          <w:rFonts w:cs="Arial"/>
        </w:rPr>
        <w:t xml:space="preserve">IV. </w:t>
      </w:r>
      <w:r>
        <w:rPr>
          <w:rFonts w:cs="Arial"/>
        </w:rPr>
        <w:tab/>
        <w:t>Recabar de los servidores públicos y de los fedatarios, los informes y datos que posean con motivo de sus funciones;</w:t>
      </w:r>
    </w:p>
    <w:p w14:paraId="445F1DA7" w14:textId="77777777" w:rsidR="00D3344B" w:rsidRDefault="00D3344B">
      <w:pPr>
        <w:pStyle w:val="Estilo"/>
        <w:ind w:left="567" w:hanging="567"/>
        <w:rPr>
          <w:rFonts w:cs="Arial"/>
        </w:rPr>
      </w:pPr>
    </w:p>
    <w:p w14:paraId="10015953" w14:textId="77777777" w:rsidR="00D3344B" w:rsidRDefault="00143C25">
      <w:pPr>
        <w:pStyle w:val="Estilo"/>
        <w:ind w:left="567" w:hanging="567"/>
        <w:rPr>
          <w:rFonts w:cs="Arial"/>
        </w:rPr>
      </w:pPr>
      <w:r>
        <w:rPr>
          <w:rFonts w:cs="Arial"/>
        </w:rPr>
        <w:t xml:space="preserve">V. </w:t>
      </w:r>
      <w:r>
        <w:rPr>
          <w:rFonts w:cs="Arial"/>
        </w:rPr>
        <w:tab/>
        <w:t>Emplear las medidas de apremio establecidas por este código para hacer cumplir sus determinaciones;</w:t>
      </w:r>
    </w:p>
    <w:p w14:paraId="1ECC8DD6" w14:textId="77777777" w:rsidR="00D3344B" w:rsidRDefault="00D3344B">
      <w:pPr>
        <w:pStyle w:val="Estilo"/>
        <w:ind w:left="567" w:hanging="567"/>
        <w:rPr>
          <w:rFonts w:cs="Arial"/>
        </w:rPr>
      </w:pPr>
    </w:p>
    <w:p w14:paraId="286A0590" w14:textId="77777777" w:rsidR="00D3344B" w:rsidRDefault="00143C25">
      <w:pPr>
        <w:pStyle w:val="Estilo"/>
        <w:ind w:left="567" w:hanging="567"/>
        <w:rPr>
          <w:rFonts w:cs="Arial"/>
        </w:rPr>
      </w:pPr>
      <w:r>
        <w:rPr>
          <w:rFonts w:cs="Arial"/>
        </w:rPr>
        <w:t xml:space="preserve">VI. </w:t>
      </w:r>
      <w:r>
        <w:rPr>
          <w:rFonts w:cs="Arial"/>
        </w:rPr>
        <w:tab/>
        <w:t>Formular denuncias respecto de la posible comisión de delitos fiscales;</w:t>
      </w:r>
    </w:p>
    <w:p w14:paraId="06642F58" w14:textId="77777777" w:rsidR="00D3344B" w:rsidRDefault="00D3344B">
      <w:pPr>
        <w:pStyle w:val="Estilo"/>
        <w:ind w:left="567" w:hanging="567"/>
        <w:rPr>
          <w:rFonts w:cs="Arial"/>
        </w:rPr>
      </w:pPr>
    </w:p>
    <w:p w14:paraId="4C790821" w14:textId="77777777" w:rsidR="00D3344B" w:rsidRDefault="00143C25">
      <w:pPr>
        <w:pStyle w:val="Estilo"/>
        <w:ind w:left="567"/>
        <w:rPr>
          <w:rFonts w:cs="Arial"/>
        </w:rPr>
      </w:pPr>
      <w:r>
        <w:rPr>
          <w:rFonts w:cs="Arial"/>
          <w:i/>
          <w:sz w:val="16"/>
        </w:rPr>
        <w:t>(ADICIONADO, P.O. 24 DE DICIEMBRE DE 2003)</w:t>
      </w:r>
    </w:p>
    <w:p w14:paraId="5A39A690" w14:textId="77777777" w:rsidR="00D3344B" w:rsidRDefault="00143C25">
      <w:pPr>
        <w:pStyle w:val="Estilo"/>
        <w:ind w:left="567"/>
        <w:rPr>
          <w:rFonts w:cs="Arial"/>
        </w:rPr>
      </w:pPr>
      <w:r>
        <w:rPr>
          <w:rFonts w:cs="Arial"/>
        </w:rPr>
        <w:t>Las actuaciones que practiquen las autoridades fiscales tendrán el mismo valor probatorio que la ley relativa concede a las actas de la autoridad judicial.</w:t>
      </w:r>
    </w:p>
    <w:p w14:paraId="70B7D493" w14:textId="77777777" w:rsidR="00D3344B" w:rsidRDefault="00D3344B">
      <w:pPr>
        <w:pStyle w:val="Estilo"/>
        <w:ind w:left="567" w:hanging="567"/>
        <w:rPr>
          <w:rFonts w:cs="Arial"/>
        </w:rPr>
      </w:pPr>
    </w:p>
    <w:p w14:paraId="57630BAE" w14:textId="77777777" w:rsidR="00D3344B" w:rsidRDefault="00143C25">
      <w:pPr>
        <w:pStyle w:val="Estilo"/>
        <w:ind w:left="567" w:hanging="567"/>
        <w:rPr>
          <w:rFonts w:cs="Arial"/>
        </w:rPr>
      </w:pPr>
      <w:r>
        <w:rPr>
          <w:rFonts w:cs="Arial"/>
        </w:rPr>
        <w:t xml:space="preserve">VII. </w:t>
      </w:r>
      <w:r>
        <w:rPr>
          <w:rFonts w:cs="Arial"/>
        </w:rPr>
        <w:tab/>
        <w:t>Imponer las sanciones que procedan en términos de este código;</w:t>
      </w:r>
    </w:p>
    <w:p w14:paraId="0DC3EADB" w14:textId="77777777" w:rsidR="00D3344B" w:rsidRDefault="00D3344B">
      <w:pPr>
        <w:pStyle w:val="Estilo"/>
        <w:ind w:left="567" w:hanging="567"/>
        <w:rPr>
          <w:rFonts w:cs="Arial"/>
        </w:rPr>
      </w:pPr>
    </w:p>
    <w:p w14:paraId="30158277" w14:textId="77777777" w:rsidR="00D3344B" w:rsidRDefault="00143C25">
      <w:pPr>
        <w:pStyle w:val="Estilo"/>
        <w:ind w:left="567" w:hanging="567"/>
        <w:rPr>
          <w:rFonts w:cs="Arial"/>
        </w:rPr>
      </w:pPr>
      <w:r>
        <w:rPr>
          <w:rFonts w:cs="Arial"/>
        </w:rPr>
        <w:t xml:space="preserve">VIII. </w:t>
      </w:r>
      <w:r>
        <w:rPr>
          <w:rFonts w:cs="Arial"/>
        </w:rPr>
        <w:tab/>
        <w:t>Verificar el consumo de agua potable y los volúmenes de descarga de aguas residuales, instalar medidores y practicar la lectura de los mismos;</w:t>
      </w:r>
    </w:p>
    <w:p w14:paraId="443ADDD5" w14:textId="77777777" w:rsidR="00D3344B" w:rsidRDefault="00D3344B">
      <w:pPr>
        <w:pStyle w:val="Estilo"/>
        <w:ind w:left="567" w:hanging="567"/>
        <w:rPr>
          <w:rFonts w:cs="Arial"/>
        </w:rPr>
      </w:pPr>
    </w:p>
    <w:p w14:paraId="215CFC9D" w14:textId="77777777" w:rsidR="00D3344B" w:rsidRDefault="00143C25">
      <w:pPr>
        <w:pStyle w:val="Estilo"/>
        <w:ind w:left="567" w:hanging="567"/>
        <w:rPr>
          <w:rFonts w:cs="Arial"/>
        </w:rPr>
      </w:pPr>
      <w:r>
        <w:rPr>
          <w:rFonts w:cs="Arial"/>
          <w:i/>
          <w:sz w:val="16"/>
        </w:rPr>
        <w:tab/>
        <w:t>(REFORMADA, P.O. 21 DE JUNIO DE 2021)</w:t>
      </w:r>
    </w:p>
    <w:p w14:paraId="0753CA69" w14:textId="77777777" w:rsidR="00D3344B" w:rsidRDefault="00143C25">
      <w:pPr>
        <w:pStyle w:val="Estilo"/>
        <w:ind w:left="567" w:hanging="567"/>
        <w:rPr>
          <w:rFonts w:cs="Arial"/>
        </w:rPr>
      </w:pPr>
      <w:r>
        <w:rPr>
          <w:rFonts w:cs="Arial"/>
        </w:rPr>
        <w:t xml:space="preserve">IX. </w:t>
      </w:r>
      <w:r>
        <w:rPr>
          <w:rFonts w:cs="Arial"/>
        </w:rPr>
        <w:tab/>
        <w:t>Practicar visitas a los eventos de diversiones y espectáculos públicos en el momento de su celebración, para cuantificar los ingresos obtenidos del mismo, y en su caso, efectuar el cobro; o proceder a la clausura por falta de pago del impuesto sobre Diversiones y Espectáculos Públicos;</w:t>
      </w:r>
    </w:p>
    <w:p w14:paraId="3488DA8A" w14:textId="77777777" w:rsidR="00D3344B" w:rsidRDefault="00D3344B">
      <w:pPr>
        <w:pStyle w:val="Estilo"/>
        <w:ind w:left="567" w:hanging="567"/>
        <w:rPr>
          <w:rFonts w:cs="Arial"/>
        </w:rPr>
      </w:pPr>
    </w:p>
    <w:p w14:paraId="0134A30C" w14:textId="77777777" w:rsidR="00D3344B" w:rsidRDefault="00143C25">
      <w:pPr>
        <w:pStyle w:val="Estilo"/>
        <w:ind w:left="567" w:hanging="567"/>
        <w:rPr>
          <w:rFonts w:cs="Arial"/>
        </w:rPr>
      </w:pPr>
      <w:r>
        <w:rPr>
          <w:rFonts w:cs="Arial"/>
        </w:rPr>
        <w:t xml:space="preserve">X. </w:t>
      </w:r>
      <w:r>
        <w:rPr>
          <w:rFonts w:cs="Arial"/>
        </w:rPr>
        <w:tab/>
        <w:t>Intervenir la celebración de loterías, rifas, sorteos, concursos, juegos con cruce de apuestas legalmente permitidos y verificar los ingresos que se perciban por la celebración de dichos eventos;</w:t>
      </w:r>
    </w:p>
    <w:p w14:paraId="5B5FBEB4" w14:textId="77777777" w:rsidR="00D3344B" w:rsidRDefault="00D3344B">
      <w:pPr>
        <w:pStyle w:val="Estilo"/>
        <w:ind w:left="567" w:hanging="567"/>
        <w:rPr>
          <w:rFonts w:cs="Arial"/>
        </w:rPr>
      </w:pPr>
    </w:p>
    <w:p w14:paraId="0323D3D7" w14:textId="77777777" w:rsidR="00D3344B" w:rsidRDefault="00143C25">
      <w:pPr>
        <w:pStyle w:val="Estilo"/>
        <w:ind w:left="567" w:hanging="567"/>
        <w:rPr>
          <w:rFonts w:cs="Arial"/>
        </w:rPr>
      </w:pPr>
      <w:r>
        <w:rPr>
          <w:rFonts w:cs="Arial"/>
        </w:rPr>
        <w:lastRenderedPageBreak/>
        <w:t xml:space="preserve">XI. </w:t>
      </w:r>
      <w:r>
        <w:rPr>
          <w:rFonts w:cs="Arial"/>
        </w:rPr>
        <w:tab/>
        <w:t>Revisar las declaraciones que presenten los contribuyentes, a fin de verificar la correcta aplicación de las disposiciones de este código y la oportunidad de su presentación y pago, en su caso. Para tal efecto, podrá rectificar los errores aritméticos, omisiones u otros que aparezcan en las declaraciones o avisos y, en su caso, requerir al contribuyente la documentación que proceda para la corrección;</w:t>
      </w:r>
    </w:p>
    <w:p w14:paraId="108292E2" w14:textId="77777777" w:rsidR="00D3344B" w:rsidRDefault="00D3344B">
      <w:pPr>
        <w:pStyle w:val="Estilo"/>
        <w:ind w:left="567" w:hanging="567"/>
        <w:rPr>
          <w:rFonts w:cs="Arial"/>
        </w:rPr>
      </w:pPr>
    </w:p>
    <w:p w14:paraId="7C49AF48" w14:textId="77777777" w:rsidR="00D3344B" w:rsidRDefault="00143C25">
      <w:pPr>
        <w:pStyle w:val="Estilo"/>
        <w:ind w:left="567" w:hanging="567"/>
        <w:rPr>
          <w:rFonts w:cs="Arial"/>
        </w:rPr>
      </w:pPr>
      <w:r>
        <w:rPr>
          <w:rFonts w:cs="Arial"/>
        </w:rPr>
        <w:t xml:space="preserve">XII. </w:t>
      </w:r>
      <w:r>
        <w:rPr>
          <w:rFonts w:cs="Arial"/>
        </w:rPr>
        <w:tab/>
        <w:t>Determinar, en forma presuntiva las contribuciones omitidas o la existencia de créditos fiscales en los casos que este código establece;</w:t>
      </w:r>
    </w:p>
    <w:p w14:paraId="31D6636E" w14:textId="77777777" w:rsidR="00D3344B" w:rsidRDefault="00D3344B">
      <w:pPr>
        <w:pStyle w:val="Estilo"/>
        <w:ind w:left="567" w:hanging="567"/>
        <w:rPr>
          <w:rFonts w:cs="Arial"/>
        </w:rPr>
      </w:pPr>
    </w:p>
    <w:p w14:paraId="08B1399F" w14:textId="77777777" w:rsidR="00D3344B" w:rsidRDefault="00143C25">
      <w:pPr>
        <w:pStyle w:val="Estilo"/>
        <w:ind w:left="567" w:hanging="567"/>
        <w:rPr>
          <w:rFonts w:cs="Arial"/>
        </w:rPr>
      </w:pPr>
      <w:r>
        <w:rPr>
          <w:rFonts w:cs="Arial"/>
        </w:rPr>
        <w:t xml:space="preserve">XIII. </w:t>
      </w:r>
      <w:r>
        <w:rPr>
          <w:rFonts w:cs="Arial"/>
        </w:rPr>
        <w:tab/>
        <w:t>Revisar los dictámenes formulados por los contadores públicos sobre los estados financieros de los contribuyentes y los demás relacionados con el cumplimiento de disposiciones fiscales;</w:t>
      </w:r>
    </w:p>
    <w:p w14:paraId="11FC4741" w14:textId="77777777" w:rsidR="00D3344B" w:rsidRDefault="00D3344B">
      <w:pPr>
        <w:pStyle w:val="Estilo"/>
        <w:ind w:left="567" w:hanging="567"/>
        <w:rPr>
          <w:rFonts w:cs="Arial"/>
        </w:rPr>
      </w:pPr>
    </w:p>
    <w:p w14:paraId="16464ED3" w14:textId="77777777" w:rsidR="00D3344B" w:rsidRDefault="00143C25">
      <w:pPr>
        <w:pStyle w:val="Estilo"/>
        <w:ind w:left="567" w:hanging="567"/>
        <w:rPr>
          <w:rFonts w:cs="Arial"/>
        </w:rPr>
      </w:pPr>
      <w:r>
        <w:rPr>
          <w:rFonts w:cs="Arial"/>
        </w:rPr>
        <w:t xml:space="preserve">XIV. </w:t>
      </w:r>
      <w:r>
        <w:rPr>
          <w:rFonts w:cs="Arial"/>
        </w:rPr>
        <w:tab/>
        <w:t>Verificar que las mercancías en tránsito, así como los vehículos que las transporten, estén amparados con la documentación prevista en las leyes fiscales; lo cual podrá efectuarse tanto en el trayecto de la ruta, como en los lugares de almacenamiento. En estos casos, el inspector deberá estar facultado, expresamente y por escrito, para la vigilancia del cumplimiento de los ordenamientos relativos dentro de la zona en que se haga la verificación, y</w:t>
      </w:r>
    </w:p>
    <w:p w14:paraId="224AAFB3" w14:textId="77777777" w:rsidR="00D3344B" w:rsidRDefault="00D3344B">
      <w:pPr>
        <w:pStyle w:val="Estilo"/>
        <w:ind w:left="567" w:hanging="567"/>
        <w:rPr>
          <w:rFonts w:cs="Arial"/>
        </w:rPr>
      </w:pPr>
    </w:p>
    <w:p w14:paraId="26431E9A" w14:textId="77777777" w:rsidR="00D3344B" w:rsidRDefault="00143C25">
      <w:pPr>
        <w:pStyle w:val="Estilo"/>
        <w:ind w:left="567" w:hanging="567"/>
        <w:rPr>
          <w:rFonts w:cs="Arial"/>
        </w:rPr>
      </w:pPr>
      <w:r>
        <w:rPr>
          <w:rFonts w:cs="Arial"/>
        </w:rPr>
        <w:t xml:space="preserve">XV. </w:t>
      </w:r>
      <w:r>
        <w:rPr>
          <w:rFonts w:cs="Arial"/>
        </w:rPr>
        <w:tab/>
        <w:t>En general, las autoridades fiscales deberán cuidar el exacto cumplimiento de las disposiciones fiscales y, en su caso, investigar las causas de incumplimiento y determinar las infracciones cometidas.</w:t>
      </w:r>
    </w:p>
    <w:p w14:paraId="77F9B2BD" w14:textId="77777777" w:rsidR="00D3344B" w:rsidRDefault="00D3344B">
      <w:pPr>
        <w:pStyle w:val="Estilo"/>
        <w:rPr>
          <w:rFonts w:cs="Arial"/>
        </w:rPr>
      </w:pPr>
    </w:p>
    <w:p w14:paraId="414AF0B9" w14:textId="77777777" w:rsidR="00D3344B" w:rsidRDefault="00143C25">
      <w:pPr>
        <w:pStyle w:val="Estilo"/>
        <w:rPr>
          <w:rFonts w:cs="Arial"/>
          <w:sz w:val="16"/>
          <w:szCs w:val="16"/>
        </w:rPr>
      </w:pPr>
      <w:r>
        <w:rPr>
          <w:rFonts w:cs="Arial"/>
          <w:sz w:val="16"/>
          <w:szCs w:val="16"/>
        </w:rPr>
        <w:t>(REFORMADO, P.O. 22 DE DICIEMBRE DE 2021)</w:t>
      </w:r>
    </w:p>
    <w:p w14:paraId="7301D0FB" w14:textId="77777777" w:rsidR="00D3344B" w:rsidRDefault="00143C25">
      <w:pPr>
        <w:pStyle w:val="Estilo"/>
        <w:rPr>
          <w:rFonts w:cs="Arial"/>
        </w:rPr>
      </w:pPr>
      <w:r>
        <w:rPr>
          <w:rFonts w:cs="Arial"/>
        </w:rPr>
        <w:t>Las autoridades fiscales que estén ejerciendo alguna de las facultades previstas en las fracciones I y III de este artículo y detecten hechos u omisiones que puedan entrañar un incumplimiento en el pago de contribuciones, deberán informar mediante oficio al contribuyente o a su representante legal; en el caso de las personas morales a sus órganos de dirección por conducto de su representante legal, en un plazo de al menos diez días hábiles previos al del levantamiento de la última acta parcial o del oficio de observaciones, el derecho que tienen para acudir a las oficinas que estén llevando a cabo el procedimiento de que se trate, para conocer los hechos y omisiones que hayan detectado.</w:t>
      </w:r>
    </w:p>
    <w:p w14:paraId="27BB1CFA" w14:textId="77777777" w:rsidR="00D3344B" w:rsidRDefault="00D3344B">
      <w:pPr>
        <w:pStyle w:val="Estilo"/>
        <w:rPr>
          <w:rFonts w:cs="Arial"/>
        </w:rPr>
      </w:pPr>
    </w:p>
    <w:p w14:paraId="50537CF5" w14:textId="77777777" w:rsidR="00D3344B" w:rsidRDefault="00143C25">
      <w:pPr>
        <w:pStyle w:val="Estilo"/>
        <w:rPr>
          <w:rFonts w:cs="Arial"/>
        </w:rPr>
      </w:pPr>
      <w:proofErr w:type="gramStart"/>
      <w:r>
        <w:rPr>
          <w:rFonts w:cs="Arial"/>
        </w:rPr>
        <w:t>Asimismo</w:t>
      </w:r>
      <w:proofErr w:type="gramEnd"/>
      <w:r>
        <w:rPr>
          <w:rFonts w:cs="Arial"/>
        </w:rPr>
        <w:t xml:space="preserve"> darán a conocer a los contribuyentes, a través de los medios de difusión necesarios, reglas de carácter general para el debido cumplimiento de las disposiciones fiscales, sin que por ello nazcan obligaciones para los particulares y únicamente deriven derechos de los mismos, cuando se publiquen en el Periódico Oficial del Gobierno del Estado de Tlaxcala.</w:t>
      </w:r>
    </w:p>
    <w:p w14:paraId="2DEDB08D" w14:textId="77777777" w:rsidR="00D3344B" w:rsidRDefault="00D3344B">
      <w:pPr>
        <w:pStyle w:val="Estilo"/>
        <w:rPr>
          <w:rFonts w:cs="Arial"/>
        </w:rPr>
      </w:pPr>
    </w:p>
    <w:p w14:paraId="129ADA22" w14:textId="77777777" w:rsidR="00D3344B" w:rsidRDefault="00143C25">
      <w:pPr>
        <w:pStyle w:val="Estilo"/>
        <w:rPr>
          <w:rFonts w:cs="Arial"/>
        </w:rPr>
      </w:pPr>
      <w:r>
        <w:rPr>
          <w:rFonts w:cs="Arial"/>
          <w:b/>
        </w:rPr>
        <w:t>Artículo 62.</w:t>
      </w:r>
      <w:r>
        <w:rPr>
          <w:rFonts w:cs="Arial"/>
        </w:rPr>
        <w:t xml:space="preserve"> En las visitas domiciliarias que tengan como objeto verificar la presentación de solicitudes o avisos en materia de registro estatal o municipal de contribuyentes, se ajustarán a las bases siguientes:</w:t>
      </w:r>
    </w:p>
    <w:p w14:paraId="59AEF3B6" w14:textId="77777777" w:rsidR="00D3344B" w:rsidRDefault="00D3344B">
      <w:pPr>
        <w:pStyle w:val="Estilo"/>
        <w:rPr>
          <w:rFonts w:cs="Arial"/>
        </w:rPr>
      </w:pPr>
    </w:p>
    <w:p w14:paraId="27C87126" w14:textId="77777777" w:rsidR="00D3344B" w:rsidRDefault="00143C25">
      <w:pPr>
        <w:pStyle w:val="Estilo"/>
        <w:ind w:left="567" w:hanging="567"/>
        <w:rPr>
          <w:rFonts w:cs="Arial"/>
        </w:rPr>
      </w:pPr>
      <w:r>
        <w:rPr>
          <w:rFonts w:cs="Arial"/>
        </w:rPr>
        <w:t xml:space="preserve">I. </w:t>
      </w:r>
      <w:r>
        <w:rPr>
          <w:rFonts w:cs="Arial"/>
        </w:rPr>
        <w:tab/>
        <w:t>Se llevarán a cabo en el domicilio fiscal, establecimientos, puestos fijos y semifijos en la vía pública, o sucursales de los contribuyentes, siempre que se encuentren abiertos al público en general, donde se realicen enajenaciones, presten servicios o contraten el uso o goce temporal de bienes;</w:t>
      </w:r>
    </w:p>
    <w:p w14:paraId="4FA98516" w14:textId="77777777" w:rsidR="00D3344B" w:rsidRDefault="00D3344B">
      <w:pPr>
        <w:pStyle w:val="Estilo"/>
        <w:ind w:left="567" w:hanging="567"/>
        <w:rPr>
          <w:rFonts w:cs="Arial"/>
        </w:rPr>
      </w:pPr>
    </w:p>
    <w:p w14:paraId="3563855E" w14:textId="77777777" w:rsidR="00D3344B" w:rsidRDefault="00143C25">
      <w:pPr>
        <w:pStyle w:val="Estilo"/>
        <w:ind w:left="567" w:hanging="567"/>
        <w:rPr>
          <w:rFonts w:cs="Arial"/>
        </w:rPr>
      </w:pPr>
      <w:r>
        <w:rPr>
          <w:rFonts w:cs="Arial"/>
        </w:rPr>
        <w:t xml:space="preserve">II. </w:t>
      </w:r>
      <w:r>
        <w:rPr>
          <w:rFonts w:cs="Arial"/>
        </w:rPr>
        <w:tab/>
        <w:t>Al presentarse los visitadores al lugar en donde deba practicarse la diligencia, entregarán la orden de verificación al visitado, a su representante legal, al encargado o a quien se encuentre al frente del establecimiento, indistintamente, y con dicha persona se entenderá la visita de inspección;</w:t>
      </w:r>
    </w:p>
    <w:p w14:paraId="460041F6" w14:textId="77777777" w:rsidR="00D3344B" w:rsidRDefault="00D3344B">
      <w:pPr>
        <w:pStyle w:val="Estilo"/>
        <w:ind w:left="567" w:hanging="567"/>
        <w:rPr>
          <w:rFonts w:cs="Arial"/>
        </w:rPr>
      </w:pPr>
    </w:p>
    <w:p w14:paraId="12EF59E7" w14:textId="77777777" w:rsidR="00D3344B" w:rsidRDefault="00143C25">
      <w:pPr>
        <w:pStyle w:val="Estilo"/>
        <w:ind w:left="567" w:hanging="567"/>
        <w:rPr>
          <w:rFonts w:cs="Arial"/>
        </w:rPr>
      </w:pPr>
      <w:r>
        <w:rPr>
          <w:rFonts w:cs="Arial"/>
        </w:rPr>
        <w:t xml:space="preserve">III. </w:t>
      </w:r>
      <w:r>
        <w:rPr>
          <w:rFonts w:cs="Arial"/>
        </w:rPr>
        <w:tab/>
        <w:t>Los visitadores se identificarán ante la persona con quien se entienda la diligencia, requiriéndola para que designe dos testigos; si éstos no son designados o los designados no aceptan servir como tales, los visitadores los designarán, haciendo constar esta situación en el acta que levanten, sin que por ello se invaliden los resultados de la inspección;</w:t>
      </w:r>
    </w:p>
    <w:p w14:paraId="0358BD1A" w14:textId="77777777" w:rsidR="00D3344B" w:rsidRDefault="00D3344B">
      <w:pPr>
        <w:pStyle w:val="Estilo"/>
        <w:ind w:left="567" w:hanging="567"/>
        <w:rPr>
          <w:rFonts w:cs="Arial"/>
        </w:rPr>
      </w:pPr>
    </w:p>
    <w:p w14:paraId="7E5B3B2D" w14:textId="77777777" w:rsidR="00D3344B" w:rsidRDefault="00143C25">
      <w:pPr>
        <w:pStyle w:val="Estilo"/>
        <w:ind w:left="567" w:hanging="567"/>
        <w:rPr>
          <w:rFonts w:cs="Arial"/>
        </w:rPr>
      </w:pPr>
      <w:r>
        <w:rPr>
          <w:rFonts w:cs="Arial"/>
        </w:rPr>
        <w:t xml:space="preserve">IV. </w:t>
      </w:r>
      <w:r>
        <w:rPr>
          <w:rFonts w:cs="Arial"/>
        </w:rPr>
        <w:tab/>
        <w:t>En toda visita, se levantará acta circunstanciada en la que se harán constar los hechos u omisiones conocidos por los visitadores;</w:t>
      </w:r>
    </w:p>
    <w:p w14:paraId="0CFA180D" w14:textId="77777777" w:rsidR="00D3344B" w:rsidRDefault="00D3344B">
      <w:pPr>
        <w:pStyle w:val="Estilo"/>
        <w:ind w:left="567" w:hanging="567"/>
        <w:rPr>
          <w:rFonts w:cs="Arial"/>
        </w:rPr>
      </w:pPr>
    </w:p>
    <w:p w14:paraId="71795102" w14:textId="77777777" w:rsidR="00D3344B" w:rsidRDefault="00143C25">
      <w:pPr>
        <w:pStyle w:val="Estilo"/>
        <w:ind w:left="567" w:hanging="567"/>
        <w:rPr>
          <w:rFonts w:cs="Arial"/>
        </w:rPr>
      </w:pPr>
      <w:r>
        <w:rPr>
          <w:rFonts w:cs="Arial"/>
        </w:rPr>
        <w:t xml:space="preserve">V. </w:t>
      </w:r>
      <w:r>
        <w:rPr>
          <w:rFonts w:cs="Arial"/>
        </w:rPr>
        <w:tab/>
        <w:t>Si al cierre del acta de visita domiciliaria el visitado o la persona con quien se entendió la diligencia o los testigos se niegan a firmarla, o el visitado o la persona con quien se entendió la diligencia se niega a aceptar copia de la misma, dicha circunstancia se asentará en la propia acta, sin que esto afecte la validez y valor probatorio; dándose por concluida la visita domiciliaria, y</w:t>
      </w:r>
    </w:p>
    <w:p w14:paraId="5625B2F6" w14:textId="77777777" w:rsidR="00D3344B" w:rsidRDefault="00D3344B">
      <w:pPr>
        <w:pStyle w:val="Estilo"/>
        <w:ind w:left="567" w:hanging="567"/>
        <w:rPr>
          <w:rFonts w:cs="Arial"/>
        </w:rPr>
      </w:pPr>
    </w:p>
    <w:p w14:paraId="7F4F5D4E" w14:textId="77777777" w:rsidR="00D3344B" w:rsidRDefault="00143C25">
      <w:pPr>
        <w:pStyle w:val="Estilo"/>
        <w:ind w:left="567" w:hanging="567"/>
        <w:rPr>
          <w:rFonts w:cs="Arial"/>
        </w:rPr>
      </w:pPr>
      <w:r>
        <w:rPr>
          <w:rFonts w:cs="Arial"/>
        </w:rPr>
        <w:t xml:space="preserve">VI. </w:t>
      </w:r>
      <w:r>
        <w:rPr>
          <w:rFonts w:cs="Arial"/>
        </w:rPr>
        <w:tab/>
        <w:t>Si con motivo de la visita domiciliaria a que se refiere este artículo, las autoridades conocieron incumplimientos a las disposiciones fiscales en materia de presentación de solicitudes o avisos en materia del Registro Estatal o Municipal de Contribuyentes, se procederá a la formulación de la resolución correspondiente. Si se observa que el visitado no se encuentra inscrito en dicho Registro, la autoridad requerirá los datos necesarios para su inscripción, sin perjuicio de las sanciones y demás consecuencias legales derivadas de dicha omisión.</w:t>
      </w:r>
    </w:p>
    <w:p w14:paraId="22BB86A7" w14:textId="77777777" w:rsidR="00D3344B" w:rsidRDefault="00D3344B">
      <w:pPr>
        <w:pStyle w:val="Estilo"/>
        <w:rPr>
          <w:rFonts w:cs="Arial"/>
        </w:rPr>
      </w:pPr>
    </w:p>
    <w:p w14:paraId="0F297E53" w14:textId="77777777" w:rsidR="00D3344B" w:rsidRDefault="00143C25">
      <w:pPr>
        <w:pStyle w:val="Estilo"/>
        <w:rPr>
          <w:rFonts w:cs="Arial"/>
        </w:rPr>
      </w:pPr>
      <w:r>
        <w:rPr>
          <w:rFonts w:cs="Arial"/>
          <w:i/>
          <w:sz w:val="16"/>
        </w:rPr>
        <w:t>(ADICIONADO, P.O. 24 DE DICIEMBRE DE 2003)</w:t>
      </w:r>
    </w:p>
    <w:p w14:paraId="45DFFED5" w14:textId="77777777" w:rsidR="00D3344B" w:rsidRDefault="00143C25">
      <w:pPr>
        <w:pStyle w:val="Estilo"/>
        <w:rPr>
          <w:rFonts w:cs="Arial"/>
        </w:rPr>
      </w:pPr>
      <w:r>
        <w:rPr>
          <w:rFonts w:cs="Arial"/>
          <w:b/>
        </w:rPr>
        <w:t>Artículo 62 A.</w:t>
      </w:r>
      <w:r>
        <w:rPr>
          <w:rFonts w:cs="Arial"/>
        </w:rPr>
        <w:t xml:space="preserve"> Para efectos de lo dispuesto por el Artículo 61 Fracción IX de este código las visitas se realizarán conforme a lo siguiente:</w:t>
      </w:r>
    </w:p>
    <w:p w14:paraId="3D401290" w14:textId="77777777" w:rsidR="00D3344B" w:rsidRDefault="00D3344B">
      <w:pPr>
        <w:pStyle w:val="Estilo"/>
        <w:rPr>
          <w:rFonts w:cs="Arial"/>
        </w:rPr>
      </w:pPr>
    </w:p>
    <w:p w14:paraId="5E14E857" w14:textId="77777777" w:rsidR="00D3344B" w:rsidRDefault="00143C25">
      <w:pPr>
        <w:pStyle w:val="Estilo"/>
        <w:ind w:left="567" w:hanging="567"/>
        <w:rPr>
          <w:rFonts w:cs="Arial"/>
        </w:rPr>
      </w:pPr>
      <w:r>
        <w:rPr>
          <w:rFonts w:cs="Arial"/>
        </w:rPr>
        <w:t xml:space="preserve">I. </w:t>
      </w:r>
      <w:r>
        <w:rPr>
          <w:rFonts w:cs="Arial"/>
        </w:rPr>
        <w:tab/>
        <w:t>Se realizará en el lugar señalado en la orden de visita;</w:t>
      </w:r>
    </w:p>
    <w:p w14:paraId="63223D20" w14:textId="77777777" w:rsidR="00D3344B" w:rsidRDefault="00D3344B">
      <w:pPr>
        <w:pStyle w:val="Estilo"/>
        <w:ind w:left="567" w:hanging="567"/>
        <w:rPr>
          <w:rFonts w:cs="Arial"/>
        </w:rPr>
      </w:pPr>
    </w:p>
    <w:p w14:paraId="338FE791" w14:textId="77777777" w:rsidR="00D3344B" w:rsidRDefault="00143C25">
      <w:pPr>
        <w:pStyle w:val="Estilo"/>
        <w:ind w:left="567" w:hanging="567"/>
        <w:rPr>
          <w:rFonts w:cs="Arial"/>
        </w:rPr>
      </w:pPr>
      <w:r>
        <w:rPr>
          <w:rFonts w:cs="Arial"/>
          <w:i/>
          <w:sz w:val="16"/>
        </w:rPr>
        <w:tab/>
        <w:t>(REFORMADA, P.O. 30 DE DICIEMBRE DE 2005)</w:t>
      </w:r>
    </w:p>
    <w:p w14:paraId="32B37194" w14:textId="77777777" w:rsidR="00D3344B" w:rsidRDefault="00143C25">
      <w:pPr>
        <w:pStyle w:val="Estilo"/>
        <w:ind w:left="567" w:hanging="567"/>
        <w:rPr>
          <w:rFonts w:cs="Arial"/>
        </w:rPr>
      </w:pPr>
      <w:r>
        <w:rPr>
          <w:rFonts w:cs="Arial"/>
        </w:rPr>
        <w:t xml:space="preserve">II. </w:t>
      </w:r>
      <w:r>
        <w:rPr>
          <w:rFonts w:cs="Arial"/>
        </w:rPr>
        <w:tab/>
        <w:t xml:space="preserve">Al presentarse los visitadores al lugar en donde se deba practicar la diligencia, entregarán la orden de visita al organizador, administrador, patrocinador o representante legal de alguno de los antes mencionados, o a quien se encuentre al frente de la diversión o espectáculo público, indistintamente, y con dicha persona se entenderá la diligencia. En este caso se procederá a la </w:t>
      </w:r>
      <w:r>
        <w:rPr>
          <w:rFonts w:cs="Arial"/>
        </w:rPr>
        <w:lastRenderedPageBreak/>
        <w:t>determinación del impuesto correspondiente de conformidad con lo establecido en el artículo 109 de este Código y en dicho acto se realizará el requerimiento de pago del impuesto.</w:t>
      </w:r>
    </w:p>
    <w:p w14:paraId="291914AE" w14:textId="77777777" w:rsidR="00D3344B" w:rsidRDefault="00D3344B">
      <w:pPr>
        <w:pStyle w:val="Estilo"/>
        <w:ind w:left="567" w:hanging="567"/>
        <w:rPr>
          <w:rFonts w:cs="Arial"/>
        </w:rPr>
      </w:pPr>
    </w:p>
    <w:p w14:paraId="423B2FDA" w14:textId="77777777" w:rsidR="00D3344B" w:rsidRDefault="00143C25">
      <w:pPr>
        <w:pStyle w:val="Estilo"/>
        <w:ind w:left="567" w:hanging="567"/>
        <w:rPr>
          <w:rFonts w:cs="Arial"/>
          <w:i/>
          <w:iCs/>
          <w:sz w:val="16"/>
          <w:szCs w:val="16"/>
        </w:rPr>
      </w:pPr>
      <w:r>
        <w:rPr>
          <w:rFonts w:cs="Arial"/>
          <w:i/>
          <w:iCs/>
          <w:sz w:val="16"/>
          <w:szCs w:val="16"/>
        </w:rPr>
        <w:t>(REFORMADO, P.O. 22 DE DICIEMBRE DE 2021)</w:t>
      </w:r>
    </w:p>
    <w:p w14:paraId="73A79376" w14:textId="77777777" w:rsidR="00D3344B" w:rsidRDefault="00143C25">
      <w:pPr>
        <w:pStyle w:val="Estilo"/>
        <w:ind w:left="567"/>
        <w:rPr>
          <w:rFonts w:cs="Arial"/>
        </w:rPr>
      </w:pPr>
      <w:r>
        <w:rPr>
          <w:rFonts w:cs="Arial"/>
        </w:rPr>
        <w:t>Si al presentarse los visitadores quien o quienes deban atender la diligencia se niegan a recibir la orden e inclusive niegan su presencia o realizan maniobras para impedir el inicio o desarrollo de la visita, o durante esta se detecte que se incumplen cualquiera de las obligaciones previstas en el artículo 107 de este Código, se determinará de manera estimativa el impuesto correspondiente y en el mismo acto se procederá al requerimiento de pago de dicho impuesto.</w:t>
      </w:r>
    </w:p>
    <w:p w14:paraId="7ED10AD4" w14:textId="77777777" w:rsidR="00D3344B" w:rsidRDefault="00D3344B">
      <w:pPr>
        <w:pStyle w:val="Estilo"/>
        <w:ind w:left="567" w:hanging="567"/>
        <w:rPr>
          <w:rFonts w:cs="Arial"/>
        </w:rPr>
      </w:pPr>
    </w:p>
    <w:p w14:paraId="349955B0" w14:textId="77777777" w:rsidR="00D3344B" w:rsidRDefault="00143C25">
      <w:pPr>
        <w:pStyle w:val="Estilo"/>
        <w:ind w:left="567"/>
        <w:rPr>
          <w:rFonts w:cs="Arial"/>
        </w:rPr>
      </w:pPr>
      <w:r>
        <w:rPr>
          <w:rFonts w:cs="Arial"/>
        </w:rPr>
        <w:t>Se entiende por estimativa de impuesto, el resultado que determinen los visitadores al aplicar el porcentaje que para cada caso establece el artículo 109 de este Código, sobre los ingresos que éstos determinen con base en el número de asistentes a la diversión, espectáculo público o cualquiera de las actividades señaladas en el artículo 105 de este ordenamiento, multiplicado por el costo o valor del boleto que permita el acceso.</w:t>
      </w:r>
    </w:p>
    <w:p w14:paraId="7978FF59" w14:textId="77777777" w:rsidR="00D3344B" w:rsidRDefault="00D3344B">
      <w:pPr>
        <w:pStyle w:val="Estilo"/>
        <w:ind w:left="567" w:hanging="567"/>
        <w:rPr>
          <w:rFonts w:cs="Arial"/>
        </w:rPr>
      </w:pPr>
    </w:p>
    <w:p w14:paraId="31E9054D" w14:textId="77777777" w:rsidR="00D3344B" w:rsidRDefault="00143C25">
      <w:pPr>
        <w:pStyle w:val="Estilo"/>
        <w:ind w:left="567"/>
        <w:rPr>
          <w:rFonts w:cs="Arial"/>
        </w:rPr>
      </w:pPr>
      <w:r>
        <w:rPr>
          <w:rFonts w:cs="Arial"/>
        </w:rPr>
        <w:t>Para tales efectos, la autoridad indistintamente:</w:t>
      </w:r>
    </w:p>
    <w:p w14:paraId="537D1A23" w14:textId="77777777" w:rsidR="00D3344B" w:rsidRDefault="00D3344B">
      <w:pPr>
        <w:pStyle w:val="Estilo"/>
        <w:ind w:left="567" w:hanging="567"/>
        <w:rPr>
          <w:rFonts w:cs="Arial"/>
        </w:rPr>
      </w:pPr>
    </w:p>
    <w:p w14:paraId="01608F47" w14:textId="77777777" w:rsidR="00D3344B" w:rsidRDefault="00143C25">
      <w:pPr>
        <w:pStyle w:val="Estilo"/>
        <w:ind w:left="1134" w:hanging="567"/>
        <w:rPr>
          <w:rFonts w:cs="Arial"/>
        </w:rPr>
      </w:pPr>
      <w:r>
        <w:rPr>
          <w:rFonts w:cs="Arial"/>
        </w:rPr>
        <w:t xml:space="preserve">a) </w:t>
      </w:r>
      <w:r>
        <w:rPr>
          <w:rFonts w:cs="Arial"/>
        </w:rPr>
        <w:tab/>
        <w:t>Solicitará el auxilio de la fuerza pública estatal o municipal;</w:t>
      </w:r>
    </w:p>
    <w:p w14:paraId="7065531C" w14:textId="77777777" w:rsidR="00D3344B" w:rsidRDefault="00D3344B">
      <w:pPr>
        <w:pStyle w:val="Estilo"/>
        <w:ind w:left="1134" w:hanging="567"/>
        <w:rPr>
          <w:rFonts w:cs="Arial"/>
        </w:rPr>
      </w:pPr>
    </w:p>
    <w:p w14:paraId="7A323B7A" w14:textId="77777777" w:rsidR="00D3344B" w:rsidRDefault="00143C25">
      <w:pPr>
        <w:pStyle w:val="Estilo"/>
        <w:ind w:left="1134" w:hanging="567"/>
        <w:rPr>
          <w:rFonts w:cs="Arial"/>
        </w:rPr>
      </w:pPr>
      <w:r>
        <w:rPr>
          <w:rFonts w:cs="Arial"/>
        </w:rPr>
        <w:t xml:space="preserve">b) </w:t>
      </w:r>
      <w:r>
        <w:rPr>
          <w:rFonts w:cs="Arial"/>
        </w:rPr>
        <w:tab/>
        <w:t>Impondrá la multa que corresponda en los términos de este Código, e</w:t>
      </w:r>
    </w:p>
    <w:p w14:paraId="7420A8AF" w14:textId="77777777" w:rsidR="00D3344B" w:rsidRDefault="00D3344B">
      <w:pPr>
        <w:pStyle w:val="Estilo"/>
        <w:ind w:left="1134" w:hanging="567"/>
        <w:rPr>
          <w:rFonts w:cs="Arial"/>
        </w:rPr>
      </w:pPr>
    </w:p>
    <w:p w14:paraId="23F43B09" w14:textId="77777777" w:rsidR="00D3344B" w:rsidRDefault="00143C25">
      <w:pPr>
        <w:pStyle w:val="Estilo"/>
        <w:ind w:left="1134" w:hanging="567"/>
        <w:rPr>
          <w:rFonts w:cs="Arial"/>
        </w:rPr>
      </w:pPr>
      <w:r>
        <w:rPr>
          <w:rFonts w:cs="Arial"/>
        </w:rPr>
        <w:t xml:space="preserve">c) </w:t>
      </w:r>
      <w:r>
        <w:rPr>
          <w:rFonts w:cs="Arial"/>
        </w:rPr>
        <w:tab/>
        <w:t>Solicitará a la autoridad competente se proceda por desobediencia a un mandato legítimo de autoridad competente.</w:t>
      </w:r>
    </w:p>
    <w:p w14:paraId="6B898CAD" w14:textId="77777777" w:rsidR="00D3344B" w:rsidRDefault="00D3344B">
      <w:pPr>
        <w:pStyle w:val="Estilo"/>
        <w:ind w:left="567" w:hanging="567"/>
        <w:rPr>
          <w:rFonts w:cs="Arial"/>
        </w:rPr>
      </w:pPr>
    </w:p>
    <w:p w14:paraId="16E6C2D5" w14:textId="77777777" w:rsidR="00D3344B" w:rsidRDefault="00143C25">
      <w:pPr>
        <w:pStyle w:val="Estilo"/>
        <w:ind w:left="567"/>
        <w:rPr>
          <w:rFonts w:cs="Arial"/>
        </w:rPr>
      </w:pPr>
      <w:r>
        <w:rPr>
          <w:rFonts w:cs="Arial"/>
        </w:rPr>
        <w:t>Para efectos de este artículo, las autoridades judiciales estatales y los cuerpos de seguridad o policiales deberán prestar en forma expedita el apoyo que solicite la autoridad fiscal.</w:t>
      </w:r>
    </w:p>
    <w:p w14:paraId="2DCD3421" w14:textId="77777777" w:rsidR="00D3344B" w:rsidRDefault="00D3344B">
      <w:pPr>
        <w:pStyle w:val="Estilo"/>
        <w:ind w:left="567" w:hanging="567"/>
        <w:rPr>
          <w:rFonts w:cs="Arial"/>
        </w:rPr>
      </w:pPr>
    </w:p>
    <w:p w14:paraId="3455AC28" w14:textId="77777777" w:rsidR="00D3344B" w:rsidRDefault="00143C25">
      <w:pPr>
        <w:pStyle w:val="Estilo"/>
        <w:ind w:left="567"/>
        <w:rPr>
          <w:rFonts w:cs="Arial"/>
        </w:rPr>
      </w:pPr>
      <w:r>
        <w:rPr>
          <w:rFonts w:cs="Arial"/>
        </w:rPr>
        <w:t>En los casos de cuerpos de seguridad pública de las entidades municipales o estatales, el apoyo se solicitará en los términos de los ordenamientos que regulan la Seguridad Pública y a petición de parte;</w:t>
      </w:r>
    </w:p>
    <w:p w14:paraId="55BA5006" w14:textId="77777777" w:rsidR="00D3344B" w:rsidRDefault="00D3344B">
      <w:pPr>
        <w:pStyle w:val="Estilo"/>
        <w:ind w:left="567" w:hanging="567"/>
        <w:rPr>
          <w:rFonts w:cs="Arial"/>
        </w:rPr>
      </w:pPr>
    </w:p>
    <w:p w14:paraId="679CD9AF" w14:textId="77777777" w:rsidR="00D3344B" w:rsidRDefault="00143C25">
      <w:pPr>
        <w:pStyle w:val="Estilo"/>
        <w:ind w:left="567" w:hanging="567"/>
        <w:rPr>
          <w:rFonts w:cs="Arial"/>
        </w:rPr>
      </w:pPr>
      <w:r>
        <w:rPr>
          <w:rFonts w:cs="Arial"/>
        </w:rPr>
        <w:t xml:space="preserve">III. </w:t>
      </w:r>
      <w:r>
        <w:rPr>
          <w:rFonts w:cs="Arial"/>
        </w:rPr>
        <w:tab/>
        <w:t>Al iniciarse la visita en el lugar en donde se esté llevando a cabo la diversión o el espectáculo público, los visitadores deberán identificarse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diligencia;</w:t>
      </w:r>
    </w:p>
    <w:p w14:paraId="0757F0CF" w14:textId="77777777" w:rsidR="00D3344B" w:rsidRDefault="00D3344B">
      <w:pPr>
        <w:pStyle w:val="Estilo"/>
        <w:ind w:left="567" w:hanging="567"/>
        <w:rPr>
          <w:rFonts w:cs="Arial"/>
        </w:rPr>
      </w:pPr>
    </w:p>
    <w:p w14:paraId="53BDEDB2" w14:textId="77777777" w:rsidR="00D3344B" w:rsidRDefault="00143C25">
      <w:pPr>
        <w:pStyle w:val="Estilo"/>
        <w:ind w:left="567"/>
        <w:rPr>
          <w:rFonts w:cs="Arial"/>
        </w:rPr>
      </w:pPr>
      <w:r>
        <w:rPr>
          <w:rFonts w:cs="Arial"/>
        </w:rPr>
        <w:t xml:space="preserve">Los testigos pueden ser sustituidos, en cualquier tiempo, por ausentarse de la diversión o espectáculo público antes de que concluya la visita, por manifestar </w:t>
      </w:r>
      <w:r>
        <w:rPr>
          <w:rFonts w:cs="Arial"/>
        </w:rPr>
        <w:lastRenderedPageBreak/>
        <w:t>su voluntad de dejar de ser testigo, o por cualquier otro motivo. En cualesquiera de los casos la persona con quien se entienda la diligencia deberá designar de inmediato otros testigos y ante su negativa o impedimento de los designados, los visitadores podrán designar a quienes deban sustituirlos. La sustitución de los testigos no invalida los resultados de la diligencia;</w:t>
      </w:r>
    </w:p>
    <w:p w14:paraId="38549DDB" w14:textId="77777777" w:rsidR="00D3344B" w:rsidRDefault="00D3344B">
      <w:pPr>
        <w:pStyle w:val="Estilo"/>
        <w:ind w:left="567" w:hanging="567"/>
        <w:rPr>
          <w:rFonts w:cs="Arial"/>
        </w:rPr>
      </w:pPr>
    </w:p>
    <w:p w14:paraId="2138AC62" w14:textId="77777777" w:rsidR="00D3344B" w:rsidRDefault="00143C25">
      <w:pPr>
        <w:pStyle w:val="Estilo"/>
        <w:ind w:left="567" w:hanging="567"/>
        <w:rPr>
          <w:rFonts w:cs="Arial"/>
        </w:rPr>
      </w:pPr>
      <w:r>
        <w:rPr>
          <w:rFonts w:cs="Arial"/>
        </w:rPr>
        <w:t xml:space="preserve">IV. </w:t>
      </w:r>
      <w:r>
        <w:rPr>
          <w:rFonts w:cs="Arial"/>
        </w:rPr>
        <w:tab/>
        <w:t>Los visitadores levantarán acta de visita en la que se harán constar en forma circunstanciada los hechos u omisiones conocidos por los visitadores, o en su caso las irregularidades detectadas durante la diligencia; Los hechos u omisiones consignados por los visitadores en el acta de visita hacen prueba de la existencia de tales hechos, para efectos del Impuesto sobre Diversiones y Espectáculos Públicos correspondiente a la diversión o espectáculo público visitado en ese momento;</w:t>
      </w:r>
    </w:p>
    <w:p w14:paraId="1639EC91" w14:textId="77777777" w:rsidR="00D3344B" w:rsidRDefault="00D3344B">
      <w:pPr>
        <w:pStyle w:val="Estilo"/>
        <w:ind w:left="567" w:hanging="567"/>
        <w:rPr>
          <w:rFonts w:cs="Arial"/>
        </w:rPr>
      </w:pPr>
    </w:p>
    <w:p w14:paraId="47353CA9" w14:textId="77777777" w:rsidR="00D3344B" w:rsidRDefault="00143C25">
      <w:pPr>
        <w:pStyle w:val="Estilo"/>
        <w:ind w:left="567" w:hanging="567"/>
        <w:rPr>
          <w:rFonts w:cs="Arial"/>
        </w:rPr>
      </w:pPr>
      <w:r>
        <w:rPr>
          <w:rFonts w:cs="Arial"/>
        </w:rPr>
        <w:t xml:space="preserve">V. </w:t>
      </w:r>
      <w:r>
        <w:rPr>
          <w:rFonts w:cs="Arial"/>
        </w:rPr>
        <w:tab/>
        <w:t>Si al cierre del acta de visita, el visitado o la persona con quien se entendió la diligencia o los testigos se niegan a firmar el acta, o el visitado o la persona con quien se entendió la diligencia se niega a aceptar copia del acta, se asentará dicha circunstancia en la propia acta, sin que esto afecte la validez y valor probatorio de la misma, dándose por concluida la citada diligencia, y</w:t>
      </w:r>
    </w:p>
    <w:p w14:paraId="6064EBE5" w14:textId="77777777" w:rsidR="00D3344B" w:rsidRDefault="00D3344B">
      <w:pPr>
        <w:pStyle w:val="Estilo"/>
        <w:ind w:left="567" w:hanging="567"/>
        <w:rPr>
          <w:rFonts w:cs="Arial"/>
        </w:rPr>
      </w:pPr>
    </w:p>
    <w:p w14:paraId="1ABA9B7E" w14:textId="77777777" w:rsidR="00D3344B" w:rsidRDefault="00143C25">
      <w:pPr>
        <w:pStyle w:val="Estilo"/>
        <w:ind w:left="567" w:hanging="567"/>
        <w:rPr>
          <w:rFonts w:cs="Arial"/>
        </w:rPr>
      </w:pPr>
      <w:r>
        <w:rPr>
          <w:rFonts w:cs="Arial"/>
        </w:rPr>
        <w:t xml:space="preserve">VI. </w:t>
      </w:r>
      <w:r>
        <w:rPr>
          <w:rFonts w:cs="Arial"/>
        </w:rPr>
        <w:tab/>
        <w:t>Si con motivo de la visita a que se refiere este Artículo, las autoridades fiscales conocen incumplimiento a las disposiciones fiscales, en el acta que al efecto se levante determinarán el impuesto sobre diversiones y espectáculos públicos, a cargo del organizador, administrador o patrocinador de la diversión o espectáculo público, quienes en ese momento deberán hacer el pago de la contribución de referencia, extendiéndose el recibo de pago correspondiente.</w:t>
      </w:r>
    </w:p>
    <w:p w14:paraId="03EBE873" w14:textId="77777777" w:rsidR="00D3344B" w:rsidRDefault="00D3344B">
      <w:pPr>
        <w:pStyle w:val="Estilo"/>
        <w:rPr>
          <w:rFonts w:cs="Arial"/>
        </w:rPr>
      </w:pPr>
    </w:p>
    <w:p w14:paraId="0C4135AF" w14:textId="77777777" w:rsidR="00D3344B" w:rsidRDefault="00143C25">
      <w:pPr>
        <w:pStyle w:val="Estilo"/>
        <w:rPr>
          <w:rFonts w:cs="Arial"/>
        </w:rPr>
      </w:pPr>
      <w:r>
        <w:rPr>
          <w:rFonts w:cs="Arial"/>
        </w:rPr>
        <w:t xml:space="preserve">Cuando el organizador, administrador o patrocinador de la diversión o espectáculo público no pague la contribución determinada a su cargo, conforme al acta de visita, se emitirá la resolución que determine las contribuciones </w:t>
      </w:r>
      <w:proofErr w:type="gramStart"/>
      <w:r>
        <w:rPr>
          <w:rFonts w:cs="Arial"/>
        </w:rPr>
        <w:t>omitidas</w:t>
      </w:r>
      <w:proofErr w:type="gramEnd"/>
      <w:r>
        <w:rPr>
          <w:rFonts w:cs="Arial"/>
        </w:rPr>
        <w:t xml:space="preserve"> así como sus accesorios, misma que se notificará de conformidad con este código.</w:t>
      </w:r>
    </w:p>
    <w:p w14:paraId="3CB52D00" w14:textId="77777777" w:rsidR="00D3344B" w:rsidRDefault="00D3344B">
      <w:pPr>
        <w:pStyle w:val="Estilo"/>
        <w:rPr>
          <w:rFonts w:cs="Arial"/>
        </w:rPr>
      </w:pPr>
    </w:p>
    <w:p w14:paraId="0D8C3C35" w14:textId="77777777" w:rsidR="00D3344B" w:rsidRDefault="00143C25">
      <w:pPr>
        <w:pStyle w:val="Estilo"/>
        <w:rPr>
          <w:rFonts w:cs="Arial"/>
        </w:rPr>
      </w:pPr>
      <w:r>
        <w:rPr>
          <w:rFonts w:cs="Arial"/>
          <w:i/>
          <w:sz w:val="16"/>
        </w:rPr>
        <w:t>(REFORMADO, P.O. 22 DE DICIEMBRE DE 2021)</w:t>
      </w:r>
    </w:p>
    <w:p w14:paraId="57EE839C" w14:textId="77777777" w:rsidR="00D3344B" w:rsidRDefault="00143C25">
      <w:pPr>
        <w:pStyle w:val="Estilo"/>
        <w:rPr>
          <w:rFonts w:cs="Arial"/>
        </w:rPr>
      </w:pPr>
      <w:r>
        <w:rPr>
          <w:rFonts w:cs="Arial"/>
          <w:b/>
        </w:rPr>
        <w:t>Artículo 62 B.</w:t>
      </w:r>
      <w:r>
        <w:rPr>
          <w:rFonts w:cs="Arial"/>
        </w:rPr>
        <w:t xml:space="preserve"> El organizador, patrocinador, administrador, representante, o quien se encuentre al frente de la diversión o espectáculo público, están obligados a permitir a los visitadores designados por las autoridades fiscales, el acceso al lugar o lugares objeto de la diligencia, así como mantener a su disposición todos los talonarios de boletos referentes a la diversión o espectáculo público y boletos impresos vendidos, los cuales deberán estar sellados por la autoridad fiscal competente, así como los comprobantes fiscales a los que se refiere el inciso c), fracción II del artículo 107 de este Código.</w:t>
      </w:r>
    </w:p>
    <w:p w14:paraId="743BE703" w14:textId="77777777" w:rsidR="00D3344B" w:rsidRDefault="00D3344B">
      <w:pPr>
        <w:pStyle w:val="Estilo"/>
        <w:rPr>
          <w:rFonts w:cs="Arial"/>
        </w:rPr>
      </w:pPr>
    </w:p>
    <w:p w14:paraId="391A5B25" w14:textId="77777777" w:rsidR="00D3344B" w:rsidRDefault="00143C25">
      <w:pPr>
        <w:pStyle w:val="Estilo"/>
        <w:rPr>
          <w:rFonts w:cs="Arial"/>
        </w:rPr>
      </w:pPr>
      <w:r>
        <w:rPr>
          <w:rFonts w:cs="Arial"/>
          <w:b/>
        </w:rPr>
        <w:t>Artículo 63.</w:t>
      </w:r>
      <w:r>
        <w:rPr>
          <w:rFonts w:cs="Arial"/>
        </w:rPr>
        <w:t xml:space="preserve"> Las visitas domiciliarias que tengan como objeto verificar el correcto cumplimiento de las disposiciones fiscales, deberán sujetarse, en cualquier caso, a las reglas siguientes:</w:t>
      </w:r>
    </w:p>
    <w:p w14:paraId="43277A6D" w14:textId="77777777" w:rsidR="00D3344B" w:rsidRDefault="00D3344B">
      <w:pPr>
        <w:pStyle w:val="Estilo"/>
        <w:rPr>
          <w:rFonts w:cs="Arial"/>
        </w:rPr>
      </w:pPr>
    </w:p>
    <w:p w14:paraId="5C907539" w14:textId="77777777" w:rsidR="00D3344B" w:rsidRDefault="00143C25">
      <w:pPr>
        <w:pStyle w:val="Estilo"/>
        <w:ind w:left="567" w:hanging="567"/>
        <w:rPr>
          <w:rFonts w:cs="Arial"/>
        </w:rPr>
      </w:pPr>
      <w:r>
        <w:rPr>
          <w:rFonts w:cs="Arial"/>
        </w:rPr>
        <w:t xml:space="preserve">I. </w:t>
      </w:r>
      <w:r>
        <w:rPr>
          <w:rFonts w:cs="Arial"/>
        </w:rPr>
        <w:tab/>
        <w:t>Sólo se podrán practicar por mandamiento escrito fundado y motivado por la autoridad fiscal competente, en el que se expresará:</w:t>
      </w:r>
    </w:p>
    <w:p w14:paraId="2CEDEC71" w14:textId="77777777" w:rsidR="00D3344B" w:rsidRDefault="00D3344B">
      <w:pPr>
        <w:pStyle w:val="Estilo"/>
        <w:ind w:left="567" w:hanging="567"/>
        <w:rPr>
          <w:rFonts w:cs="Arial"/>
        </w:rPr>
      </w:pPr>
    </w:p>
    <w:p w14:paraId="3E9471A2" w14:textId="77777777" w:rsidR="00D3344B" w:rsidRDefault="00143C25">
      <w:pPr>
        <w:pStyle w:val="Estilo"/>
        <w:ind w:left="1134" w:hanging="567"/>
        <w:rPr>
          <w:rFonts w:cs="Arial"/>
        </w:rPr>
      </w:pPr>
      <w:r>
        <w:rPr>
          <w:rFonts w:cs="Arial"/>
        </w:rPr>
        <w:t xml:space="preserve">a) </w:t>
      </w:r>
      <w:r>
        <w:rPr>
          <w:rFonts w:cs="Arial"/>
        </w:rPr>
        <w:tab/>
        <w:t>El nombre, denominación o razón social de la persona, a quien deba practicársele y el lugar o lugares donde deba llevarse a cabo la visita. Cuando se ignore el nombre, denominación o razón social, se señalarán datos suficientes que permitan su identificación;</w:t>
      </w:r>
    </w:p>
    <w:p w14:paraId="5FD831BC" w14:textId="77777777" w:rsidR="00D3344B" w:rsidRDefault="00D3344B">
      <w:pPr>
        <w:pStyle w:val="Estilo"/>
        <w:ind w:left="1134" w:hanging="567"/>
        <w:rPr>
          <w:rFonts w:cs="Arial"/>
        </w:rPr>
      </w:pPr>
    </w:p>
    <w:p w14:paraId="03F8E9FE" w14:textId="77777777" w:rsidR="00D3344B" w:rsidRDefault="00143C25">
      <w:pPr>
        <w:pStyle w:val="Estilo"/>
        <w:ind w:left="1134" w:hanging="567"/>
        <w:rPr>
          <w:rFonts w:cs="Arial"/>
        </w:rPr>
      </w:pPr>
      <w:r>
        <w:rPr>
          <w:rFonts w:cs="Arial"/>
        </w:rPr>
        <w:t xml:space="preserve">b) </w:t>
      </w:r>
      <w:r>
        <w:rPr>
          <w:rFonts w:cs="Arial"/>
        </w:rPr>
        <w:tab/>
        <w:t>El nombre de la persona o personas que deban efectuar la visita o practicar la diligencia, las cuales podrán ser substituidas, aumentadas o reducidas en su número en cualquier tiempo, y en este caso se comunicará por escrito al visitado.</w:t>
      </w:r>
    </w:p>
    <w:p w14:paraId="7F356FF0" w14:textId="77777777" w:rsidR="00D3344B" w:rsidRDefault="00D3344B">
      <w:pPr>
        <w:pStyle w:val="Estilo"/>
        <w:ind w:left="1134" w:hanging="567"/>
        <w:rPr>
          <w:rFonts w:cs="Arial"/>
        </w:rPr>
      </w:pPr>
    </w:p>
    <w:p w14:paraId="40145302" w14:textId="77777777" w:rsidR="00D3344B" w:rsidRDefault="00143C25">
      <w:pPr>
        <w:pStyle w:val="Estilo"/>
        <w:ind w:left="1134"/>
        <w:rPr>
          <w:rFonts w:cs="Arial"/>
        </w:rPr>
      </w:pPr>
      <w:r>
        <w:rPr>
          <w:rFonts w:cs="Arial"/>
        </w:rPr>
        <w:t>Las personas designadas para efectuar la visita la podrán realizar conjunta o separadamente;</w:t>
      </w:r>
    </w:p>
    <w:p w14:paraId="66C14146" w14:textId="77777777" w:rsidR="00D3344B" w:rsidRDefault="00D3344B">
      <w:pPr>
        <w:pStyle w:val="Estilo"/>
        <w:ind w:left="1134" w:hanging="567"/>
        <w:rPr>
          <w:rFonts w:cs="Arial"/>
        </w:rPr>
      </w:pPr>
    </w:p>
    <w:p w14:paraId="1EF21A8F" w14:textId="77777777" w:rsidR="00D3344B" w:rsidRDefault="00143C25">
      <w:pPr>
        <w:pStyle w:val="Estilo"/>
        <w:ind w:left="1134" w:hanging="567"/>
        <w:rPr>
          <w:rFonts w:cs="Arial"/>
        </w:rPr>
      </w:pPr>
      <w:r>
        <w:rPr>
          <w:rFonts w:cs="Arial"/>
        </w:rPr>
        <w:t xml:space="preserve">c) </w:t>
      </w:r>
      <w:r>
        <w:rPr>
          <w:rFonts w:cs="Arial"/>
        </w:rPr>
        <w:tab/>
        <w:t>Las obligaciones fiscales objeto de la verificación, la que podrá ser de carácter general o concretarse únicamente a determinados aspectos;</w:t>
      </w:r>
    </w:p>
    <w:p w14:paraId="48F1AAA7" w14:textId="77777777" w:rsidR="00D3344B" w:rsidRDefault="00D3344B">
      <w:pPr>
        <w:pStyle w:val="Estilo"/>
        <w:ind w:left="1134" w:hanging="567"/>
        <w:rPr>
          <w:rFonts w:cs="Arial"/>
        </w:rPr>
      </w:pPr>
    </w:p>
    <w:p w14:paraId="7A2CA62D" w14:textId="77777777" w:rsidR="00D3344B" w:rsidRDefault="00143C25">
      <w:pPr>
        <w:pStyle w:val="Estilo"/>
        <w:ind w:left="1134" w:hanging="567"/>
        <w:rPr>
          <w:rFonts w:cs="Arial"/>
        </w:rPr>
      </w:pPr>
      <w:r>
        <w:rPr>
          <w:rFonts w:cs="Arial"/>
        </w:rPr>
        <w:t xml:space="preserve">d) </w:t>
      </w:r>
      <w:r>
        <w:rPr>
          <w:rFonts w:cs="Arial"/>
        </w:rPr>
        <w:tab/>
        <w:t>El periodo sujeto a revisión, el cual en ningún caso excederá de los cinco años anteriores a la fecha de notificación de la orden;</w:t>
      </w:r>
    </w:p>
    <w:p w14:paraId="1DF00090" w14:textId="77777777" w:rsidR="00D3344B" w:rsidRDefault="00D3344B">
      <w:pPr>
        <w:pStyle w:val="Estilo"/>
        <w:ind w:left="1134" w:hanging="567"/>
        <w:rPr>
          <w:rFonts w:cs="Arial"/>
        </w:rPr>
      </w:pPr>
    </w:p>
    <w:p w14:paraId="1B5263AA" w14:textId="77777777" w:rsidR="00D3344B" w:rsidRDefault="00143C25">
      <w:pPr>
        <w:pStyle w:val="Estilo"/>
        <w:ind w:left="1134" w:hanging="567"/>
        <w:rPr>
          <w:rFonts w:cs="Arial"/>
        </w:rPr>
      </w:pPr>
      <w:r>
        <w:rPr>
          <w:rFonts w:cs="Arial"/>
        </w:rPr>
        <w:t xml:space="preserve">e) </w:t>
      </w:r>
      <w:r>
        <w:rPr>
          <w:rFonts w:cs="Arial"/>
        </w:rPr>
        <w:tab/>
        <w:t>La autoridad que la emite;</w:t>
      </w:r>
    </w:p>
    <w:p w14:paraId="42C631F2" w14:textId="77777777" w:rsidR="00D3344B" w:rsidRDefault="00D3344B">
      <w:pPr>
        <w:pStyle w:val="Estilo"/>
        <w:ind w:left="1134" w:hanging="567"/>
        <w:rPr>
          <w:rFonts w:cs="Arial"/>
        </w:rPr>
      </w:pPr>
    </w:p>
    <w:p w14:paraId="4876EBCD" w14:textId="77777777" w:rsidR="00D3344B" w:rsidRDefault="00143C25">
      <w:pPr>
        <w:pStyle w:val="Estilo"/>
        <w:ind w:left="1134" w:hanging="567"/>
        <w:rPr>
          <w:rFonts w:cs="Arial"/>
        </w:rPr>
      </w:pPr>
      <w:r>
        <w:rPr>
          <w:rFonts w:cs="Arial"/>
        </w:rPr>
        <w:t xml:space="preserve">f) </w:t>
      </w:r>
      <w:r>
        <w:rPr>
          <w:rFonts w:cs="Arial"/>
        </w:rPr>
        <w:tab/>
        <w:t>Nombre y firma del funcionario que la emite.</w:t>
      </w:r>
    </w:p>
    <w:p w14:paraId="1540FDFA" w14:textId="77777777" w:rsidR="00D3344B" w:rsidRDefault="00D3344B">
      <w:pPr>
        <w:pStyle w:val="Estilo"/>
        <w:ind w:left="567" w:hanging="567"/>
        <w:rPr>
          <w:rFonts w:cs="Arial"/>
        </w:rPr>
      </w:pPr>
    </w:p>
    <w:p w14:paraId="795C25E0" w14:textId="77777777" w:rsidR="00D3344B" w:rsidRDefault="00143C25">
      <w:pPr>
        <w:pStyle w:val="Estilo"/>
        <w:ind w:left="567" w:hanging="567"/>
        <w:rPr>
          <w:rFonts w:cs="Arial"/>
        </w:rPr>
      </w:pPr>
      <w:r>
        <w:rPr>
          <w:rFonts w:cs="Arial"/>
        </w:rPr>
        <w:t xml:space="preserve">II. </w:t>
      </w:r>
      <w:r>
        <w:rPr>
          <w:rFonts w:cs="Arial"/>
        </w:rPr>
        <w:tab/>
        <w:t>Al iniciarse la visita en el domicilio fiscal se identificarán los visitadores ante la persona con quien se entienda la diligencia, se entregará la orden al contribuyente o a su representante, si no estuvieren presentes, se dejará citatorio con la persona que se encuentre, para que el visitado o su representante lo esperen a una hora determinada del día hábil siguiente, con el apercibimiento de que si no lo hiciere, la visita se iniciará con el responsable, encargado, empleado o, en su ausencia de cualquiera de ellos, con la persona que se encuentre en el lugar.</w:t>
      </w:r>
    </w:p>
    <w:p w14:paraId="5F25FC35" w14:textId="77777777" w:rsidR="00D3344B" w:rsidRDefault="00D3344B">
      <w:pPr>
        <w:pStyle w:val="Estilo"/>
        <w:ind w:left="567" w:hanging="567"/>
        <w:rPr>
          <w:rFonts w:cs="Arial"/>
        </w:rPr>
      </w:pPr>
    </w:p>
    <w:p w14:paraId="4F496494" w14:textId="77777777" w:rsidR="00D3344B" w:rsidRDefault="00143C25">
      <w:pPr>
        <w:pStyle w:val="Estilo"/>
        <w:ind w:left="567"/>
        <w:rPr>
          <w:rFonts w:cs="Arial"/>
        </w:rPr>
      </w:pPr>
      <w:r>
        <w:rPr>
          <w:rFonts w:cs="Arial"/>
        </w:rPr>
        <w:t>Cuando se presuma que el contribuyente se ausente o pueda realizar maniobras para impedir el inicio o desarrollo de la visita domiciliaria, los visitadores procederán al aseguramiento de la documentación relativa al cumplimiento de las obligaciones fiscales objeto de la visita, haciendo una relación de la documentación asegurada.</w:t>
      </w:r>
    </w:p>
    <w:p w14:paraId="4DA46E1D" w14:textId="77777777" w:rsidR="00D3344B" w:rsidRDefault="00D3344B">
      <w:pPr>
        <w:pStyle w:val="Estilo"/>
        <w:ind w:left="567" w:hanging="567"/>
        <w:rPr>
          <w:rFonts w:cs="Arial"/>
        </w:rPr>
      </w:pPr>
    </w:p>
    <w:p w14:paraId="38211B0A" w14:textId="77777777" w:rsidR="00D3344B" w:rsidRDefault="00143C25">
      <w:pPr>
        <w:pStyle w:val="Estilo"/>
        <w:ind w:left="567"/>
        <w:rPr>
          <w:rFonts w:cs="Arial"/>
        </w:rPr>
      </w:pPr>
      <w:r>
        <w:rPr>
          <w:rFonts w:cs="Arial"/>
        </w:rPr>
        <w:t xml:space="preserve">Si el contribuyente presenta aviso de cambio de domicilio después de recibido el citatorio, la visita podrá llevarse a cabo en el nuevo domicilio y en el anterior, cuando el contribuyente objeto de visita conserve el local de éste, sin que para </w:t>
      </w:r>
      <w:r>
        <w:rPr>
          <w:rFonts w:cs="Arial"/>
        </w:rPr>
        <w:lastRenderedPageBreak/>
        <w:t>ello se requiera nueva orden o ampliación de la misma, haciendo constar tales hechos en el acta correspondiente;</w:t>
      </w:r>
    </w:p>
    <w:p w14:paraId="69171391" w14:textId="77777777" w:rsidR="00D3344B" w:rsidRDefault="00D3344B">
      <w:pPr>
        <w:pStyle w:val="Estilo"/>
        <w:ind w:left="567" w:hanging="567"/>
        <w:rPr>
          <w:rFonts w:cs="Arial"/>
        </w:rPr>
      </w:pPr>
    </w:p>
    <w:p w14:paraId="35567FB6"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526E4162" w14:textId="77777777" w:rsidR="00D3344B" w:rsidRDefault="00143C25">
      <w:pPr>
        <w:pStyle w:val="Estilo"/>
        <w:ind w:left="567" w:hanging="567"/>
        <w:rPr>
          <w:rFonts w:cs="Arial"/>
        </w:rPr>
      </w:pPr>
      <w:r>
        <w:rPr>
          <w:rFonts w:cs="Arial"/>
        </w:rPr>
        <w:t xml:space="preserve">III. </w:t>
      </w:r>
      <w:r>
        <w:rPr>
          <w:rFonts w:cs="Arial"/>
        </w:rPr>
        <w:tab/>
        <w:t>El contribuyente será requerido para que proponga dos testigos, mismos que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a otros testigos, en caso de ausencia, impedimento o negativa, éstos serán designados por el personal que practique la visita, haciendo constar esta situación en el acta que levanten. La sustitución de los testigos no invalida los resultados de la visita.</w:t>
      </w:r>
    </w:p>
    <w:p w14:paraId="6ACF2564" w14:textId="77777777" w:rsidR="00D3344B" w:rsidRDefault="00D3344B">
      <w:pPr>
        <w:pStyle w:val="Estilo"/>
        <w:ind w:left="567" w:hanging="567"/>
        <w:rPr>
          <w:rFonts w:cs="Arial"/>
        </w:rPr>
      </w:pPr>
    </w:p>
    <w:p w14:paraId="27DA5089" w14:textId="77777777" w:rsidR="00D3344B" w:rsidRDefault="00143C25">
      <w:pPr>
        <w:pStyle w:val="Estilo"/>
        <w:ind w:left="567" w:hanging="567"/>
        <w:rPr>
          <w:rFonts w:cs="Arial"/>
        </w:rPr>
      </w:pPr>
      <w:r>
        <w:rPr>
          <w:rFonts w:cs="Arial"/>
          <w:i/>
          <w:iCs/>
          <w:sz w:val="16"/>
          <w:szCs w:val="16"/>
        </w:rPr>
        <w:t>(REFORMADA, P.O. 22 DE DICIEMBRE DE 2021)</w:t>
      </w:r>
    </w:p>
    <w:p w14:paraId="7D505E20" w14:textId="77777777" w:rsidR="00D3344B" w:rsidRDefault="00143C25">
      <w:pPr>
        <w:pStyle w:val="Estilo"/>
        <w:ind w:left="567" w:hanging="567"/>
        <w:rPr>
          <w:rFonts w:cs="Arial"/>
        </w:rPr>
      </w:pPr>
      <w:r>
        <w:rPr>
          <w:rFonts w:cs="Arial"/>
        </w:rPr>
        <w:t xml:space="preserve">IV. </w:t>
      </w:r>
      <w:r>
        <w:rPr>
          <w:rFonts w:cs="Arial"/>
        </w:rPr>
        <w:tab/>
        <w:t>El visitado, sus representantes, o la persona con quien se entienda la visita en el domicilio fiscal deberá proporcionar y mantener a disposición de los visitadores, desde el momento del inicio de la visita y hasta la terminación de ésta, sus libros principales, sociales, auxiliares, registros, documentos, correspondencia, los estados de cuentas bancarios y demás documentación contable, los que serán examinados en el domicilio, establecimiento o dependencia en que se practique la visita. Los visitadores podrán sacar copia de la documentación que estimen necesaria para que, previo cotejo con sus originales, se certifiquen por éstos que son totalmente coincidentes y sea anexada a las actas finales o parciales que se levanten durante y con motivo de la visita, asimismo deberán poner a disposición de los visitadores el equipo de cómputo, discos, cintas y sus operadores o cualquier otro medio procesable de almacenamiento de datos que tenga el contribuyente en los lugares visitados.</w:t>
      </w:r>
    </w:p>
    <w:p w14:paraId="0F37E0F9" w14:textId="77777777" w:rsidR="00D3344B" w:rsidRDefault="00D3344B">
      <w:pPr>
        <w:pStyle w:val="Estilo"/>
        <w:ind w:left="567" w:hanging="567"/>
        <w:rPr>
          <w:rFonts w:cs="Arial"/>
        </w:rPr>
      </w:pPr>
    </w:p>
    <w:p w14:paraId="6DBE60EF" w14:textId="77777777" w:rsidR="00D3344B" w:rsidRDefault="00143C25">
      <w:pPr>
        <w:pStyle w:val="Estilo"/>
        <w:ind w:left="567" w:hanging="567"/>
        <w:rPr>
          <w:rFonts w:cs="Arial"/>
        </w:rPr>
      </w:pPr>
      <w:r>
        <w:rPr>
          <w:rFonts w:cs="Arial"/>
        </w:rPr>
        <w:t xml:space="preserve">V. </w:t>
      </w:r>
      <w:r>
        <w:rPr>
          <w:rFonts w:cs="Arial"/>
        </w:rPr>
        <w:tab/>
        <w:t>De toda visita se levantará acta en la que se harán constar en forma circunstanciada los hechos u omisiones que se hubieren conocido por los visitadores, y de aquellos que hayan consignado en las actas y que prueben la existencia de hechos u omisiones encontradas, para efectos de cualquiera de las contribuciones a cargo del visitado en el periodo revisado.</w:t>
      </w:r>
    </w:p>
    <w:p w14:paraId="3B999EAB" w14:textId="77777777" w:rsidR="00D3344B" w:rsidRDefault="00D3344B">
      <w:pPr>
        <w:pStyle w:val="Estilo"/>
        <w:ind w:left="567" w:hanging="567"/>
        <w:rPr>
          <w:rFonts w:cs="Arial"/>
        </w:rPr>
      </w:pPr>
    </w:p>
    <w:p w14:paraId="0F68EB0E" w14:textId="77777777" w:rsidR="00D3344B" w:rsidRDefault="00143C25">
      <w:pPr>
        <w:pStyle w:val="Estilo"/>
        <w:ind w:left="567"/>
        <w:rPr>
          <w:rFonts w:cs="Arial"/>
        </w:rPr>
      </w:pPr>
      <w:r>
        <w:rPr>
          <w:rFonts w:cs="Arial"/>
        </w:rPr>
        <w:t>Las opiniones de los visitadores sobre el cumplimiento o incumplimiento de las disposiciones fiscales o sobre la situación financiera del contribuyente, no producirán efecto de resolución fiscal;</w:t>
      </w:r>
    </w:p>
    <w:p w14:paraId="470E1EE6" w14:textId="77777777" w:rsidR="00D3344B" w:rsidRDefault="00D3344B">
      <w:pPr>
        <w:pStyle w:val="Estilo"/>
        <w:ind w:left="567" w:hanging="567"/>
        <w:rPr>
          <w:rFonts w:cs="Arial"/>
        </w:rPr>
      </w:pPr>
    </w:p>
    <w:p w14:paraId="03C43AD8" w14:textId="77777777" w:rsidR="00D3344B" w:rsidRDefault="00143C25">
      <w:pPr>
        <w:pStyle w:val="Estilo"/>
        <w:ind w:left="567" w:hanging="567"/>
        <w:rPr>
          <w:rFonts w:cs="Arial"/>
        </w:rPr>
      </w:pPr>
      <w:r>
        <w:rPr>
          <w:rFonts w:cs="Arial"/>
        </w:rPr>
        <w:t xml:space="preserve">VI. </w:t>
      </w:r>
      <w:r>
        <w:rPr>
          <w:rFonts w:cs="Arial"/>
        </w:rPr>
        <w:tab/>
        <w:t>Si la visita se realiza simultáneamente en dos o más lugares, en cada uno de ellos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 este artículo;</w:t>
      </w:r>
    </w:p>
    <w:p w14:paraId="1A12296B" w14:textId="77777777" w:rsidR="00D3344B" w:rsidRDefault="00D3344B">
      <w:pPr>
        <w:pStyle w:val="Estilo"/>
        <w:ind w:left="567" w:hanging="567"/>
        <w:rPr>
          <w:rFonts w:cs="Arial"/>
        </w:rPr>
      </w:pPr>
    </w:p>
    <w:p w14:paraId="45CBA325" w14:textId="77777777" w:rsidR="00D3344B" w:rsidRDefault="00143C25">
      <w:pPr>
        <w:pStyle w:val="Estilo"/>
        <w:ind w:left="567" w:hanging="567"/>
        <w:rPr>
          <w:rFonts w:cs="Arial"/>
        </w:rPr>
      </w:pPr>
      <w:r>
        <w:rPr>
          <w:rFonts w:cs="Arial"/>
          <w:i/>
          <w:iCs/>
          <w:sz w:val="16"/>
          <w:szCs w:val="16"/>
        </w:rPr>
        <w:lastRenderedPageBreak/>
        <w:t>(REFORMADA PRIMER PÁRRAFO, P.O. 22 DE DICIEMBRE DE 2021)</w:t>
      </w:r>
    </w:p>
    <w:p w14:paraId="303EA1E7" w14:textId="77777777" w:rsidR="00D3344B" w:rsidRDefault="00143C25">
      <w:pPr>
        <w:pStyle w:val="Estilo"/>
        <w:ind w:left="567" w:hanging="567"/>
        <w:rPr>
          <w:rFonts w:cs="Arial"/>
        </w:rPr>
      </w:pPr>
      <w:r>
        <w:rPr>
          <w:rFonts w:cs="Arial"/>
        </w:rPr>
        <w:t xml:space="preserve">VII. </w:t>
      </w:r>
      <w:r>
        <w:rPr>
          <w:rFonts w:cs="Arial"/>
        </w:rPr>
        <w:tab/>
        <w:t>Al concluirse la visita se levantará un acta final, en la que se harán constar los resultados en forma circunstanciada, si en el levantamiento del acta final de la visita, no estuviere presente el visitado o su representante, se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entienda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14:paraId="6DD5DE20" w14:textId="77777777" w:rsidR="00D3344B" w:rsidRDefault="00D3344B">
      <w:pPr>
        <w:pStyle w:val="Estilo"/>
        <w:ind w:left="567" w:hanging="567"/>
        <w:rPr>
          <w:rFonts w:cs="Arial"/>
        </w:rPr>
      </w:pPr>
    </w:p>
    <w:p w14:paraId="40B76F35" w14:textId="77777777" w:rsidR="00D3344B" w:rsidRDefault="00143C25">
      <w:pPr>
        <w:pStyle w:val="Estilo"/>
        <w:ind w:left="567"/>
        <w:rPr>
          <w:rFonts w:cs="Arial"/>
        </w:rPr>
      </w:pPr>
      <w:r>
        <w:rPr>
          <w:rFonts w:cs="Arial"/>
          <w:i/>
          <w:iCs/>
          <w:sz w:val="16"/>
          <w:szCs w:val="16"/>
        </w:rPr>
        <w:t>(DEROGADO SEGUNDO PÁRRAFO, P.O. 22 DE DICIEMBRE DE 2021)</w:t>
      </w:r>
    </w:p>
    <w:p w14:paraId="58320836" w14:textId="77777777" w:rsidR="00D3344B" w:rsidRDefault="00D3344B">
      <w:pPr>
        <w:pStyle w:val="Estilo"/>
        <w:ind w:left="567" w:hanging="567"/>
        <w:rPr>
          <w:rFonts w:cs="Arial"/>
        </w:rPr>
      </w:pPr>
    </w:p>
    <w:p w14:paraId="1271F628" w14:textId="77777777" w:rsidR="00D3344B" w:rsidRDefault="00143C25">
      <w:pPr>
        <w:pStyle w:val="Estilo"/>
        <w:ind w:left="567"/>
        <w:rPr>
          <w:rFonts w:cs="Arial"/>
        </w:rPr>
      </w:pPr>
      <w:r>
        <w:rPr>
          <w:rFonts w:cs="Arial"/>
        </w:rPr>
        <w:t>Si el contribuyente se niega a firmar, así lo harán constar los visitadores, sin que esta circunstancia invalide el valor probatorio del documento. Un ejemplar del acta se entregará en todo caso al contribuyente o a la persona con la que se entienda la diligencia;</w:t>
      </w:r>
    </w:p>
    <w:p w14:paraId="38FD1DA5" w14:textId="77777777" w:rsidR="00D3344B" w:rsidRDefault="00D3344B">
      <w:pPr>
        <w:pStyle w:val="Estilo"/>
        <w:ind w:left="567" w:hanging="567"/>
        <w:rPr>
          <w:rFonts w:cs="Arial"/>
        </w:rPr>
      </w:pPr>
    </w:p>
    <w:p w14:paraId="616716DC" w14:textId="77777777" w:rsidR="00D3344B" w:rsidRDefault="00143C25">
      <w:pPr>
        <w:pStyle w:val="Estilo"/>
        <w:ind w:left="567" w:hanging="567"/>
        <w:rPr>
          <w:rFonts w:cs="Arial"/>
        </w:rPr>
      </w:pPr>
      <w:r>
        <w:rPr>
          <w:rFonts w:cs="Arial"/>
        </w:rPr>
        <w:t xml:space="preserve">VIII. </w:t>
      </w:r>
      <w:r>
        <w:rPr>
          <w:rFonts w:cs="Arial"/>
        </w:rPr>
        <w:tab/>
      </w:r>
      <w:r>
        <w:rPr>
          <w:rFonts w:cs="Arial"/>
          <w:i/>
          <w:iCs/>
          <w:sz w:val="16"/>
          <w:szCs w:val="16"/>
        </w:rPr>
        <w:t>(DEROGADA, P.O. 22 DE DICIEMBRE DE 2021)</w:t>
      </w:r>
    </w:p>
    <w:p w14:paraId="4AE4E08B" w14:textId="77777777" w:rsidR="00D3344B" w:rsidRDefault="00D3344B">
      <w:pPr>
        <w:pStyle w:val="Estilo"/>
        <w:ind w:left="567" w:hanging="567"/>
        <w:rPr>
          <w:rFonts w:cs="Arial"/>
        </w:rPr>
      </w:pPr>
    </w:p>
    <w:p w14:paraId="4987208B" w14:textId="77777777" w:rsidR="00D3344B" w:rsidRDefault="00143C25">
      <w:pPr>
        <w:pStyle w:val="Estilo"/>
        <w:ind w:left="567" w:hanging="567"/>
        <w:rPr>
          <w:rFonts w:cs="Arial"/>
        </w:rPr>
      </w:pPr>
      <w:r>
        <w:rPr>
          <w:rFonts w:cs="Arial"/>
          <w:i/>
          <w:sz w:val="16"/>
        </w:rPr>
        <w:tab/>
        <w:t>(REFORMADA, P.O. 30 DE DICIEMBRE DE 2005)</w:t>
      </w:r>
    </w:p>
    <w:p w14:paraId="5FF84B7C" w14:textId="77777777" w:rsidR="00D3344B" w:rsidRDefault="00143C25">
      <w:pPr>
        <w:pStyle w:val="Estilo"/>
        <w:ind w:left="567" w:hanging="567"/>
        <w:rPr>
          <w:rFonts w:cs="Arial"/>
        </w:rPr>
      </w:pPr>
      <w:r>
        <w:rPr>
          <w:rFonts w:cs="Arial"/>
        </w:rPr>
        <w:t xml:space="preserve">IX. </w:t>
      </w:r>
      <w:r>
        <w:rPr>
          <w:rFonts w:cs="Arial"/>
        </w:rPr>
        <w:tab/>
        <w:t>Cuando en el desarrollo de una visita, las autoridades fiscales conozcan hechos u omisiones que puedan entrañar incumplimiento de las disposiciones fiscales, las consignarán en forma circunstanciada en dichas actas. También consignarán en dichas actas los hechos u omisiones que se conozcan de terceros. En la última acta parcial que al efecto se levante, se hará mención expresa de tal circunstancia y entre ésta y el acta final de visita, deberán transcurrir veinte días hábiles, durante los cuales el contribuyente podrá presentar los documentos, libros o registros que desvirtúen los hechos u omisiones consignados, así como optar por corregir su situación fiscal.</w:t>
      </w:r>
    </w:p>
    <w:p w14:paraId="5374CFD4" w14:textId="77777777" w:rsidR="00D3344B" w:rsidRDefault="00D3344B">
      <w:pPr>
        <w:pStyle w:val="Estilo"/>
        <w:rPr>
          <w:rFonts w:cs="Arial"/>
        </w:rPr>
      </w:pPr>
    </w:p>
    <w:p w14:paraId="4355D48D" w14:textId="77777777" w:rsidR="00D3344B" w:rsidRDefault="00143C25">
      <w:pPr>
        <w:pStyle w:val="Estilo"/>
        <w:rPr>
          <w:rFonts w:cs="Arial"/>
        </w:rPr>
      </w:pPr>
      <w:r>
        <w:rPr>
          <w:rFonts w:cs="Arial"/>
        </w:rPr>
        <w:t>Se tendrán por consentidos los hechos u omisiones consignados en el párrafo anterior a que se refiere este artículo, si antes del cierre del acta final el contribuyente no presenta los documentos, libros o registros de referencia o no señala el lugar en que se encuentren, siempre que éste sea el domicilio fiscal o el lugar autorizado para llevar su contabilidad o no prueba que éstos se encuentran en poder de una autoridad.</w:t>
      </w:r>
    </w:p>
    <w:p w14:paraId="4EC80B93" w14:textId="77777777" w:rsidR="00D3344B" w:rsidRDefault="00D3344B">
      <w:pPr>
        <w:pStyle w:val="Estilo"/>
        <w:rPr>
          <w:rFonts w:cs="Arial"/>
        </w:rPr>
      </w:pPr>
    </w:p>
    <w:p w14:paraId="6B70E4E2" w14:textId="77777777" w:rsidR="00D3344B" w:rsidRDefault="00143C25">
      <w:pPr>
        <w:pStyle w:val="Estilo"/>
        <w:rPr>
          <w:rFonts w:cs="Arial"/>
        </w:rPr>
      </w:pPr>
      <w:r>
        <w:rPr>
          <w:rFonts w:cs="Arial"/>
        </w:rPr>
        <w:t xml:space="preserve">Cuando resulte imposible continuar o concluir el ejercicio de las facultades de comprobación en los establecimientos del visitado, las actas en las que se haga constar el desarrollo de una visita en el domicilio fiscal podrán levantarse en las oficinas de las autoridades fiscales. En estos casos se deberá notificar previamente esta circunstancia a la persona con quien se entienda la diligencia, excepto en el </w:t>
      </w:r>
      <w:r>
        <w:rPr>
          <w:rFonts w:cs="Arial"/>
        </w:rPr>
        <w:lastRenderedPageBreak/>
        <w:t>supuesto de que el visitado hubiere desaparecido del domicilio fiscal durante el desarrollo de la visita.</w:t>
      </w:r>
    </w:p>
    <w:p w14:paraId="6509B42D" w14:textId="77777777" w:rsidR="00D3344B" w:rsidRDefault="00D3344B">
      <w:pPr>
        <w:pStyle w:val="Estilo"/>
        <w:rPr>
          <w:rFonts w:cs="Arial"/>
        </w:rPr>
      </w:pPr>
    </w:p>
    <w:p w14:paraId="405208C6" w14:textId="77777777" w:rsidR="00D3344B" w:rsidRDefault="00143C25">
      <w:pPr>
        <w:pStyle w:val="Estilo"/>
        <w:rPr>
          <w:rFonts w:cs="Arial"/>
        </w:rPr>
      </w:pPr>
      <w:r>
        <w:rPr>
          <w:rFonts w:cs="Arial"/>
        </w:rPr>
        <w:t xml:space="preserve">Cerrada el acta final no se podrán levantar actas complementarias sin que medie nueva orden de visita. Se entenderán que las actas parciales forman parte integrante del acta final de </w:t>
      </w:r>
      <w:proofErr w:type="gramStart"/>
      <w:r>
        <w:rPr>
          <w:rFonts w:cs="Arial"/>
        </w:rPr>
        <w:t>visita</w:t>
      </w:r>
      <w:proofErr w:type="gramEnd"/>
      <w:r>
        <w:rPr>
          <w:rFonts w:cs="Arial"/>
        </w:rPr>
        <w:t xml:space="preserve"> aunque no se señale así expresamente.</w:t>
      </w:r>
    </w:p>
    <w:p w14:paraId="26277962" w14:textId="77777777" w:rsidR="00D3344B" w:rsidRDefault="00D3344B">
      <w:pPr>
        <w:pStyle w:val="Estilo"/>
        <w:rPr>
          <w:rFonts w:cs="Arial"/>
        </w:rPr>
      </w:pPr>
    </w:p>
    <w:p w14:paraId="53687C31"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6A714A9A" w14:textId="77777777" w:rsidR="00D3344B" w:rsidRDefault="00143C25">
      <w:pPr>
        <w:pStyle w:val="Estilo"/>
        <w:rPr>
          <w:rFonts w:cs="Arial"/>
        </w:rPr>
      </w:pPr>
      <w:r>
        <w:rPr>
          <w:rFonts w:cs="Arial"/>
          <w:i/>
          <w:sz w:val="16"/>
        </w:rPr>
        <w:t>(ADICIONADO, P.O. 7 DE DICIEMBRE DE 2009)</w:t>
      </w:r>
    </w:p>
    <w:p w14:paraId="1747D7E1" w14:textId="77777777" w:rsidR="00D3344B" w:rsidRDefault="00143C25">
      <w:pPr>
        <w:pStyle w:val="Estilo"/>
        <w:rPr>
          <w:rFonts w:cs="Arial"/>
        </w:rPr>
      </w:pPr>
      <w:r>
        <w:rPr>
          <w:rFonts w:cs="Arial"/>
        </w:rPr>
        <w:t>Cuando de la revisión de las actas de visita y demás documentación vinculada a éstas, se observe que el procedimiento no se ajustó a las normas aplicables, que pudieran afectar la legalidad de la determinación del crédito fiscal, la autoridad podrá de oficio, por una sola vez; reponer el procedimiento, a partir de la violación formal cometida.</w:t>
      </w:r>
    </w:p>
    <w:p w14:paraId="3A3195BA" w14:textId="77777777" w:rsidR="00D3344B" w:rsidRDefault="00D3344B">
      <w:pPr>
        <w:pStyle w:val="Estilo"/>
        <w:rPr>
          <w:rFonts w:cs="Arial"/>
        </w:rPr>
      </w:pPr>
    </w:p>
    <w:p w14:paraId="1B49C2E2"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77C6286C" w14:textId="77777777" w:rsidR="00D3344B" w:rsidRDefault="00143C25">
      <w:pPr>
        <w:pStyle w:val="Estilo"/>
        <w:rPr>
          <w:rFonts w:cs="Arial"/>
        </w:rPr>
      </w:pPr>
      <w:r>
        <w:rPr>
          <w:rFonts w:cs="Arial"/>
          <w:i/>
          <w:sz w:val="16"/>
        </w:rPr>
        <w:t>(ADICIONADO, P.O. 7 DE DICIEMBRE DE 2009)</w:t>
      </w:r>
    </w:p>
    <w:p w14:paraId="0809ACA7" w14:textId="77777777" w:rsidR="00D3344B" w:rsidRDefault="00143C25">
      <w:pPr>
        <w:pStyle w:val="Estilo"/>
        <w:rPr>
          <w:rFonts w:cs="Arial"/>
        </w:rPr>
      </w:pPr>
      <w:r>
        <w:rPr>
          <w:rFonts w:cs="Arial"/>
        </w:rPr>
        <w:t>Lo señalado en el párrafo anterior, será sin perjuicio de la responsabilidad en que pueda incurrir el servidor público que motivó la violación.</w:t>
      </w:r>
    </w:p>
    <w:p w14:paraId="7631280E" w14:textId="77777777" w:rsidR="00D3344B" w:rsidRDefault="00D3344B">
      <w:pPr>
        <w:pStyle w:val="Estilo"/>
        <w:rPr>
          <w:rFonts w:cs="Arial"/>
        </w:rPr>
      </w:pPr>
    </w:p>
    <w:p w14:paraId="56DA936D" w14:textId="77777777" w:rsidR="00D3344B" w:rsidRDefault="00143C25">
      <w:pPr>
        <w:pStyle w:val="Estilo"/>
        <w:rPr>
          <w:rFonts w:cs="Arial"/>
        </w:rPr>
      </w:pPr>
      <w:r>
        <w:rPr>
          <w:rFonts w:cs="Arial"/>
          <w:i/>
          <w:sz w:val="16"/>
        </w:rPr>
        <w:t>(REFORMADO PRIMER PÁRRAFO, P.O. 30 DE DICIEMBRE DE 2005)</w:t>
      </w:r>
    </w:p>
    <w:p w14:paraId="1A569DA2" w14:textId="77777777" w:rsidR="00D3344B" w:rsidRDefault="00143C25">
      <w:pPr>
        <w:pStyle w:val="Estilo"/>
        <w:rPr>
          <w:rFonts w:cs="Arial"/>
        </w:rPr>
      </w:pPr>
      <w:r>
        <w:rPr>
          <w:rFonts w:cs="Arial"/>
          <w:b/>
        </w:rPr>
        <w:t>Artículo 64.</w:t>
      </w:r>
      <w:r>
        <w:rPr>
          <w:rFonts w:cs="Arial"/>
        </w:rPr>
        <w:t xml:space="preserve"> En los casos en que al practicarse una visita, auditoría, inspección o revisión, los contribuyentes, los responsables solidarios o terceros con ellos relacionados se opongan u obstaculicen el ejercicio de las facultades de comprobación de las autoridades fiscales ya sea que se nieguen a permitir el inicio de una visita domiciliaria, o durante el desarrollo de la misma nieguen a los visitadores el acceso a los locales o dependencias o bien, se nieguen a exhibir la documentación contenida en archiveros, escritorios y demás mobiliario de oficina, el personal que practique la diligencia podrá sellar o colocar marcas en dichos documentos, bienes o en inmuebles, archiveros, oficinas y vehículos donde se encuentran, así como dejarlos en calidad de depósito al visitado, </w:t>
      </w:r>
      <w:proofErr w:type="spellStart"/>
      <w:r>
        <w:rPr>
          <w:rFonts w:cs="Arial"/>
        </w:rPr>
        <w:t>ó</w:t>
      </w:r>
      <w:proofErr w:type="spellEnd"/>
      <w:r>
        <w:rPr>
          <w:rFonts w:cs="Arial"/>
        </w:rPr>
        <w:t xml:space="preserve"> a la persona con quien se entienda la diligencia, previo inventario que al efecto se formule, siempre que dicho aseguramiento no impida la realización de las actividades del visitado.</w:t>
      </w:r>
    </w:p>
    <w:p w14:paraId="07EA0BF3" w14:textId="77777777" w:rsidR="00D3344B" w:rsidRDefault="00D3344B">
      <w:pPr>
        <w:pStyle w:val="Estilo"/>
        <w:rPr>
          <w:rFonts w:cs="Arial"/>
        </w:rPr>
      </w:pPr>
    </w:p>
    <w:p w14:paraId="38D91051" w14:textId="77777777" w:rsidR="00D3344B" w:rsidRDefault="00143C25">
      <w:pPr>
        <w:pStyle w:val="Estilo"/>
        <w:rPr>
          <w:rFonts w:cs="Arial"/>
        </w:rPr>
      </w:pPr>
      <w:r>
        <w:rPr>
          <w:rFonts w:cs="Arial"/>
        </w:rPr>
        <w:t>Los sellos se levantarán al momento de que se proporcionen los medios para la práctica de la visita, auditoría, inspección o revisión de que se trate.</w:t>
      </w:r>
    </w:p>
    <w:p w14:paraId="7A53BF40" w14:textId="77777777" w:rsidR="00D3344B" w:rsidRDefault="00D3344B">
      <w:pPr>
        <w:pStyle w:val="Estilo"/>
        <w:rPr>
          <w:rFonts w:cs="Arial"/>
        </w:rPr>
      </w:pPr>
    </w:p>
    <w:p w14:paraId="79DCF38E" w14:textId="77777777" w:rsidR="00D3344B" w:rsidRDefault="00143C25">
      <w:pPr>
        <w:pStyle w:val="Estilo"/>
        <w:rPr>
          <w:rFonts w:cs="Arial"/>
        </w:rPr>
      </w:pPr>
      <w:r>
        <w:rPr>
          <w:rFonts w:cs="Arial"/>
          <w:b/>
        </w:rPr>
        <w:t>Artículo 65.</w:t>
      </w:r>
      <w:r>
        <w:rPr>
          <w:rFonts w:cs="Arial"/>
        </w:rPr>
        <w:t xml:space="preserve"> Las autoridades fiscales concluirán las visitas domiciliarias o la revisión de la documentación que se realice, en las oficinas de las propias autoridades, presentada por los contribuyentes en virtud de requerimiento, en un plazo máximo de seis meses contados a partir de que se notifique el inicio de las facultades de comprobación.</w:t>
      </w:r>
    </w:p>
    <w:p w14:paraId="2C7891C9" w14:textId="77777777" w:rsidR="00D3344B" w:rsidRDefault="00D3344B">
      <w:pPr>
        <w:pStyle w:val="Estilo"/>
        <w:rPr>
          <w:rFonts w:cs="Arial"/>
        </w:rPr>
      </w:pPr>
    </w:p>
    <w:p w14:paraId="287DA7F5" w14:textId="77777777" w:rsidR="00D3344B" w:rsidRDefault="00143C25">
      <w:pPr>
        <w:pStyle w:val="Estilo"/>
        <w:rPr>
          <w:rFonts w:cs="Arial"/>
        </w:rPr>
      </w:pPr>
      <w:r>
        <w:rPr>
          <w:rFonts w:cs="Arial"/>
        </w:rPr>
        <w:t>El plazo a que se refiere el párrafo anterior, podrá ampliarse hasta por un periodo igual, cuando exista una razón fundada para prorrogar el plazo, a juicio de la autoridad fiscal que lo emite.</w:t>
      </w:r>
    </w:p>
    <w:p w14:paraId="77A136F8" w14:textId="77777777" w:rsidR="00D3344B" w:rsidRDefault="00D3344B">
      <w:pPr>
        <w:pStyle w:val="Estilo"/>
        <w:rPr>
          <w:rFonts w:cs="Arial"/>
        </w:rPr>
      </w:pPr>
    </w:p>
    <w:p w14:paraId="7EC6C78B" w14:textId="77777777" w:rsidR="00D3344B" w:rsidRDefault="00143C25">
      <w:pPr>
        <w:pStyle w:val="Estilo"/>
        <w:rPr>
          <w:rFonts w:cs="Arial"/>
        </w:rPr>
      </w:pPr>
      <w:r>
        <w:rPr>
          <w:rFonts w:cs="Arial"/>
        </w:rPr>
        <w:t>Cuando las autoridades no cierren el acta final de visita o no notifiquen el oficio de observaciones, o en su caso el de conclusión de la revisión en el plazo mencionado, se entenderá concluida en esa fecha, quedando sin efectos la orden y los actos realizados durante la visita o revisión.</w:t>
      </w:r>
    </w:p>
    <w:p w14:paraId="2AE21EA7" w14:textId="77777777" w:rsidR="00D3344B" w:rsidRDefault="00D3344B">
      <w:pPr>
        <w:pStyle w:val="Estilo"/>
        <w:rPr>
          <w:rFonts w:cs="Arial"/>
        </w:rPr>
      </w:pPr>
    </w:p>
    <w:p w14:paraId="3FBEA996" w14:textId="77777777" w:rsidR="00D3344B" w:rsidRDefault="00143C25">
      <w:pPr>
        <w:pStyle w:val="Estilo"/>
        <w:rPr>
          <w:rFonts w:cs="Arial"/>
        </w:rPr>
      </w:pPr>
      <w:r>
        <w:rPr>
          <w:rFonts w:cs="Arial"/>
        </w:rPr>
        <w:t xml:space="preserve">Cuando el contribuyente no corrija totalmente su situación fiscal conforme a la última acta parcial o no desvirtúe los hechos u omisiones consignados en dicha acta, se emitirá la resolución que determine las contribuciones </w:t>
      </w:r>
      <w:proofErr w:type="gramStart"/>
      <w:r>
        <w:rPr>
          <w:rFonts w:cs="Arial"/>
        </w:rPr>
        <w:t>omitidas</w:t>
      </w:r>
      <w:proofErr w:type="gramEnd"/>
      <w:r>
        <w:rPr>
          <w:rFonts w:cs="Arial"/>
        </w:rPr>
        <w:t xml:space="preserve"> así como sus accesorios, misma que se notificará de conformidad con este código.</w:t>
      </w:r>
    </w:p>
    <w:p w14:paraId="107CACD2" w14:textId="77777777" w:rsidR="00D3344B" w:rsidRDefault="00D3344B">
      <w:pPr>
        <w:pStyle w:val="Estilo"/>
        <w:rPr>
          <w:rFonts w:cs="Arial"/>
        </w:rPr>
      </w:pPr>
    </w:p>
    <w:p w14:paraId="19FEB927" w14:textId="77777777" w:rsidR="00D3344B" w:rsidRDefault="00143C25">
      <w:pPr>
        <w:pStyle w:val="Estilo"/>
        <w:rPr>
          <w:rFonts w:cs="Arial"/>
        </w:rPr>
      </w:pPr>
      <w:r>
        <w:rPr>
          <w:rFonts w:cs="Arial"/>
          <w:i/>
          <w:sz w:val="16"/>
        </w:rPr>
        <w:t>(REFORMADO PRIMER PÁRRAFO, P.O. 24 DE DICIEMBRE DE 2003)</w:t>
      </w:r>
    </w:p>
    <w:p w14:paraId="5C11BDDF" w14:textId="77777777" w:rsidR="00D3344B" w:rsidRDefault="00143C25">
      <w:pPr>
        <w:pStyle w:val="Estilo"/>
        <w:rPr>
          <w:rFonts w:cs="Arial"/>
        </w:rPr>
      </w:pPr>
      <w:r>
        <w:rPr>
          <w:rFonts w:cs="Arial"/>
          <w:b/>
        </w:rPr>
        <w:t>Artículo 65 A.</w:t>
      </w:r>
      <w:r>
        <w:rPr>
          <w:rFonts w:cs="Arial"/>
        </w:rPr>
        <w:t xml:space="preserve"> Las autoridades fiscales que al ejercer sus facultades de comprobación señaladas en las fracciones I y III del artículo 61 de este Código, conozcan de hechos u omisiones que entrañen el incumplimiento a las disposiciones fiscales estatales, determinarán las contribuciones omitidas y sus accesorios mediante resolución que notificará personalmente al contribuyente, en un plazo de seis meses contados a partir de que se levante acta final en visitas domiciliarias o venza el plazo señalado en la Fracción VI del Artículo 66 del presente Código.</w:t>
      </w:r>
    </w:p>
    <w:p w14:paraId="2FADF066" w14:textId="77777777" w:rsidR="00D3344B" w:rsidRDefault="00D3344B">
      <w:pPr>
        <w:pStyle w:val="Estilo"/>
        <w:rPr>
          <w:rFonts w:cs="Arial"/>
        </w:rPr>
      </w:pPr>
    </w:p>
    <w:p w14:paraId="3EEC5178" w14:textId="77777777" w:rsidR="00D3344B" w:rsidRDefault="00143C25">
      <w:pPr>
        <w:pStyle w:val="Estilo"/>
        <w:rPr>
          <w:rFonts w:cs="Arial"/>
        </w:rPr>
      </w:pPr>
      <w:r>
        <w:rPr>
          <w:rFonts w:cs="Arial"/>
        </w:rPr>
        <w:t>Cuando las autoridades fiscales no emitan la resolución correspondiente dentro del plazo antes mencionado, quedará sin efectos la orden y las actuaciones que se derivaron durante la visita o de la revisión de que se trate.</w:t>
      </w:r>
    </w:p>
    <w:p w14:paraId="0AFE4F53" w14:textId="77777777" w:rsidR="00D3344B" w:rsidRDefault="00D3344B">
      <w:pPr>
        <w:pStyle w:val="Estilo"/>
        <w:rPr>
          <w:rFonts w:cs="Arial"/>
        </w:rPr>
      </w:pPr>
    </w:p>
    <w:p w14:paraId="5935D7C0"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01A2CE39" w14:textId="77777777" w:rsidR="00D3344B" w:rsidRDefault="00143C25">
      <w:pPr>
        <w:pStyle w:val="Estilo"/>
        <w:rPr>
          <w:rFonts w:cs="Arial"/>
        </w:rPr>
      </w:pPr>
      <w:r>
        <w:rPr>
          <w:rFonts w:cs="Arial"/>
          <w:i/>
          <w:sz w:val="16"/>
        </w:rPr>
        <w:t>(ADICIONADO, P.O. 7 DE DICIEMBRE DE 2009)</w:t>
      </w:r>
    </w:p>
    <w:p w14:paraId="5DCE22A4" w14:textId="77777777" w:rsidR="00D3344B" w:rsidRDefault="00143C25">
      <w:pPr>
        <w:pStyle w:val="Estilo"/>
        <w:rPr>
          <w:rFonts w:cs="Arial"/>
        </w:rPr>
      </w:pPr>
      <w:r>
        <w:rPr>
          <w:rFonts w:cs="Arial"/>
        </w:rPr>
        <w:t>Concluida la visita en el domicilio fiscal, para iniciar otra a la misma persona, se requerirá nueva orden. En el caso de que las facultades de comprobación se refieran a las mismas contribuciones, aprovechamientos y periodos, sólo se podrá efectuar la nueva revisión cuando se comprueben hechos diferentes a los ya revisados.</w:t>
      </w:r>
    </w:p>
    <w:p w14:paraId="4813E7CA" w14:textId="77777777" w:rsidR="00D3344B" w:rsidRDefault="00D3344B">
      <w:pPr>
        <w:pStyle w:val="Estilo"/>
        <w:rPr>
          <w:rFonts w:cs="Arial"/>
        </w:rPr>
      </w:pPr>
    </w:p>
    <w:p w14:paraId="3EAFF923"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7FF59BDD" w14:textId="77777777" w:rsidR="00D3344B" w:rsidRDefault="00143C25">
      <w:pPr>
        <w:pStyle w:val="Estilo"/>
        <w:rPr>
          <w:rFonts w:cs="Arial"/>
        </w:rPr>
      </w:pPr>
      <w:r>
        <w:rPr>
          <w:rFonts w:cs="Arial"/>
          <w:i/>
          <w:sz w:val="16"/>
        </w:rPr>
        <w:t>(ADICIONADO, P.O. 7 DE DICIEMBRE DE 2009)</w:t>
      </w:r>
    </w:p>
    <w:p w14:paraId="0C69598F" w14:textId="77777777" w:rsidR="00D3344B" w:rsidRDefault="00143C25">
      <w:pPr>
        <w:pStyle w:val="Estilo"/>
        <w:rPr>
          <w:rFonts w:cs="Arial"/>
        </w:rPr>
      </w:pPr>
      <w:r>
        <w:rPr>
          <w:rFonts w:cs="Arial"/>
        </w:rPr>
        <w:t>La comprobación de hechos diferentes deberá estar sustentada en información, datos o documentos de terceros, en la revisión de conceptos específicos que no se hayan revisado con anterioridad o en los datos aportados por los particulares en las declaraciones complementarias que se presenten.</w:t>
      </w:r>
    </w:p>
    <w:p w14:paraId="409D888F" w14:textId="77777777" w:rsidR="00D3344B" w:rsidRDefault="00D3344B">
      <w:pPr>
        <w:pStyle w:val="Estilo"/>
        <w:rPr>
          <w:rFonts w:cs="Arial"/>
        </w:rPr>
      </w:pPr>
    </w:p>
    <w:p w14:paraId="768CA5F8" w14:textId="77777777" w:rsidR="00D3344B" w:rsidRDefault="00143C25">
      <w:pPr>
        <w:pStyle w:val="Estilo"/>
        <w:rPr>
          <w:rFonts w:cs="Arial"/>
          <w:i/>
          <w:iCs/>
          <w:sz w:val="16"/>
          <w:szCs w:val="16"/>
        </w:rPr>
      </w:pPr>
      <w:r>
        <w:rPr>
          <w:rFonts w:cs="Arial"/>
          <w:i/>
          <w:iCs/>
          <w:sz w:val="16"/>
          <w:szCs w:val="16"/>
        </w:rPr>
        <w:t>(ADICIONADO, P.O. 22 DE DICIEMBRE DE 2021)</w:t>
      </w:r>
    </w:p>
    <w:p w14:paraId="0CC81B00" w14:textId="77777777" w:rsidR="00D3344B" w:rsidRDefault="00143C25">
      <w:pPr>
        <w:pStyle w:val="Estilo"/>
        <w:rPr>
          <w:rFonts w:cs="Arial"/>
        </w:rPr>
      </w:pPr>
      <w:r>
        <w:rPr>
          <w:rFonts w:cs="Arial"/>
        </w:rPr>
        <w:t>El plazo para emitir la resolución a que se refiere este artículo se suspenderá en los casos previstos en las fracciones I, II, y III del artículo 66-A de este Código.</w:t>
      </w:r>
    </w:p>
    <w:p w14:paraId="73C084DF" w14:textId="77777777" w:rsidR="00D3344B" w:rsidRDefault="00D3344B">
      <w:pPr>
        <w:pStyle w:val="Estilo"/>
        <w:rPr>
          <w:rFonts w:cs="Arial"/>
        </w:rPr>
      </w:pPr>
    </w:p>
    <w:p w14:paraId="3BB64FDB" w14:textId="77777777" w:rsidR="00D3344B" w:rsidRDefault="00143C25">
      <w:pPr>
        <w:pStyle w:val="Estilo"/>
        <w:rPr>
          <w:rFonts w:cs="Arial"/>
          <w:i/>
          <w:iCs/>
          <w:sz w:val="16"/>
          <w:szCs w:val="16"/>
        </w:rPr>
      </w:pPr>
      <w:r>
        <w:rPr>
          <w:rFonts w:cs="Arial"/>
          <w:i/>
          <w:iCs/>
          <w:sz w:val="16"/>
          <w:szCs w:val="16"/>
        </w:rPr>
        <w:t>(ADICIONADO, P.O. 22 DE DICIEMBRE DE 2021)</w:t>
      </w:r>
    </w:p>
    <w:p w14:paraId="5C224D50" w14:textId="77777777" w:rsidR="00D3344B" w:rsidRDefault="00143C25">
      <w:pPr>
        <w:pStyle w:val="Estilo"/>
        <w:rPr>
          <w:rFonts w:cs="Arial"/>
        </w:rPr>
      </w:pPr>
      <w:r>
        <w:rPr>
          <w:rFonts w:cs="Arial"/>
        </w:rPr>
        <w:t xml:space="preserve">En dicha resolución deberán señalarse los plazos en que la misma puede ser impugnada en el recurso administrativo. Cuando en la resolución se omita el </w:t>
      </w:r>
      <w:r>
        <w:rPr>
          <w:rFonts w:cs="Arial"/>
        </w:rPr>
        <w:lastRenderedPageBreak/>
        <w:t>señalamiento de referencia, el contribuyente contará con el doble del plazo que establecen las disposiciones legales para interponer el recurso administrativo.</w:t>
      </w:r>
    </w:p>
    <w:p w14:paraId="2AFCDE37" w14:textId="77777777" w:rsidR="00D3344B" w:rsidRDefault="00D3344B">
      <w:pPr>
        <w:pStyle w:val="Estilo"/>
        <w:rPr>
          <w:rFonts w:cs="Arial"/>
        </w:rPr>
      </w:pPr>
    </w:p>
    <w:p w14:paraId="41E5A9E4" w14:textId="77777777" w:rsidR="00D3344B" w:rsidRDefault="00143C25">
      <w:pPr>
        <w:pStyle w:val="Estilo"/>
        <w:rPr>
          <w:rFonts w:cs="Arial"/>
        </w:rPr>
      </w:pPr>
      <w:r>
        <w:rPr>
          <w:rFonts w:cs="Arial"/>
          <w:b/>
        </w:rPr>
        <w:t>Artículo 66.</w:t>
      </w:r>
      <w:r>
        <w:rPr>
          <w:rFonts w:cs="Arial"/>
        </w:rPr>
        <w:t xml:space="preserve"> Las autoridades fiscales </w:t>
      </w:r>
      <w:proofErr w:type="gramStart"/>
      <w:r>
        <w:rPr>
          <w:rFonts w:cs="Arial"/>
        </w:rPr>
        <w:t>que</w:t>
      </w:r>
      <w:proofErr w:type="gramEnd"/>
      <w:r>
        <w:rPr>
          <w:rFonts w:cs="Arial"/>
        </w:rPr>
        <w:t xml:space="preserve"> en ejercicio de sus facultades de comprobación, fuera de una visita domiciliaria, soliciten de los contribuyentes, responsables solidarios o terceros relacionados con ellos, informes, datos o documentos o pidan la presentación de la contabilidad o parte de ella, se sujetarán a las reglas siguientes:</w:t>
      </w:r>
    </w:p>
    <w:p w14:paraId="22B3555D" w14:textId="77777777" w:rsidR="00D3344B" w:rsidRDefault="00D3344B">
      <w:pPr>
        <w:pStyle w:val="Estilo"/>
        <w:rPr>
          <w:rFonts w:cs="Arial"/>
        </w:rPr>
      </w:pPr>
    </w:p>
    <w:p w14:paraId="54DE99D7" w14:textId="77777777" w:rsidR="00D3344B" w:rsidRDefault="00143C25">
      <w:pPr>
        <w:pStyle w:val="Estilo"/>
        <w:ind w:left="567" w:hanging="567"/>
        <w:rPr>
          <w:rFonts w:cs="Arial"/>
        </w:rPr>
      </w:pPr>
      <w:r>
        <w:rPr>
          <w:rFonts w:cs="Arial"/>
        </w:rPr>
        <w:t xml:space="preserve">I. </w:t>
      </w:r>
      <w:r>
        <w:rPr>
          <w:rFonts w:cs="Arial"/>
        </w:rPr>
        <w:tab/>
        <w:t>La solicitud se notificará en el domicilio fiscal de la persona a quien va dirigida.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 a hora determinada del día hábil siguiente para recibir la solicitud, si no lo hiciere, ésta se notificará con quien se encuentre en el domicilio señalado en la misma;</w:t>
      </w:r>
    </w:p>
    <w:p w14:paraId="7AC0AAC3" w14:textId="77777777" w:rsidR="00D3344B" w:rsidRDefault="00D3344B">
      <w:pPr>
        <w:pStyle w:val="Estilo"/>
        <w:ind w:left="567" w:hanging="567"/>
        <w:rPr>
          <w:rFonts w:cs="Arial"/>
        </w:rPr>
      </w:pPr>
    </w:p>
    <w:p w14:paraId="4C63FCFD" w14:textId="77777777" w:rsidR="00D3344B" w:rsidRDefault="00143C25">
      <w:pPr>
        <w:pStyle w:val="Estilo"/>
        <w:ind w:left="567" w:hanging="567"/>
        <w:rPr>
          <w:rFonts w:cs="Arial"/>
        </w:rPr>
      </w:pPr>
      <w:r>
        <w:rPr>
          <w:rFonts w:cs="Arial"/>
        </w:rPr>
        <w:t xml:space="preserve">II. </w:t>
      </w:r>
      <w:r>
        <w:rPr>
          <w:rFonts w:cs="Arial"/>
        </w:rPr>
        <w:tab/>
        <w:t>En la solicitud se indicará el lugar y el plazo en el cual se deberán proporcionar los informes y documentos;</w:t>
      </w:r>
    </w:p>
    <w:p w14:paraId="32ED6362" w14:textId="77777777" w:rsidR="00D3344B" w:rsidRDefault="00D3344B">
      <w:pPr>
        <w:pStyle w:val="Estilo"/>
        <w:ind w:left="567" w:hanging="567"/>
        <w:rPr>
          <w:rFonts w:cs="Arial"/>
        </w:rPr>
      </w:pPr>
    </w:p>
    <w:p w14:paraId="580A688A" w14:textId="77777777" w:rsidR="00D3344B" w:rsidRDefault="00143C25">
      <w:pPr>
        <w:pStyle w:val="Estilo"/>
        <w:ind w:left="567" w:hanging="567"/>
        <w:rPr>
          <w:rFonts w:cs="Arial"/>
        </w:rPr>
      </w:pPr>
      <w:r>
        <w:rPr>
          <w:rFonts w:cs="Arial"/>
        </w:rPr>
        <w:t xml:space="preserve">III. </w:t>
      </w:r>
      <w:r>
        <w:rPr>
          <w:rFonts w:cs="Arial"/>
        </w:rPr>
        <w:tab/>
        <w:t>Los informes, libros o documentos requeridos deberán ser proporcionados por la persona a quien se dirigió la solicitud o por su representante;</w:t>
      </w:r>
    </w:p>
    <w:p w14:paraId="225949FB" w14:textId="77777777" w:rsidR="00D3344B" w:rsidRDefault="00D3344B">
      <w:pPr>
        <w:pStyle w:val="Estilo"/>
        <w:ind w:left="567" w:hanging="567"/>
        <w:rPr>
          <w:rFonts w:cs="Arial"/>
        </w:rPr>
      </w:pPr>
    </w:p>
    <w:p w14:paraId="5677DF79" w14:textId="77777777" w:rsidR="00D3344B" w:rsidRDefault="00143C25">
      <w:pPr>
        <w:pStyle w:val="Estilo"/>
        <w:ind w:left="567" w:hanging="567"/>
        <w:rPr>
          <w:rFonts w:cs="Arial"/>
        </w:rPr>
      </w:pPr>
      <w:r>
        <w:rPr>
          <w:rFonts w:cs="Arial"/>
        </w:rPr>
        <w:t xml:space="preserve">IV. </w:t>
      </w:r>
      <w:r>
        <w:rPr>
          <w:rFonts w:cs="Arial"/>
        </w:rPr>
        <w:tab/>
        <w:t>Como consecuencia de la revisión de informes, datos, documentos o contabilidad requeridos a los contribuyentes, responsables solidarios o terceros, las autoridades fiscales formularán oficio de observaciones, en el cual harán constar en forma circunstanciada los hechos u omisiones que se hubieren conocido y entrañen incumplimiento de las disposiciones fiscales del contribuyente o responsable solidario;</w:t>
      </w:r>
    </w:p>
    <w:p w14:paraId="4FC51520" w14:textId="77777777" w:rsidR="00D3344B" w:rsidRDefault="00D3344B">
      <w:pPr>
        <w:pStyle w:val="Estilo"/>
        <w:ind w:left="567" w:hanging="567"/>
        <w:rPr>
          <w:rFonts w:cs="Arial"/>
        </w:rPr>
      </w:pPr>
    </w:p>
    <w:p w14:paraId="56C8433E" w14:textId="77777777" w:rsidR="00D3344B" w:rsidRDefault="00143C25">
      <w:pPr>
        <w:pStyle w:val="Estilo"/>
        <w:ind w:left="567" w:hanging="567"/>
        <w:rPr>
          <w:rFonts w:cs="Arial"/>
        </w:rPr>
      </w:pPr>
      <w:r>
        <w:rPr>
          <w:rFonts w:cs="Arial"/>
        </w:rPr>
        <w:t xml:space="preserve">V. </w:t>
      </w:r>
      <w:r>
        <w:rPr>
          <w:rFonts w:cs="Arial"/>
        </w:rPr>
        <w:tab/>
        <w:t>En el caso de que no existan observaciones, las autoridades fiscales, dentro del plazo a que se refiere el artículo 65, formularán oficio de la conclusión de la revisión en el que se dé a conocer al contribuyente el resultado de la misma;</w:t>
      </w:r>
    </w:p>
    <w:p w14:paraId="5BC87A76" w14:textId="77777777" w:rsidR="00D3344B" w:rsidRDefault="00D3344B">
      <w:pPr>
        <w:pStyle w:val="Estilo"/>
        <w:ind w:left="567" w:hanging="567"/>
        <w:rPr>
          <w:rFonts w:cs="Arial"/>
        </w:rPr>
      </w:pPr>
    </w:p>
    <w:p w14:paraId="350EF203" w14:textId="77777777" w:rsidR="00D3344B" w:rsidRDefault="00143C25">
      <w:pPr>
        <w:pStyle w:val="Estilo"/>
        <w:ind w:left="567" w:hanging="567"/>
        <w:rPr>
          <w:rFonts w:cs="Arial"/>
        </w:rPr>
      </w:pPr>
      <w:r>
        <w:rPr>
          <w:rFonts w:cs="Arial"/>
          <w:i/>
          <w:sz w:val="16"/>
        </w:rPr>
        <w:tab/>
        <w:t>(REFORMADA, P.O. 30 DE DICIEMBRE DE 2005)</w:t>
      </w:r>
    </w:p>
    <w:p w14:paraId="19671B35" w14:textId="77777777" w:rsidR="00D3344B" w:rsidRDefault="00143C25">
      <w:pPr>
        <w:pStyle w:val="Estilo"/>
        <w:ind w:left="567" w:hanging="567"/>
        <w:rPr>
          <w:rFonts w:cs="Arial"/>
        </w:rPr>
      </w:pPr>
      <w:r>
        <w:rPr>
          <w:rFonts w:cs="Arial"/>
        </w:rPr>
        <w:t xml:space="preserve">VI. </w:t>
      </w:r>
      <w:r>
        <w:rPr>
          <w:rFonts w:cs="Arial"/>
        </w:rPr>
        <w:tab/>
        <w:t>El oficio de observaciones a que se refiere la fracción IV, se notificará de conformidad con este Código. El contribuyente o responsable solidario contará con un plazo de veinte días hábiles contados a partir del día siguiente al en que se notificó el oficio de observaciones, para presentar los documentos, libros o registros que desvirtúen los hechos u omisiones asentados en el mismo, así como para optar por corregir su situación fiscal;</w:t>
      </w:r>
    </w:p>
    <w:p w14:paraId="238B89FC" w14:textId="77777777" w:rsidR="00D3344B" w:rsidRDefault="00D3344B">
      <w:pPr>
        <w:pStyle w:val="Estilo"/>
        <w:ind w:left="567" w:hanging="567"/>
        <w:rPr>
          <w:rFonts w:cs="Arial"/>
        </w:rPr>
      </w:pPr>
    </w:p>
    <w:p w14:paraId="3B395832" w14:textId="77777777" w:rsidR="00D3344B" w:rsidRDefault="00143C25">
      <w:pPr>
        <w:pStyle w:val="Estilo"/>
        <w:ind w:left="567" w:hanging="567"/>
        <w:rPr>
          <w:rFonts w:cs="Arial"/>
        </w:rPr>
      </w:pPr>
      <w:r>
        <w:rPr>
          <w:rFonts w:cs="Arial"/>
        </w:rPr>
        <w:t xml:space="preserve">VII. </w:t>
      </w:r>
      <w:r>
        <w:rPr>
          <w:rFonts w:cs="Arial"/>
        </w:rPr>
        <w:tab/>
        <w:t>Se tendrán por consentidos los hechos u omisiones consignados en el oficio de observaciones, si en el plazo referido en la fracción anterior, el contribuyente no presenta documentación comprobatoria que los desvirtúe, y</w:t>
      </w:r>
    </w:p>
    <w:p w14:paraId="21F9533A" w14:textId="77777777" w:rsidR="00D3344B" w:rsidRDefault="00D3344B">
      <w:pPr>
        <w:pStyle w:val="Estilo"/>
        <w:ind w:left="567" w:hanging="567"/>
        <w:rPr>
          <w:rFonts w:cs="Arial"/>
        </w:rPr>
      </w:pPr>
    </w:p>
    <w:p w14:paraId="74FAA279" w14:textId="77777777" w:rsidR="00D3344B" w:rsidRDefault="00143C25">
      <w:pPr>
        <w:pStyle w:val="Estilo"/>
        <w:ind w:left="567" w:hanging="567"/>
        <w:rPr>
          <w:rFonts w:cs="Arial"/>
        </w:rPr>
      </w:pPr>
      <w:r>
        <w:rPr>
          <w:rFonts w:cs="Arial"/>
        </w:rPr>
        <w:t xml:space="preserve">VIII. </w:t>
      </w:r>
      <w:r>
        <w:rPr>
          <w:rFonts w:cs="Arial"/>
        </w:rPr>
        <w:tab/>
        <w:t>Dentro del plazo para desvirtuar los hechos u omisiones asentados en el oficio de observaciones a que se refiere la fracción VI, el contribuyente podrá optar por corregir su situación fiscal en la contribución objeto de la revisión, mediante la presentación de la forma de corrección de su situación fiscal, de la que proporcionará copia a la autoridad revisora. Cuando el contribuyente no corrija totalmente su situación fiscal conforme al oficio de observaciones o no desvirtúe los hechos u omisiones consignados en dicho documento, se emitirá resolución que determine las contribuciones omitidas, la cual se notificará al contribuyente cumpliendo con lo señalado en la fracción I de este artículo.</w:t>
      </w:r>
    </w:p>
    <w:p w14:paraId="4E37E3F5" w14:textId="77777777" w:rsidR="00D3344B" w:rsidRDefault="00D3344B">
      <w:pPr>
        <w:pStyle w:val="Estilo"/>
        <w:rPr>
          <w:rFonts w:cs="Arial"/>
        </w:rPr>
      </w:pPr>
    </w:p>
    <w:p w14:paraId="51310C57" w14:textId="77777777" w:rsidR="00D3344B" w:rsidRDefault="00143C25">
      <w:pPr>
        <w:pStyle w:val="Estilo"/>
        <w:rPr>
          <w:rFonts w:cs="Arial"/>
        </w:rPr>
      </w:pPr>
      <w:r>
        <w:rPr>
          <w:rFonts w:cs="Arial"/>
          <w:i/>
          <w:sz w:val="16"/>
        </w:rPr>
        <w:t>(REFORMADO PRIMER PÁRRAFO, P.O. 22 DE DICIEMBRE DE 2021)</w:t>
      </w:r>
    </w:p>
    <w:p w14:paraId="61B33361" w14:textId="77777777" w:rsidR="00D3344B" w:rsidRDefault="00143C25">
      <w:pPr>
        <w:pStyle w:val="Estilo"/>
        <w:rPr>
          <w:rFonts w:cs="Arial"/>
        </w:rPr>
      </w:pPr>
      <w:r>
        <w:rPr>
          <w:rFonts w:cs="Arial"/>
          <w:b/>
        </w:rPr>
        <w:t>Artículo 66 A.</w:t>
      </w:r>
      <w:r>
        <w:rPr>
          <w:rFonts w:cs="Arial"/>
        </w:rPr>
        <w:t xml:space="preserve"> El plazo para concluir las visitas domiciliarias o las revisiones de gabinete se suspenderá </w:t>
      </w:r>
      <w:proofErr w:type="spellStart"/>
      <w:r>
        <w:rPr>
          <w:rFonts w:cs="Arial"/>
        </w:rPr>
        <w:t>enlos</w:t>
      </w:r>
      <w:proofErr w:type="spellEnd"/>
      <w:r>
        <w:rPr>
          <w:rFonts w:cs="Arial"/>
        </w:rPr>
        <w:t xml:space="preserve"> casos de:</w:t>
      </w:r>
    </w:p>
    <w:p w14:paraId="32C6FEE9" w14:textId="77777777" w:rsidR="00D3344B" w:rsidRDefault="00D3344B">
      <w:pPr>
        <w:pStyle w:val="Estilo"/>
        <w:rPr>
          <w:rFonts w:cs="Arial"/>
        </w:rPr>
      </w:pPr>
    </w:p>
    <w:p w14:paraId="172DEEFD" w14:textId="77777777" w:rsidR="00D3344B" w:rsidRDefault="00143C25">
      <w:pPr>
        <w:pStyle w:val="Estilo"/>
        <w:ind w:left="567" w:hanging="567"/>
        <w:rPr>
          <w:rFonts w:cs="Arial"/>
        </w:rPr>
      </w:pPr>
      <w:r>
        <w:rPr>
          <w:rFonts w:cs="Arial"/>
        </w:rPr>
        <w:t xml:space="preserve">I. </w:t>
      </w:r>
      <w:r>
        <w:rPr>
          <w:rFonts w:cs="Arial"/>
        </w:rPr>
        <w:tab/>
        <w:t>Huelga, a partir de que se suspenda temporalmente el trabajo y hasta que ésta termine;</w:t>
      </w:r>
    </w:p>
    <w:p w14:paraId="5836182E" w14:textId="77777777" w:rsidR="00D3344B" w:rsidRDefault="00D3344B">
      <w:pPr>
        <w:pStyle w:val="Estilo"/>
        <w:ind w:left="567" w:hanging="567"/>
        <w:rPr>
          <w:rFonts w:cs="Arial"/>
        </w:rPr>
      </w:pPr>
    </w:p>
    <w:p w14:paraId="2E4A865C" w14:textId="77777777" w:rsidR="00D3344B" w:rsidRDefault="00143C25">
      <w:pPr>
        <w:pStyle w:val="Estilo"/>
        <w:ind w:left="567" w:hanging="567"/>
        <w:rPr>
          <w:rFonts w:cs="Arial"/>
        </w:rPr>
      </w:pPr>
      <w:r>
        <w:rPr>
          <w:rFonts w:cs="Arial"/>
        </w:rPr>
        <w:t xml:space="preserve">II. </w:t>
      </w:r>
      <w:r>
        <w:rPr>
          <w:rFonts w:cs="Arial"/>
        </w:rPr>
        <w:tab/>
        <w:t>Fallecimiento del contribuyente, hasta en tanto se designe al representante legal de la sucesión;</w:t>
      </w:r>
    </w:p>
    <w:p w14:paraId="7C11559A" w14:textId="77777777" w:rsidR="00D3344B" w:rsidRDefault="00D3344B">
      <w:pPr>
        <w:pStyle w:val="Estilo"/>
        <w:ind w:left="567" w:hanging="567"/>
        <w:rPr>
          <w:rFonts w:cs="Arial"/>
        </w:rPr>
      </w:pPr>
    </w:p>
    <w:p w14:paraId="400E0183" w14:textId="77777777" w:rsidR="00D3344B" w:rsidRDefault="00143C25">
      <w:pPr>
        <w:pStyle w:val="Estilo"/>
        <w:ind w:left="567" w:hanging="567"/>
        <w:rPr>
          <w:rFonts w:cs="Arial"/>
        </w:rPr>
      </w:pPr>
      <w:r>
        <w:rPr>
          <w:rFonts w:cs="Arial"/>
        </w:rPr>
        <w:t xml:space="preserve">III. </w:t>
      </w:r>
      <w:r>
        <w:rPr>
          <w:rFonts w:cs="Arial"/>
        </w:rPr>
        <w:tab/>
        <w:t>Cuando el contribuyente desocupe su domicilio fiscal sin haber presentado el aviso de cambio correspondiente o cuando no se le localice en el que haya señalado, hasta que se le localice;</w:t>
      </w:r>
    </w:p>
    <w:p w14:paraId="745CCF23" w14:textId="77777777" w:rsidR="00D3344B" w:rsidRDefault="00D3344B">
      <w:pPr>
        <w:pStyle w:val="Estilo"/>
        <w:ind w:left="567" w:hanging="567"/>
        <w:rPr>
          <w:rFonts w:cs="Arial"/>
        </w:rPr>
      </w:pPr>
    </w:p>
    <w:p w14:paraId="278355AC" w14:textId="77777777" w:rsidR="00D3344B" w:rsidRDefault="00143C25">
      <w:pPr>
        <w:pStyle w:val="Estilo"/>
        <w:ind w:left="567" w:hanging="567"/>
        <w:rPr>
          <w:rFonts w:cs="Arial"/>
        </w:rPr>
      </w:pPr>
      <w:r>
        <w:rPr>
          <w:rFonts w:cs="Arial"/>
        </w:rPr>
        <w:t xml:space="preserve">IV. </w:t>
      </w:r>
      <w:r>
        <w:rPr>
          <w:rFonts w:cs="Arial"/>
        </w:rPr>
        <w:tab/>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 y</w:t>
      </w:r>
    </w:p>
    <w:p w14:paraId="747A66F2" w14:textId="77777777" w:rsidR="00D3344B" w:rsidRDefault="00D3344B">
      <w:pPr>
        <w:pStyle w:val="Estilo"/>
        <w:ind w:left="567" w:hanging="567"/>
        <w:rPr>
          <w:rFonts w:cs="Arial"/>
        </w:rPr>
      </w:pPr>
    </w:p>
    <w:p w14:paraId="16CC4C5A" w14:textId="77777777" w:rsidR="00D3344B" w:rsidRDefault="00143C25">
      <w:pPr>
        <w:pStyle w:val="Estilo"/>
        <w:ind w:left="567" w:hanging="567"/>
        <w:rPr>
          <w:rFonts w:cs="Arial"/>
        </w:rPr>
      </w:pPr>
      <w:r>
        <w:rPr>
          <w:rFonts w:cs="Arial"/>
        </w:rPr>
        <w:t xml:space="preserve">V. </w:t>
      </w:r>
      <w:r>
        <w:rPr>
          <w:rFonts w:cs="Arial"/>
        </w:rPr>
        <w:tab/>
        <w:t>Cuando la revisión de las actas de visita y demás documentación vinculada a éstas, se observe que el procedimiento no se ajustó a las normas aplicables que pudieran afectar la legalidad de la determinación del crédito fiscal, el plazo se suspenderá a partir de que la autoridad notifique al contribuyente que va a reponer el procedimiento, dicha suspensión no podrá exceder de un plazo de dos meses.</w:t>
      </w:r>
    </w:p>
    <w:p w14:paraId="3699C4AE" w14:textId="77777777" w:rsidR="00D3344B" w:rsidRDefault="00D3344B">
      <w:pPr>
        <w:pStyle w:val="Estilo"/>
        <w:ind w:left="567" w:hanging="567"/>
        <w:rPr>
          <w:rFonts w:cs="Arial"/>
        </w:rPr>
      </w:pPr>
    </w:p>
    <w:p w14:paraId="441B1297" w14:textId="77777777" w:rsidR="00D3344B" w:rsidRDefault="00143C25">
      <w:pPr>
        <w:pStyle w:val="Estilo"/>
        <w:ind w:left="567" w:hanging="567"/>
        <w:rPr>
          <w:rFonts w:cs="Arial"/>
          <w:i/>
          <w:iCs/>
          <w:sz w:val="16"/>
          <w:szCs w:val="16"/>
        </w:rPr>
      </w:pPr>
      <w:r>
        <w:rPr>
          <w:rFonts w:cs="Arial"/>
          <w:i/>
          <w:iCs/>
          <w:sz w:val="16"/>
          <w:szCs w:val="16"/>
        </w:rPr>
        <w:t>(ADICIONADA, P.O. 22 DE DICIEMBRE DE 2021)</w:t>
      </w:r>
    </w:p>
    <w:p w14:paraId="5DA4FA5A" w14:textId="77777777" w:rsidR="00D3344B" w:rsidRDefault="00143C25">
      <w:pPr>
        <w:pStyle w:val="Estilo"/>
        <w:ind w:left="567" w:hanging="567"/>
        <w:rPr>
          <w:rFonts w:cs="Arial"/>
        </w:rPr>
      </w:pPr>
      <w:r>
        <w:rPr>
          <w:rFonts w:cs="Arial"/>
        </w:rPr>
        <w:t xml:space="preserve">VI. </w:t>
      </w:r>
      <w:r>
        <w:rPr>
          <w:rFonts w:cs="Arial"/>
        </w:rPr>
        <w:tab/>
        <w:t>Impedimento de la autoridad fiscal para continuar el ejercicio de sus facultades de comprobación por causas de fuerza mayor, hasta que dicho acontecimiento o circunstancia desaparezca, y así sea declarado por la autoridad competente y publicado en el Periódico Oficial del Gobierno del Estado.</w:t>
      </w:r>
    </w:p>
    <w:p w14:paraId="1D25442F" w14:textId="77777777" w:rsidR="00D3344B" w:rsidRDefault="00D3344B">
      <w:pPr>
        <w:pStyle w:val="Estilo"/>
        <w:rPr>
          <w:rFonts w:cs="Arial"/>
        </w:rPr>
      </w:pPr>
    </w:p>
    <w:p w14:paraId="39B591B9" w14:textId="77777777" w:rsidR="00D3344B" w:rsidRDefault="00143C25">
      <w:pPr>
        <w:pStyle w:val="Estilo"/>
        <w:rPr>
          <w:rFonts w:cs="Arial"/>
        </w:rPr>
      </w:pPr>
      <w:r>
        <w:rPr>
          <w:rFonts w:cs="Arial"/>
        </w:rPr>
        <w:lastRenderedPageBreak/>
        <w:t>Si durante el plazo para concluir la visita domiciliaria o la revisión de la contabilidad del contribuyente en las oficinas de las propias autoridades, el contribuyente interpone algún medio de defensa, contra los actos que deriven del ejercicio de las facultades de comprobación, dichos plazos se suspenderán desde la fecha en que se interponga el medio de defensa, hasta que se dicte resolución definitiva del mismo.</w:t>
      </w:r>
    </w:p>
    <w:p w14:paraId="05A42719" w14:textId="77777777" w:rsidR="00D3344B" w:rsidRDefault="00D3344B">
      <w:pPr>
        <w:pStyle w:val="Estilo"/>
        <w:rPr>
          <w:rFonts w:cs="Arial"/>
        </w:rPr>
      </w:pPr>
    </w:p>
    <w:p w14:paraId="057CA91A" w14:textId="77777777" w:rsidR="00D3344B" w:rsidRDefault="00143C25">
      <w:pPr>
        <w:pStyle w:val="Estilo"/>
        <w:rPr>
          <w:rFonts w:cs="Arial"/>
        </w:rPr>
      </w:pPr>
      <w:r>
        <w:rPr>
          <w:rFonts w:cs="Arial"/>
          <w:b/>
        </w:rPr>
        <w:t>Artículo 67.</w:t>
      </w:r>
      <w:r>
        <w:rPr>
          <w:rFonts w:cs="Arial"/>
        </w:rPr>
        <w:t xml:space="preserve"> Los informes, datos, documentos o la presentación de la contabilidad o parte de ella, requeridos por la autoridad, con motivo de sus facultades de comprobación en visita domiciliaria o fuera de ella, deberán presentarse dentro de los plazos siguientes:</w:t>
      </w:r>
    </w:p>
    <w:p w14:paraId="1A6FF4B5" w14:textId="77777777" w:rsidR="00D3344B" w:rsidRDefault="00D3344B">
      <w:pPr>
        <w:pStyle w:val="Estilo"/>
        <w:rPr>
          <w:rFonts w:cs="Arial"/>
        </w:rPr>
      </w:pPr>
    </w:p>
    <w:p w14:paraId="540B8850" w14:textId="77777777" w:rsidR="00D3344B" w:rsidRDefault="00143C25">
      <w:pPr>
        <w:pStyle w:val="Estilo"/>
        <w:ind w:left="567" w:hanging="567"/>
        <w:rPr>
          <w:rFonts w:cs="Arial"/>
        </w:rPr>
      </w:pPr>
      <w:r>
        <w:rPr>
          <w:rFonts w:cs="Arial"/>
        </w:rPr>
        <w:t xml:space="preserve">I. </w:t>
      </w:r>
      <w:r>
        <w:rPr>
          <w:rFonts w:cs="Arial"/>
        </w:rPr>
        <w:tab/>
        <w:t>Los libros o registros que formen parte de la contabilidad, solicitados al inicio de una visita domiciliaria deberán presentarse de inmediato, así como los diagramas y el diseño del sistema de registro electrónico en su caso;</w:t>
      </w:r>
    </w:p>
    <w:p w14:paraId="5979469E" w14:textId="77777777" w:rsidR="00D3344B" w:rsidRDefault="00D3344B">
      <w:pPr>
        <w:pStyle w:val="Estilo"/>
        <w:ind w:left="567" w:hanging="567"/>
        <w:rPr>
          <w:rFonts w:cs="Arial"/>
        </w:rPr>
      </w:pPr>
    </w:p>
    <w:p w14:paraId="1C970846" w14:textId="77777777" w:rsidR="00D3344B" w:rsidRDefault="00143C25">
      <w:pPr>
        <w:pStyle w:val="Estilo"/>
        <w:ind w:left="567" w:hanging="567"/>
        <w:rPr>
          <w:rFonts w:cs="Arial"/>
        </w:rPr>
      </w:pPr>
      <w:r>
        <w:rPr>
          <w:rFonts w:cs="Arial"/>
          <w:i/>
          <w:sz w:val="16"/>
        </w:rPr>
        <w:tab/>
        <w:t>(REFORMADA, P.O. 30 DE DICIEMBRE DE 2005)</w:t>
      </w:r>
    </w:p>
    <w:p w14:paraId="692515FB" w14:textId="77777777" w:rsidR="00D3344B" w:rsidRDefault="00143C25">
      <w:pPr>
        <w:pStyle w:val="Estilo"/>
        <w:ind w:left="567" w:hanging="567"/>
        <w:rPr>
          <w:rFonts w:cs="Arial"/>
        </w:rPr>
      </w:pPr>
      <w:r>
        <w:rPr>
          <w:rFonts w:cs="Arial"/>
        </w:rPr>
        <w:t xml:space="preserve">II. </w:t>
      </w:r>
      <w:r>
        <w:rPr>
          <w:rFonts w:cs="Arial"/>
        </w:rPr>
        <w:tab/>
        <w:t>Seis días hábiles contados a partir del siguiente a aquél en que se notificó la solicitud respectiva, cuando se trate de documentos que deba tener en su poder el contribuyente o responsable solidario y se soliciten en el desarrollo de una visita domiciliaria, conforme a este Código, y</w:t>
      </w:r>
    </w:p>
    <w:p w14:paraId="4EC932FF" w14:textId="77777777" w:rsidR="00D3344B" w:rsidRDefault="00D3344B">
      <w:pPr>
        <w:pStyle w:val="Estilo"/>
        <w:ind w:left="567" w:hanging="567"/>
        <w:rPr>
          <w:rFonts w:cs="Arial"/>
        </w:rPr>
      </w:pPr>
    </w:p>
    <w:p w14:paraId="17B6414C" w14:textId="77777777" w:rsidR="00D3344B" w:rsidRDefault="00143C25">
      <w:pPr>
        <w:pStyle w:val="Estilo"/>
        <w:ind w:left="567" w:hanging="567"/>
        <w:rPr>
          <w:rFonts w:cs="Arial"/>
        </w:rPr>
      </w:pPr>
      <w:r>
        <w:rPr>
          <w:rFonts w:cs="Arial"/>
          <w:i/>
          <w:sz w:val="16"/>
        </w:rPr>
        <w:tab/>
        <w:t>(REFORMADA, P.O. 30 DE DICIEMBRE DE 2005)</w:t>
      </w:r>
    </w:p>
    <w:p w14:paraId="45F3C039" w14:textId="77777777" w:rsidR="00D3344B" w:rsidRDefault="00143C25">
      <w:pPr>
        <w:pStyle w:val="Estilo"/>
        <w:ind w:left="567" w:hanging="567"/>
        <w:rPr>
          <w:rFonts w:cs="Arial"/>
        </w:rPr>
      </w:pPr>
      <w:r>
        <w:rPr>
          <w:rFonts w:cs="Arial"/>
        </w:rPr>
        <w:t xml:space="preserve">III. </w:t>
      </w:r>
      <w:r>
        <w:rPr>
          <w:rFonts w:cs="Arial"/>
        </w:rPr>
        <w:tab/>
        <w:t>En los demás casos, diez días hábiles contados a partir del siguiente al en que se notificó la solicitud.</w:t>
      </w:r>
    </w:p>
    <w:p w14:paraId="33222CB7" w14:textId="77777777" w:rsidR="00D3344B" w:rsidRDefault="00D3344B">
      <w:pPr>
        <w:pStyle w:val="Estilo"/>
        <w:rPr>
          <w:rFonts w:cs="Arial"/>
        </w:rPr>
      </w:pPr>
    </w:p>
    <w:p w14:paraId="411A326F" w14:textId="77777777" w:rsidR="00D3344B" w:rsidRDefault="00143C25">
      <w:pPr>
        <w:pStyle w:val="Estilo"/>
        <w:rPr>
          <w:rFonts w:cs="Arial"/>
        </w:rPr>
      </w:pPr>
      <w:r>
        <w:rPr>
          <w:rFonts w:cs="Arial"/>
          <w:i/>
          <w:sz w:val="16"/>
        </w:rPr>
        <w:t>(REFORMADO, P.O. 30 DE DICIEMBRE DE 2005)</w:t>
      </w:r>
    </w:p>
    <w:p w14:paraId="250DB0E1" w14:textId="77777777" w:rsidR="00D3344B" w:rsidRDefault="00143C25">
      <w:pPr>
        <w:pStyle w:val="Estilo"/>
        <w:rPr>
          <w:rFonts w:cs="Arial"/>
        </w:rPr>
      </w:pPr>
      <w:r>
        <w:rPr>
          <w:rFonts w:cs="Arial"/>
        </w:rPr>
        <w:t>Las autoridades fiscales podrán ampliar hasta en diez días hábiles más los plazos antes señalados, cuando se trate de informes cuyo contenido sea difícil de proporcionar o de obtener.</w:t>
      </w:r>
    </w:p>
    <w:p w14:paraId="19477870" w14:textId="77777777" w:rsidR="00D3344B" w:rsidRDefault="00D3344B">
      <w:pPr>
        <w:pStyle w:val="Estilo"/>
        <w:rPr>
          <w:rFonts w:cs="Arial"/>
        </w:rPr>
      </w:pPr>
    </w:p>
    <w:p w14:paraId="65E42C37" w14:textId="77777777" w:rsidR="00D3344B" w:rsidRDefault="00143C25">
      <w:pPr>
        <w:pStyle w:val="Estilo"/>
        <w:rPr>
          <w:rFonts w:cs="Arial"/>
          <w:i/>
          <w:iCs/>
          <w:sz w:val="16"/>
          <w:szCs w:val="16"/>
        </w:rPr>
      </w:pPr>
      <w:r>
        <w:rPr>
          <w:rFonts w:cs="Arial"/>
          <w:b/>
        </w:rPr>
        <w:t>Artículo 68.</w:t>
      </w:r>
      <w:r>
        <w:rPr>
          <w:rFonts w:cs="Arial"/>
        </w:rPr>
        <w:t xml:space="preserve"> </w:t>
      </w:r>
      <w:r>
        <w:rPr>
          <w:rFonts w:cs="Arial"/>
          <w:i/>
          <w:iCs/>
          <w:sz w:val="16"/>
          <w:szCs w:val="16"/>
        </w:rPr>
        <w:t>(DEROGADO, P.O. 22 DE DICIEMBRE DE 2021)</w:t>
      </w:r>
    </w:p>
    <w:p w14:paraId="7D81176A" w14:textId="77777777" w:rsidR="00D3344B" w:rsidRDefault="00D3344B">
      <w:pPr>
        <w:pStyle w:val="Estilo"/>
        <w:rPr>
          <w:rFonts w:cs="Arial"/>
        </w:rPr>
      </w:pPr>
    </w:p>
    <w:p w14:paraId="5C6C2AC0" w14:textId="77777777" w:rsidR="00D3344B" w:rsidRDefault="00143C25">
      <w:pPr>
        <w:pStyle w:val="Estilo"/>
        <w:rPr>
          <w:rFonts w:cs="Arial"/>
          <w:i/>
          <w:iCs/>
          <w:sz w:val="16"/>
          <w:szCs w:val="16"/>
        </w:rPr>
      </w:pPr>
      <w:r>
        <w:rPr>
          <w:rFonts w:cs="Arial"/>
          <w:b/>
        </w:rPr>
        <w:t>Artículo 69.</w:t>
      </w:r>
      <w:r>
        <w:rPr>
          <w:rFonts w:cs="Arial"/>
        </w:rPr>
        <w:t xml:space="preserve"> </w:t>
      </w:r>
      <w:r>
        <w:rPr>
          <w:rFonts w:cs="Arial"/>
          <w:i/>
          <w:iCs/>
          <w:sz w:val="16"/>
          <w:szCs w:val="16"/>
        </w:rPr>
        <w:t>(DEROGADO, P.O. 22 DE DICIEMBRE DE 2021)</w:t>
      </w:r>
    </w:p>
    <w:p w14:paraId="3CB101A9" w14:textId="77777777" w:rsidR="00D3344B" w:rsidRDefault="00D3344B">
      <w:pPr>
        <w:pStyle w:val="Estilo"/>
        <w:rPr>
          <w:rFonts w:cs="Arial"/>
        </w:rPr>
      </w:pPr>
    </w:p>
    <w:p w14:paraId="6D99782C" w14:textId="77777777" w:rsidR="00D3344B" w:rsidRDefault="00D3344B">
      <w:pPr>
        <w:pStyle w:val="Estilo"/>
        <w:rPr>
          <w:rFonts w:cs="Arial"/>
        </w:rPr>
      </w:pPr>
    </w:p>
    <w:p w14:paraId="33A430A3" w14:textId="77777777" w:rsidR="00D3344B" w:rsidRDefault="00143C25">
      <w:pPr>
        <w:pStyle w:val="Estilo"/>
        <w:rPr>
          <w:rFonts w:cs="Arial"/>
          <w:i/>
          <w:iCs/>
          <w:sz w:val="16"/>
          <w:szCs w:val="16"/>
        </w:rPr>
      </w:pPr>
      <w:r>
        <w:rPr>
          <w:rFonts w:cs="Arial"/>
          <w:b/>
        </w:rPr>
        <w:t>Artículo 70.</w:t>
      </w:r>
      <w:r>
        <w:rPr>
          <w:rFonts w:cs="Arial"/>
        </w:rPr>
        <w:t xml:space="preserve"> </w:t>
      </w:r>
      <w:r>
        <w:rPr>
          <w:rFonts w:cs="Arial"/>
          <w:i/>
          <w:iCs/>
          <w:sz w:val="16"/>
          <w:szCs w:val="16"/>
        </w:rPr>
        <w:t>(DEROGADO, P.O. 22 DE DICIEMBRE DE 2021)</w:t>
      </w:r>
    </w:p>
    <w:p w14:paraId="3CEAB269" w14:textId="77777777" w:rsidR="00D3344B" w:rsidRDefault="00D3344B">
      <w:pPr>
        <w:pStyle w:val="Estilo"/>
        <w:rPr>
          <w:rFonts w:cs="Arial"/>
        </w:rPr>
      </w:pPr>
    </w:p>
    <w:p w14:paraId="12CB2DC7" w14:textId="77777777" w:rsidR="00D3344B" w:rsidRDefault="00D3344B">
      <w:pPr>
        <w:pStyle w:val="Estilo"/>
        <w:rPr>
          <w:rFonts w:cs="Arial"/>
        </w:rPr>
      </w:pPr>
    </w:p>
    <w:p w14:paraId="17A7F7A6" w14:textId="77777777" w:rsidR="00D3344B" w:rsidRDefault="00143C25">
      <w:pPr>
        <w:pStyle w:val="Estilo"/>
        <w:rPr>
          <w:rFonts w:cs="Arial"/>
          <w:i/>
          <w:iCs/>
          <w:sz w:val="16"/>
          <w:szCs w:val="16"/>
        </w:rPr>
      </w:pPr>
      <w:r>
        <w:rPr>
          <w:rFonts w:cs="Arial"/>
          <w:b/>
        </w:rPr>
        <w:t>Artículo 71.</w:t>
      </w:r>
      <w:r>
        <w:rPr>
          <w:rFonts w:cs="Arial"/>
        </w:rPr>
        <w:t xml:space="preserve"> </w:t>
      </w:r>
      <w:r>
        <w:rPr>
          <w:rFonts w:cs="Arial"/>
          <w:i/>
          <w:iCs/>
          <w:sz w:val="16"/>
          <w:szCs w:val="16"/>
        </w:rPr>
        <w:t>(DEROGADO, P.O. 22 DE DICIEMBRE DE 2021)</w:t>
      </w:r>
    </w:p>
    <w:p w14:paraId="21D4524E" w14:textId="77777777" w:rsidR="00D3344B" w:rsidRDefault="00D3344B">
      <w:pPr>
        <w:pStyle w:val="Estilo"/>
        <w:rPr>
          <w:rFonts w:cs="Arial"/>
        </w:rPr>
      </w:pPr>
    </w:p>
    <w:p w14:paraId="69663A3F" w14:textId="77777777" w:rsidR="00D3344B" w:rsidRDefault="00D3344B">
      <w:pPr>
        <w:pStyle w:val="Estilo"/>
        <w:rPr>
          <w:rFonts w:cs="Arial"/>
        </w:rPr>
      </w:pPr>
    </w:p>
    <w:p w14:paraId="11D580C5" w14:textId="77777777" w:rsidR="00D3344B" w:rsidRDefault="00143C25">
      <w:pPr>
        <w:pStyle w:val="Estilo"/>
        <w:rPr>
          <w:rFonts w:cs="Arial"/>
        </w:rPr>
      </w:pPr>
      <w:r>
        <w:rPr>
          <w:rFonts w:cs="Arial"/>
          <w:b/>
        </w:rPr>
        <w:t>Artículo 72.</w:t>
      </w:r>
      <w:r>
        <w:rPr>
          <w:rFonts w:cs="Arial"/>
        </w:rPr>
        <w:t xml:space="preserve"> Cuando al realizarse actos de inspección se descubran bienes sin ninguna documentación oficial que acredite su transportación o almacenamiento, se procederá al aseguramiento precautorio de los mismos, hasta en tanto se determinen y se hagan efectivos los créditos fiscales que arroje como resultado la </w:t>
      </w:r>
      <w:r>
        <w:rPr>
          <w:rFonts w:cs="Arial"/>
        </w:rPr>
        <w:lastRenderedPageBreak/>
        <w:t>inspección practicada. En igual forma se procederá, cuando se detecten infracciones a las disposiciones de este código.</w:t>
      </w:r>
    </w:p>
    <w:p w14:paraId="46B9BF09" w14:textId="77777777" w:rsidR="00D3344B" w:rsidRDefault="00D3344B">
      <w:pPr>
        <w:pStyle w:val="Estilo"/>
        <w:rPr>
          <w:rFonts w:cs="Arial"/>
        </w:rPr>
      </w:pPr>
    </w:p>
    <w:p w14:paraId="5EE2A252" w14:textId="77777777" w:rsidR="00D3344B" w:rsidRDefault="00143C25">
      <w:pPr>
        <w:pStyle w:val="Estilo"/>
        <w:rPr>
          <w:rFonts w:cs="Arial"/>
        </w:rPr>
      </w:pPr>
      <w:r>
        <w:rPr>
          <w:rFonts w:cs="Arial"/>
          <w:b/>
        </w:rPr>
        <w:t>Artículo 73.</w:t>
      </w:r>
      <w:r>
        <w:rPr>
          <w:rFonts w:cs="Arial"/>
        </w:rPr>
        <w:t xml:space="preserve"> Las autoridades fiscales podrán calcular en forma presuntiva, la base de las contribuciones a cargo de los contribuyentes, en los casos siguientes:</w:t>
      </w:r>
    </w:p>
    <w:p w14:paraId="377A0CC4" w14:textId="77777777" w:rsidR="00D3344B" w:rsidRDefault="00D3344B">
      <w:pPr>
        <w:pStyle w:val="Estilo"/>
        <w:rPr>
          <w:rFonts w:cs="Arial"/>
        </w:rPr>
      </w:pPr>
    </w:p>
    <w:p w14:paraId="60488109" w14:textId="77777777" w:rsidR="00D3344B" w:rsidRDefault="00143C25">
      <w:pPr>
        <w:pStyle w:val="Estilo"/>
        <w:ind w:left="567" w:hanging="567"/>
        <w:rPr>
          <w:rFonts w:cs="Arial"/>
        </w:rPr>
      </w:pPr>
      <w:r>
        <w:rPr>
          <w:rFonts w:cs="Arial"/>
        </w:rPr>
        <w:t xml:space="preserve">I. </w:t>
      </w:r>
      <w:r>
        <w:rPr>
          <w:rFonts w:cs="Arial"/>
        </w:rPr>
        <w:tab/>
        <w:t>Cuando los contribuyentes resistan u obstaculicen por cualquier medio la práctica de visitas domiciliarias;</w:t>
      </w:r>
    </w:p>
    <w:p w14:paraId="588B1B32" w14:textId="77777777" w:rsidR="00D3344B" w:rsidRDefault="00D3344B">
      <w:pPr>
        <w:pStyle w:val="Estilo"/>
        <w:ind w:left="567" w:hanging="567"/>
        <w:rPr>
          <w:rFonts w:cs="Arial"/>
        </w:rPr>
      </w:pPr>
    </w:p>
    <w:p w14:paraId="6B9F40B3" w14:textId="77777777" w:rsidR="00D3344B" w:rsidRDefault="00143C25">
      <w:pPr>
        <w:pStyle w:val="Estilo"/>
        <w:ind w:left="567" w:hanging="567"/>
        <w:rPr>
          <w:rFonts w:cs="Arial"/>
        </w:rPr>
      </w:pPr>
      <w:r>
        <w:rPr>
          <w:rFonts w:cs="Arial"/>
        </w:rPr>
        <w:t xml:space="preserve">II. </w:t>
      </w:r>
      <w:r>
        <w:rPr>
          <w:rFonts w:cs="Arial"/>
        </w:rPr>
        <w:tab/>
        <w:t>Omitan presentar las declaraciones a que están obligados o proporcionar los libros, documentos, informes o datos que se les soliciten o los proporcionen en forma alterada o falsa;</w:t>
      </w:r>
    </w:p>
    <w:p w14:paraId="578216AD" w14:textId="77777777" w:rsidR="00D3344B" w:rsidRDefault="00D3344B">
      <w:pPr>
        <w:pStyle w:val="Estilo"/>
        <w:ind w:left="567" w:hanging="567"/>
        <w:rPr>
          <w:rFonts w:cs="Arial"/>
        </w:rPr>
      </w:pPr>
    </w:p>
    <w:p w14:paraId="34ACCA3B" w14:textId="77777777" w:rsidR="00D3344B" w:rsidRDefault="00143C25">
      <w:pPr>
        <w:pStyle w:val="Estilo"/>
        <w:ind w:left="567" w:hanging="567"/>
        <w:rPr>
          <w:rFonts w:cs="Arial"/>
        </w:rPr>
      </w:pPr>
      <w:r>
        <w:rPr>
          <w:rFonts w:cs="Arial"/>
        </w:rPr>
        <w:t xml:space="preserve">III. </w:t>
      </w:r>
      <w:r>
        <w:rPr>
          <w:rFonts w:cs="Arial"/>
        </w:rPr>
        <w:tab/>
        <w:t>Omitan llevar los libros o los registros, a que están obligados o no los conserven en la forma y términos que ordene este código;</w:t>
      </w:r>
    </w:p>
    <w:p w14:paraId="63D71C0A" w14:textId="77777777" w:rsidR="00D3344B" w:rsidRDefault="00D3344B">
      <w:pPr>
        <w:pStyle w:val="Estilo"/>
        <w:ind w:left="567" w:hanging="567"/>
        <w:rPr>
          <w:rFonts w:cs="Arial"/>
        </w:rPr>
      </w:pPr>
    </w:p>
    <w:p w14:paraId="4E5B86F8" w14:textId="77777777" w:rsidR="00D3344B" w:rsidRDefault="00143C25">
      <w:pPr>
        <w:pStyle w:val="Estilo"/>
        <w:ind w:left="567" w:hanging="567"/>
        <w:rPr>
          <w:rFonts w:cs="Arial"/>
        </w:rPr>
      </w:pPr>
      <w:r>
        <w:rPr>
          <w:rFonts w:cs="Arial"/>
        </w:rPr>
        <w:t xml:space="preserve">IV. </w:t>
      </w:r>
      <w:r>
        <w:rPr>
          <w:rFonts w:cs="Arial"/>
        </w:rPr>
        <w:tab/>
        <w:t>Omitan registrar en su contabilidad, ingresos o cualquier otro rubro que excedan del 3% de los declarados, y</w:t>
      </w:r>
    </w:p>
    <w:p w14:paraId="2855C20B" w14:textId="77777777" w:rsidR="00D3344B" w:rsidRDefault="00D3344B">
      <w:pPr>
        <w:pStyle w:val="Estilo"/>
        <w:ind w:left="567" w:hanging="567"/>
        <w:rPr>
          <w:rFonts w:cs="Arial"/>
        </w:rPr>
      </w:pPr>
    </w:p>
    <w:p w14:paraId="7D01F3B0" w14:textId="77777777" w:rsidR="00D3344B" w:rsidRDefault="00143C25">
      <w:pPr>
        <w:pStyle w:val="Estilo"/>
        <w:ind w:left="567" w:hanging="567"/>
        <w:rPr>
          <w:rFonts w:cs="Arial"/>
        </w:rPr>
      </w:pPr>
      <w:proofErr w:type="gramStart"/>
      <w:r>
        <w:rPr>
          <w:rFonts w:cs="Arial"/>
        </w:rPr>
        <w:t xml:space="preserve">V. </w:t>
      </w:r>
      <w:r>
        <w:rPr>
          <w:rFonts w:cs="Arial"/>
        </w:rPr>
        <w:tab/>
        <w:t>Presenten</w:t>
      </w:r>
      <w:proofErr w:type="gramEnd"/>
      <w:r>
        <w:rPr>
          <w:rFonts w:cs="Arial"/>
        </w:rPr>
        <w:t xml:space="preserve"> otras irregularidades en la contabilidad, que imposibilite el conocimiento de las operaciones del contribuyente.</w:t>
      </w:r>
    </w:p>
    <w:p w14:paraId="4EEEA305" w14:textId="77777777" w:rsidR="00D3344B" w:rsidRDefault="00D3344B">
      <w:pPr>
        <w:pStyle w:val="Estilo"/>
        <w:rPr>
          <w:rFonts w:cs="Arial"/>
        </w:rPr>
      </w:pPr>
    </w:p>
    <w:p w14:paraId="33F0C8DD" w14:textId="77777777" w:rsidR="00D3344B" w:rsidRDefault="00143C25">
      <w:pPr>
        <w:pStyle w:val="Estilo"/>
        <w:rPr>
          <w:rFonts w:cs="Arial"/>
        </w:rPr>
      </w:pPr>
      <w:r>
        <w:rPr>
          <w:rFonts w:cs="Arial"/>
          <w:b/>
        </w:rPr>
        <w:t>Artículo 74.</w:t>
      </w:r>
      <w:r>
        <w:rPr>
          <w:rFonts w:cs="Arial"/>
        </w:rPr>
        <w:t xml:space="preserve"> Las autoridades al determinar presuntivamente la base de las contribuciones, considerarán, salvo prueba en contrario, que la información, registros y documentación que se encuentre en poder del contribuyente, corresponde a operaciones celebradas por el mismo, </w:t>
      </w:r>
      <w:proofErr w:type="spellStart"/>
      <w:r>
        <w:rPr>
          <w:rFonts w:cs="Arial"/>
        </w:rPr>
        <w:t>aún</w:t>
      </w:r>
      <w:proofErr w:type="spellEnd"/>
      <w:r>
        <w:rPr>
          <w:rFonts w:cs="Arial"/>
        </w:rPr>
        <w:t xml:space="preserve"> cuando aparezcan a nombre de terceros o no contengan nombre alguno. También se considerará, salvo prueba en contrario, la información que proporcionen terceros respecto del contribuyente, a solicitud de la autoridad fiscal, igualmente tomando como base los datos contenidos en las declaraciones periódicas correspondientes a cualquier contribución, ya sea del mismo período o de cualquier otro, con las modificaciones que en su caso hubieran tenido con motivo del ejercicio de las facultades de comprobación. La determinación presuntiva se hará tomando en cuenta el monto de los gastos, retiros en efectivo y en especie efectuados por el propietario del negocio para la atención de sus necesidades personales y de su familia; informaciones recabadas de terceros y, en general, todos los indicadores económicos, signos externos y demás elementos de juicio que puedan utilizarse en la determinación de la base gravable.</w:t>
      </w:r>
    </w:p>
    <w:p w14:paraId="37569C27" w14:textId="77777777" w:rsidR="00D3344B" w:rsidRDefault="00D3344B">
      <w:pPr>
        <w:pStyle w:val="Estilo"/>
        <w:rPr>
          <w:rFonts w:cs="Arial"/>
        </w:rPr>
      </w:pPr>
    </w:p>
    <w:p w14:paraId="10B16428" w14:textId="77777777" w:rsidR="00D3344B" w:rsidRDefault="00143C25">
      <w:pPr>
        <w:pStyle w:val="Estilo"/>
        <w:rPr>
          <w:rFonts w:cs="Arial"/>
          <w:i/>
          <w:iCs/>
          <w:sz w:val="16"/>
          <w:szCs w:val="16"/>
        </w:rPr>
      </w:pPr>
      <w:r>
        <w:rPr>
          <w:rFonts w:cs="Arial"/>
          <w:i/>
          <w:iCs/>
          <w:sz w:val="16"/>
          <w:szCs w:val="16"/>
        </w:rPr>
        <w:t>(ADICIONADO, P.O. 22 DE DICIEMBRE DE 2021)</w:t>
      </w:r>
    </w:p>
    <w:p w14:paraId="005BF9CC" w14:textId="77777777" w:rsidR="00D3344B" w:rsidRDefault="00143C25">
      <w:pPr>
        <w:pStyle w:val="Estilo"/>
        <w:rPr>
          <w:rFonts w:cs="Arial"/>
        </w:rPr>
      </w:pPr>
      <w:r>
        <w:rPr>
          <w:rFonts w:cs="Arial"/>
          <w:b/>
          <w:bCs/>
        </w:rPr>
        <w:t>Artículo 74-A.</w:t>
      </w:r>
      <w:r>
        <w:rPr>
          <w:rFonts w:cs="Arial"/>
        </w:rPr>
        <w:t xml:space="preserve"> En caso de que los contribuyentes se coloquen en alguna de las causales de presuntiva o en su caso se conozcan ingresos presuntos y además su base gravable sea el ingreso, la autoridad fiscal podrá aplicar indistintamente cualquiera de los procedimientos siguientes:</w:t>
      </w:r>
    </w:p>
    <w:p w14:paraId="638AC17A" w14:textId="77777777" w:rsidR="00D3344B" w:rsidRDefault="00D3344B">
      <w:pPr>
        <w:pStyle w:val="Estilo"/>
        <w:rPr>
          <w:rFonts w:cs="Arial"/>
        </w:rPr>
      </w:pPr>
    </w:p>
    <w:p w14:paraId="5D2D5244" w14:textId="77777777" w:rsidR="00D3344B" w:rsidRDefault="00143C25">
      <w:pPr>
        <w:pStyle w:val="Estilo"/>
        <w:ind w:left="426" w:hanging="426"/>
        <w:rPr>
          <w:rFonts w:cs="Arial"/>
        </w:rPr>
      </w:pPr>
      <w:r>
        <w:rPr>
          <w:rFonts w:cs="Arial"/>
        </w:rPr>
        <w:lastRenderedPageBreak/>
        <w:t xml:space="preserve">I. </w:t>
      </w:r>
      <w:r>
        <w:rPr>
          <w:rFonts w:cs="Arial"/>
        </w:rPr>
        <w:tab/>
        <w:t>Si con base en la contabilidad y documentación del contribuyente, información de terceros y cualquier otro medio probatorio, pudieran reconstruirse las operaciones correspondientes cuando menos a treinta días de cualquiera de los meses revisados, el ingreso diario promedio que resulte de dividir el ingreso obtenido con motivo de la reconstrucción entre el número de días reconstruidos, se multiplicará por el número de días que comprenda cada mes correspondiente al período objeto de la revisión, el resultado de esta operación será la base gravable, para cada uno de los meses.</w:t>
      </w:r>
    </w:p>
    <w:p w14:paraId="2EB9E6FA" w14:textId="77777777" w:rsidR="00D3344B" w:rsidRDefault="00D3344B">
      <w:pPr>
        <w:pStyle w:val="Estilo"/>
        <w:ind w:left="426" w:hanging="426"/>
        <w:rPr>
          <w:rFonts w:cs="Arial"/>
        </w:rPr>
      </w:pPr>
    </w:p>
    <w:p w14:paraId="2CDECA5B" w14:textId="77777777" w:rsidR="00D3344B" w:rsidRDefault="00143C25">
      <w:pPr>
        <w:pStyle w:val="Estilo"/>
        <w:ind w:left="426" w:hanging="426"/>
        <w:rPr>
          <w:rFonts w:cs="Arial"/>
        </w:rPr>
      </w:pPr>
      <w:r>
        <w:rPr>
          <w:rFonts w:cs="Arial"/>
        </w:rPr>
        <w:t xml:space="preserve">II. </w:t>
      </w:r>
      <w:r>
        <w:rPr>
          <w:rFonts w:cs="Arial"/>
        </w:rPr>
        <w:tab/>
        <w:t>Si la contabilidad y documentación del contribuyente no permite reconstruir las operaciones de treinta días, la autoridad fiscal tomará como base los ingresos que observe durante cinco días, incluyendo los inhábiles cuando menos de operaciones normales y el promedio diario resultante se multiplicará por el número de días que comprenda cada mes correspondiente al periodo objeto de revisión, el resultado de esta operación será la base gravable para cada uno de los meses.</w:t>
      </w:r>
    </w:p>
    <w:p w14:paraId="7A05CE1C" w14:textId="77777777" w:rsidR="00D3344B" w:rsidRDefault="00D3344B">
      <w:pPr>
        <w:pStyle w:val="Estilo"/>
        <w:ind w:left="426" w:hanging="426"/>
        <w:rPr>
          <w:rFonts w:cs="Arial"/>
        </w:rPr>
      </w:pPr>
    </w:p>
    <w:p w14:paraId="4BC10C32" w14:textId="77777777" w:rsidR="00D3344B" w:rsidRDefault="00143C25">
      <w:pPr>
        <w:pStyle w:val="Estilo"/>
        <w:ind w:left="426"/>
        <w:rPr>
          <w:rFonts w:cs="Arial"/>
        </w:rPr>
      </w:pPr>
      <w:r>
        <w:rPr>
          <w:rFonts w:cs="Arial"/>
        </w:rPr>
        <w:t>A la base gravable estimada por algunos de los procedimientos anteriores, se le aplicará la tasa impositiva que corresponda.</w:t>
      </w:r>
    </w:p>
    <w:p w14:paraId="47FDB61A" w14:textId="77777777" w:rsidR="00D3344B" w:rsidRDefault="00D3344B">
      <w:pPr>
        <w:pStyle w:val="Estilo"/>
        <w:ind w:left="426" w:hanging="426"/>
        <w:rPr>
          <w:rFonts w:cs="Arial"/>
        </w:rPr>
      </w:pPr>
    </w:p>
    <w:p w14:paraId="6B3FD869" w14:textId="77777777" w:rsidR="00D3344B" w:rsidRDefault="00143C25">
      <w:pPr>
        <w:pStyle w:val="Estilo"/>
        <w:ind w:left="426" w:hanging="426"/>
        <w:rPr>
          <w:rFonts w:cs="Arial"/>
        </w:rPr>
      </w:pPr>
      <w:r>
        <w:rPr>
          <w:rFonts w:cs="Arial"/>
        </w:rPr>
        <w:t>III. Tratándose de hoteles, moteles, casas de huéspedes, u otros que tengan por objeto la prestación de alojamiento o albergue temporal, se multiplicará el número de habitaciones o cuartos que se encuentren destinados a la prestación de alojamiento o albergue temporal de personas a cambio de un pago, por el costo promedio diario de la tarifa establecida o precio pactado, según sea el caso, por concepto de servicio de hospedaje de los meses objeto de la revisión.</w:t>
      </w:r>
    </w:p>
    <w:p w14:paraId="0B5E339A" w14:textId="77777777" w:rsidR="00D3344B" w:rsidRDefault="00D3344B">
      <w:pPr>
        <w:pStyle w:val="Estilo"/>
        <w:ind w:left="426" w:hanging="426"/>
        <w:rPr>
          <w:rFonts w:cs="Arial"/>
        </w:rPr>
      </w:pPr>
    </w:p>
    <w:p w14:paraId="37EE4D5F" w14:textId="77777777" w:rsidR="00D3344B" w:rsidRDefault="00143C25">
      <w:pPr>
        <w:pStyle w:val="Estilo"/>
        <w:ind w:left="426" w:hanging="426"/>
        <w:rPr>
          <w:rFonts w:cs="Arial"/>
        </w:rPr>
      </w:pPr>
      <w:r>
        <w:rPr>
          <w:rFonts w:cs="Arial"/>
        </w:rPr>
        <w:t>IV. Si con base en la contabilidad y documentación del contribuyente o información de terceros, no se pudiera determinar la base gravable de contribución, la autoridad fiscal podrá determinarla en forma presuntiva tomando los datos o información de terceros, así como la información contenida en los expedientes o documentos que lleven o tengan en su poder cualquier autoridad u organismo desconcentrado o público.</w:t>
      </w:r>
    </w:p>
    <w:p w14:paraId="4C1B18B7" w14:textId="77777777" w:rsidR="00D3344B" w:rsidRDefault="00D3344B">
      <w:pPr>
        <w:pStyle w:val="Estilo"/>
        <w:rPr>
          <w:rFonts w:cs="Arial"/>
        </w:rPr>
      </w:pPr>
    </w:p>
    <w:p w14:paraId="46901134" w14:textId="77777777" w:rsidR="00D3344B" w:rsidRDefault="00143C25">
      <w:pPr>
        <w:pStyle w:val="Estilo"/>
        <w:rPr>
          <w:rFonts w:cs="Arial"/>
        </w:rPr>
      </w:pPr>
      <w:r>
        <w:rPr>
          <w:rFonts w:cs="Arial"/>
        </w:rPr>
        <w:t>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w:t>
      </w:r>
    </w:p>
    <w:p w14:paraId="1FF0C0E0" w14:textId="77777777" w:rsidR="00D3344B" w:rsidRDefault="00D3344B">
      <w:pPr>
        <w:pStyle w:val="Estilo"/>
        <w:rPr>
          <w:rFonts w:cs="Arial"/>
        </w:rPr>
      </w:pPr>
    </w:p>
    <w:p w14:paraId="722401B3" w14:textId="77777777" w:rsidR="00D3344B" w:rsidRDefault="00143C25">
      <w:pPr>
        <w:pStyle w:val="Estilo"/>
        <w:rPr>
          <w:rFonts w:cs="Arial"/>
        </w:rPr>
      </w:pPr>
      <w:r>
        <w:rPr>
          <w:rFonts w:cs="Arial"/>
        </w:rPr>
        <w:t xml:space="preserve">El producto obtenido de la operación a que se refiere la fracción III de este artículo, se multiplicará por el número de días que corresponda al periodo objeto de la revisión. La cantidad resultante se multiplicará por el porcentaje de ocupación correspondiente a los meses objeto de la revisión, el resultado de esta operación será la base gravable presunta. </w:t>
      </w:r>
    </w:p>
    <w:p w14:paraId="6A62364C" w14:textId="77777777" w:rsidR="00D3344B" w:rsidRDefault="00D3344B">
      <w:pPr>
        <w:pStyle w:val="Estilo"/>
        <w:rPr>
          <w:rFonts w:cs="Arial"/>
        </w:rPr>
      </w:pPr>
    </w:p>
    <w:p w14:paraId="54C9EEA1" w14:textId="77777777" w:rsidR="00D3344B" w:rsidRDefault="00143C25">
      <w:pPr>
        <w:pStyle w:val="Estilo"/>
        <w:rPr>
          <w:rFonts w:cs="Arial"/>
        </w:rPr>
      </w:pPr>
      <w:r>
        <w:rPr>
          <w:rFonts w:cs="Arial"/>
        </w:rPr>
        <w:lastRenderedPageBreak/>
        <w:t>El costo promedio diario a que se hace referencia anteriormente se determinará sumando la tarifa máxima establecida o precio máximo pactado, más la tarifa mínima establecida o precio mínimo pactado y el resultado obtenido se dividirá en dos. El porcentaje de ocupación mencionado se determinará con la información que otros organismos o entidades públicas determinen.</w:t>
      </w:r>
    </w:p>
    <w:p w14:paraId="61D47B57" w14:textId="77777777" w:rsidR="00D3344B" w:rsidRDefault="00D3344B">
      <w:pPr>
        <w:pStyle w:val="Estilo"/>
        <w:rPr>
          <w:rFonts w:cs="Arial"/>
        </w:rPr>
      </w:pPr>
    </w:p>
    <w:p w14:paraId="2F8CA52E" w14:textId="77777777" w:rsidR="00D3344B" w:rsidRDefault="00143C25">
      <w:pPr>
        <w:pStyle w:val="Estilo"/>
        <w:rPr>
          <w:rFonts w:cs="Arial"/>
        </w:rPr>
      </w:pPr>
      <w:r>
        <w:rPr>
          <w:rFonts w:cs="Arial"/>
        </w:rPr>
        <w:t>En caso de que, en la documentación comprobatoria, información de terceros y expedientes que se tengan a nombre del contribuyente, muestren cantidades relativas a la base para determinar el Impuesto Sobre la Prestación del Servicios de Hospedaje, se presumirá que corresponden a operaciones realizadas en el Estado</w:t>
      </w:r>
    </w:p>
    <w:p w14:paraId="41A990C1" w14:textId="77777777" w:rsidR="00D3344B" w:rsidRDefault="00143C25">
      <w:pPr>
        <w:pStyle w:val="Estilo"/>
        <w:rPr>
          <w:rFonts w:cs="Arial"/>
        </w:rPr>
      </w:pPr>
      <w:r>
        <w:rPr>
          <w:rFonts w:cs="Arial"/>
        </w:rPr>
        <w:t>de Tlaxcala.</w:t>
      </w:r>
    </w:p>
    <w:p w14:paraId="21231B0D" w14:textId="77777777" w:rsidR="00D3344B" w:rsidRDefault="00D3344B">
      <w:pPr>
        <w:pStyle w:val="Estilo"/>
        <w:rPr>
          <w:rFonts w:cs="Arial"/>
        </w:rPr>
      </w:pPr>
    </w:p>
    <w:p w14:paraId="5AD17A84" w14:textId="77777777" w:rsidR="00D3344B" w:rsidRDefault="00143C25">
      <w:pPr>
        <w:pStyle w:val="Estilo"/>
        <w:rPr>
          <w:rFonts w:cs="Arial"/>
        </w:rPr>
      </w:pPr>
      <w:r>
        <w:rPr>
          <w:rFonts w:cs="Arial"/>
        </w:rPr>
        <w:t>A la base gravable presunta conforme alguno de los procedimientos citados en las fracciones anteriores, se le aplicará la tasa que corresponda.</w:t>
      </w:r>
    </w:p>
    <w:p w14:paraId="31560E05" w14:textId="77777777" w:rsidR="00D3344B" w:rsidRDefault="00D3344B">
      <w:pPr>
        <w:pStyle w:val="Estilo"/>
        <w:rPr>
          <w:rFonts w:cs="Arial"/>
        </w:rPr>
      </w:pPr>
    </w:p>
    <w:p w14:paraId="4D649727" w14:textId="77777777" w:rsidR="00D3344B" w:rsidRDefault="00143C25">
      <w:pPr>
        <w:pStyle w:val="Estilo"/>
        <w:rPr>
          <w:rFonts w:cs="Arial"/>
          <w:i/>
          <w:iCs/>
          <w:sz w:val="16"/>
          <w:szCs w:val="16"/>
        </w:rPr>
      </w:pPr>
      <w:r>
        <w:rPr>
          <w:rFonts w:cs="Arial"/>
          <w:i/>
          <w:iCs/>
          <w:sz w:val="16"/>
          <w:szCs w:val="16"/>
        </w:rPr>
        <w:t>(ADICIONADO, P.O. 22 DE DICIEMBRE DE 2021)</w:t>
      </w:r>
    </w:p>
    <w:p w14:paraId="27079BFF" w14:textId="77777777" w:rsidR="00D3344B" w:rsidRDefault="00143C25">
      <w:pPr>
        <w:pStyle w:val="Estilo"/>
        <w:rPr>
          <w:rFonts w:cs="Arial"/>
        </w:rPr>
      </w:pPr>
      <w:r>
        <w:rPr>
          <w:rFonts w:cs="Arial"/>
          <w:b/>
          <w:bCs/>
        </w:rPr>
        <w:t>Artículo 74-B.</w:t>
      </w:r>
      <w:r>
        <w:rPr>
          <w:rFonts w:cs="Arial"/>
        </w:rPr>
        <w:t xml:space="preserve"> En caso de que los contribuyentes se coloquen en alguna de las causales de presuntiva o en su caso se conozcan ingresos presuntos y además la base gravable sea el total de las erogaciones por remuneraciones al trabajo personal, la autoridad fiscal podrá aplicar indistintamente cualquiera de los procedimientos siguientes:</w:t>
      </w:r>
    </w:p>
    <w:p w14:paraId="69F83D88" w14:textId="77777777" w:rsidR="00D3344B" w:rsidRDefault="00D3344B">
      <w:pPr>
        <w:pStyle w:val="Estilo"/>
        <w:rPr>
          <w:rFonts w:cs="Arial"/>
        </w:rPr>
      </w:pPr>
    </w:p>
    <w:p w14:paraId="735D7793" w14:textId="77777777" w:rsidR="00D3344B" w:rsidRDefault="00143C25">
      <w:pPr>
        <w:pStyle w:val="Estilo"/>
        <w:ind w:left="426" w:hanging="426"/>
        <w:rPr>
          <w:rFonts w:cs="Arial"/>
        </w:rPr>
      </w:pPr>
      <w:r>
        <w:rPr>
          <w:rFonts w:cs="Arial"/>
        </w:rPr>
        <w:t xml:space="preserve">I. </w:t>
      </w:r>
      <w:r>
        <w:rPr>
          <w:rFonts w:cs="Arial"/>
        </w:rPr>
        <w:tab/>
        <w:t>Tratándose del Impuesto Sobre Nóminas previsto en el presente Código, se considerará que las erogaciones efectuadas a favor de los trabajadores son las que resulten de multiplicar seis veces el salario mínimo general diario vigente en el Estado en los meses que se revisen, multiplicado por el número de días que comprende cada uno de los meses revisados; el resultado obtenido se multiplicará por el número mayor de trabajadores que hubiera tenido en cualquiera de los meses revisados.</w:t>
      </w:r>
    </w:p>
    <w:p w14:paraId="63C13531" w14:textId="77777777" w:rsidR="00D3344B" w:rsidRDefault="00D3344B">
      <w:pPr>
        <w:pStyle w:val="Estilo"/>
        <w:ind w:left="426" w:hanging="426"/>
        <w:rPr>
          <w:rFonts w:cs="Arial"/>
        </w:rPr>
      </w:pPr>
    </w:p>
    <w:p w14:paraId="06227D22" w14:textId="77777777" w:rsidR="00D3344B" w:rsidRDefault="00143C25">
      <w:pPr>
        <w:pStyle w:val="Estilo"/>
        <w:ind w:left="426"/>
        <w:rPr>
          <w:rFonts w:cs="Arial"/>
        </w:rPr>
      </w:pPr>
      <w:r>
        <w:rPr>
          <w:rFonts w:cs="Arial"/>
        </w:rPr>
        <w:t>El número de trabajadores podrá obtenerse de la información que conste en el expediente de las autoridades fiscales abierto a nombre del contribuyente, o de la información proporcionada por otras autoridades, organismos públicos o terceros.</w:t>
      </w:r>
    </w:p>
    <w:p w14:paraId="74273D24" w14:textId="77777777" w:rsidR="00D3344B" w:rsidRDefault="00D3344B">
      <w:pPr>
        <w:pStyle w:val="Estilo"/>
        <w:ind w:left="426" w:hanging="426"/>
        <w:rPr>
          <w:rFonts w:cs="Arial"/>
        </w:rPr>
      </w:pPr>
    </w:p>
    <w:p w14:paraId="20618C56" w14:textId="77777777" w:rsidR="00D3344B" w:rsidRDefault="00143C25">
      <w:pPr>
        <w:pStyle w:val="Estilo"/>
        <w:ind w:left="426"/>
        <w:rPr>
          <w:rFonts w:cs="Arial"/>
        </w:rPr>
      </w:pPr>
      <w:r>
        <w:rPr>
          <w:rFonts w:cs="Arial"/>
        </w:rPr>
        <w:t>Asimismo, cuando el contribuyente no presente ninguna declaración del periodo sujeto a revisión, el número mayor de trabajadores se podrá obtener de las últimas seis declaraciones del Impuesto Sobre Nóminas que haya presentado el contribuyente, aun cuando éstas no correspondan al periodo revisado.</w:t>
      </w:r>
    </w:p>
    <w:p w14:paraId="59517544" w14:textId="77777777" w:rsidR="00D3344B" w:rsidRDefault="00D3344B">
      <w:pPr>
        <w:pStyle w:val="Estilo"/>
        <w:ind w:left="426" w:hanging="426"/>
        <w:rPr>
          <w:rFonts w:cs="Arial"/>
        </w:rPr>
      </w:pPr>
    </w:p>
    <w:p w14:paraId="250C8A1F" w14:textId="77777777" w:rsidR="00D3344B" w:rsidRDefault="00143C25">
      <w:pPr>
        <w:pStyle w:val="Estilo"/>
        <w:ind w:left="426"/>
        <w:rPr>
          <w:rFonts w:cs="Arial"/>
        </w:rPr>
      </w:pPr>
      <w:r>
        <w:rPr>
          <w:rFonts w:cs="Arial"/>
        </w:rPr>
        <w:t>Cuando el periodo sujeto a revisión sea de más de dos meses y el contribuyente no pueda proporcionar la información y documentación correspondiente a alguno de los meses revisados, la autoridad fiscal podrá determinar en forma presuntiva la base gravable solamente de los meses por los que no se proporcionó dicha información y documentación.</w:t>
      </w:r>
    </w:p>
    <w:p w14:paraId="6D1B879F" w14:textId="77777777" w:rsidR="00D3344B" w:rsidRDefault="00D3344B">
      <w:pPr>
        <w:pStyle w:val="Estilo"/>
        <w:ind w:left="426" w:hanging="426"/>
        <w:rPr>
          <w:rFonts w:cs="Arial"/>
        </w:rPr>
      </w:pPr>
    </w:p>
    <w:p w14:paraId="542EE016" w14:textId="77777777" w:rsidR="00D3344B" w:rsidRDefault="00143C25">
      <w:pPr>
        <w:pStyle w:val="Estilo"/>
        <w:ind w:left="426"/>
        <w:rPr>
          <w:rFonts w:cs="Arial"/>
        </w:rPr>
      </w:pPr>
      <w:r>
        <w:rPr>
          <w:rFonts w:cs="Arial"/>
        </w:rPr>
        <w:lastRenderedPageBreak/>
        <w:t xml:space="preserve">Cuando la autoridad no pueda determinar la duración de la relación laboral, considerará que todos los trabajadores que resulten de la información de terceros estuvieron a su servicio en todos los meses del periodo revisado; y </w:t>
      </w:r>
    </w:p>
    <w:p w14:paraId="2557999D" w14:textId="77777777" w:rsidR="00D3344B" w:rsidRDefault="00D3344B">
      <w:pPr>
        <w:pStyle w:val="Estilo"/>
        <w:ind w:left="426" w:hanging="426"/>
        <w:rPr>
          <w:rFonts w:cs="Arial"/>
        </w:rPr>
      </w:pPr>
    </w:p>
    <w:p w14:paraId="2CACEBE9" w14:textId="77777777" w:rsidR="00D3344B" w:rsidRDefault="00143C25">
      <w:pPr>
        <w:pStyle w:val="Estilo"/>
        <w:ind w:left="426" w:hanging="426"/>
        <w:rPr>
          <w:rFonts w:cs="Arial"/>
        </w:rPr>
      </w:pPr>
      <w:r>
        <w:rPr>
          <w:rFonts w:cs="Arial"/>
        </w:rPr>
        <w:t xml:space="preserve">II. </w:t>
      </w:r>
      <w:r>
        <w:rPr>
          <w:rFonts w:cs="Arial"/>
        </w:rPr>
        <w:tab/>
        <w:t>Si con base en la contabilidad y documentación del contribuyente o información de terceros, no se pudiera determinar la base gravable de la contribución, la autoridad fiscal podrá determinarla en forma estimativa tomando los datos o información de terceros, así como la información contenida en los expedientes o documentos que lleven o tengan en su poder cualquier autoridad u organismo desconcentrado o público.</w:t>
      </w:r>
    </w:p>
    <w:p w14:paraId="00E31540" w14:textId="77777777" w:rsidR="00D3344B" w:rsidRDefault="00D3344B">
      <w:pPr>
        <w:pStyle w:val="Estilo"/>
        <w:ind w:left="426" w:hanging="426"/>
        <w:rPr>
          <w:rFonts w:cs="Arial"/>
        </w:rPr>
      </w:pPr>
    </w:p>
    <w:p w14:paraId="22B2F64B" w14:textId="77777777" w:rsidR="00D3344B" w:rsidRDefault="00143C25">
      <w:pPr>
        <w:pStyle w:val="Estilo"/>
        <w:ind w:left="426"/>
        <w:rPr>
          <w:rFonts w:cs="Arial"/>
        </w:rPr>
      </w:pPr>
      <w:r>
        <w:rPr>
          <w:rFonts w:cs="Arial"/>
        </w:rPr>
        <w:t>Si de dicho expediente o documentos no se lograra identificar a qué meses corresponde la base gravable o el impuesto causado, la autoridad procederá a dividir la base o el impuesto según el caso, entre el número de meses al que corresponde la información y el resultado será la base y el impuesto que corresponda a cada mes del periodo revisado.</w:t>
      </w:r>
    </w:p>
    <w:p w14:paraId="469F5E02" w14:textId="77777777" w:rsidR="00D3344B" w:rsidRDefault="00D3344B">
      <w:pPr>
        <w:pStyle w:val="Estilo"/>
        <w:ind w:left="426" w:hanging="426"/>
        <w:rPr>
          <w:rFonts w:cs="Arial"/>
        </w:rPr>
      </w:pPr>
    </w:p>
    <w:p w14:paraId="6AE651FF" w14:textId="77777777" w:rsidR="00D3344B" w:rsidRDefault="00143C25">
      <w:pPr>
        <w:pStyle w:val="Estilo"/>
        <w:ind w:left="426"/>
        <w:rPr>
          <w:rFonts w:cs="Arial"/>
        </w:rPr>
      </w:pPr>
      <w:r>
        <w:rPr>
          <w:rFonts w:cs="Arial"/>
        </w:rPr>
        <w:t>En caso de que la documentación comprobatoria, información de terceros y expedientes que se tengan a nombre del contribuyente, muestren cantidades relativas a la base para determinar el Impuesto Sobre Nóminas, se presumirán que corresponden a operaciones realizadas en el Estado de Tlaxcala. Si el contribuyente no manifiesta en alguna o varias declaraciones el número de trabajadores, se tomará para todos los meses el número de trabajadores mayor que se hubiera conocido, ya sea de las declaraciones o de los manifestados ante otras autoridades u Organismos Públicos. A la base gravable estimada por alguno de los procedimientos anteriores, se le aplicará la tasa impositiva que corresponda.</w:t>
      </w:r>
    </w:p>
    <w:p w14:paraId="20E48EF0" w14:textId="77777777" w:rsidR="00D3344B" w:rsidRDefault="00D3344B">
      <w:pPr>
        <w:pStyle w:val="Estilo"/>
        <w:rPr>
          <w:rFonts w:cs="Arial"/>
        </w:rPr>
      </w:pPr>
    </w:p>
    <w:p w14:paraId="7B4C44DB" w14:textId="77777777" w:rsidR="00D3344B" w:rsidRDefault="00143C25">
      <w:pPr>
        <w:pStyle w:val="Estilo"/>
        <w:rPr>
          <w:rFonts w:cs="Arial"/>
        </w:rPr>
      </w:pPr>
      <w:r>
        <w:rPr>
          <w:rFonts w:cs="Arial"/>
          <w:b/>
        </w:rPr>
        <w:t>Artículo 75.</w:t>
      </w:r>
      <w:r>
        <w:rPr>
          <w:rFonts w:cs="Arial"/>
        </w:rPr>
        <w:t xml:space="preserve"> Las autoridades fiscales están obligadas a recibir y contestar por escrito las consultas y peticiones que les formulen los contribuyentes sobre situaciones reales y concretas que les interesen. De la contestación podrán derivarse derechos para el interesado que éste podrá hacer valer ante la propia autoridad fiscal, en los términos previstos por este código.</w:t>
      </w:r>
    </w:p>
    <w:p w14:paraId="37FA8430" w14:textId="77777777" w:rsidR="00D3344B" w:rsidRDefault="00D3344B">
      <w:pPr>
        <w:pStyle w:val="Estilo"/>
        <w:rPr>
          <w:rFonts w:cs="Arial"/>
        </w:rPr>
      </w:pPr>
    </w:p>
    <w:p w14:paraId="20ADFE61" w14:textId="77777777" w:rsidR="00D3344B" w:rsidRDefault="00143C25">
      <w:pPr>
        <w:pStyle w:val="Estilo"/>
        <w:rPr>
          <w:rFonts w:cs="Arial"/>
        </w:rPr>
      </w:pPr>
      <w:r>
        <w:rPr>
          <w:rFonts w:cs="Arial"/>
          <w:b/>
        </w:rPr>
        <w:t>Artículo 76.</w:t>
      </w:r>
      <w:r>
        <w:rPr>
          <w:rFonts w:cs="Arial"/>
        </w:rPr>
        <w:t xml:space="preserve"> Cuando con motivo del ejercicio de sus facultades de comprobación, la autoridad fiscal conozca de la comisión de infracciones o de hechos presuntamente delictivos, procederá a determinar los créditos fiscales correspondientes y, en su caso, a dictar la resolución relativa o formular la denuncia correspondiente, ante la autoridad competente, sin perjuicio de continuar ejerciendo sus facultades de comprobación, con relación al delito o infracción de que se trate, de la cual podrá aportarse pruebas adicionales.</w:t>
      </w:r>
    </w:p>
    <w:p w14:paraId="4E049A04" w14:textId="77777777" w:rsidR="00D3344B" w:rsidRDefault="00D3344B">
      <w:pPr>
        <w:pStyle w:val="Estilo"/>
        <w:rPr>
          <w:rFonts w:cs="Arial"/>
        </w:rPr>
      </w:pPr>
    </w:p>
    <w:p w14:paraId="21956FEF" w14:textId="77777777" w:rsidR="00D3344B" w:rsidRDefault="00143C25">
      <w:pPr>
        <w:pStyle w:val="Estilo"/>
        <w:rPr>
          <w:rFonts w:cs="Arial"/>
        </w:rPr>
      </w:pPr>
      <w:r>
        <w:rPr>
          <w:rFonts w:cs="Arial"/>
          <w:b/>
        </w:rPr>
        <w:t>Artículo 77.</w:t>
      </w:r>
      <w:r>
        <w:rPr>
          <w:rFonts w:cs="Arial"/>
        </w:rPr>
        <w:t xml:space="preserve"> Las autoridades fiscales podrán solicitar para guardar el debido orden de las diligencias o lograr el eficaz cumplimiento de sus determinaciones el auxilio de la fuerza pública.</w:t>
      </w:r>
    </w:p>
    <w:p w14:paraId="7CF3ED8D" w14:textId="77777777" w:rsidR="00D3344B" w:rsidRDefault="00D3344B">
      <w:pPr>
        <w:pStyle w:val="Estilo"/>
        <w:rPr>
          <w:rFonts w:cs="Arial"/>
        </w:rPr>
      </w:pPr>
    </w:p>
    <w:p w14:paraId="34ED303C" w14:textId="77777777" w:rsidR="00D3344B" w:rsidRDefault="00143C25">
      <w:pPr>
        <w:pStyle w:val="Estilo"/>
        <w:jc w:val="center"/>
        <w:rPr>
          <w:rFonts w:cs="Arial"/>
          <w:b/>
        </w:rPr>
      </w:pPr>
      <w:r>
        <w:rPr>
          <w:rFonts w:cs="Arial"/>
          <w:b/>
        </w:rPr>
        <w:lastRenderedPageBreak/>
        <w:t>Capítulo VII</w:t>
      </w:r>
    </w:p>
    <w:p w14:paraId="0A604AF0" w14:textId="77777777" w:rsidR="00D3344B" w:rsidRDefault="00143C25">
      <w:pPr>
        <w:pStyle w:val="Estilo"/>
        <w:jc w:val="center"/>
        <w:rPr>
          <w:rFonts w:cs="Arial"/>
          <w:b/>
        </w:rPr>
      </w:pPr>
      <w:r>
        <w:rPr>
          <w:rFonts w:cs="Arial"/>
          <w:b/>
        </w:rPr>
        <w:t>De la Caducidad</w:t>
      </w:r>
    </w:p>
    <w:p w14:paraId="2B278433" w14:textId="77777777" w:rsidR="00D3344B" w:rsidRDefault="00D3344B">
      <w:pPr>
        <w:pStyle w:val="Estilo"/>
        <w:rPr>
          <w:rFonts w:cs="Arial"/>
        </w:rPr>
      </w:pPr>
    </w:p>
    <w:p w14:paraId="2607560C" w14:textId="77777777" w:rsidR="00D3344B" w:rsidRDefault="00143C25">
      <w:pPr>
        <w:pStyle w:val="Estilo"/>
        <w:rPr>
          <w:rFonts w:cs="Arial"/>
        </w:rPr>
      </w:pPr>
      <w:r>
        <w:rPr>
          <w:rFonts w:cs="Arial"/>
          <w:b/>
        </w:rPr>
        <w:t>Artículo 78.</w:t>
      </w:r>
      <w:r>
        <w:rPr>
          <w:rFonts w:cs="Arial"/>
        </w:rPr>
        <w:t xml:space="preserve"> Las facultades de las autoridades fiscales para comprobar el cumplimiento de las disposiciones fiscales, determinar las contribuciones omitidas y sus accesorios, así como para imponer sanciones por infracciones a las disposiciones fiscales, se extinguen en el plazo de cinco años contados a partir:</w:t>
      </w:r>
    </w:p>
    <w:p w14:paraId="027CC2B6" w14:textId="77777777" w:rsidR="00D3344B" w:rsidRDefault="00D3344B">
      <w:pPr>
        <w:pStyle w:val="Estilo"/>
        <w:rPr>
          <w:rFonts w:cs="Arial"/>
        </w:rPr>
      </w:pPr>
    </w:p>
    <w:p w14:paraId="07466403" w14:textId="77777777" w:rsidR="00D3344B" w:rsidRDefault="00143C25">
      <w:pPr>
        <w:pStyle w:val="Estilo"/>
        <w:ind w:left="567" w:hanging="567"/>
        <w:rPr>
          <w:rFonts w:cs="Arial"/>
        </w:rPr>
      </w:pPr>
      <w:r>
        <w:rPr>
          <w:rFonts w:cs="Arial"/>
        </w:rPr>
        <w:t xml:space="preserve">I. </w:t>
      </w:r>
      <w:r>
        <w:rPr>
          <w:rFonts w:cs="Arial"/>
        </w:rPr>
        <w:tab/>
        <w:t>Del día siguiente a aquel en que se presentó la declaración o aviso, cuando se tenga la obligación de hacerlo. Cuando se presenten declaraciones complementarias, el plazo empezará a computarse a partir del día siguiente a aquel en que se presenten;</w:t>
      </w:r>
    </w:p>
    <w:p w14:paraId="32777ACB" w14:textId="77777777" w:rsidR="00D3344B" w:rsidRDefault="00D3344B">
      <w:pPr>
        <w:pStyle w:val="Estilo"/>
        <w:ind w:left="567" w:hanging="567"/>
        <w:rPr>
          <w:rFonts w:cs="Arial"/>
        </w:rPr>
      </w:pPr>
    </w:p>
    <w:p w14:paraId="2CAE94F4" w14:textId="77777777" w:rsidR="00D3344B" w:rsidRDefault="00143C25">
      <w:pPr>
        <w:pStyle w:val="Estilo"/>
        <w:ind w:left="567" w:hanging="567"/>
        <w:rPr>
          <w:rFonts w:cs="Arial"/>
        </w:rPr>
      </w:pPr>
      <w:r>
        <w:rPr>
          <w:rFonts w:cs="Arial"/>
        </w:rPr>
        <w:t xml:space="preserve">II. </w:t>
      </w:r>
      <w:r>
        <w:rPr>
          <w:rFonts w:cs="Arial"/>
        </w:rPr>
        <w:tab/>
        <w:t>Del día siguiente a aquel en que el crédito fiscal debió pagarse, si no existiera obligación de presentar declaraciones, manifestaciones o avisos;</w:t>
      </w:r>
    </w:p>
    <w:p w14:paraId="40952FB7" w14:textId="77777777" w:rsidR="00D3344B" w:rsidRDefault="00D3344B">
      <w:pPr>
        <w:pStyle w:val="Estilo"/>
        <w:ind w:left="567" w:hanging="567"/>
        <w:rPr>
          <w:rFonts w:cs="Arial"/>
        </w:rPr>
      </w:pPr>
    </w:p>
    <w:p w14:paraId="36546439" w14:textId="77777777" w:rsidR="00D3344B" w:rsidRDefault="00143C25">
      <w:pPr>
        <w:pStyle w:val="Estilo"/>
        <w:ind w:left="567" w:hanging="567"/>
        <w:rPr>
          <w:rFonts w:cs="Arial"/>
        </w:rPr>
      </w:pPr>
      <w:r>
        <w:rPr>
          <w:rFonts w:cs="Arial"/>
        </w:rPr>
        <w:t xml:space="preserve">III. </w:t>
      </w:r>
      <w:r>
        <w:rPr>
          <w:rFonts w:cs="Arial"/>
        </w:rPr>
        <w:tab/>
        <w:t>Del día siguiente a aquel en que se hubiera cometido la infracción a las disposiciones fiscales, pero si la infracción fuese de carácter continuo, el término correrá a partir del día siguiente a aquel en que se hubiere cesado la consumación o se hubiese realizado la última conducta o hecho, respectivamente, y</w:t>
      </w:r>
    </w:p>
    <w:p w14:paraId="5E95ADAE" w14:textId="77777777" w:rsidR="00D3344B" w:rsidRDefault="00D3344B">
      <w:pPr>
        <w:pStyle w:val="Estilo"/>
        <w:ind w:left="567" w:hanging="567"/>
        <w:rPr>
          <w:rFonts w:cs="Arial"/>
        </w:rPr>
      </w:pPr>
    </w:p>
    <w:p w14:paraId="2F34D749" w14:textId="77777777" w:rsidR="00D3344B" w:rsidRDefault="00143C25">
      <w:pPr>
        <w:pStyle w:val="Estilo"/>
        <w:ind w:left="567" w:hanging="567"/>
        <w:rPr>
          <w:rFonts w:cs="Arial"/>
        </w:rPr>
      </w:pPr>
      <w:r>
        <w:rPr>
          <w:rFonts w:cs="Arial"/>
        </w:rPr>
        <w:t xml:space="preserve">IV. </w:t>
      </w:r>
      <w:r>
        <w:rPr>
          <w:rFonts w:cs="Arial"/>
        </w:rPr>
        <w:tab/>
        <w:t>Del día siguiente a aquel en que se levante el acta de incumplimiento de la obligación garantizada, tratándose de la exigibilidad de fianza a favor del Estado para garantizar el interés fiscal, la cual será notificada a la afianzadora;</w:t>
      </w:r>
    </w:p>
    <w:p w14:paraId="1933D4A7" w14:textId="77777777" w:rsidR="00D3344B" w:rsidRDefault="00D3344B">
      <w:pPr>
        <w:pStyle w:val="Estilo"/>
        <w:ind w:left="567" w:hanging="567"/>
        <w:rPr>
          <w:rFonts w:cs="Arial"/>
        </w:rPr>
      </w:pPr>
    </w:p>
    <w:p w14:paraId="7471C8EE" w14:textId="77777777" w:rsidR="00D3344B" w:rsidRDefault="00143C25">
      <w:pPr>
        <w:pStyle w:val="Estilo"/>
        <w:ind w:left="567"/>
        <w:rPr>
          <w:rFonts w:cs="Arial"/>
        </w:rPr>
      </w:pPr>
      <w:r>
        <w:rPr>
          <w:rFonts w:cs="Arial"/>
          <w:i/>
          <w:sz w:val="16"/>
        </w:rPr>
        <w:t>N. DE E. EN RELACIÓN CON LA ENTRADA EN VIGOR DE LA PRESENTE FRACCIÓN, VÉASE TRANSITORIO ÚNICO DEL DECRETO QUE MODIFICA EL CÓDIGO.</w:t>
      </w:r>
    </w:p>
    <w:p w14:paraId="4C36507D" w14:textId="77777777" w:rsidR="00D3344B" w:rsidRDefault="00143C25">
      <w:pPr>
        <w:pStyle w:val="Estilo"/>
        <w:ind w:left="567" w:hanging="567"/>
        <w:rPr>
          <w:rFonts w:cs="Arial"/>
        </w:rPr>
      </w:pPr>
      <w:r>
        <w:rPr>
          <w:rFonts w:cs="Arial"/>
          <w:i/>
          <w:sz w:val="16"/>
        </w:rPr>
        <w:tab/>
        <w:t>(ADICIONADA, P.O. 7 DE DICIEMBRE DE 2009)</w:t>
      </w:r>
    </w:p>
    <w:p w14:paraId="5ABAB954" w14:textId="77777777" w:rsidR="00D3344B" w:rsidRDefault="00143C25">
      <w:pPr>
        <w:pStyle w:val="Estilo"/>
        <w:ind w:left="567" w:hanging="567"/>
        <w:rPr>
          <w:rFonts w:cs="Arial"/>
        </w:rPr>
      </w:pPr>
      <w:r>
        <w:rPr>
          <w:rFonts w:cs="Arial"/>
        </w:rPr>
        <w:t xml:space="preserve">V. </w:t>
      </w:r>
      <w:r>
        <w:rPr>
          <w:rFonts w:cs="Arial"/>
        </w:rPr>
        <w:tab/>
        <w:t>Del día siguiente a aquel en que los contribuyentes presenten suspensión de actividades.</w:t>
      </w:r>
    </w:p>
    <w:p w14:paraId="4864B743" w14:textId="77777777" w:rsidR="00D3344B" w:rsidRDefault="00D3344B">
      <w:pPr>
        <w:pStyle w:val="Estilo"/>
        <w:rPr>
          <w:rFonts w:cs="Arial"/>
        </w:rPr>
      </w:pPr>
    </w:p>
    <w:p w14:paraId="5AD766D2" w14:textId="77777777" w:rsidR="00D3344B" w:rsidRDefault="00143C25">
      <w:pPr>
        <w:pStyle w:val="Estilo"/>
        <w:rPr>
          <w:rFonts w:cs="Arial"/>
        </w:rPr>
      </w:pPr>
      <w:r>
        <w:rPr>
          <w:rFonts w:cs="Arial"/>
          <w:i/>
          <w:sz w:val="16"/>
        </w:rPr>
        <w:t>(REFORMADO PRIMER PÁRRAFO, P.O. 30 DE DICIEMBRE DE 2005)</w:t>
      </w:r>
    </w:p>
    <w:p w14:paraId="14906C32" w14:textId="77777777" w:rsidR="00D3344B" w:rsidRDefault="00143C25">
      <w:pPr>
        <w:pStyle w:val="Estilo"/>
        <w:rPr>
          <w:rFonts w:cs="Arial"/>
        </w:rPr>
      </w:pPr>
      <w:r>
        <w:rPr>
          <w:rFonts w:cs="Arial"/>
          <w:b/>
        </w:rPr>
        <w:t>Artículo 79.</w:t>
      </w:r>
      <w:r>
        <w:rPr>
          <w:rFonts w:cs="Arial"/>
        </w:rPr>
        <w:t xml:space="preserve"> Se extinguen las facultades de las autoridades fiscales en un plazo de siete años, en los casos siguientes:</w:t>
      </w:r>
    </w:p>
    <w:p w14:paraId="03936ED8" w14:textId="77777777" w:rsidR="00D3344B" w:rsidRDefault="00D3344B">
      <w:pPr>
        <w:pStyle w:val="Estilo"/>
        <w:rPr>
          <w:rFonts w:cs="Arial"/>
        </w:rPr>
      </w:pPr>
    </w:p>
    <w:p w14:paraId="4A0FFC2E" w14:textId="77777777" w:rsidR="00D3344B" w:rsidRDefault="00143C25">
      <w:pPr>
        <w:pStyle w:val="Estilo"/>
        <w:ind w:left="567" w:hanging="567"/>
        <w:rPr>
          <w:rFonts w:cs="Arial"/>
        </w:rPr>
      </w:pPr>
      <w:r>
        <w:rPr>
          <w:rFonts w:cs="Arial"/>
          <w:i/>
          <w:sz w:val="16"/>
        </w:rPr>
        <w:tab/>
        <w:t>(REFORMADA, P.O. 30 DE DICIEMBRE DE 2005)</w:t>
      </w:r>
    </w:p>
    <w:p w14:paraId="624A54E3" w14:textId="77777777" w:rsidR="00D3344B" w:rsidRDefault="00143C25">
      <w:pPr>
        <w:pStyle w:val="Estilo"/>
        <w:ind w:left="567" w:hanging="567"/>
        <w:rPr>
          <w:rFonts w:cs="Arial"/>
        </w:rPr>
      </w:pPr>
      <w:r>
        <w:rPr>
          <w:rFonts w:cs="Arial"/>
        </w:rPr>
        <w:t xml:space="preserve">I. </w:t>
      </w:r>
      <w:r>
        <w:rPr>
          <w:rFonts w:cs="Arial"/>
        </w:rPr>
        <w:tab/>
        <w:t>Cuando no se encuentre inscrito en el Registro Estatal de Contribuyentes;</w:t>
      </w:r>
    </w:p>
    <w:p w14:paraId="58A7830C" w14:textId="77777777" w:rsidR="00D3344B" w:rsidRDefault="00D3344B">
      <w:pPr>
        <w:pStyle w:val="Estilo"/>
        <w:ind w:left="567" w:hanging="567"/>
        <w:rPr>
          <w:rFonts w:cs="Arial"/>
        </w:rPr>
      </w:pPr>
    </w:p>
    <w:p w14:paraId="2D5B437E" w14:textId="77777777" w:rsidR="00D3344B" w:rsidRDefault="00143C25">
      <w:pPr>
        <w:pStyle w:val="Estilo"/>
        <w:ind w:left="567" w:hanging="567"/>
        <w:rPr>
          <w:rFonts w:cs="Arial"/>
        </w:rPr>
      </w:pPr>
      <w:r>
        <w:rPr>
          <w:rFonts w:cs="Arial"/>
          <w:i/>
          <w:sz w:val="16"/>
        </w:rPr>
        <w:tab/>
        <w:t>(REFORMADA, P.O. 30 DE DICIEMBRE DE 2005)</w:t>
      </w:r>
    </w:p>
    <w:p w14:paraId="21391457" w14:textId="77777777" w:rsidR="00D3344B" w:rsidRDefault="00143C25">
      <w:pPr>
        <w:pStyle w:val="Estilo"/>
        <w:ind w:left="567" w:hanging="567"/>
        <w:rPr>
          <w:rFonts w:cs="Arial"/>
        </w:rPr>
      </w:pPr>
      <w:r>
        <w:rPr>
          <w:rFonts w:cs="Arial"/>
        </w:rPr>
        <w:t xml:space="preserve">II. </w:t>
      </w:r>
      <w:r>
        <w:rPr>
          <w:rFonts w:cs="Arial"/>
        </w:rPr>
        <w:tab/>
        <w:t>Cuando dentro de las facultades de las autoridades fiscales se investiguen hechos constitutivos de delito en materia fiscal, y</w:t>
      </w:r>
    </w:p>
    <w:p w14:paraId="25CDFFBC" w14:textId="77777777" w:rsidR="00D3344B" w:rsidRDefault="00D3344B">
      <w:pPr>
        <w:pStyle w:val="Estilo"/>
        <w:ind w:left="567" w:hanging="567"/>
        <w:rPr>
          <w:rFonts w:cs="Arial"/>
        </w:rPr>
      </w:pPr>
    </w:p>
    <w:p w14:paraId="6AD896A0" w14:textId="77777777" w:rsidR="00D3344B" w:rsidRDefault="00143C25">
      <w:pPr>
        <w:pStyle w:val="Estilo"/>
        <w:ind w:left="567"/>
        <w:rPr>
          <w:rFonts w:cs="Arial"/>
        </w:rPr>
      </w:pPr>
      <w:r>
        <w:rPr>
          <w:rFonts w:cs="Arial"/>
          <w:i/>
          <w:sz w:val="16"/>
        </w:rPr>
        <w:t>(ADICIONADA, P.O. 30 DE DICIEMBRE DE 2005)</w:t>
      </w:r>
    </w:p>
    <w:p w14:paraId="12177555" w14:textId="77777777" w:rsidR="00D3344B" w:rsidRDefault="00143C25">
      <w:pPr>
        <w:pStyle w:val="Estilo"/>
        <w:ind w:left="567" w:hanging="567"/>
        <w:rPr>
          <w:rFonts w:cs="Arial"/>
        </w:rPr>
      </w:pPr>
      <w:r>
        <w:rPr>
          <w:rFonts w:cs="Arial"/>
        </w:rPr>
        <w:t xml:space="preserve">III. </w:t>
      </w:r>
      <w:r>
        <w:rPr>
          <w:rFonts w:cs="Arial"/>
        </w:rPr>
        <w:tab/>
        <w:t>Cuando no haya presentado declaraciones según corresponda, estando obligado a presentarlas.</w:t>
      </w:r>
    </w:p>
    <w:p w14:paraId="28FD0570" w14:textId="77777777" w:rsidR="00D3344B" w:rsidRDefault="00D3344B">
      <w:pPr>
        <w:pStyle w:val="Estilo"/>
        <w:rPr>
          <w:rFonts w:cs="Arial"/>
        </w:rPr>
      </w:pPr>
    </w:p>
    <w:p w14:paraId="0DC65F13" w14:textId="77777777" w:rsidR="00D3344B" w:rsidRDefault="00143C25">
      <w:pPr>
        <w:pStyle w:val="Estilo"/>
        <w:rPr>
          <w:rFonts w:cs="Arial"/>
        </w:rPr>
      </w:pPr>
      <w:r>
        <w:rPr>
          <w:rFonts w:cs="Arial"/>
        </w:rPr>
        <w:lastRenderedPageBreak/>
        <w:t>Los plazos señalados en este artículo no están sujetos a interrupción y sólo se suspenderán cuando se ejerzan las facultades de comprobación de las autoridades fiscales previstas en este código.</w:t>
      </w:r>
    </w:p>
    <w:p w14:paraId="0E3A1706" w14:textId="77777777" w:rsidR="00D3344B" w:rsidRDefault="00D3344B">
      <w:pPr>
        <w:pStyle w:val="Estilo"/>
        <w:rPr>
          <w:rFonts w:cs="Arial"/>
        </w:rPr>
      </w:pPr>
    </w:p>
    <w:p w14:paraId="659200B8" w14:textId="77777777" w:rsidR="00D3344B" w:rsidRDefault="00143C25">
      <w:pPr>
        <w:pStyle w:val="Estilo"/>
        <w:rPr>
          <w:rFonts w:cs="Arial"/>
          <w:i/>
          <w:sz w:val="16"/>
          <w:szCs w:val="16"/>
        </w:rPr>
      </w:pPr>
      <w:r>
        <w:rPr>
          <w:rFonts w:cs="Arial"/>
          <w:i/>
          <w:sz w:val="16"/>
          <w:szCs w:val="16"/>
        </w:rPr>
        <w:t>(DEROGADO ÚLTIMO PÁRRAFO, P.O. 30 DE DICIEMBRE DE 2005)</w:t>
      </w:r>
    </w:p>
    <w:p w14:paraId="2D326DE2" w14:textId="77777777" w:rsidR="00D3344B" w:rsidRDefault="00D3344B">
      <w:pPr>
        <w:pStyle w:val="Estilo"/>
        <w:rPr>
          <w:rFonts w:cs="Arial"/>
        </w:rPr>
      </w:pPr>
    </w:p>
    <w:p w14:paraId="02AE452E" w14:textId="77777777" w:rsidR="00D3344B" w:rsidRDefault="00D3344B">
      <w:pPr>
        <w:pStyle w:val="Estilo"/>
        <w:rPr>
          <w:rFonts w:cs="Arial"/>
        </w:rPr>
      </w:pPr>
    </w:p>
    <w:p w14:paraId="72A0B386" w14:textId="77777777" w:rsidR="00D3344B" w:rsidRDefault="00143C25">
      <w:pPr>
        <w:pStyle w:val="Estilo"/>
        <w:jc w:val="center"/>
        <w:rPr>
          <w:rFonts w:cs="Arial"/>
          <w:b/>
        </w:rPr>
      </w:pPr>
      <w:r>
        <w:rPr>
          <w:rFonts w:cs="Arial"/>
          <w:b/>
        </w:rPr>
        <w:t>TÍTULO TERCERO</w:t>
      </w:r>
    </w:p>
    <w:p w14:paraId="1A141644" w14:textId="77777777" w:rsidR="00D3344B" w:rsidRDefault="00143C25">
      <w:pPr>
        <w:pStyle w:val="Estilo"/>
        <w:jc w:val="center"/>
        <w:rPr>
          <w:rFonts w:cs="Arial"/>
          <w:b/>
        </w:rPr>
      </w:pPr>
      <w:r>
        <w:rPr>
          <w:rFonts w:cs="Arial"/>
          <w:b/>
        </w:rPr>
        <w:t>LEYES DE INGRESOS DEL ESTADO Y MUNICIPIOS</w:t>
      </w:r>
    </w:p>
    <w:p w14:paraId="0FA6FF8E" w14:textId="77777777" w:rsidR="00D3344B" w:rsidRDefault="00D3344B">
      <w:pPr>
        <w:pStyle w:val="Estilo"/>
        <w:jc w:val="center"/>
        <w:rPr>
          <w:rFonts w:cs="Arial"/>
          <w:b/>
        </w:rPr>
      </w:pPr>
    </w:p>
    <w:p w14:paraId="14A69DB1" w14:textId="77777777" w:rsidR="00D3344B" w:rsidRDefault="00143C25">
      <w:pPr>
        <w:pStyle w:val="Estilo"/>
        <w:jc w:val="center"/>
        <w:rPr>
          <w:rFonts w:cs="Arial"/>
          <w:b/>
        </w:rPr>
      </w:pPr>
      <w:r>
        <w:rPr>
          <w:rFonts w:cs="Arial"/>
          <w:b/>
        </w:rPr>
        <w:t>Capítulo I</w:t>
      </w:r>
    </w:p>
    <w:p w14:paraId="56FC3E21" w14:textId="77777777" w:rsidR="00D3344B" w:rsidRDefault="00143C25">
      <w:pPr>
        <w:pStyle w:val="Estilo"/>
        <w:jc w:val="center"/>
        <w:rPr>
          <w:rFonts w:cs="Arial"/>
          <w:b/>
        </w:rPr>
      </w:pPr>
      <w:r>
        <w:rPr>
          <w:rFonts w:cs="Arial"/>
          <w:b/>
        </w:rPr>
        <w:t>Estimación de Los Ingresos</w:t>
      </w:r>
    </w:p>
    <w:p w14:paraId="25E865FC" w14:textId="77777777" w:rsidR="00D3344B" w:rsidRDefault="00D3344B">
      <w:pPr>
        <w:pStyle w:val="Estilo"/>
        <w:rPr>
          <w:rFonts w:cs="Arial"/>
        </w:rPr>
      </w:pPr>
    </w:p>
    <w:p w14:paraId="5F9D40E6" w14:textId="77777777" w:rsidR="00D3344B" w:rsidRDefault="00143C25">
      <w:pPr>
        <w:pStyle w:val="Estilo"/>
        <w:rPr>
          <w:rFonts w:cs="Arial"/>
        </w:rPr>
      </w:pPr>
      <w:r>
        <w:rPr>
          <w:rFonts w:cs="Arial"/>
          <w:b/>
        </w:rPr>
        <w:t>Artículo 80.</w:t>
      </w:r>
      <w:r>
        <w:rPr>
          <w:rFonts w:cs="Arial"/>
        </w:rPr>
        <w:t xml:space="preserve"> El Estado y los municipios, en su respectivo ámbito de competencia, estimarán los ingresos que durante un año fiscal deban percibir de conformidad con las bases establecidas en la Constitución Política de los Estados Unidos Mexicanos, la Constitución Política del Estado, en este código y en las demás disposiciones aplicables, la cual servirá de base para la elaboración de la iniciativa de Ley de Ingresos respectiva.</w:t>
      </w:r>
    </w:p>
    <w:p w14:paraId="2ECF94EB" w14:textId="77777777" w:rsidR="00D3344B" w:rsidRDefault="00D3344B">
      <w:pPr>
        <w:pStyle w:val="Estilo"/>
        <w:rPr>
          <w:rFonts w:cs="Arial"/>
        </w:rPr>
      </w:pPr>
    </w:p>
    <w:p w14:paraId="6C90BB48" w14:textId="77777777" w:rsidR="00D3344B" w:rsidRDefault="00143C25">
      <w:pPr>
        <w:pStyle w:val="Estilo"/>
        <w:rPr>
          <w:rFonts w:cs="Arial"/>
        </w:rPr>
      </w:pPr>
      <w:r>
        <w:rPr>
          <w:rFonts w:cs="Arial"/>
          <w:i/>
          <w:sz w:val="16"/>
        </w:rPr>
        <w:t>(ADICIONADO, P.O. 25 DE MAYO DE 2006)</w:t>
      </w:r>
    </w:p>
    <w:p w14:paraId="076DB70A" w14:textId="77777777" w:rsidR="00D3344B" w:rsidRDefault="00143C25">
      <w:pPr>
        <w:pStyle w:val="Estilo"/>
        <w:rPr>
          <w:rFonts w:cs="Arial"/>
        </w:rPr>
      </w:pPr>
      <w:r>
        <w:rPr>
          <w:rFonts w:cs="Arial"/>
        </w:rPr>
        <w:t xml:space="preserve">Cualquier disposición en contrario podrá ser subsanada y modificada por el Congreso del Estado antes de emitir el Dictamen correspondiente. La Comisión ordinaria competente, a través de su </w:t>
      </w:r>
      <w:proofErr w:type="gramStart"/>
      <w:r>
        <w:rPr>
          <w:rFonts w:cs="Arial"/>
        </w:rPr>
        <w:t>Presidente</w:t>
      </w:r>
      <w:proofErr w:type="gramEnd"/>
      <w:r>
        <w:rPr>
          <w:rFonts w:cs="Arial"/>
        </w:rPr>
        <w:t>, podrá citar al ayuntamiento para realizar las modificaciones correspondientes a su iniciativa de ley de ingresos.</w:t>
      </w:r>
    </w:p>
    <w:p w14:paraId="1713B41B" w14:textId="77777777" w:rsidR="00D3344B" w:rsidRDefault="00D3344B">
      <w:pPr>
        <w:pStyle w:val="Estilo"/>
        <w:rPr>
          <w:rFonts w:cs="Arial"/>
        </w:rPr>
      </w:pPr>
    </w:p>
    <w:p w14:paraId="69F12F7F" w14:textId="77777777" w:rsidR="00D3344B" w:rsidRDefault="00143C25">
      <w:pPr>
        <w:pStyle w:val="Estilo"/>
        <w:rPr>
          <w:rFonts w:cs="Arial"/>
        </w:rPr>
      </w:pPr>
      <w:r>
        <w:rPr>
          <w:rFonts w:cs="Arial"/>
          <w:b/>
        </w:rPr>
        <w:t>Artículo 81.</w:t>
      </w:r>
      <w:r>
        <w:rPr>
          <w:rFonts w:cs="Arial"/>
        </w:rPr>
        <w:t xml:space="preserve"> Todos los ingresos que tenga derecho a percibir el Estado o los municipios, serán recaudados y administrados por sus autoridades fiscales de acuerdo a las leyes en la materia.</w:t>
      </w:r>
    </w:p>
    <w:p w14:paraId="64B8041C" w14:textId="77777777" w:rsidR="00D3344B" w:rsidRDefault="00D3344B">
      <w:pPr>
        <w:pStyle w:val="Estilo"/>
        <w:rPr>
          <w:rFonts w:cs="Arial"/>
        </w:rPr>
      </w:pPr>
    </w:p>
    <w:p w14:paraId="0282925F" w14:textId="77777777" w:rsidR="00D3344B" w:rsidRDefault="00143C25">
      <w:pPr>
        <w:pStyle w:val="Estilo"/>
        <w:rPr>
          <w:rFonts w:cs="Arial"/>
        </w:rPr>
      </w:pPr>
      <w:r>
        <w:rPr>
          <w:rFonts w:cs="Arial"/>
          <w:b/>
        </w:rPr>
        <w:t>Artículo 82.</w:t>
      </w:r>
      <w:r>
        <w:rPr>
          <w:rFonts w:cs="Arial"/>
        </w:rPr>
        <w:t xml:space="preserve"> La Secretaría y las tesorerías serán las encargadas de formular la estimación de sus ingresos, con base en las políticas y criterios generales que se establezcan. Para tal efecto atenderán a:</w:t>
      </w:r>
    </w:p>
    <w:p w14:paraId="66360513" w14:textId="77777777" w:rsidR="00D3344B" w:rsidRDefault="00D3344B">
      <w:pPr>
        <w:pStyle w:val="Estilo"/>
        <w:rPr>
          <w:rFonts w:cs="Arial"/>
        </w:rPr>
      </w:pPr>
    </w:p>
    <w:p w14:paraId="416D9D72" w14:textId="77777777" w:rsidR="00D3344B" w:rsidRDefault="00143C25">
      <w:pPr>
        <w:pStyle w:val="Estilo"/>
        <w:ind w:left="567" w:hanging="567"/>
        <w:rPr>
          <w:rFonts w:cs="Arial"/>
        </w:rPr>
      </w:pPr>
      <w:r>
        <w:rPr>
          <w:rFonts w:cs="Arial"/>
        </w:rPr>
        <w:t xml:space="preserve">I. </w:t>
      </w:r>
      <w:r>
        <w:rPr>
          <w:rFonts w:cs="Arial"/>
        </w:rPr>
        <w:tab/>
        <w:t>La estimación de los ingresos correspondientes al cierre del ejercicio en curso;</w:t>
      </w:r>
    </w:p>
    <w:p w14:paraId="253DEC57" w14:textId="77777777" w:rsidR="00D3344B" w:rsidRDefault="00D3344B">
      <w:pPr>
        <w:pStyle w:val="Estilo"/>
        <w:ind w:left="567" w:hanging="567"/>
        <w:rPr>
          <w:rFonts w:cs="Arial"/>
        </w:rPr>
      </w:pPr>
    </w:p>
    <w:p w14:paraId="53A09BD9" w14:textId="77777777" w:rsidR="00D3344B" w:rsidRDefault="00143C25">
      <w:pPr>
        <w:pStyle w:val="Estilo"/>
        <w:ind w:left="567" w:hanging="567"/>
        <w:rPr>
          <w:rFonts w:cs="Arial"/>
        </w:rPr>
      </w:pPr>
      <w:r>
        <w:rPr>
          <w:rFonts w:cs="Arial"/>
        </w:rPr>
        <w:t xml:space="preserve">II. </w:t>
      </w:r>
      <w:r>
        <w:rPr>
          <w:rFonts w:cs="Arial"/>
        </w:rPr>
        <w:tab/>
        <w:t>Los ingresos provenientes de la Coordinación Fiscal y Hacendaria;</w:t>
      </w:r>
    </w:p>
    <w:p w14:paraId="5387B04B" w14:textId="77777777" w:rsidR="00D3344B" w:rsidRDefault="00D3344B">
      <w:pPr>
        <w:pStyle w:val="Estilo"/>
        <w:ind w:left="567" w:hanging="567"/>
        <w:rPr>
          <w:rFonts w:cs="Arial"/>
        </w:rPr>
      </w:pPr>
    </w:p>
    <w:p w14:paraId="17830CA2" w14:textId="77777777" w:rsidR="00D3344B" w:rsidRDefault="00143C25">
      <w:pPr>
        <w:pStyle w:val="Estilo"/>
        <w:ind w:left="567" w:hanging="567"/>
        <w:rPr>
          <w:rFonts w:cs="Arial"/>
        </w:rPr>
      </w:pPr>
      <w:r>
        <w:rPr>
          <w:rFonts w:cs="Arial"/>
        </w:rPr>
        <w:t xml:space="preserve">III. </w:t>
      </w:r>
      <w:r>
        <w:rPr>
          <w:rFonts w:cs="Arial"/>
        </w:rPr>
        <w:tab/>
        <w:t>Los ingresos propios;</w:t>
      </w:r>
    </w:p>
    <w:p w14:paraId="19885F19" w14:textId="77777777" w:rsidR="00D3344B" w:rsidRDefault="00D3344B">
      <w:pPr>
        <w:pStyle w:val="Estilo"/>
        <w:ind w:left="567" w:hanging="567"/>
        <w:rPr>
          <w:rFonts w:cs="Arial"/>
        </w:rPr>
      </w:pPr>
    </w:p>
    <w:p w14:paraId="1FB4F70F" w14:textId="77777777" w:rsidR="00D3344B" w:rsidRDefault="00143C25">
      <w:pPr>
        <w:pStyle w:val="Estilo"/>
        <w:ind w:left="567" w:hanging="567"/>
        <w:rPr>
          <w:rFonts w:cs="Arial"/>
        </w:rPr>
      </w:pPr>
      <w:r>
        <w:rPr>
          <w:rFonts w:cs="Arial"/>
        </w:rPr>
        <w:t xml:space="preserve">IV. </w:t>
      </w:r>
      <w:r>
        <w:rPr>
          <w:rFonts w:cs="Arial"/>
        </w:rPr>
        <w:tab/>
        <w:t>Los ingresos relativos a adeudos anteriores al ejercicio;</w:t>
      </w:r>
    </w:p>
    <w:p w14:paraId="7C76BE08" w14:textId="77777777" w:rsidR="00D3344B" w:rsidRDefault="00D3344B">
      <w:pPr>
        <w:pStyle w:val="Estilo"/>
        <w:ind w:left="567" w:hanging="567"/>
        <w:rPr>
          <w:rFonts w:cs="Arial"/>
        </w:rPr>
      </w:pPr>
    </w:p>
    <w:p w14:paraId="726532F6" w14:textId="77777777" w:rsidR="00D3344B" w:rsidRDefault="00143C25">
      <w:pPr>
        <w:pStyle w:val="Estilo"/>
        <w:ind w:left="567" w:hanging="567"/>
        <w:rPr>
          <w:rFonts w:cs="Arial"/>
        </w:rPr>
      </w:pPr>
      <w:r>
        <w:rPr>
          <w:rFonts w:cs="Arial"/>
        </w:rPr>
        <w:t xml:space="preserve">V. </w:t>
      </w:r>
      <w:r>
        <w:rPr>
          <w:rFonts w:cs="Arial"/>
        </w:rPr>
        <w:tab/>
        <w:t>Las transferencias de la Federación o del Estado, y</w:t>
      </w:r>
    </w:p>
    <w:p w14:paraId="2F610386" w14:textId="77777777" w:rsidR="00D3344B" w:rsidRDefault="00D3344B">
      <w:pPr>
        <w:pStyle w:val="Estilo"/>
        <w:ind w:left="567" w:hanging="567"/>
        <w:rPr>
          <w:rFonts w:cs="Arial"/>
        </w:rPr>
      </w:pPr>
    </w:p>
    <w:p w14:paraId="37D104C5" w14:textId="77777777" w:rsidR="00D3344B" w:rsidRDefault="00143C25">
      <w:pPr>
        <w:pStyle w:val="Estilo"/>
        <w:ind w:left="567" w:hanging="567"/>
        <w:rPr>
          <w:rFonts w:cs="Arial"/>
        </w:rPr>
      </w:pPr>
      <w:r>
        <w:rPr>
          <w:rFonts w:cs="Arial"/>
        </w:rPr>
        <w:t xml:space="preserve">VI. </w:t>
      </w:r>
      <w:r>
        <w:rPr>
          <w:rFonts w:cs="Arial"/>
        </w:rPr>
        <w:tab/>
        <w:t>Las expectativas de los ingresos derivados del financiamiento o deuda pública y otros.</w:t>
      </w:r>
    </w:p>
    <w:p w14:paraId="68B0D248" w14:textId="77777777" w:rsidR="00D3344B" w:rsidRDefault="00D3344B">
      <w:pPr>
        <w:pStyle w:val="Estilo"/>
        <w:rPr>
          <w:rFonts w:cs="Arial"/>
        </w:rPr>
      </w:pPr>
    </w:p>
    <w:p w14:paraId="627FF064" w14:textId="77777777" w:rsidR="00D3344B" w:rsidRDefault="00143C25">
      <w:pPr>
        <w:pStyle w:val="Estilo"/>
        <w:rPr>
          <w:rFonts w:cs="Arial"/>
        </w:rPr>
      </w:pPr>
      <w:r>
        <w:rPr>
          <w:rFonts w:cs="Arial"/>
        </w:rPr>
        <w:lastRenderedPageBreak/>
        <w:t>Las estimaciones de los ingresos deberán ser calendarizadas por mes.</w:t>
      </w:r>
    </w:p>
    <w:p w14:paraId="61361D2B" w14:textId="77777777" w:rsidR="00D3344B" w:rsidRDefault="00D3344B">
      <w:pPr>
        <w:pStyle w:val="Estilo"/>
        <w:rPr>
          <w:rFonts w:cs="Arial"/>
        </w:rPr>
      </w:pPr>
    </w:p>
    <w:p w14:paraId="7409E996" w14:textId="77777777" w:rsidR="00D3344B" w:rsidRDefault="00143C25">
      <w:pPr>
        <w:pStyle w:val="Estilo"/>
        <w:rPr>
          <w:rFonts w:cs="Arial"/>
        </w:rPr>
      </w:pPr>
      <w:r>
        <w:rPr>
          <w:rFonts w:cs="Arial"/>
          <w:i/>
          <w:sz w:val="16"/>
        </w:rPr>
        <w:t>(REFORMADO PRIMER PÁRRAFO, P.O. 25 DE MAYO DE 2006)</w:t>
      </w:r>
    </w:p>
    <w:p w14:paraId="3B532012" w14:textId="77777777" w:rsidR="00D3344B" w:rsidRDefault="00143C25">
      <w:pPr>
        <w:pStyle w:val="Estilo"/>
        <w:rPr>
          <w:rFonts w:cs="Arial"/>
        </w:rPr>
      </w:pPr>
      <w:r>
        <w:rPr>
          <w:rFonts w:cs="Arial"/>
          <w:b/>
        </w:rPr>
        <w:t>Artículo 83.</w:t>
      </w:r>
      <w:r>
        <w:rPr>
          <w:rFonts w:cs="Arial"/>
        </w:rPr>
        <w:t>- Las dependencias y entidades que presten servicios que den lugar al pago de aprovechamientos, derechos y productos, enviarán a la Secretaría a más tardar el último día hábil del mes de agosto del año que corresponda, la estimación de la recaudación de los mismos, para su consideración en la estimación de ingresos correspondientes.</w:t>
      </w:r>
    </w:p>
    <w:p w14:paraId="7F0220B0" w14:textId="77777777" w:rsidR="00D3344B" w:rsidRDefault="00D3344B">
      <w:pPr>
        <w:pStyle w:val="Estilo"/>
        <w:rPr>
          <w:rFonts w:cs="Arial"/>
        </w:rPr>
      </w:pPr>
    </w:p>
    <w:p w14:paraId="0FACEB17" w14:textId="77777777" w:rsidR="00D3344B" w:rsidRDefault="00143C25">
      <w:pPr>
        <w:pStyle w:val="Estilo"/>
        <w:rPr>
          <w:rFonts w:cs="Arial"/>
        </w:rPr>
      </w:pPr>
      <w:r>
        <w:rPr>
          <w:rFonts w:cs="Arial"/>
          <w:i/>
          <w:sz w:val="16"/>
        </w:rPr>
        <w:t>(ADICIONADO, P.O. 25 DE MAYO DE 2006)</w:t>
      </w:r>
    </w:p>
    <w:p w14:paraId="77C37B3D" w14:textId="77777777" w:rsidR="00D3344B" w:rsidRDefault="00143C25">
      <w:pPr>
        <w:pStyle w:val="Estilo"/>
        <w:rPr>
          <w:rFonts w:cs="Arial"/>
        </w:rPr>
      </w:pPr>
      <w:r>
        <w:rPr>
          <w:rFonts w:cs="Arial"/>
        </w:rPr>
        <w:t>En el caso de las dependencias y entidades de la administración pública municipal, enviarán la información a las tesorerías, a más tardar el último día hábil del mes de agosto del año que corresponda, la estimación de la recaudación de los mismos, para su consideración en la estimación de ingresos correspondientes.</w:t>
      </w:r>
    </w:p>
    <w:p w14:paraId="215BC19B" w14:textId="77777777" w:rsidR="00D3344B" w:rsidRDefault="00D3344B">
      <w:pPr>
        <w:pStyle w:val="Estilo"/>
        <w:rPr>
          <w:rFonts w:cs="Arial"/>
        </w:rPr>
      </w:pPr>
    </w:p>
    <w:p w14:paraId="581F2742" w14:textId="77777777" w:rsidR="00D3344B" w:rsidRDefault="00143C25">
      <w:pPr>
        <w:pStyle w:val="Estilo"/>
        <w:rPr>
          <w:rFonts w:cs="Arial"/>
        </w:rPr>
      </w:pPr>
      <w:r>
        <w:rPr>
          <w:rFonts w:cs="Arial"/>
        </w:rPr>
        <w:t>Asimismo, darán a conocer las acciones y procedimientos administrativos que pretendan instrumentar en el siguiente ejercicio fiscal, para el cumplimiento de la estimación de ingresos fijada.</w:t>
      </w:r>
    </w:p>
    <w:p w14:paraId="3E31E18C" w14:textId="77777777" w:rsidR="00D3344B" w:rsidRDefault="00D3344B">
      <w:pPr>
        <w:pStyle w:val="Estilo"/>
        <w:rPr>
          <w:rFonts w:cs="Arial"/>
        </w:rPr>
      </w:pPr>
    </w:p>
    <w:p w14:paraId="1AA69825" w14:textId="77777777" w:rsidR="00D3344B" w:rsidRDefault="00143C25">
      <w:pPr>
        <w:pStyle w:val="Estilo"/>
        <w:rPr>
          <w:rFonts w:cs="Arial"/>
        </w:rPr>
      </w:pPr>
      <w:r>
        <w:rPr>
          <w:rFonts w:cs="Arial"/>
          <w:b/>
        </w:rPr>
        <w:t>Artículo 84.</w:t>
      </w:r>
      <w:r>
        <w:rPr>
          <w:rFonts w:cs="Arial"/>
        </w:rPr>
        <w:t xml:space="preserve"> Para la formulación de la estimación de ingresos del Estado, la Secretaría estará facultada para solicitar a los municipios y a todas las dependencias y entidades públicas, la información que considere necesaria para tal efecto.</w:t>
      </w:r>
    </w:p>
    <w:p w14:paraId="04278695" w14:textId="77777777" w:rsidR="00D3344B" w:rsidRDefault="00D3344B">
      <w:pPr>
        <w:pStyle w:val="Estilo"/>
        <w:rPr>
          <w:rFonts w:cs="Arial"/>
        </w:rPr>
      </w:pPr>
    </w:p>
    <w:p w14:paraId="7B62AC03" w14:textId="77777777" w:rsidR="00D3344B" w:rsidRDefault="00143C25">
      <w:pPr>
        <w:pStyle w:val="Estilo"/>
        <w:jc w:val="center"/>
        <w:rPr>
          <w:rFonts w:cs="Arial"/>
          <w:b/>
        </w:rPr>
      </w:pPr>
      <w:r>
        <w:rPr>
          <w:rFonts w:cs="Arial"/>
          <w:b/>
        </w:rPr>
        <w:t>Capítulo II</w:t>
      </w:r>
    </w:p>
    <w:p w14:paraId="136DDD8A" w14:textId="77777777" w:rsidR="00D3344B" w:rsidRDefault="00143C25">
      <w:pPr>
        <w:pStyle w:val="Estilo"/>
        <w:jc w:val="center"/>
        <w:rPr>
          <w:rFonts w:cs="Arial"/>
          <w:b/>
        </w:rPr>
      </w:pPr>
      <w:r>
        <w:rPr>
          <w:rFonts w:cs="Arial"/>
          <w:b/>
        </w:rPr>
        <w:t>Iniciativas de Leyes de Ingresos</w:t>
      </w:r>
    </w:p>
    <w:p w14:paraId="78D8A0B7" w14:textId="77777777" w:rsidR="00D3344B" w:rsidRDefault="00D3344B">
      <w:pPr>
        <w:pStyle w:val="Estilo"/>
        <w:rPr>
          <w:rFonts w:cs="Arial"/>
        </w:rPr>
      </w:pPr>
    </w:p>
    <w:p w14:paraId="299A856B" w14:textId="77777777" w:rsidR="00D3344B" w:rsidRDefault="00143C25">
      <w:pPr>
        <w:pStyle w:val="Estilo"/>
        <w:rPr>
          <w:rFonts w:cs="Arial"/>
        </w:rPr>
      </w:pPr>
      <w:r>
        <w:rPr>
          <w:rFonts w:cs="Arial"/>
          <w:i/>
          <w:sz w:val="16"/>
        </w:rPr>
        <w:t>(REFORMADO, P.O. 16 DE NOVIEMBRE DE 2016)</w:t>
      </w:r>
    </w:p>
    <w:p w14:paraId="27FD13F1" w14:textId="77777777" w:rsidR="00D3344B" w:rsidRDefault="00143C25">
      <w:pPr>
        <w:pStyle w:val="Estilo"/>
        <w:rPr>
          <w:rFonts w:cs="Arial"/>
        </w:rPr>
      </w:pPr>
      <w:r>
        <w:rPr>
          <w:rFonts w:cs="Arial"/>
          <w:b/>
        </w:rPr>
        <w:t>Artículo 85.</w:t>
      </w:r>
      <w:r>
        <w:rPr>
          <w:rFonts w:cs="Arial"/>
        </w:rPr>
        <w:t xml:space="preserve"> Con base en la estimación de ingresos, la Secretaría elaborará el proyecto de iniciativa de Ley de Ingresos del Estado, el cual someterá, con la debida oportunidad, a consideración del Gobernador del Estado.</w:t>
      </w:r>
    </w:p>
    <w:p w14:paraId="32F2D5A0" w14:textId="77777777" w:rsidR="00D3344B" w:rsidRDefault="00D3344B">
      <w:pPr>
        <w:pStyle w:val="Estilo"/>
        <w:rPr>
          <w:rFonts w:cs="Arial"/>
        </w:rPr>
      </w:pPr>
    </w:p>
    <w:p w14:paraId="258BD50D" w14:textId="69618956" w:rsidR="001208E3" w:rsidRPr="001208E3" w:rsidRDefault="001208E3" w:rsidP="001208E3">
      <w:pPr>
        <w:pStyle w:val="Estilo"/>
        <w:rPr>
          <w:rFonts w:cs="Arial"/>
          <w:sz w:val="16"/>
          <w:szCs w:val="16"/>
        </w:rPr>
      </w:pPr>
      <w:r>
        <w:rPr>
          <w:rFonts w:cs="Arial"/>
          <w:sz w:val="16"/>
          <w:szCs w:val="16"/>
        </w:rPr>
        <w:t>(REFORMADO, P.O. 11 DE ABRIL DE 2024)</w:t>
      </w:r>
    </w:p>
    <w:p w14:paraId="28FA2322" w14:textId="740CAE69" w:rsidR="00D3344B" w:rsidRDefault="001208E3" w:rsidP="001208E3">
      <w:pPr>
        <w:pStyle w:val="Estilo"/>
        <w:rPr>
          <w:rFonts w:cs="Arial"/>
        </w:rPr>
      </w:pPr>
      <w:r w:rsidRPr="001208E3">
        <w:rPr>
          <w:rFonts w:cs="Arial"/>
        </w:rPr>
        <w:t>Las iniciativas de Leyes de Ingresos del Estado y</w:t>
      </w:r>
      <w:r>
        <w:rPr>
          <w:rFonts w:cs="Arial"/>
        </w:rPr>
        <w:t xml:space="preserve"> </w:t>
      </w:r>
      <w:r w:rsidRPr="001208E3">
        <w:rPr>
          <w:rFonts w:cs="Arial"/>
        </w:rPr>
        <w:t>de los Municipios, deberán elaborarse</w:t>
      </w:r>
      <w:r>
        <w:rPr>
          <w:rFonts w:cs="Arial"/>
        </w:rPr>
        <w:t xml:space="preserve"> </w:t>
      </w:r>
      <w:r w:rsidRPr="001208E3">
        <w:rPr>
          <w:rFonts w:cs="Arial"/>
        </w:rPr>
        <w:t>considerando para tal efecto, el antecedente de la</w:t>
      </w:r>
      <w:r>
        <w:rPr>
          <w:rFonts w:cs="Arial"/>
        </w:rPr>
        <w:t xml:space="preserve"> </w:t>
      </w:r>
      <w:r w:rsidRPr="001208E3">
        <w:rPr>
          <w:rFonts w:cs="Arial"/>
        </w:rPr>
        <w:t>recaudación obtenida con estimación al cierre del</w:t>
      </w:r>
      <w:r>
        <w:rPr>
          <w:rFonts w:cs="Arial"/>
        </w:rPr>
        <w:t xml:space="preserve"> </w:t>
      </w:r>
      <w:r w:rsidRPr="001208E3">
        <w:rPr>
          <w:rFonts w:cs="Arial"/>
        </w:rPr>
        <w:t>ejercicio inmediato anterior, así como las acciones</w:t>
      </w:r>
      <w:r>
        <w:rPr>
          <w:rFonts w:cs="Arial"/>
        </w:rPr>
        <w:t xml:space="preserve"> </w:t>
      </w:r>
      <w:r w:rsidRPr="001208E3">
        <w:rPr>
          <w:rFonts w:cs="Arial"/>
        </w:rPr>
        <w:t>y programas a implementar, que tengan como</w:t>
      </w:r>
      <w:r>
        <w:rPr>
          <w:rFonts w:cs="Arial"/>
        </w:rPr>
        <w:t xml:space="preserve"> </w:t>
      </w:r>
      <w:r w:rsidRPr="001208E3">
        <w:rPr>
          <w:rFonts w:cs="Arial"/>
        </w:rPr>
        <w:t>objetivo el aumento en la recaudación para el año</w:t>
      </w:r>
      <w:r>
        <w:rPr>
          <w:rFonts w:cs="Arial"/>
        </w:rPr>
        <w:t xml:space="preserve"> </w:t>
      </w:r>
      <w:r w:rsidRPr="001208E3">
        <w:rPr>
          <w:rFonts w:cs="Arial"/>
        </w:rPr>
        <w:t>proyectado, tomando en consideración para todo</w:t>
      </w:r>
      <w:r>
        <w:rPr>
          <w:rFonts w:cs="Arial"/>
        </w:rPr>
        <w:t xml:space="preserve"> </w:t>
      </w:r>
      <w:r w:rsidRPr="001208E3">
        <w:rPr>
          <w:rFonts w:cs="Arial"/>
        </w:rPr>
        <w:t>incremento en las contribuciones, los principios</w:t>
      </w:r>
      <w:r>
        <w:rPr>
          <w:rFonts w:cs="Arial"/>
        </w:rPr>
        <w:t xml:space="preserve"> </w:t>
      </w:r>
      <w:r w:rsidRPr="001208E3">
        <w:rPr>
          <w:rFonts w:cs="Arial"/>
        </w:rPr>
        <w:t>constitucionales de proporcionalidad y equidad, y</w:t>
      </w:r>
      <w:r>
        <w:rPr>
          <w:rFonts w:cs="Arial"/>
        </w:rPr>
        <w:t xml:space="preserve"> </w:t>
      </w:r>
      <w:r w:rsidRPr="001208E3">
        <w:rPr>
          <w:rFonts w:cs="Arial"/>
        </w:rPr>
        <w:t>ser acordes a la legislación estatal aplicable, así</w:t>
      </w:r>
      <w:r>
        <w:rPr>
          <w:rFonts w:cs="Arial"/>
        </w:rPr>
        <w:t xml:space="preserve"> </w:t>
      </w:r>
      <w:r w:rsidRPr="001208E3">
        <w:rPr>
          <w:rFonts w:cs="Arial"/>
        </w:rPr>
        <w:t>como en términos de la Ley General de</w:t>
      </w:r>
      <w:r>
        <w:rPr>
          <w:rFonts w:cs="Arial"/>
        </w:rPr>
        <w:t xml:space="preserve"> </w:t>
      </w:r>
      <w:r w:rsidRPr="001208E3">
        <w:rPr>
          <w:rFonts w:cs="Arial"/>
        </w:rPr>
        <w:t>Contabilidad Gubernamental, Ley de Disciplina</w:t>
      </w:r>
      <w:r>
        <w:rPr>
          <w:rFonts w:cs="Arial"/>
        </w:rPr>
        <w:t xml:space="preserve"> </w:t>
      </w:r>
      <w:r w:rsidRPr="001208E3">
        <w:rPr>
          <w:rFonts w:cs="Arial"/>
        </w:rPr>
        <w:t>Financiera de las Entidades Federativas y los</w:t>
      </w:r>
      <w:r>
        <w:rPr>
          <w:rFonts w:cs="Arial"/>
        </w:rPr>
        <w:t xml:space="preserve"> </w:t>
      </w:r>
      <w:r w:rsidRPr="001208E3">
        <w:rPr>
          <w:rFonts w:cs="Arial"/>
        </w:rPr>
        <w:t>Municipios, las normas que para tal efecto emita</w:t>
      </w:r>
      <w:r>
        <w:rPr>
          <w:rFonts w:cs="Arial"/>
        </w:rPr>
        <w:t xml:space="preserve"> </w:t>
      </w:r>
      <w:r w:rsidRPr="001208E3">
        <w:rPr>
          <w:rFonts w:cs="Arial"/>
        </w:rPr>
        <w:t>el Consejo Nacional de Armonización Contable,</w:t>
      </w:r>
      <w:r>
        <w:rPr>
          <w:rFonts w:cs="Arial"/>
        </w:rPr>
        <w:t xml:space="preserve"> </w:t>
      </w:r>
      <w:r w:rsidRPr="001208E3">
        <w:rPr>
          <w:rFonts w:cs="Arial"/>
        </w:rPr>
        <w:t>con base en objetivos, parámetros cuantificables e</w:t>
      </w:r>
      <w:r>
        <w:rPr>
          <w:rFonts w:cs="Arial"/>
        </w:rPr>
        <w:t xml:space="preserve"> </w:t>
      </w:r>
      <w:r w:rsidRPr="001208E3">
        <w:rPr>
          <w:rFonts w:cs="Arial"/>
        </w:rPr>
        <w:t>indicadores del desempeño.</w:t>
      </w:r>
    </w:p>
    <w:p w14:paraId="1F22982F" w14:textId="77777777" w:rsidR="00D3344B" w:rsidRDefault="00D3344B">
      <w:pPr>
        <w:pStyle w:val="Estilo"/>
        <w:rPr>
          <w:rFonts w:cs="Arial"/>
        </w:rPr>
      </w:pPr>
    </w:p>
    <w:p w14:paraId="0D350BD5" w14:textId="77777777" w:rsidR="00D3344B" w:rsidRDefault="00143C25">
      <w:pPr>
        <w:pStyle w:val="Estilo"/>
        <w:rPr>
          <w:rFonts w:cs="Arial"/>
        </w:rPr>
      </w:pPr>
      <w:r>
        <w:rPr>
          <w:rFonts w:cs="Arial"/>
        </w:rPr>
        <w:t xml:space="preserve">La Iniciativa de Ley de Ingresos, deberá ser congruente con el Plan Estatal de Desarrollo y los programas derivados del mismo, e incluirá los requisitos mínimos </w:t>
      </w:r>
      <w:r>
        <w:rPr>
          <w:rFonts w:cs="Arial"/>
        </w:rPr>
        <w:lastRenderedPageBreak/>
        <w:t>para el Presupuesto de Egresos, contenidos en las fracciones de la I a la VI del artículo 273 del presente; para el caso de las Leyes de Ingresos de los Municipios, deberán ser congruentes adicionalmente con sus respectivos Planes Municipales de Desarrollo, y los programas derivados de los mismos.</w:t>
      </w:r>
    </w:p>
    <w:p w14:paraId="4713AC2A" w14:textId="77777777" w:rsidR="00D3344B" w:rsidRDefault="00D3344B">
      <w:pPr>
        <w:pStyle w:val="Estilo"/>
        <w:rPr>
          <w:rFonts w:cs="Arial"/>
        </w:rPr>
      </w:pPr>
    </w:p>
    <w:p w14:paraId="58C0B387" w14:textId="77777777" w:rsidR="00D3344B" w:rsidRDefault="00143C25">
      <w:pPr>
        <w:pStyle w:val="Estilo"/>
        <w:rPr>
          <w:rFonts w:cs="Arial"/>
        </w:rPr>
      </w:pPr>
      <w:r>
        <w:rPr>
          <w:rFonts w:cs="Arial"/>
        </w:rPr>
        <w:t>Adicionalmente, las iniciativas de Leyes de ingresos del Estado y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 así como aquellas transferencias del Estado, para el caso de los Municipios.</w:t>
      </w:r>
    </w:p>
    <w:p w14:paraId="73B42DF0" w14:textId="77777777" w:rsidR="00D3344B" w:rsidRDefault="00D3344B">
      <w:pPr>
        <w:pStyle w:val="Estilo"/>
        <w:rPr>
          <w:rFonts w:cs="Arial"/>
        </w:rPr>
      </w:pPr>
    </w:p>
    <w:p w14:paraId="62533F9B" w14:textId="77777777" w:rsidR="00D3344B" w:rsidRDefault="00143C25">
      <w:pPr>
        <w:pStyle w:val="Estilo"/>
        <w:rPr>
          <w:rFonts w:cs="Arial"/>
        </w:rPr>
      </w:pPr>
      <w:r>
        <w:rPr>
          <w:rFonts w:cs="Arial"/>
        </w:rPr>
        <w:t>La Secretaría proporcionará a las tesorerías, los elementos, asesoría e información que requieran para el cálculo y contenido de los ingresos que deberá prever en su ley de ingresos correspondiente.</w:t>
      </w:r>
    </w:p>
    <w:p w14:paraId="2EBBFB0C" w14:textId="77777777" w:rsidR="00D3344B" w:rsidRDefault="00D3344B">
      <w:pPr>
        <w:pStyle w:val="Estilo"/>
        <w:rPr>
          <w:rFonts w:cs="Arial"/>
        </w:rPr>
      </w:pPr>
    </w:p>
    <w:p w14:paraId="7C9AB7C0" w14:textId="77777777" w:rsidR="00D3344B" w:rsidRDefault="00143C25">
      <w:pPr>
        <w:pStyle w:val="Estilo"/>
        <w:rPr>
          <w:rFonts w:cs="Arial"/>
        </w:rPr>
      </w:pPr>
      <w:r>
        <w:rPr>
          <w:rFonts w:cs="Arial"/>
        </w:rPr>
        <w:t xml:space="preserve">Los ayuntamientos en los primeros quince días del mes de julio de cada año, solicitarán al </w:t>
      </w:r>
      <w:proofErr w:type="gramStart"/>
      <w:r>
        <w:rPr>
          <w:rFonts w:cs="Arial"/>
        </w:rPr>
        <w:t>Presidente</w:t>
      </w:r>
      <w:proofErr w:type="gramEnd"/>
      <w:r>
        <w:rPr>
          <w:rFonts w:cs="Arial"/>
        </w:rPr>
        <w:t xml:space="preserve"> de la Comisión Ordinaria competente, del Congreso del Estado, el Formato que deberán observar en la elaboración de su ley de ingresos respectiva en cuanto a la forma.</w:t>
      </w:r>
    </w:p>
    <w:p w14:paraId="56882A06" w14:textId="77777777" w:rsidR="00D3344B" w:rsidRDefault="00D3344B">
      <w:pPr>
        <w:pStyle w:val="Estilo"/>
        <w:rPr>
          <w:rFonts w:cs="Arial"/>
        </w:rPr>
      </w:pPr>
    </w:p>
    <w:p w14:paraId="40C109F6" w14:textId="77777777" w:rsidR="00D3344B" w:rsidRDefault="00143C25">
      <w:pPr>
        <w:pStyle w:val="Estilo"/>
        <w:rPr>
          <w:rFonts w:cs="Arial"/>
        </w:rPr>
      </w:pPr>
      <w:r>
        <w:rPr>
          <w:rFonts w:cs="Arial"/>
          <w:i/>
          <w:sz w:val="16"/>
        </w:rPr>
        <w:t>(REFORMADO PRIMER PÁRRAFO, P.O. 25 DE MAYO DE 2006)</w:t>
      </w:r>
    </w:p>
    <w:p w14:paraId="48A7FDC8" w14:textId="77777777" w:rsidR="00D3344B" w:rsidRDefault="00143C25">
      <w:pPr>
        <w:pStyle w:val="Estilo"/>
        <w:rPr>
          <w:rFonts w:cs="Arial"/>
        </w:rPr>
      </w:pPr>
      <w:r>
        <w:rPr>
          <w:rFonts w:cs="Arial"/>
          <w:b/>
        </w:rPr>
        <w:t>Artículo 86.</w:t>
      </w:r>
      <w:r>
        <w:rPr>
          <w:rFonts w:cs="Arial"/>
        </w:rPr>
        <w:t>- La iniciativa de Ley de Ingresos del Estado se presentará en términos de lo que dispone la Constitución local.</w:t>
      </w:r>
    </w:p>
    <w:p w14:paraId="6FBFAC35" w14:textId="77777777" w:rsidR="00D3344B" w:rsidRDefault="00D3344B">
      <w:pPr>
        <w:pStyle w:val="Estilo"/>
        <w:rPr>
          <w:rFonts w:cs="Arial"/>
        </w:rPr>
      </w:pPr>
    </w:p>
    <w:p w14:paraId="273E6331" w14:textId="77777777" w:rsidR="00D3344B" w:rsidRDefault="00143C25">
      <w:pPr>
        <w:pStyle w:val="Estilo"/>
        <w:rPr>
          <w:rFonts w:cs="Arial"/>
        </w:rPr>
      </w:pPr>
      <w:r>
        <w:rPr>
          <w:rFonts w:cs="Arial"/>
          <w:i/>
          <w:sz w:val="16"/>
        </w:rPr>
        <w:t>(REFORMADO [N. DE E. ADICIONADO], P.O. 25 DE MAYO DE 2006)</w:t>
      </w:r>
    </w:p>
    <w:p w14:paraId="1F70250C" w14:textId="77777777" w:rsidR="00D3344B" w:rsidRDefault="00143C25">
      <w:pPr>
        <w:pStyle w:val="Estilo"/>
        <w:rPr>
          <w:rFonts w:cs="Arial"/>
        </w:rPr>
      </w:pPr>
      <w:r>
        <w:rPr>
          <w:rFonts w:cs="Arial"/>
        </w:rPr>
        <w:t>Los ayuntamientos deberán presentar ante el Congreso del Estado, su iniciativa de Ley de Ingresos a más tardar el último día hábil del mes de septiembre de cada año, para su análisis, discusión, modificación y, en su caso, aprobación correspondiente.</w:t>
      </w:r>
    </w:p>
    <w:p w14:paraId="2C49F376" w14:textId="77777777" w:rsidR="00D3344B" w:rsidRDefault="00D3344B">
      <w:pPr>
        <w:pStyle w:val="Estilo"/>
        <w:rPr>
          <w:rFonts w:cs="Arial"/>
        </w:rPr>
      </w:pPr>
    </w:p>
    <w:p w14:paraId="2C0DAEE4" w14:textId="77777777" w:rsidR="00D3344B" w:rsidRDefault="00143C25">
      <w:pPr>
        <w:pStyle w:val="Estilo"/>
        <w:rPr>
          <w:rFonts w:cs="Arial"/>
        </w:rPr>
      </w:pPr>
      <w:r>
        <w:rPr>
          <w:rFonts w:cs="Arial"/>
          <w:i/>
          <w:sz w:val="16"/>
        </w:rPr>
        <w:t>(REFORMADO [N. DE E. ADICIONADO], P.O. 25 DE MAYO DE 2006)</w:t>
      </w:r>
    </w:p>
    <w:p w14:paraId="23FB1D13" w14:textId="77777777" w:rsidR="00D3344B" w:rsidRDefault="00143C25">
      <w:pPr>
        <w:pStyle w:val="Estilo"/>
        <w:rPr>
          <w:rFonts w:cs="Arial"/>
        </w:rPr>
      </w:pPr>
      <w:r>
        <w:rPr>
          <w:rFonts w:cs="Arial"/>
        </w:rPr>
        <w:t>El Congreso del Estado, a más tardar el día quince del mes de diciembre de cada año, deberá aprobar las leyes de ingresos del Estado y de los municipios.</w:t>
      </w:r>
    </w:p>
    <w:p w14:paraId="739716E0" w14:textId="77777777" w:rsidR="00D3344B" w:rsidRDefault="00D3344B">
      <w:pPr>
        <w:pStyle w:val="Estilo"/>
        <w:rPr>
          <w:rFonts w:cs="Arial"/>
        </w:rPr>
      </w:pPr>
    </w:p>
    <w:p w14:paraId="06557954" w14:textId="77777777" w:rsidR="00D3344B" w:rsidRDefault="00143C25">
      <w:pPr>
        <w:pStyle w:val="Estilo"/>
        <w:rPr>
          <w:rFonts w:cs="Arial"/>
        </w:rPr>
      </w:pPr>
      <w:r>
        <w:rPr>
          <w:rFonts w:cs="Arial"/>
        </w:rPr>
        <w:t>En el caso de inicio o durante una administración, si el Proyecto de Ley de Ingresos presentado por el Titular del Ejecutivo no fuese aprobado en tiempo, para avalar el Presupuesto de Egresos correspondiente, se tendrá como base la Ley de Ingresos del ejercicio inmediato anterior, y se podrá ejercer el mismo Presupuesto de Egresos del año anterior, hasta la aprobación y publicación de la nueva ley.</w:t>
      </w:r>
    </w:p>
    <w:p w14:paraId="181C3900" w14:textId="77777777" w:rsidR="00D3344B" w:rsidRDefault="00D3344B">
      <w:pPr>
        <w:pStyle w:val="Estilo"/>
        <w:rPr>
          <w:rFonts w:cs="Arial"/>
        </w:rPr>
      </w:pPr>
    </w:p>
    <w:p w14:paraId="0DC3724B" w14:textId="77777777" w:rsidR="00D3344B" w:rsidRDefault="00143C25">
      <w:pPr>
        <w:pStyle w:val="Estilo"/>
        <w:rPr>
          <w:rFonts w:cs="Arial"/>
        </w:rPr>
      </w:pPr>
      <w:r>
        <w:rPr>
          <w:rFonts w:cs="Arial"/>
          <w:b/>
        </w:rPr>
        <w:t>Artículo 87.</w:t>
      </w:r>
      <w:r>
        <w:rPr>
          <w:rFonts w:cs="Arial"/>
        </w:rPr>
        <w:t xml:space="preserve"> La Secretaría, a solicitud del Congreso, proporcionará toda la información relacionada con las iniciativas a que se refiere este Capítulo.</w:t>
      </w:r>
    </w:p>
    <w:p w14:paraId="1E04710E" w14:textId="77777777" w:rsidR="00D3344B" w:rsidRDefault="00D3344B">
      <w:pPr>
        <w:pStyle w:val="Estilo"/>
        <w:rPr>
          <w:rFonts w:cs="Arial"/>
        </w:rPr>
      </w:pPr>
    </w:p>
    <w:p w14:paraId="2B71D657" w14:textId="77777777" w:rsidR="00D3344B" w:rsidRDefault="00143C25">
      <w:pPr>
        <w:pStyle w:val="Estilo"/>
        <w:jc w:val="center"/>
        <w:rPr>
          <w:rFonts w:cs="Arial"/>
          <w:b/>
        </w:rPr>
      </w:pPr>
      <w:r>
        <w:rPr>
          <w:rFonts w:cs="Arial"/>
          <w:b/>
        </w:rPr>
        <w:t>Capítulo III</w:t>
      </w:r>
    </w:p>
    <w:p w14:paraId="4938A08C" w14:textId="77777777" w:rsidR="00D3344B" w:rsidRDefault="00143C25">
      <w:pPr>
        <w:pStyle w:val="Estilo"/>
        <w:jc w:val="center"/>
        <w:rPr>
          <w:rFonts w:cs="Arial"/>
          <w:b/>
        </w:rPr>
      </w:pPr>
      <w:r>
        <w:rPr>
          <w:rFonts w:cs="Arial"/>
          <w:b/>
        </w:rPr>
        <w:t>Ejecución de las Leyes de Ingresos</w:t>
      </w:r>
    </w:p>
    <w:p w14:paraId="1C73E5A4" w14:textId="77777777" w:rsidR="00D3344B" w:rsidRDefault="00D3344B">
      <w:pPr>
        <w:pStyle w:val="Estilo"/>
        <w:rPr>
          <w:rFonts w:cs="Arial"/>
        </w:rPr>
      </w:pPr>
    </w:p>
    <w:p w14:paraId="253D82B2" w14:textId="77777777" w:rsidR="00D3344B" w:rsidRDefault="00143C25">
      <w:pPr>
        <w:pStyle w:val="Estilo"/>
        <w:rPr>
          <w:rFonts w:cs="Arial"/>
        </w:rPr>
      </w:pPr>
      <w:r>
        <w:rPr>
          <w:rFonts w:cs="Arial"/>
          <w:b/>
        </w:rPr>
        <w:lastRenderedPageBreak/>
        <w:t>Artículo 88.</w:t>
      </w:r>
      <w:r>
        <w:rPr>
          <w:rFonts w:cs="Arial"/>
        </w:rPr>
        <w:t xml:space="preserve"> Corresponde a las autoridades fiscales del Estado, la ejecución de la Ley de Ingresos respectiva. Dicha ejecución se llevará a cabo mediante el ejercicio de las facultades de recaudación, comprobación, determinación, administración y cobro de los impuestos, contribuciones especiales, derechos, productos y aprovechamientos establecidos en este código, así como cualquier otro ingreso que en derecho corresponda al Estado o los municipios.</w:t>
      </w:r>
    </w:p>
    <w:p w14:paraId="43CBB065" w14:textId="77777777" w:rsidR="00D3344B" w:rsidRDefault="00D3344B">
      <w:pPr>
        <w:pStyle w:val="Estilo"/>
        <w:rPr>
          <w:rFonts w:cs="Arial"/>
        </w:rPr>
      </w:pPr>
    </w:p>
    <w:p w14:paraId="783AE256" w14:textId="77777777" w:rsidR="00D3344B" w:rsidRDefault="00143C25">
      <w:pPr>
        <w:pStyle w:val="Estilo"/>
        <w:rPr>
          <w:rFonts w:cs="Arial"/>
        </w:rPr>
      </w:pPr>
      <w:r>
        <w:rPr>
          <w:rFonts w:cs="Arial"/>
          <w:b/>
        </w:rPr>
        <w:t>Artículo 89.</w:t>
      </w:r>
      <w:r>
        <w:rPr>
          <w:rFonts w:cs="Arial"/>
        </w:rPr>
        <w:t xml:space="preserve"> Los servidores públicos que tengan bajo su guarda o manejen fondos y valores públicos, antes de tomar posesión de su empleo, cargo o comisión, estarán obligados a caucionar su manejo en los términos previstos en este código.</w:t>
      </w:r>
    </w:p>
    <w:p w14:paraId="060A00AC" w14:textId="77777777" w:rsidR="00D3344B" w:rsidRDefault="00D3344B">
      <w:pPr>
        <w:pStyle w:val="Estilo"/>
        <w:rPr>
          <w:rFonts w:cs="Arial"/>
        </w:rPr>
      </w:pPr>
    </w:p>
    <w:p w14:paraId="48C86AAD" w14:textId="77777777" w:rsidR="00D3344B" w:rsidRDefault="00143C25">
      <w:pPr>
        <w:pStyle w:val="Estilo"/>
        <w:jc w:val="center"/>
        <w:rPr>
          <w:rFonts w:cs="Arial"/>
          <w:b/>
        </w:rPr>
      </w:pPr>
      <w:r>
        <w:rPr>
          <w:rFonts w:cs="Arial"/>
          <w:b/>
        </w:rPr>
        <w:t>TÍTULO CUARTO</w:t>
      </w:r>
    </w:p>
    <w:p w14:paraId="4BB13E6C" w14:textId="77777777" w:rsidR="00D3344B" w:rsidRDefault="00143C25">
      <w:pPr>
        <w:pStyle w:val="Estilo"/>
        <w:jc w:val="center"/>
        <w:rPr>
          <w:rFonts w:cs="Arial"/>
          <w:b/>
        </w:rPr>
      </w:pPr>
      <w:r>
        <w:rPr>
          <w:rFonts w:cs="Arial"/>
          <w:b/>
        </w:rPr>
        <w:t>INGRESOS TRIBUTARIOS DEL ESTADO</w:t>
      </w:r>
    </w:p>
    <w:p w14:paraId="69B48B53" w14:textId="77777777" w:rsidR="00D3344B" w:rsidRDefault="00D3344B">
      <w:pPr>
        <w:pStyle w:val="Estilo"/>
        <w:jc w:val="center"/>
        <w:rPr>
          <w:rFonts w:cs="Arial"/>
          <w:b/>
        </w:rPr>
      </w:pPr>
    </w:p>
    <w:p w14:paraId="4E51E40A" w14:textId="77777777" w:rsidR="00D3344B" w:rsidRDefault="00143C25">
      <w:pPr>
        <w:pStyle w:val="Estilo"/>
        <w:jc w:val="center"/>
        <w:rPr>
          <w:rFonts w:cs="Arial"/>
          <w:b/>
        </w:rPr>
      </w:pPr>
      <w:r>
        <w:rPr>
          <w:rFonts w:cs="Arial"/>
          <w:b/>
        </w:rPr>
        <w:t>Capítulo I</w:t>
      </w:r>
    </w:p>
    <w:p w14:paraId="36A63B42" w14:textId="77777777" w:rsidR="00D3344B" w:rsidRDefault="00143C25">
      <w:pPr>
        <w:pStyle w:val="Estilo"/>
        <w:jc w:val="center"/>
        <w:rPr>
          <w:rFonts w:cs="Arial"/>
          <w:b/>
        </w:rPr>
      </w:pPr>
      <w:r>
        <w:rPr>
          <w:rFonts w:cs="Arial"/>
          <w:b/>
        </w:rPr>
        <w:t>Impuesto Estatal Sobre Tenencia o Uso de Vehículos</w:t>
      </w:r>
    </w:p>
    <w:p w14:paraId="223C34D6" w14:textId="77777777" w:rsidR="00D3344B" w:rsidRDefault="00D3344B">
      <w:pPr>
        <w:pStyle w:val="Estilo"/>
        <w:jc w:val="center"/>
        <w:rPr>
          <w:rFonts w:cs="Arial"/>
          <w:b/>
        </w:rPr>
      </w:pPr>
    </w:p>
    <w:p w14:paraId="7AC3B1C2" w14:textId="77777777" w:rsidR="00D3344B" w:rsidRDefault="00143C25">
      <w:pPr>
        <w:pStyle w:val="Estilo"/>
        <w:jc w:val="center"/>
        <w:rPr>
          <w:rFonts w:cs="Arial"/>
        </w:rPr>
      </w:pPr>
      <w:r>
        <w:rPr>
          <w:rFonts w:cs="Arial"/>
          <w:i/>
          <w:sz w:val="16"/>
        </w:rPr>
        <w:t>(ADICIONADA, P.O. 16 DE MARZO DE 2011)</w:t>
      </w:r>
    </w:p>
    <w:p w14:paraId="40874C46" w14:textId="77777777" w:rsidR="00D3344B" w:rsidRDefault="00143C25">
      <w:pPr>
        <w:pStyle w:val="Estilo"/>
        <w:jc w:val="center"/>
        <w:rPr>
          <w:rFonts w:cs="Arial"/>
          <w:b/>
        </w:rPr>
      </w:pPr>
      <w:r>
        <w:rPr>
          <w:rFonts w:cs="Arial"/>
          <w:b/>
        </w:rPr>
        <w:t>Sección I</w:t>
      </w:r>
    </w:p>
    <w:p w14:paraId="2185E961" w14:textId="77777777" w:rsidR="00D3344B" w:rsidRDefault="00143C25">
      <w:pPr>
        <w:pStyle w:val="Estilo"/>
        <w:jc w:val="center"/>
        <w:rPr>
          <w:rFonts w:cs="Arial"/>
          <w:b/>
        </w:rPr>
      </w:pPr>
      <w:r>
        <w:rPr>
          <w:rFonts w:cs="Arial"/>
          <w:b/>
        </w:rPr>
        <w:t>Disposiciones Generales</w:t>
      </w:r>
    </w:p>
    <w:p w14:paraId="295700D0" w14:textId="77777777" w:rsidR="00D3344B" w:rsidRDefault="00D3344B">
      <w:pPr>
        <w:pStyle w:val="Estilo"/>
        <w:rPr>
          <w:rFonts w:cs="Arial"/>
        </w:rPr>
      </w:pPr>
    </w:p>
    <w:p w14:paraId="09C6E57C" w14:textId="77777777" w:rsidR="00D3344B" w:rsidRDefault="00143C25">
      <w:pPr>
        <w:pStyle w:val="Estilo"/>
        <w:rPr>
          <w:rFonts w:cs="Arial"/>
        </w:rPr>
      </w:pPr>
      <w:r>
        <w:rPr>
          <w:rFonts w:cs="Arial"/>
          <w:b/>
        </w:rPr>
        <w:t>Artículo 90.</w:t>
      </w:r>
      <w:r>
        <w:rPr>
          <w:rFonts w:cs="Arial"/>
        </w:rPr>
        <w:t xml:space="preserve"> </w:t>
      </w:r>
      <w:r>
        <w:rPr>
          <w:rFonts w:cs="Arial"/>
          <w:i/>
          <w:sz w:val="16"/>
        </w:rPr>
        <w:t>(DEROGADO, P.O. 16 DE MARZO DE 2011)</w:t>
      </w:r>
    </w:p>
    <w:p w14:paraId="2E5E892F" w14:textId="77777777" w:rsidR="00D3344B" w:rsidRDefault="00D3344B">
      <w:pPr>
        <w:pStyle w:val="Estilo"/>
        <w:rPr>
          <w:rFonts w:cs="Arial"/>
        </w:rPr>
      </w:pPr>
    </w:p>
    <w:p w14:paraId="7BC1A052" w14:textId="77777777" w:rsidR="00D3344B" w:rsidRDefault="00143C25">
      <w:pPr>
        <w:pStyle w:val="Estilo"/>
        <w:rPr>
          <w:rFonts w:cs="Arial"/>
        </w:rPr>
      </w:pPr>
      <w:r>
        <w:rPr>
          <w:rFonts w:cs="Arial"/>
          <w:i/>
          <w:sz w:val="16"/>
        </w:rPr>
        <w:t>(REFORMADO, P.O. 16 DE MARZO DE 2011)</w:t>
      </w:r>
    </w:p>
    <w:p w14:paraId="4E30583C" w14:textId="77777777" w:rsidR="00D3344B" w:rsidRDefault="00143C25">
      <w:pPr>
        <w:pStyle w:val="Estilo"/>
        <w:rPr>
          <w:rFonts w:cs="Arial"/>
        </w:rPr>
      </w:pPr>
      <w:r>
        <w:rPr>
          <w:rFonts w:cs="Arial"/>
          <w:b/>
        </w:rPr>
        <w:t>Artículo 91.</w:t>
      </w:r>
      <w:r>
        <w:rPr>
          <w:rFonts w:cs="Arial"/>
        </w:rPr>
        <w:t xml:space="preserve"> Están obligados al pago del Impuesto Estatal Sobre Tenencia o Uso de Vehículos, las personas físicas y morales propietarios, tenedores o usuarios de los vehículos automotores a los que se refiere este capítulo, que tengan su domicilio dentro de la circunscripción territorial del Estado de Tlaxcala.</w:t>
      </w:r>
    </w:p>
    <w:p w14:paraId="2FB5C5BF" w14:textId="77777777" w:rsidR="00D3344B" w:rsidRDefault="00D3344B">
      <w:pPr>
        <w:pStyle w:val="Estilo"/>
        <w:rPr>
          <w:rFonts w:cs="Arial"/>
        </w:rPr>
      </w:pPr>
    </w:p>
    <w:p w14:paraId="6B7002F5" w14:textId="77777777" w:rsidR="00D3344B" w:rsidRDefault="00143C25">
      <w:pPr>
        <w:pStyle w:val="Estilo"/>
        <w:rPr>
          <w:rFonts w:cs="Arial"/>
        </w:rPr>
      </w:pPr>
      <w:r>
        <w:rPr>
          <w:rFonts w:cs="Arial"/>
        </w:rPr>
        <w:t>Para efectos de este Capítulo, se considerará como:</w:t>
      </w:r>
    </w:p>
    <w:p w14:paraId="432E5149" w14:textId="77777777" w:rsidR="00D3344B" w:rsidRDefault="00D3344B">
      <w:pPr>
        <w:pStyle w:val="Estilo"/>
        <w:rPr>
          <w:rFonts w:cs="Arial"/>
        </w:rPr>
      </w:pPr>
    </w:p>
    <w:p w14:paraId="62F14717" w14:textId="77777777" w:rsidR="00D3344B" w:rsidRDefault="00143C25">
      <w:pPr>
        <w:pStyle w:val="Estilo"/>
        <w:ind w:left="567" w:hanging="567"/>
        <w:rPr>
          <w:rFonts w:cs="Arial"/>
        </w:rPr>
      </w:pPr>
      <w:r>
        <w:rPr>
          <w:rFonts w:cs="Arial"/>
        </w:rPr>
        <w:t xml:space="preserve">I. </w:t>
      </w:r>
      <w:r>
        <w:rPr>
          <w:rFonts w:cs="Arial"/>
        </w:rPr>
        <w:tab/>
        <w:t xml:space="preserve">Vehículos de Motor. A los automóviles, motocicletas, minibuses, microbuses, autobuses, </w:t>
      </w:r>
      <w:proofErr w:type="spellStart"/>
      <w:r>
        <w:rPr>
          <w:rFonts w:cs="Arial"/>
        </w:rPr>
        <w:t>omnibuses</w:t>
      </w:r>
      <w:proofErr w:type="spellEnd"/>
      <w:r>
        <w:rPr>
          <w:rFonts w:cs="Arial"/>
        </w:rPr>
        <w:t>, camiones, vehículos eléctricos y tractores no agrícolas tipo quinta rueda y demás a que se refiere este Código;</w:t>
      </w:r>
    </w:p>
    <w:p w14:paraId="5D413AEF" w14:textId="77777777" w:rsidR="00D3344B" w:rsidRDefault="00D3344B">
      <w:pPr>
        <w:pStyle w:val="Estilo"/>
        <w:ind w:left="567" w:hanging="567"/>
        <w:rPr>
          <w:rFonts w:cs="Arial"/>
        </w:rPr>
      </w:pPr>
    </w:p>
    <w:p w14:paraId="2A7ECD26" w14:textId="77777777" w:rsidR="00D3344B" w:rsidRDefault="00143C25">
      <w:pPr>
        <w:pStyle w:val="Estilo"/>
        <w:ind w:left="567" w:hanging="567"/>
        <w:rPr>
          <w:rFonts w:cs="Arial"/>
        </w:rPr>
      </w:pPr>
      <w:r>
        <w:rPr>
          <w:rFonts w:cs="Arial"/>
        </w:rPr>
        <w:t xml:space="preserve">II. </w:t>
      </w:r>
      <w:r>
        <w:rPr>
          <w:rFonts w:cs="Arial"/>
        </w:rPr>
        <w:tab/>
        <w:t>Marca. Las denominaciones y distintivos que los fabricantes dan a sus vehículos para diferenciarlos de los demás;</w:t>
      </w:r>
    </w:p>
    <w:p w14:paraId="5D90FAFA" w14:textId="77777777" w:rsidR="00D3344B" w:rsidRDefault="00D3344B">
      <w:pPr>
        <w:pStyle w:val="Estilo"/>
        <w:ind w:left="567" w:hanging="567"/>
        <w:rPr>
          <w:rFonts w:cs="Arial"/>
        </w:rPr>
      </w:pPr>
    </w:p>
    <w:p w14:paraId="1DF9304C" w14:textId="77777777" w:rsidR="00D3344B" w:rsidRDefault="00143C25">
      <w:pPr>
        <w:pStyle w:val="Estilo"/>
        <w:ind w:left="567" w:hanging="567"/>
        <w:rPr>
          <w:rFonts w:cs="Arial"/>
        </w:rPr>
      </w:pPr>
      <w:r>
        <w:rPr>
          <w:rFonts w:cs="Arial"/>
        </w:rPr>
        <w:t xml:space="preserve">III. </w:t>
      </w:r>
      <w:r>
        <w:rPr>
          <w:rFonts w:cs="Arial"/>
        </w:rPr>
        <w:tab/>
        <w:t>Año Modelo. El año de fabricación o ejercicio automotriz comprendido por el periodo entre los días primero de octubre del año anterior y el treinta de septiembre del año que transcurra;</w:t>
      </w:r>
    </w:p>
    <w:p w14:paraId="7BBEA787" w14:textId="77777777" w:rsidR="00D3344B" w:rsidRDefault="00D3344B">
      <w:pPr>
        <w:pStyle w:val="Estilo"/>
        <w:ind w:left="567" w:hanging="567"/>
        <w:rPr>
          <w:rFonts w:cs="Arial"/>
        </w:rPr>
      </w:pPr>
    </w:p>
    <w:p w14:paraId="5C2DD0AA" w14:textId="77777777" w:rsidR="00D3344B" w:rsidRDefault="00143C25">
      <w:pPr>
        <w:pStyle w:val="Estilo"/>
        <w:ind w:left="567" w:hanging="567"/>
        <w:rPr>
          <w:rFonts w:cs="Arial"/>
        </w:rPr>
      </w:pPr>
      <w:r>
        <w:rPr>
          <w:rFonts w:cs="Arial"/>
        </w:rPr>
        <w:t xml:space="preserve">IV. </w:t>
      </w:r>
      <w:r>
        <w:rPr>
          <w:rFonts w:cs="Arial"/>
        </w:rPr>
        <w:tab/>
        <w:t>Modelo. Todas aquellas versiones de la carrocería básica con dos, tres, cuatro o cinco puertas que se deriven de una misma línea;</w:t>
      </w:r>
    </w:p>
    <w:p w14:paraId="64AAF5E1" w14:textId="77777777" w:rsidR="00D3344B" w:rsidRDefault="00D3344B">
      <w:pPr>
        <w:pStyle w:val="Estilo"/>
        <w:ind w:left="567" w:hanging="567"/>
        <w:rPr>
          <w:rFonts w:cs="Arial"/>
        </w:rPr>
      </w:pPr>
    </w:p>
    <w:p w14:paraId="0DA796B4" w14:textId="77777777" w:rsidR="00D3344B" w:rsidRDefault="00143C25">
      <w:pPr>
        <w:pStyle w:val="Estilo"/>
        <w:ind w:left="567" w:hanging="567"/>
        <w:rPr>
          <w:rFonts w:cs="Arial"/>
        </w:rPr>
      </w:pPr>
      <w:r>
        <w:rPr>
          <w:rFonts w:cs="Arial"/>
        </w:rPr>
        <w:lastRenderedPageBreak/>
        <w:t xml:space="preserve">V. </w:t>
      </w:r>
      <w:r>
        <w:rPr>
          <w:rFonts w:cs="Arial"/>
        </w:rPr>
        <w:tab/>
        <w:t>Carrocería Básica. El conjunto de piezas metálicas o de plástico, que configuran externamente a un vehículo y de la que derivan los diversos modelos;</w:t>
      </w:r>
    </w:p>
    <w:p w14:paraId="714D2252" w14:textId="77777777" w:rsidR="00D3344B" w:rsidRDefault="00D3344B">
      <w:pPr>
        <w:pStyle w:val="Estilo"/>
        <w:ind w:left="567" w:hanging="567"/>
        <w:rPr>
          <w:rFonts w:cs="Arial"/>
        </w:rPr>
      </w:pPr>
    </w:p>
    <w:p w14:paraId="372AA710" w14:textId="77777777" w:rsidR="00D3344B" w:rsidRDefault="00143C25">
      <w:pPr>
        <w:pStyle w:val="Estilo"/>
        <w:ind w:left="567" w:hanging="567"/>
        <w:rPr>
          <w:rFonts w:cs="Arial"/>
        </w:rPr>
      </w:pPr>
      <w:r>
        <w:rPr>
          <w:rFonts w:cs="Arial"/>
        </w:rPr>
        <w:t xml:space="preserve">VI. </w:t>
      </w:r>
      <w:r>
        <w:rPr>
          <w:rFonts w:cs="Arial"/>
        </w:rPr>
        <w:tab/>
        <w:t>Versión. Cada una de las distintas presentaciones comerciales que tiene un modelo;</w:t>
      </w:r>
    </w:p>
    <w:p w14:paraId="7A57F3A4" w14:textId="77777777" w:rsidR="00D3344B" w:rsidRDefault="00D3344B">
      <w:pPr>
        <w:pStyle w:val="Estilo"/>
        <w:ind w:left="567" w:hanging="567"/>
        <w:rPr>
          <w:rFonts w:cs="Arial"/>
        </w:rPr>
      </w:pPr>
    </w:p>
    <w:p w14:paraId="1B2ACAD3" w14:textId="77777777" w:rsidR="00D3344B" w:rsidRDefault="00143C25">
      <w:pPr>
        <w:pStyle w:val="Estilo"/>
        <w:ind w:left="567" w:hanging="567"/>
        <w:rPr>
          <w:rFonts w:cs="Arial"/>
        </w:rPr>
      </w:pPr>
      <w:r>
        <w:rPr>
          <w:rFonts w:cs="Arial"/>
        </w:rPr>
        <w:t xml:space="preserve">VII. </w:t>
      </w:r>
      <w:r>
        <w:rPr>
          <w:rFonts w:cs="Arial"/>
        </w:rPr>
        <w:tab/>
        <w:t>Línea:</w:t>
      </w:r>
    </w:p>
    <w:p w14:paraId="53B3B806" w14:textId="77777777" w:rsidR="00D3344B" w:rsidRDefault="00D3344B">
      <w:pPr>
        <w:pStyle w:val="Estilo"/>
        <w:ind w:left="567" w:hanging="567"/>
        <w:rPr>
          <w:rFonts w:cs="Arial"/>
        </w:rPr>
      </w:pPr>
    </w:p>
    <w:p w14:paraId="30A7A0F0" w14:textId="77777777" w:rsidR="00D3344B" w:rsidRDefault="00143C25">
      <w:pPr>
        <w:pStyle w:val="Estilo"/>
        <w:ind w:left="1134" w:hanging="567"/>
        <w:rPr>
          <w:rFonts w:cs="Arial"/>
        </w:rPr>
      </w:pPr>
      <w:r>
        <w:rPr>
          <w:rFonts w:cs="Arial"/>
        </w:rPr>
        <w:t xml:space="preserve">a) </w:t>
      </w:r>
      <w:r>
        <w:rPr>
          <w:rFonts w:cs="Arial"/>
        </w:rPr>
        <w:tab/>
        <w:t>Automóviles con motor de gasolina o gas hasta de cuatro cilindros;</w:t>
      </w:r>
    </w:p>
    <w:p w14:paraId="29D5DA1A" w14:textId="77777777" w:rsidR="00D3344B" w:rsidRDefault="00D3344B">
      <w:pPr>
        <w:pStyle w:val="Estilo"/>
        <w:ind w:left="1134" w:hanging="567"/>
        <w:rPr>
          <w:rFonts w:cs="Arial"/>
        </w:rPr>
      </w:pPr>
    </w:p>
    <w:p w14:paraId="0C1CD2CB" w14:textId="77777777" w:rsidR="00D3344B" w:rsidRDefault="00143C25">
      <w:pPr>
        <w:pStyle w:val="Estilo"/>
        <w:ind w:left="1134" w:hanging="567"/>
        <w:rPr>
          <w:rFonts w:cs="Arial"/>
        </w:rPr>
      </w:pPr>
      <w:r>
        <w:rPr>
          <w:rFonts w:cs="Arial"/>
        </w:rPr>
        <w:t xml:space="preserve">b) </w:t>
      </w:r>
      <w:r>
        <w:rPr>
          <w:rFonts w:cs="Arial"/>
        </w:rPr>
        <w:tab/>
        <w:t>Automóviles con motor de gasolina o gas de seis u ocho cilindros;</w:t>
      </w:r>
    </w:p>
    <w:p w14:paraId="48CF63D4" w14:textId="77777777" w:rsidR="00D3344B" w:rsidRDefault="00D3344B">
      <w:pPr>
        <w:pStyle w:val="Estilo"/>
        <w:ind w:left="1134" w:hanging="567"/>
        <w:rPr>
          <w:rFonts w:cs="Arial"/>
        </w:rPr>
      </w:pPr>
    </w:p>
    <w:p w14:paraId="57358AB0" w14:textId="77777777" w:rsidR="00D3344B" w:rsidRDefault="00143C25">
      <w:pPr>
        <w:pStyle w:val="Estilo"/>
        <w:ind w:left="1134" w:hanging="567"/>
        <w:rPr>
          <w:rFonts w:cs="Arial"/>
        </w:rPr>
      </w:pPr>
      <w:r>
        <w:rPr>
          <w:rFonts w:cs="Arial"/>
        </w:rPr>
        <w:t xml:space="preserve">c) </w:t>
      </w:r>
      <w:r>
        <w:rPr>
          <w:rFonts w:cs="Arial"/>
        </w:rPr>
        <w:tab/>
        <w:t xml:space="preserve">Automóviles con motor </w:t>
      </w:r>
      <w:proofErr w:type="spellStart"/>
      <w:r>
        <w:rPr>
          <w:rFonts w:cs="Arial"/>
        </w:rPr>
        <w:t>diesel</w:t>
      </w:r>
      <w:proofErr w:type="spellEnd"/>
      <w:r>
        <w:rPr>
          <w:rFonts w:cs="Arial"/>
        </w:rPr>
        <w:t>;</w:t>
      </w:r>
    </w:p>
    <w:p w14:paraId="3C167780" w14:textId="77777777" w:rsidR="00D3344B" w:rsidRDefault="00D3344B">
      <w:pPr>
        <w:pStyle w:val="Estilo"/>
        <w:ind w:left="1134" w:hanging="567"/>
        <w:rPr>
          <w:rFonts w:cs="Arial"/>
        </w:rPr>
      </w:pPr>
    </w:p>
    <w:p w14:paraId="44F3431D" w14:textId="77777777" w:rsidR="00D3344B" w:rsidRDefault="00143C25">
      <w:pPr>
        <w:pStyle w:val="Estilo"/>
        <w:ind w:left="1134" w:hanging="567"/>
        <w:rPr>
          <w:rFonts w:cs="Arial"/>
        </w:rPr>
      </w:pPr>
      <w:r>
        <w:rPr>
          <w:rFonts w:cs="Arial"/>
        </w:rPr>
        <w:t xml:space="preserve">d) </w:t>
      </w:r>
      <w:r>
        <w:rPr>
          <w:rFonts w:cs="Arial"/>
        </w:rPr>
        <w:tab/>
        <w:t xml:space="preserve">Camiones con motor de gasolina, gas o </w:t>
      </w:r>
      <w:proofErr w:type="spellStart"/>
      <w:r>
        <w:rPr>
          <w:rFonts w:cs="Arial"/>
        </w:rPr>
        <w:t>diesel</w:t>
      </w:r>
      <w:proofErr w:type="spellEnd"/>
      <w:r>
        <w:rPr>
          <w:rFonts w:cs="Arial"/>
        </w:rPr>
        <w:t>;</w:t>
      </w:r>
    </w:p>
    <w:p w14:paraId="436292AA" w14:textId="77777777" w:rsidR="00D3344B" w:rsidRDefault="00D3344B">
      <w:pPr>
        <w:pStyle w:val="Estilo"/>
        <w:ind w:left="1134" w:hanging="567"/>
        <w:rPr>
          <w:rFonts w:cs="Arial"/>
        </w:rPr>
      </w:pPr>
    </w:p>
    <w:p w14:paraId="37A16983" w14:textId="77777777" w:rsidR="00D3344B" w:rsidRDefault="00143C25">
      <w:pPr>
        <w:pStyle w:val="Estilo"/>
        <w:ind w:left="1134" w:hanging="567"/>
        <w:rPr>
          <w:rFonts w:cs="Arial"/>
        </w:rPr>
      </w:pPr>
      <w:r>
        <w:rPr>
          <w:rFonts w:cs="Arial"/>
        </w:rPr>
        <w:t xml:space="preserve">e) </w:t>
      </w:r>
      <w:r>
        <w:rPr>
          <w:rFonts w:cs="Arial"/>
        </w:rPr>
        <w:tab/>
        <w:t>Tractores no agrícolas, tipo quinta rueda;</w:t>
      </w:r>
    </w:p>
    <w:p w14:paraId="465993B1" w14:textId="77777777" w:rsidR="00D3344B" w:rsidRDefault="00D3344B">
      <w:pPr>
        <w:pStyle w:val="Estilo"/>
        <w:ind w:left="1134" w:hanging="567"/>
        <w:rPr>
          <w:rFonts w:cs="Arial"/>
        </w:rPr>
      </w:pPr>
    </w:p>
    <w:p w14:paraId="7583C39D" w14:textId="77777777" w:rsidR="00D3344B" w:rsidRDefault="00143C25">
      <w:pPr>
        <w:pStyle w:val="Estilo"/>
        <w:ind w:left="1134" w:hanging="567"/>
        <w:rPr>
          <w:rFonts w:cs="Arial"/>
        </w:rPr>
      </w:pPr>
      <w:r>
        <w:rPr>
          <w:rFonts w:cs="Arial"/>
        </w:rPr>
        <w:t xml:space="preserve">f) </w:t>
      </w:r>
      <w:r>
        <w:rPr>
          <w:rFonts w:cs="Arial"/>
        </w:rPr>
        <w:tab/>
        <w:t>Autobuses integrales;</w:t>
      </w:r>
    </w:p>
    <w:p w14:paraId="5AF467D4" w14:textId="77777777" w:rsidR="00D3344B" w:rsidRDefault="00D3344B">
      <w:pPr>
        <w:pStyle w:val="Estilo"/>
        <w:ind w:left="1134" w:hanging="567"/>
        <w:rPr>
          <w:rFonts w:cs="Arial"/>
        </w:rPr>
      </w:pPr>
    </w:p>
    <w:p w14:paraId="6D400B5A" w14:textId="77777777" w:rsidR="00D3344B" w:rsidRDefault="00143C25">
      <w:pPr>
        <w:pStyle w:val="Estilo"/>
        <w:ind w:left="1134" w:hanging="567"/>
        <w:rPr>
          <w:rFonts w:cs="Arial"/>
        </w:rPr>
      </w:pPr>
      <w:r>
        <w:rPr>
          <w:rFonts w:cs="Arial"/>
        </w:rPr>
        <w:t xml:space="preserve">g) </w:t>
      </w:r>
      <w:r>
        <w:rPr>
          <w:rFonts w:cs="Arial"/>
        </w:rPr>
        <w:tab/>
        <w:t>Automóviles eléctricos; y</w:t>
      </w:r>
    </w:p>
    <w:p w14:paraId="4D0065A5" w14:textId="77777777" w:rsidR="00D3344B" w:rsidRDefault="00D3344B">
      <w:pPr>
        <w:pStyle w:val="Estilo"/>
        <w:ind w:left="1134" w:hanging="567"/>
        <w:rPr>
          <w:rFonts w:cs="Arial"/>
        </w:rPr>
      </w:pPr>
    </w:p>
    <w:p w14:paraId="23483ECA" w14:textId="77777777" w:rsidR="00D3344B" w:rsidRDefault="00143C25">
      <w:pPr>
        <w:pStyle w:val="Estilo"/>
        <w:ind w:left="1134" w:hanging="567"/>
        <w:rPr>
          <w:rFonts w:cs="Arial"/>
        </w:rPr>
      </w:pPr>
      <w:r>
        <w:rPr>
          <w:rFonts w:cs="Arial"/>
        </w:rPr>
        <w:t xml:space="preserve">h) </w:t>
      </w:r>
      <w:r>
        <w:rPr>
          <w:rFonts w:cs="Arial"/>
        </w:rPr>
        <w:tab/>
        <w:t>Automóviles cuyo motor combine energía proveniente de gas, gasolina o eléctrico.</w:t>
      </w:r>
    </w:p>
    <w:p w14:paraId="259D88AD" w14:textId="77777777" w:rsidR="00D3344B" w:rsidRDefault="00D3344B">
      <w:pPr>
        <w:pStyle w:val="Estilo"/>
        <w:ind w:left="567" w:hanging="567"/>
        <w:rPr>
          <w:rFonts w:cs="Arial"/>
        </w:rPr>
      </w:pPr>
    </w:p>
    <w:p w14:paraId="27911EA7" w14:textId="77777777" w:rsidR="00D3344B" w:rsidRDefault="00143C25">
      <w:pPr>
        <w:pStyle w:val="Estilo"/>
        <w:rPr>
          <w:rFonts w:cs="Arial"/>
        </w:rPr>
      </w:pPr>
      <w:r>
        <w:rPr>
          <w:rFonts w:cs="Arial"/>
          <w:i/>
          <w:sz w:val="16"/>
        </w:rPr>
        <w:t>N. DE E. EN RELACIÓN CON LA ENTRADA EN VIGOR DE LA PRESENTE FRACCIÓN, VÉASE ARTÍCULO ÚNICO TRANSITORIO DEL DECRETO QUE MODIFICA ESTE ORDENAMIENTO.</w:t>
      </w:r>
    </w:p>
    <w:p w14:paraId="0551C34A" w14:textId="77777777" w:rsidR="00D3344B" w:rsidRDefault="00143C25">
      <w:pPr>
        <w:pStyle w:val="Estilo"/>
        <w:ind w:left="567" w:hanging="567"/>
        <w:rPr>
          <w:rFonts w:cs="Arial"/>
        </w:rPr>
      </w:pPr>
      <w:r>
        <w:rPr>
          <w:rFonts w:cs="Arial"/>
          <w:i/>
          <w:sz w:val="16"/>
        </w:rPr>
        <w:t>(REFORMADA, P.O. 23 DE DICIEMBRE DE 2011)</w:t>
      </w:r>
    </w:p>
    <w:p w14:paraId="2CBDA076" w14:textId="77777777" w:rsidR="00D3344B" w:rsidRDefault="00143C25">
      <w:pPr>
        <w:pStyle w:val="Estilo"/>
        <w:ind w:left="567" w:hanging="567"/>
        <w:rPr>
          <w:rFonts w:cs="Arial"/>
        </w:rPr>
      </w:pPr>
      <w:r>
        <w:rPr>
          <w:rFonts w:cs="Arial"/>
        </w:rPr>
        <w:t xml:space="preserve">VIII. </w:t>
      </w:r>
      <w:r>
        <w:rPr>
          <w:rFonts w:cs="Arial"/>
        </w:rPr>
        <w:tab/>
        <w:t>Comerciantes en el Ramo de Vehículos. A las personas físicas y morales cuya actividad sea la venta de vehículos nuevos o usados; nacionales o importados.</w:t>
      </w:r>
    </w:p>
    <w:p w14:paraId="01C199A6" w14:textId="77777777" w:rsidR="00D3344B" w:rsidRDefault="00D3344B">
      <w:pPr>
        <w:pStyle w:val="Estilo"/>
        <w:ind w:left="567" w:hanging="567"/>
        <w:rPr>
          <w:rFonts w:cs="Arial"/>
        </w:rPr>
      </w:pPr>
    </w:p>
    <w:p w14:paraId="7B30336B" w14:textId="77777777" w:rsidR="00D3344B" w:rsidRDefault="00143C25">
      <w:pPr>
        <w:pStyle w:val="Estilo"/>
        <w:ind w:left="567" w:hanging="567"/>
        <w:rPr>
          <w:rFonts w:cs="Arial"/>
        </w:rPr>
      </w:pPr>
      <w:r>
        <w:rPr>
          <w:rFonts w:cs="Arial"/>
        </w:rPr>
        <w:t xml:space="preserve">IX. </w:t>
      </w:r>
      <w:r>
        <w:rPr>
          <w:rFonts w:cs="Arial"/>
        </w:rPr>
        <w:tab/>
        <w:t>Vehículo nuevo:</w:t>
      </w:r>
    </w:p>
    <w:p w14:paraId="03317FF8" w14:textId="77777777" w:rsidR="00D3344B" w:rsidRDefault="00D3344B">
      <w:pPr>
        <w:pStyle w:val="Estilo"/>
        <w:ind w:left="567" w:hanging="567"/>
        <w:rPr>
          <w:rFonts w:cs="Arial"/>
        </w:rPr>
      </w:pPr>
    </w:p>
    <w:p w14:paraId="1D070D76" w14:textId="77777777" w:rsidR="00D3344B" w:rsidRDefault="00143C25">
      <w:pPr>
        <w:pStyle w:val="Estilo"/>
        <w:ind w:left="567" w:hanging="567"/>
        <w:rPr>
          <w:rFonts w:cs="Arial"/>
        </w:rPr>
      </w:pPr>
      <w:r>
        <w:rPr>
          <w:rFonts w:cs="Arial"/>
        </w:rPr>
        <w:t xml:space="preserve">a) </w:t>
      </w:r>
      <w:r>
        <w:rPr>
          <w:rFonts w:cs="Arial"/>
        </w:rPr>
        <w:tab/>
        <w:t>El que se enajena por primera vez al consumidor por el fabricante, ensamblador, distribuidor o comerciante en el ramo de vehículos;</w:t>
      </w:r>
    </w:p>
    <w:p w14:paraId="329C1C78" w14:textId="77777777" w:rsidR="00D3344B" w:rsidRDefault="00D3344B">
      <w:pPr>
        <w:pStyle w:val="Estilo"/>
        <w:ind w:left="567" w:hanging="567"/>
        <w:rPr>
          <w:rFonts w:cs="Arial"/>
        </w:rPr>
      </w:pPr>
    </w:p>
    <w:p w14:paraId="29FD05B5" w14:textId="77777777" w:rsidR="00D3344B" w:rsidRDefault="00143C25">
      <w:pPr>
        <w:pStyle w:val="Estilo"/>
        <w:ind w:left="567" w:hanging="567"/>
        <w:rPr>
          <w:rFonts w:cs="Arial"/>
        </w:rPr>
      </w:pPr>
      <w:r>
        <w:rPr>
          <w:rFonts w:cs="Arial"/>
        </w:rPr>
        <w:t xml:space="preserve">b) </w:t>
      </w:r>
      <w:r>
        <w:rPr>
          <w:rFonts w:cs="Arial"/>
        </w:rPr>
        <w:tab/>
        <w:t>El importado definitivamente al país que corresponda al año modelo posterior al de aplicación de las disposiciones a que se refiere este Capítulo, al año modelo en que se efectúe la importación, o a los nueve años modelos inmediatos anteriores al año de la importación definitiva; y</w:t>
      </w:r>
    </w:p>
    <w:p w14:paraId="6AD0A99F" w14:textId="77777777" w:rsidR="00D3344B" w:rsidRDefault="00D3344B">
      <w:pPr>
        <w:pStyle w:val="Estilo"/>
        <w:ind w:left="567" w:hanging="567"/>
        <w:rPr>
          <w:rFonts w:cs="Arial"/>
        </w:rPr>
      </w:pPr>
    </w:p>
    <w:p w14:paraId="620833CB" w14:textId="77777777" w:rsidR="00D3344B" w:rsidRDefault="00143C25">
      <w:pPr>
        <w:pStyle w:val="Estilo"/>
        <w:ind w:left="567"/>
        <w:rPr>
          <w:rFonts w:cs="Arial"/>
        </w:rPr>
      </w:pPr>
      <w:r>
        <w:rPr>
          <w:rFonts w:cs="Arial"/>
          <w:i/>
          <w:sz w:val="16"/>
        </w:rPr>
        <w:t>N. DE E. EN RELACIÓN CON LA ENTRADA EN VIGOR DE LA PRESENTE FRACCIÓN, VÉASE ARTÍCULO ÚNICO TRANSITORIO DEL DECRETO QUE MODIFICA ESTE ORDENAMIENTO.</w:t>
      </w:r>
    </w:p>
    <w:p w14:paraId="6FB7D679" w14:textId="77777777" w:rsidR="00D3344B" w:rsidRDefault="00143C25">
      <w:pPr>
        <w:pStyle w:val="Estilo"/>
        <w:ind w:left="1134" w:hanging="567"/>
        <w:rPr>
          <w:rFonts w:cs="Arial"/>
        </w:rPr>
      </w:pPr>
      <w:r>
        <w:rPr>
          <w:rFonts w:cs="Arial"/>
          <w:i/>
          <w:sz w:val="16"/>
        </w:rPr>
        <w:t>(REFORMADA, P.O. 23 DE DICIEMBRE DE 2011)</w:t>
      </w:r>
    </w:p>
    <w:p w14:paraId="7AABD717" w14:textId="77777777" w:rsidR="00D3344B" w:rsidRDefault="00143C25">
      <w:pPr>
        <w:pStyle w:val="Estilo"/>
        <w:ind w:left="567" w:hanging="567"/>
        <w:rPr>
          <w:rFonts w:cs="Arial"/>
        </w:rPr>
      </w:pPr>
      <w:r>
        <w:rPr>
          <w:rFonts w:cs="Arial"/>
        </w:rPr>
        <w:t xml:space="preserve">X. </w:t>
      </w:r>
      <w:r>
        <w:rPr>
          <w:rFonts w:cs="Arial"/>
        </w:rPr>
        <w:tab/>
        <w:t xml:space="preserve">Valor Total del Vehículo. El precio de enajenación al consumidor, fijado por el fabricante, ensamblador, distribuidor autorizado, importador, empresas comerciales con registro ante la Secretaría de Economía Federal como </w:t>
      </w:r>
      <w:r>
        <w:rPr>
          <w:rFonts w:cs="Arial"/>
        </w:rPr>
        <w:lastRenderedPageBreak/>
        <w:t>empresa para importar autos usados o comerciantes en el ramo de vehículos, según sea el caso, incluyendo el equipo que provenga de fábrica o en su caso el que se adicione por el enajenante a solicitud del consumidor, así como las contribuciones que se deban pagar con motivo de la importación, a excepción del impuesto al valor agregado y en su caso, del valor de blindaje del vehículo.</w:t>
      </w:r>
    </w:p>
    <w:p w14:paraId="2D67865E" w14:textId="77777777" w:rsidR="00D3344B" w:rsidRDefault="00D3344B">
      <w:pPr>
        <w:pStyle w:val="Estilo"/>
        <w:rPr>
          <w:rFonts w:cs="Arial"/>
        </w:rPr>
      </w:pPr>
    </w:p>
    <w:p w14:paraId="779A851C" w14:textId="77777777" w:rsidR="00D3344B" w:rsidRDefault="00143C25">
      <w:pPr>
        <w:pStyle w:val="Estilo"/>
        <w:rPr>
          <w:rFonts w:cs="Arial"/>
        </w:rPr>
      </w:pPr>
      <w:r>
        <w:rPr>
          <w:rFonts w:cs="Arial"/>
        </w:rPr>
        <w:t>En el valor total del vehículo a que hace referencia el párrafo anterior, no se incluirán los intereses derivados de créditos otorgados para la adquisición del mismo.</w:t>
      </w:r>
    </w:p>
    <w:p w14:paraId="7DF16F84" w14:textId="77777777" w:rsidR="00D3344B" w:rsidRDefault="00D3344B">
      <w:pPr>
        <w:pStyle w:val="Estilo"/>
        <w:rPr>
          <w:rFonts w:cs="Arial"/>
        </w:rPr>
      </w:pPr>
    </w:p>
    <w:p w14:paraId="32500DF8" w14:textId="77777777" w:rsidR="00D3344B" w:rsidRDefault="00143C25">
      <w:pPr>
        <w:pStyle w:val="Estilo"/>
        <w:rPr>
          <w:rFonts w:cs="Arial"/>
        </w:rPr>
      </w:pPr>
      <w:r>
        <w:rPr>
          <w:rFonts w:cs="Arial"/>
          <w:b/>
        </w:rPr>
        <w:t>Artículo 92.</w:t>
      </w:r>
      <w:r>
        <w:rPr>
          <w:rFonts w:cs="Arial"/>
        </w:rPr>
        <w:t xml:space="preserve"> </w:t>
      </w:r>
      <w:r>
        <w:rPr>
          <w:rFonts w:cs="Arial"/>
          <w:i/>
          <w:sz w:val="16"/>
        </w:rPr>
        <w:t>(DEROGADO, P.O. 16 DE MARZO DE 2011)</w:t>
      </w:r>
    </w:p>
    <w:p w14:paraId="4434B60A" w14:textId="77777777" w:rsidR="00D3344B" w:rsidRDefault="00D3344B">
      <w:pPr>
        <w:pStyle w:val="Estilo"/>
        <w:rPr>
          <w:rFonts w:cs="Arial"/>
        </w:rPr>
      </w:pPr>
    </w:p>
    <w:p w14:paraId="35387A65" w14:textId="77777777" w:rsidR="00D3344B" w:rsidRDefault="00143C25">
      <w:pPr>
        <w:pStyle w:val="Estilo"/>
        <w:rPr>
          <w:rFonts w:cs="Arial"/>
        </w:rPr>
      </w:pPr>
      <w:r>
        <w:rPr>
          <w:rFonts w:cs="Arial"/>
          <w:i/>
          <w:sz w:val="16"/>
        </w:rPr>
        <w:t>(REFORMADO, P.O. 16 DE MARZO DE 2011)</w:t>
      </w:r>
    </w:p>
    <w:p w14:paraId="52BC4996" w14:textId="77777777" w:rsidR="00D3344B" w:rsidRDefault="00143C25">
      <w:pPr>
        <w:pStyle w:val="Estilo"/>
        <w:rPr>
          <w:rFonts w:cs="Arial"/>
        </w:rPr>
      </w:pPr>
      <w:r>
        <w:rPr>
          <w:rFonts w:cs="Arial"/>
          <w:b/>
        </w:rPr>
        <w:t>Artículo 93.</w:t>
      </w:r>
      <w:r>
        <w:rPr>
          <w:rFonts w:cs="Arial"/>
        </w:rPr>
        <w:t xml:space="preserve"> Este impuesto se pagará y recaudará de acuerdo con las características del vehículo, y conforme a las siguientes secciones de este capítulo.</w:t>
      </w:r>
    </w:p>
    <w:p w14:paraId="1C5FD19E" w14:textId="77777777" w:rsidR="00D3344B" w:rsidRDefault="00D3344B">
      <w:pPr>
        <w:pStyle w:val="Estilo"/>
        <w:rPr>
          <w:rFonts w:cs="Arial"/>
        </w:rPr>
      </w:pPr>
    </w:p>
    <w:p w14:paraId="22F950E0" w14:textId="77777777" w:rsidR="00D3344B" w:rsidRDefault="00143C25">
      <w:pPr>
        <w:pStyle w:val="Estilo"/>
        <w:jc w:val="center"/>
        <w:rPr>
          <w:rFonts w:cs="Arial"/>
        </w:rPr>
      </w:pPr>
      <w:r>
        <w:rPr>
          <w:rFonts w:cs="Arial"/>
          <w:i/>
          <w:sz w:val="16"/>
        </w:rPr>
        <w:t>(ADICIONADA CON LOS ARTÍCULOS QUE LA INTEGRAN, P.O. 16 DE MARZO DE 2011)</w:t>
      </w:r>
    </w:p>
    <w:p w14:paraId="51A056E0" w14:textId="77777777" w:rsidR="00D3344B" w:rsidRDefault="00143C25">
      <w:pPr>
        <w:pStyle w:val="Estilo"/>
        <w:jc w:val="center"/>
        <w:rPr>
          <w:rFonts w:cs="Arial"/>
          <w:b/>
        </w:rPr>
      </w:pPr>
      <w:r>
        <w:rPr>
          <w:rFonts w:cs="Arial"/>
          <w:b/>
        </w:rPr>
        <w:t>Sección II</w:t>
      </w:r>
    </w:p>
    <w:p w14:paraId="0F319D61" w14:textId="77777777" w:rsidR="00D3344B" w:rsidRDefault="00143C25">
      <w:pPr>
        <w:pStyle w:val="Estilo"/>
        <w:jc w:val="center"/>
        <w:rPr>
          <w:rFonts w:cs="Arial"/>
        </w:rPr>
      </w:pPr>
      <w:r>
        <w:rPr>
          <w:rFonts w:cs="Arial"/>
          <w:b/>
        </w:rPr>
        <w:t>De los Automóviles Nuevos</w:t>
      </w:r>
    </w:p>
    <w:p w14:paraId="7D6F4915" w14:textId="77777777" w:rsidR="00D3344B" w:rsidRDefault="00D3344B">
      <w:pPr>
        <w:pStyle w:val="Estilo"/>
        <w:rPr>
          <w:rFonts w:cs="Arial"/>
        </w:rPr>
      </w:pPr>
    </w:p>
    <w:p w14:paraId="3153A955" w14:textId="77777777" w:rsidR="00D3344B" w:rsidRDefault="00143C25">
      <w:pPr>
        <w:pStyle w:val="Estilo"/>
        <w:rPr>
          <w:rFonts w:cs="Arial"/>
        </w:rPr>
      </w:pPr>
      <w:r>
        <w:rPr>
          <w:rFonts w:cs="Arial"/>
          <w:i/>
          <w:sz w:val="16"/>
        </w:rPr>
        <w:t>(ADICIONADO, P.O. 16 DE MARZO DE 2011)</w:t>
      </w:r>
    </w:p>
    <w:p w14:paraId="719401B6" w14:textId="77777777" w:rsidR="00D3344B" w:rsidRDefault="00143C25">
      <w:pPr>
        <w:pStyle w:val="Estilo"/>
        <w:rPr>
          <w:rFonts w:cs="Arial"/>
        </w:rPr>
      </w:pPr>
      <w:r>
        <w:rPr>
          <w:rFonts w:cs="Arial"/>
          <w:b/>
        </w:rPr>
        <w:t>Artículo 93 A.</w:t>
      </w:r>
      <w:r>
        <w:rPr>
          <w:rFonts w:cs="Arial"/>
        </w:rPr>
        <w:t xml:space="preserve"> Tratándose de automóviles, minibuses, microbuses, autobuses, </w:t>
      </w:r>
      <w:proofErr w:type="spellStart"/>
      <w:r>
        <w:rPr>
          <w:rFonts w:cs="Arial"/>
        </w:rPr>
        <w:t>omnibuses</w:t>
      </w:r>
      <w:proofErr w:type="spellEnd"/>
      <w:r>
        <w:rPr>
          <w:rFonts w:cs="Arial"/>
        </w:rPr>
        <w:t>, camiones y tractores no agrícolas tipo quinta rueda, nuevos, el impuesto a que se refiere este Capítulo, se calculará de la forma siguiente:</w:t>
      </w:r>
    </w:p>
    <w:p w14:paraId="5612892B" w14:textId="77777777" w:rsidR="00D3344B" w:rsidRDefault="00D3344B">
      <w:pPr>
        <w:pStyle w:val="Estilo"/>
        <w:rPr>
          <w:rFonts w:cs="Arial"/>
        </w:rPr>
      </w:pPr>
    </w:p>
    <w:p w14:paraId="20251FBF" w14:textId="77777777" w:rsidR="00D3344B" w:rsidRDefault="00143C25">
      <w:pPr>
        <w:pStyle w:val="Estilo"/>
        <w:ind w:left="567" w:hanging="567"/>
        <w:rPr>
          <w:rFonts w:cs="Arial"/>
        </w:rPr>
      </w:pPr>
      <w:r>
        <w:rPr>
          <w:rFonts w:cs="Arial"/>
        </w:rPr>
        <w:t xml:space="preserve">a) </w:t>
      </w:r>
      <w:r>
        <w:rPr>
          <w:rFonts w:cs="Arial"/>
        </w:rPr>
        <w:tab/>
        <w:t>En el caso de automóviles nuevos, destinados al transporte hasta de quince pasajeros, el impuesto será la cantidad que resulte de aplicar al valor total del vehículo, la siguiente:</w:t>
      </w:r>
    </w:p>
    <w:p w14:paraId="4B3FB628" w14:textId="77777777" w:rsidR="00D3344B" w:rsidRDefault="00D3344B">
      <w:pPr>
        <w:pStyle w:val="Estilo"/>
        <w:rPr>
          <w:rFonts w:cs="Arial"/>
        </w:rPr>
      </w:pPr>
    </w:p>
    <w:p w14:paraId="663BF937" w14:textId="77777777" w:rsidR="00D3344B" w:rsidRDefault="00143C25">
      <w:pPr>
        <w:pStyle w:val="Estilo"/>
        <w:jc w:val="center"/>
        <w:rPr>
          <w:rFonts w:cs="Arial"/>
        </w:rPr>
      </w:pPr>
      <w:r>
        <w:rPr>
          <w:rFonts w:cs="Arial"/>
        </w:rPr>
        <w:t>TARIFA</w:t>
      </w:r>
    </w:p>
    <w:p w14:paraId="25D4A745" w14:textId="77777777" w:rsidR="00D3344B" w:rsidRDefault="00D3344B">
      <w:pPr>
        <w:pStyle w:val="Estilo"/>
        <w:jc w:val="center"/>
        <w:rPr>
          <w:rFonts w:cs="Arial"/>
        </w:rPr>
      </w:pPr>
    </w:p>
    <w:tbl>
      <w:tblPr>
        <w:tblW w:w="8213" w:type="dxa"/>
        <w:jc w:val="right"/>
        <w:tblLayout w:type="fixed"/>
        <w:tblLook w:val="0000" w:firstRow="0" w:lastRow="0" w:firstColumn="0" w:lastColumn="0" w:noHBand="0" w:noVBand="0"/>
      </w:tblPr>
      <w:tblGrid>
        <w:gridCol w:w="2055"/>
        <w:gridCol w:w="2053"/>
        <w:gridCol w:w="2052"/>
        <w:gridCol w:w="2053"/>
      </w:tblGrid>
      <w:tr w:rsidR="00D3344B" w14:paraId="391EBB09" w14:textId="77777777">
        <w:trPr>
          <w:trHeight w:val="1383"/>
          <w:jc w:val="right"/>
        </w:trPr>
        <w:tc>
          <w:tcPr>
            <w:tcW w:w="2054" w:type="dxa"/>
          </w:tcPr>
          <w:p w14:paraId="6A21D84E"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Límite inferior</w:t>
            </w:r>
          </w:p>
          <w:p w14:paraId="2F742B29"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053" w:type="dxa"/>
          </w:tcPr>
          <w:p w14:paraId="16A8A348"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Límite superior</w:t>
            </w:r>
          </w:p>
          <w:p w14:paraId="5E8CBD66"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052" w:type="dxa"/>
          </w:tcPr>
          <w:p w14:paraId="584ACD64"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Cuota fija</w:t>
            </w:r>
          </w:p>
          <w:p w14:paraId="48B65F47"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053" w:type="dxa"/>
          </w:tcPr>
          <w:p w14:paraId="1771FA7E"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Tasa para aplicarse sobre al excedente del límite inferior</w:t>
            </w:r>
          </w:p>
          <w:p w14:paraId="0AA36322"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r>
      <w:tr w:rsidR="00D3344B" w14:paraId="1ABD3EE5" w14:textId="77777777">
        <w:trPr>
          <w:jc w:val="right"/>
        </w:trPr>
        <w:tc>
          <w:tcPr>
            <w:tcW w:w="2054" w:type="dxa"/>
          </w:tcPr>
          <w:p w14:paraId="6AFA1E23" w14:textId="77777777" w:rsidR="00D3344B" w:rsidRDefault="00143C25">
            <w:pPr>
              <w:widowControl w:val="0"/>
              <w:tabs>
                <w:tab w:val="left" w:pos="1134"/>
              </w:tabs>
              <w:snapToGrid w:val="0"/>
              <w:jc w:val="right"/>
              <w:rPr>
                <w:rFonts w:ascii="Arial" w:hAnsi="Arial" w:cs="Arial"/>
                <w:bCs/>
                <w:i/>
              </w:rPr>
            </w:pPr>
            <w:r>
              <w:rPr>
                <w:rFonts w:ascii="Arial" w:hAnsi="Arial" w:cs="Arial"/>
                <w:bCs/>
                <w:i/>
              </w:rPr>
              <w:t>0.01</w:t>
            </w:r>
          </w:p>
        </w:tc>
        <w:tc>
          <w:tcPr>
            <w:tcW w:w="2053" w:type="dxa"/>
          </w:tcPr>
          <w:p w14:paraId="186304B3" w14:textId="77777777" w:rsidR="00D3344B" w:rsidRDefault="00143C25">
            <w:pPr>
              <w:widowControl w:val="0"/>
              <w:tabs>
                <w:tab w:val="left" w:pos="1134"/>
              </w:tabs>
              <w:snapToGrid w:val="0"/>
              <w:jc w:val="right"/>
              <w:rPr>
                <w:rFonts w:ascii="Arial" w:hAnsi="Arial" w:cs="Arial"/>
                <w:bCs/>
                <w:i/>
              </w:rPr>
            </w:pPr>
            <w:r>
              <w:rPr>
                <w:rFonts w:ascii="Arial" w:hAnsi="Arial" w:cs="Arial"/>
                <w:bCs/>
                <w:i/>
              </w:rPr>
              <w:t>526,657.78</w:t>
            </w:r>
          </w:p>
        </w:tc>
        <w:tc>
          <w:tcPr>
            <w:tcW w:w="2052" w:type="dxa"/>
          </w:tcPr>
          <w:p w14:paraId="29B814BB" w14:textId="77777777" w:rsidR="00D3344B" w:rsidRDefault="00143C25">
            <w:pPr>
              <w:widowControl w:val="0"/>
              <w:tabs>
                <w:tab w:val="left" w:pos="1134"/>
              </w:tabs>
              <w:snapToGrid w:val="0"/>
              <w:jc w:val="right"/>
              <w:rPr>
                <w:rFonts w:ascii="Arial" w:hAnsi="Arial" w:cs="Arial"/>
                <w:bCs/>
                <w:i/>
              </w:rPr>
            </w:pPr>
            <w:r>
              <w:rPr>
                <w:rFonts w:ascii="Arial" w:hAnsi="Arial" w:cs="Arial"/>
                <w:bCs/>
                <w:i/>
              </w:rPr>
              <w:t>0.00</w:t>
            </w:r>
          </w:p>
        </w:tc>
        <w:tc>
          <w:tcPr>
            <w:tcW w:w="2053" w:type="dxa"/>
          </w:tcPr>
          <w:p w14:paraId="16000B46" w14:textId="77777777" w:rsidR="00D3344B" w:rsidRDefault="00143C25">
            <w:pPr>
              <w:widowControl w:val="0"/>
              <w:tabs>
                <w:tab w:val="left" w:pos="1134"/>
              </w:tabs>
              <w:snapToGrid w:val="0"/>
              <w:jc w:val="center"/>
              <w:rPr>
                <w:rFonts w:ascii="Arial" w:hAnsi="Arial" w:cs="Arial"/>
                <w:bCs/>
                <w:i/>
              </w:rPr>
            </w:pPr>
            <w:r>
              <w:rPr>
                <w:rFonts w:ascii="Arial" w:hAnsi="Arial" w:cs="Arial"/>
                <w:bCs/>
                <w:i/>
              </w:rPr>
              <w:t>3.0</w:t>
            </w:r>
          </w:p>
        </w:tc>
      </w:tr>
      <w:tr w:rsidR="00D3344B" w14:paraId="1543F414" w14:textId="77777777">
        <w:trPr>
          <w:jc w:val="right"/>
        </w:trPr>
        <w:tc>
          <w:tcPr>
            <w:tcW w:w="2054" w:type="dxa"/>
          </w:tcPr>
          <w:p w14:paraId="69228F16" w14:textId="77777777" w:rsidR="00D3344B" w:rsidRDefault="00143C25">
            <w:pPr>
              <w:widowControl w:val="0"/>
              <w:tabs>
                <w:tab w:val="left" w:pos="1134"/>
              </w:tabs>
              <w:snapToGrid w:val="0"/>
              <w:jc w:val="right"/>
              <w:rPr>
                <w:rFonts w:ascii="Arial" w:hAnsi="Arial" w:cs="Arial"/>
                <w:bCs/>
                <w:i/>
              </w:rPr>
            </w:pPr>
            <w:r>
              <w:rPr>
                <w:rFonts w:ascii="Arial" w:hAnsi="Arial" w:cs="Arial"/>
                <w:bCs/>
                <w:i/>
              </w:rPr>
              <w:t>526,657.79</w:t>
            </w:r>
          </w:p>
        </w:tc>
        <w:tc>
          <w:tcPr>
            <w:tcW w:w="2053" w:type="dxa"/>
          </w:tcPr>
          <w:p w14:paraId="6DD82C29" w14:textId="77777777" w:rsidR="00D3344B" w:rsidRDefault="00143C25">
            <w:pPr>
              <w:widowControl w:val="0"/>
              <w:tabs>
                <w:tab w:val="left" w:pos="1134"/>
              </w:tabs>
              <w:snapToGrid w:val="0"/>
              <w:jc w:val="right"/>
              <w:rPr>
                <w:rFonts w:ascii="Arial" w:hAnsi="Arial" w:cs="Arial"/>
                <w:bCs/>
                <w:i/>
              </w:rPr>
            </w:pPr>
            <w:r>
              <w:rPr>
                <w:rFonts w:ascii="Arial" w:hAnsi="Arial" w:cs="Arial"/>
                <w:bCs/>
                <w:i/>
              </w:rPr>
              <w:t>1,013,523.64</w:t>
            </w:r>
          </w:p>
        </w:tc>
        <w:tc>
          <w:tcPr>
            <w:tcW w:w="2052" w:type="dxa"/>
          </w:tcPr>
          <w:p w14:paraId="192313B0" w14:textId="77777777" w:rsidR="00D3344B" w:rsidRDefault="00143C25">
            <w:pPr>
              <w:widowControl w:val="0"/>
              <w:tabs>
                <w:tab w:val="left" w:pos="1134"/>
              </w:tabs>
              <w:snapToGrid w:val="0"/>
              <w:jc w:val="right"/>
              <w:rPr>
                <w:rFonts w:ascii="Arial" w:hAnsi="Arial" w:cs="Arial"/>
                <w:bCs/>
                <w:i/>
              </w:rPr>
            </w:pPr>
            <w:r>
              <w:rPr>
                <w:rFonts w:ascii="Arial" w:hAnsi="Arial" w:cs="Arial"/>
                <w:bCs/>
                <w:i/>
              </w:rPr>
              <w:t>15,799.73</w:t>
            </w:r>
          </w:p>
        </w:tc>
        <w:tc>
          <w:tcPr>
            <w:tcW w:w="2053" w:type="dxa"/>
          </w:tcPr>
          <w:p w14:paraId="71B704E7" w14:textId="77777777" w:rsidR="00D3344B" w:rsidRDefault="00143C25">
            <w:pPr>
              <w:widowControl w:val="0"/>
              <w:tabs>
                <w:tab w:val="left" w:pos="1134"/>
              </w:tabs>
              <w:snapToGrid w:val="0"/>
              <w:jc w:val="center"/>
              <w:rPr>
                <w:rFonts w:ascii="Arial" w:hAnsi="Arial" w:cs="Arial"/>
                <w:bCs/>
                <w:i/>
              </w:rPr>
            </w:pPr>
            <w:r>
              <w:rPr>
                <w:rFonts w:ascii="Arial" w:hAnsi="Arial" w:cs="Arial"/>
                <w:bCs/>
                <w:i/>
              </w:rPr>
              <w:t>8.7</w:t>
            </w:r>
          </w:p>
        </w:tc>
      </w:tr>
      <w:tr w:rsidR="00D3344B" w14:paraId="3C6134BE" w14:textId="77777777">
        <w:trPr>
          <w:jc w:val="right"/>
        </w:trPr>
        <w:tc>
          <w:tcPr>
            <w:tcW w:w="2054" w:type="dxa"/>
          </w:tcPr>
          <w:p w14:paraId="6AF754F1" w14:textId="77777777" w:rsidR="00D3344B" w:rsidRDefault="00143C25">
            <w:pPr>
              <w:widowControl w:val="0"/>
              <w:tabs>
                <w:tab w:val="left" w:pos="1134"/>
              </w:tabs>
              <w:snapToGrid w:val="0"/>
              <w:jc w:val="right"/>
              <w:rPr>
                <w:rFonts w:ascii="Arial" w:hAnsi="Arial" w:cs="Arial"/>
                <w:bCs/>
                <w:i/>
              </w:rPr>
            </w:pPr>
            <w:r>
              <w:rPr>
                <w:rFonts w:ascii="Arial" w:hAnsi="Arial" w:cs="Arial"/>
                <w:bCs/>
                <w:i/>
              </w:rPr>
              <w:t>1,013,523.65</w:t>
            </w:r>
          </w:p>
        </w:tc>
        <w:tc>
          <w:tcPr>
            <w:tcW w:w="2053" w:type="dxa"/>
          </w:tcPr>
          <w:p w14:paraId="2D828BCD" w14:textId="77777777" w:rsidR="00D3344B" w:rsidRDefault="00143C25">
            <w:pPr>
              <w:widowControl w:val="0"/>
              <w:tabs>
                <w:tab w:val="left" w:pos="1134"/>
              </w:tabs>
              <w:snapToGrid w:val="0"/>
              <w:jc w:val="right"/>
              <w:rPr>
                <w:rFonts w:ascii="Arial" w:hAnsi="Arial" w:cs="Arial"/>
                <w:bCs/>
                <w:i/>
              </w:rPr>
            </w:pPr>
            <w:r>
              <w:rPr>
                <w:rFonts w:ascii="Arial" w:hAnsi="Arial" w:cs="Arial"/>
                <w:bCs/>
                <w:i/>
              </w:rPr>
              <w:t>1,362,288.13</w:t>
            </w:r>
          </w:p>
        </w:tc>
        <w:tc>
          <w:tcPr>
            <w:tcW w:w="2052" w:type="dxa"/>
          </w:tcPr>
          <w:p w14:paraId="043A00D5" w14:textId="77777777" w:rsidR="00D3344B" w:rsidRDefault="00143C25">
            <w:pPr>
              <w:widowControl w:val="0"/>
              <w:tabs>
                <w:tab w:val="left" w:pos="1134"/>
              </w:tabs>
              <w:snapToGrid w:val="0"/>
              <w:jc w:val="right"/>
              <w:rPr>
                <w:rFonts w:ascii="Arial" w:hAnsi="Arial" w:cs="Arial"/>
                <w:bCs/>
                <w:i/>
              </w:rPr>
            </w:pPr>
            <w:r>
              <w:rPr>
                <w:rFonts w:ascii="Arial" w:hAnsi="Arial" w:cs="Arial"/>
                <w:bCs/>
                <w:i/>
              </w:rPr>
              <w:t>58,157.06</w:t>
            </w:r>
          </w:p>
        </w:tc>
        <w:tc>
          <w:tcPr>
            <w:tcW w:w="2053" w:type="dxa"/>
          </w:tcPr>
          <w:p w14:paraId="403E9830" w14:textId="77777777" w:rsidR="00D3344B" w:rsidRDefault="00143C25">
            <w:pPr>
              <w:widowControl w:val="0"/>
              <w:tabs>
                <w:tab w:val="left" w:pos="1134"/>
              </w:tabs>
              <w:snapToGrid w:val="0"/>
              <w:jc w:val="center"/>
              <w:rPr>
                <w:rFonts w:ascii="Arial" w:hAnsi="Arial" w:cs="Arial"/>
                <w:bCs/>
                <w:i/>
              </w:rPr>
            </w:pPr>
            <w:r>
              <w:rPr>
                <w:rFonts w:ascii="Arial" w:hAnsi="Arial" w:cs="Arial"/>
                <w:bCs/>
                <w:i/>
              </w:rPr>
              <w:t>13.3</w:t>
            </w:r>
          </w:p>
        </w:tc>
      </w:tr>
      <w:tr w:rsidR="00D3344B" w14:paraId="02D917C8" w14:textId="77777777">
        <w:trPr>
          <w:jc w:val="right"/>
        </w:trPr>
        <w:tc>
          <w:tcPr>
            <w:tcW w:w="2054" w:type="dxa"/>
          </w:tcPr>
          <w:p w14:paraId="7831258D" w14:textId="77777777" w:rsidR="00D3344B" w:rsidRDefault="00143C25">
            <w:pPr>
              <w:widowControl w:val="0"/>
              <w:tabs>
                <w:tab w:val="left" w:pos="1134"/>
              </w:tabs>
              <w:snapToGrid w:val="0"/>
              <w:jc w:val="right"/>
              <w:rPr>
                <w:rFonts w:ascii="Arial" w:hAnsi="Arial" w:cs="Arial"/>
                <w:bCs/>
                <w:i/>
              </w:rPr>
            </w:pPr>
            <w:r>
              <w:rPr>
                <w:rFonts w:ascii="Arial" w:hAnsi="Arial" w:cs="Arial"/>
                <w:bCs/>
                <w:i/>
              </w:rPr>
              <w:t>1,362,288.14</w:t>
            </w:r>
          </w:p>
        </w:tc>
        <w:tc>
          <w:tcPr>
            <w:tcW w:w="2053" w:type="dxa"/>
          </w:tcPr>
          <w:p w14:paraId="107A8BD6" w14:textId="77777777" w:rsidR="00D3344B" w:rsidRDefault="00143C25">
            <w:pPr>
              <w:widowControl w:val="0"/>
              <w:tabs>
                <w:tab w:val="left" w:pos="1134"/>
              </w:tabs>
              <w:snapToGrid w:val="0"/>
              <w:jc w:val="right"/>
              <w:rPr>
                <w:rFonts w:ascii="Arial" w:hAnsi="Arial" w:cs="Arial"/>
                <w:bCs/>
                <w:i/>
              </w:rPr>
            </w:pPr>
            <w:r>
              <w:rPr>
                <w:rFonts w:ascii="Arial" w:hAnsi="Arial" w:cs="Arial"/>
                <w:bCs/>
                <w:i/>
              </w:rPr>
              <w:t>1,711,052.62</w:t>
            </w:r>
          </w:p>
        </w:tc>
        <w:tc>
          <w:tcPr>
            <w:tcW w:w="2052" w:type="dxa"/>
          </w:tcPr>
          <w:p w14:paraId="48533CBA" w14:textId="77777777" w:rsidR="00D3344B" w:rsidRDefault="00143C25">
            <w:pPr>
              <w:widowControl w:val="0"/>
              <w:tabs>
                <w:tab w:val="left" w:pos="1134"/>
              </w:tabs>
              <w:snapToGrid w:val="0"/>
              <w:jc w:val="right"/>
              <w:rPr>
                <w:rFonts w:ascii="Arial" w:hAnsi="Arial" w:cs="Arial"/>
                <w:bCs/>
                <w:i/>
              </w:rPr>
            </w:pPr>
            <w:r>
              <w:rPr>
                <w:rFonts w:ascii="Arial" w:hAnsi="Arial" w:cs="Arial"/>
                <w:bCs/>
                <w:i/>
              </w:rPr>
              <w:t>104,542.74</w:t>
            </w:r>
          </w:p>
        </w:tc>
        <w:tc>
          <w:tcPr>
            <w:tcW w:w="2053" w:type="dxa"/>
          </w:tcPr>
          <w:p w14:paraId="3C4D76F3" w14:textId="77777777" w:rsidR="00D3344B" w:rsidRDefault="00143C25">
            <w:pPr>
              <w:widowControl w:val="0"/>
              <w:tabs>
                <w:tab w:val="left" w:pos="1134"/>
              </w:tabs>
              <w:snapToGrid w:val="0"/>
              <w:jc w:val="center"/>
              <w:rPr>
                <w:rFonts w:ascii="Arial" w:hAnsi="Arial" w:cs="Arial"/>
                <w:bCs/>
                <w:i/>
              </w:rPr>
            </w:pPr>
            <w:r>
              <w:rPr>
                <w:rFonts w:ascii="Arial" w:hAnsi="Arial" w:cs="Arial"/>
                <w:bCs/>
                <w:i/>
              </w:rPr>
              <w:t>16.8</w:t>
            </w:r>
          </w:p>
        </w:tc>
      </w:tr>
      <w:tr w:rsidR="00D3344B" w14:paraId="7B265DFD" w14:textId="77777777">
        <w:trPr>
          <w:jc w:val="right"/>
        </w:trPr>
        <w:tc>
          <w:tcPr>
            <w:tcW w:w="2054" w:type="dxa"/>
          </w:tcPr>
          <w:p w14:paraId="5D71FC6A" w14:textId="77777777" w:rsidR="00D3344B" w:rsidRDefault="00143C25">
            <w:pPr>
              <w:widowControl w:val="0"/>
              <w:tabs>
                <w:tab w:val="left" w:pos="1134"/>
              </w:tabs>
              <w:snapToGrid w:val="0"/>
              <w:jc w:val="right"/>
              <w:rPr>
                <w:rFonts w:ascii="Arial" w:hAnsi="Arial" w:cs="Arial"/>
                <w:bCs/>
                <w:i/>
              </w:rPr>
            </w:pPr>
            <w:r>
              <w:rPr>
                <w:rFonts w:ascii="Arial" w:hAnsi="Arial" w:cs="Arial"/>
                <w:bCs/>
                <w:i/>
              </w:rPr>
              <w:t>1,711,052.63</w:t>
            </w:r>
          </w:p>
        </w:tc>
        <w:tc>
          <w:tcPr>
            <w:tcW w:w="2053" w:type="dxa"/>
          </w:tcPr>
          <w:p w14:paraId="78ED6784" w14:textId="77777777" w:rsidR="00D3344B" w:rsidRDefault="00143C25">
            <w:pPr>
              <w:widowControl w:val="0"/>
              <w:tabs>
                <w:tab w:val="left" w:pos="1134"/>
              </w:tabs>
              <w:snapToGrid w:val="0"/>
              <w:jc w:val="right"/>
              <w:rPr>
                <w:rFonts w:ascii="Arial" w:hAnsi="Arial" w:cs="Arial"/>
                <w:bCs/>
                <w:i/>
              </w:rPr>
            </w:pPr>
            <w:r>
              <w:rPr>
                <w:rFonts w:ascii="Arial" w:hAnsi="Arial" w:cs="Arial"/>
                <w:bCs/>
                <w:i/>
              </w:rPr>
              <w:t>En adelante</w:t>
            </w:r>
          </w:p>
        </w:tc>
        <w:tc>
          <w:tcPr>
            <w:tcW w:w="2052" w:type="dxa"/>
          </w:tcPr>
          <w:p w14:paraId="46A93135" w14:textId="77777777" w:rsidR="00D3344B" w:rsidRDefault="00143C25">
            <w:pPr>
              <w:widowControl w:val="0"/>
              <w:tabs>
                <w:tab w:val="left" w:pos="1134"/>
              </w:tabs>
              <w:snapToGrid w:val="0"/>
              <w:jc w:val="right"/>
              <w:rPr>
                <w:rFonts w:ascii="Arial" w:hAnsi="Arial" w:cs="Arial"/>
                <w:bCs/>
                <w:i/>
              </w:rPr>
            </w:pPr>
            <w:r>
              <w:rPr>
                <w:rFonts w:ascii="Arial" w:hAnsi="Arial" w:cs="Arial"/>
                <w:bCs/>
                <w:i/>
              </w:rPr>
              <w:t>163,135.16</w:t>
            </w:r>
          </w:p>
        </w:tc>
        <w:tc>
          <w:tcPr>
            <w:tcW w:w="2053" w:type="dxa"/>
          </w:tcPr>
          <w:p w14:paraId="63D19AA3" w14:textId="77777777" w:rsidR="00D3344B" w:rsidRDefault="00143C25">
            <w:pPr>
              <w:widowControl w:val="0"/>
              <w:tabs>
                <w:tab w:val="left" w:pos="1134"/>
              </w:tabs>
              <w:snapToGrid w:val="0"/>
              <w:jc w:val="center"/>
              <w:rPr>
                <w:rFonts w:ascii="Arial" w:hAnsi="Arial" w:cs="Arial"/>
                <w:bCs/>
                <w:i/>
              </w:rPr>
            </w:pPr>
            <w:r>
              <w:rPr>
                <w:rFonts w:ascii="Arial" w:hAnsi="Arial" w:cs="Arial"/>
                <w:bCs/>
                <w:i/>
              </w:rPr>
              <w:t>19.1</w:t>
            </w:r>
          </w:p>
        </w:tc>
      </w:tr>
    </w:tbl>
    <w:p w14:paraId="09F0C001" w14:textId="77777777" w:rsidR="00D3344B" w:rsidRDefault="00D3344B">
      <w:pPr>
        <w:pStyle w:val="Estilo"/>
        <w:rPr>
          <w:rFonts w:cs="Arial"/>
        </w:rPr>
      </w:pPr>
    </w:p>
    <w:p w14:paraId="74029B09" w14:textId="77777777" w:rsidR="00D3344B" w:rsidRDefault="00D3344B">
      <w:pPr>
        <w:pStyle w:val="Estilo"/>
        <w:rPr>
          <w:rFonts w:cs="Arial"/>
        </w:rPr>
      </w:pPr>
    </w:p>
    <w:p w14:paraId="23029CB6" w14:textId="77777777" w:rsidR="00D3344B" w:rsidRDefault="00143C25">
      <w:pPr>
        <w:pStyle w:val="Estilo"/>
        <w:ind w:left="567" w:hanging="567"/>
        <w:rPr>
          <w:rFonts w:cs="Arial"/>
        </w:rPr>
      </w:pPr>
      <w:r>
        <w:rPr>
          <w:rFonts w:cs="Arial"/>
        </w:rPr>
        <w:t xml:space="preserve">b) </w:t>
      </w:r>
      <w:r>
        <w:rPr>
          <w:rFonts w:cs="Arial"/>
        </w:rPr>
        <w:tab/>
        <w:t>Para automóviles nuevos destinados al transporte de más de quince pasajeros o para el transporte de efectos cuyo peso bruto vehicular sea menor a 15 toneladas y para automóviles nuevos que cuenten con placas de servicio público de transporte de pasajeros y los automóviles de alquiler en su modalidad de taxis, el impuesto será la cantidad que resulte de aplicar el 0.245% al valor total del vehículo.</w:t>
      </w:r>
    </w:p>
    <w:p w14:paraId="3642B015" w14:textId="77777777" w:rsidR="00D3344B" w:rsidRDefault="00D3344B">
      <w:pPr>
        <w:pStyle w:val="Estilo"/>
        <w:rPr>
          <w:rFonts w:cs="Arial"/>
        </w:rPr>
      </w:pPr>
    </w:p>
    <w:p w14:paraId="3769F7C9" w14:textId="77777777" w:rsidR="00D3344B" w:rsidRDefault="00143C25">
      <w:pPr>
        <w:pStyle w:val="Estilo"/>
        <w:rPr>
          <w:rFonts w:cs="Arial"/>
        </w:rPr>
      </w:pPr>
      <w:r>
        <w:rPr>
          <w:rFonts w:cs="Arial"/>
        </w:rPr>
        <w:t>Cuando el peso bruto vehicular sea de 15 a 35 toneladas, el impuesto se calculará multiplicando la cantidad que resulte de aplicar el 0.50% al valor total del automóvil, por el factor fiscal que resulte de dividir el peso bruto máximo vehicular expresado en toneladas, entre 30. En el caso de que el peso sea mayor de 35 toneladas se tomará como peso bruto máximo vehicular esta cantidad.</w:t>
      </w:r>
    </w:p>
    <w:p w14:paraId="7753B1E8" w14:textId="77777777" w:rsidR="00D3344B" w:rsidRDefault="00D3344B">
      <w:pPr>
        <w:pStyle w:val="Estilo"/>
        <w:rPr>
          <w:rFonts w:cs="Arial"/>
        </w:rPr>
      </w:pPr>
    </w:p>
    <w:p w14:paraId="60DD13F4" w14:textId="77777777" w:rsidR="00D3344B" w:rsidRDefault="00143C25">
      <w:pPr>
        <w:pStyle w:val="Estilo"/>
        <w:rPr>
          <w:rFonts w:cs="Arial"/>
        </w:rPr>
      </w:pPr>
      <w:r>
        <w:rPr>
          <w:rFonts w:cs="Arial"/>
        </w:rPr>
        <w:t>Para los efectos de esta fracción, peso bruto vehicular es el peso del vehículo totalmente equipado incluyendo chasis, cabina, carrocería, unidad de arrastre con el equipo y carga útil transportable.</w:t>
      </w:r>
    </w:p>
    <w:p w14:paraId="1C536F74" w14:textId="77777777" w:rsidR="00D3344B" w:rsidRDefault="00D3344B">
      <w:pPr>
        <w:pStyle w:val="Estilo"/>
        <w:rPr>
          <w:rFonts w:cs="Arial"/>
        </w:rPr>
      </w:pPr>
    </w:p>
    <w:p w14:paraId="47E779A0" w14:textId="77777777" w:rsidR="00D3344B" w:rsidRDefault="00143C25">
      <w:pPr>
        <w:pStyle w:val="Estilo"/>
        <w:rPr>
          <w:rFonts w:cs="Arial"/>
        </w:rPr>
      </w:pPr>
      <w:r>
        <w:rPr>
          <w:rFonts w:cs="Arial"/>
        </w:rPr>
        <w:t>Para los efectos de este artículo, se entiende por vehículos destinados a transporte de más de 15 pasajeros o efectos, los camiones, vehículos Pick Up sin importar el peso bruto vehicular, tractores no agrícolas tipo quinta rueda, así como minibuses, microbuses y autobuses integrales, cualquiera que sea su tipo y peso bruto vehicular.</w:t>
      </w:r>
    </w:p>
    <w:p w14:paraId="1631C9B7" w14:textId="77777777" w:rsidR="00D3344B" w:rsidRDefault="00D3344B">
      <w:pPr>
        <w:pStyle w:val="Estilo"/>
        <w:rPr>
          <w:rFonts w:cs="Arial"/>
        </w:rPr>
      </w:pPr>
    </w:p>
    <w:p w14:paraId="0F143C1D" w14:textId="77777777" w:rsidR="00D3344B" w:rsidRDefault="00143C25">
      <w:pPr>
        <w:pStyle w:val="Estilo"/>
        <w:rPr>
          <w:rFonts w:cs="Arial"/>
        </w:rPr>
      </w:pPr>
      <w:r>
        <w:rPr>
          <w:rFonts w:cs="Arial"/>
          <w:i/>
          <w:sz w:val="16"/>
        </w:rPr>
        <w:t>(ADICIONADO, P.O. 16 DE MARZO DE 2011)</w:t>
      </w:r>
    </w:p>
    <w:p w14:paraId="1652D4B8" w14:textId="77777777" w:rsidR="00D3344B" w:rsidRDefault="00143C25">
      <w:pPr>
        <w:pStyle w:val="Estilo"/>
        <w:rPr>
          <w:rFonts w:cs="Arial"/>
        </w:rPr>
      </w:pPr>
      <w:r>
        <w:rPr>
          <w:rFonts w:cs="Arial"/>
          <w:b/>
        </w:rPr>
        <w:t>Artículo 93 B.</w:t>
      </w:r>
      <w:r>
        <w:rPr>
          <w:rFonts w:cs="Arial"/>
        </w:rPr>
        <w:t xml:space="preserve"> Tratándose de motocicletas nuevas, el impuesto a que se refiere este capítulo se calculará aplicando al valor total de la motocicleta, la siguiente:</w:t>
      </w:r>
    </w:p>
    <w:p w14:paraId="02B74275" w14:textId="77777777" w:rsidR="00D3344B" w:rsidRDefault="00D3344B">
      <w:pPr>
        <w:pStyle w:val="Estilo"/>
        <w:rPr>
          <w:rFonts w:cs="Arial"/>
        </w:rPr>
      </w:pPr>
    </w:p>
    <w:p w14:paraId="4B7D2B0A" w14:textId="77777777" w:rsidR="00D3344B" w:rsidRDefault="00143C25">
      <w:pPr>
        <w:pStyle w:val="Estilo"/>
        <w:jc w:val="center"/>
        <w:rPr>
          <w:rFonts w:cs="Arial"/>
        </w:rPr>
      </w:pPr>
      <w:r>
        <w:rPr>
          <w:rFonts w:cs="Arial"/>
        </w:rPr>
        <w:t>TARIFA</w:t>
      </w:r>
    </w:p>
    <w:p w14:paraId="1BE902BE" w14:textId="77777777" w:rsidR="00D3344B" w:rsidRDefault="00D3344B">
      <w:pPr>
        <w:pStyle w:val="Estilo"/>
        <w:jc w:val="center"/>
        <w:rPr>
          <w:rFonts w:cs="Arial"/>
        </w:rPr>
      </w:pPr>
    </w:p>
    <w:tbl>
      <w:tblPr>
        <w:tblW w:w="8781" w:type="dxa"/>
        <w:jc w:val="right"/>
        <w:tblLayout w:type="fixed"/>
        <w:tblLook w:val="0000" w:firstRow="0" w:lastRow="0" w:firstColumn="0" w:lastColumn="0" w:noHBand="0" w:noVBand="0"/>
      </w:tblPr>
      <w:tblGrid>
        <w:gridCol w:w="2197"/>
        <w:gridCol w:w="2195"/>
        <w:gridCol w:w="2194"/>
        <w:gridCol w:w="2195"/>
      </w:tblGrid>
      <w:tr w:rsidR="00D3344B" w14:paraId="036280E7" w14:textId="77777777">
        <w:trPr>
          <w:trHeight w:val="1306"/>
          <w:jc w:val="right"/>
        </w:trPr>
        <w:tc>
          <w:tcPr>
            <w:tcW w:w="2196" w:type="dxa"/>
          </w:tcPr>
          <w:p w14:paraId="551AF0EA"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Límite inferior</w:t>
            </w:r>
          </w:p>
          <w:p w14:paraId="05991C33"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195" w:type="dxa"/>
          </w:tcPr>
          <w:p w14:paraId="5DDB862D"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Límite superior</w:t>
            </w:r>
          </w:p>
          <w:p w14:paraId="49B74849"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194" w:type="dxa"/>
          </w:tcPr>
          <w:p w14:paraId="175CED7E"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Cuota fija</w:t>
            </w:r>
          </w:p>
          <w:p w14:paraId="630FAD80"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c>
          <w:tcPr>
            <w:tcW w:w="2195" w:type="dxa"/>
          </w:tcPr>
          <w:p w14:paraId="6B7FE036" w14:textId="77777777" w:rsidR="00D3344B" w:rsidRDefault="00143C25">
            <w:pPr>
              <w:widowControl w:val="0"/>
              <w:tabs>
                <w:tab w:val="left" w:pos="1134"/>
              </w:tabs>
              <w:snapToGrid w:val="0"/>
              <w:jc w:val="center"/>
              <w:rPr>
                <w:rFonts w:ascii="Arial" w:hAnsi="Arial" w:cs="Arial"/>
                <w:b/>
                <w:bCs/>
                <w:i/>
              </w:rPr>
            </w:pPr>
            <w:r>
              <w:rPr>
                <w:rFonts w:ascii="Arial" w:hAnsi="Arial" w:cs="Arial"/>
                <w:b/>
                <w:bCs/>
                <w:i/>
              </w:rPr>
              <w:t>Tasa para aplicarse sobre al excedente del límite inferior</w:t>
            </w:r>
          </w:p>
          <w:p w14:paraId="23C97A38" w14:textId="77777777" w:rsidR="00D3344B" w:rsidRDefault="00143C25">
            <w:pPr>
              <w:widowControl w:val="0"/>
              <w:tabs>
                <w:tab w:val="left" w:pos="1134"/>
              </w:tabs>
              <w:jc w:val="center"/>
              <w:rPr>
                <w:rFonts w:ascii="Arial" w:hAnsi="Arial" w:cs="Arial"/>
                <w:b/>
                <w:bCs/>
                <w:i/>
              </w:rPr>
            </w:pPr>
            <w:r>
              <w:rPr>
                <w:rFonts w:ascii="Arial" w:hAnsi="Arial" w:cs="Arial"/>
                <w:b/>
                <w:bCs/>
                <w:i/>
              </w:rPr>
              <w:t>%</w:t>
            </w:r>
          </w:p>
        </w:tc>
      </w:tr>
      <w:tr w:rsidR="00D3344B" w14:paraId="0D390D7F" w14:textId="77777777">
        <w:trPr>
          <w:jc w:val="right"/>
        </w:trPr>
        <w:tc>
          <w:tcPr>
            <w:tcW w:w="2196" w:type="dxa"/>
          </w:tcPr>
          <w:p w14:paraId="74F7C720" w14:textId="77777777" w:rsidR="00D3344B" w:rsidRDefault="00143C25">
            <w:pPr>
              <w:widowControl w:val="0"/>
              <w:tabs>
                <w:tab w:val="left" w:pos="1134"/>
              </w:tabs>
              <w:snapToGrid w:val="0"/>
              <w:jc w:val="right"/>
              <w:rPr>
                <w:rFonts w:ascii="Arial" w:hAnsi="Arial" w:cs="Arial"/>
                <w:bCs/>
                <w:i/>
              </w:rPr>
            </w:pPr>
            <w:r>
              <w:rPr>
                <w:rFonts w:ascii="Arial" w:hAnsi="Arial" w:cs="Arial"/>
                <w:bCs/>
                <w:i/>
              </w:rPr>
              <w:t>0.01</w:t>
            </w:r>
          </w:p>
        </w:tc>
        <w:tc>
          <w:tcPr>
            <w:tcW w:w="2195" w:type="dxa"/>
          </w:tcPr>
          <w:p w14:paraId="609F1314" w14:textId="77777777" w:rsidR="00D3344B" w:rsidRDefault="00143C25">
            <w:pPr>
              <w:widowControl w:val="0"/>
              <w:tabs>
                <w:tab w:val="left" w:pos="1134"/>
              </w:tabs>
              <w:snapToGrid w:val="0"/>
              <w:jc w:val="right"/>
              <w:rPr>
                <w:rFonts w:ascii="Arial" w:hAnsi="Arial" w:cs="Arial"/>
                <w:bCs/>
                <w:i/>
              </w:rPr>
            </w:pPr>
            <w:r>
              <w:rPr>
                <w:rFonts w:ascii="Arial" w:hAnsi="Arial" w:cs="Arial"/>
                <w:bCs/>
                <w:i/>
              </w:rPr>
              <w:t>220,660.00</w:t>
            </w:r>
          </w:p>
        </w:tc>
        <w:tc>
          <w:tcPr>
            <w:tcW w:w="2194" w:type="dxa"/>
          </w:tcPr>
          <w:p w14:paraId="51ABDB3A" w14:textId="77777777" w:rsidR="00D3344B" w:rsidRDefault="00143C25">
            <w:pPr>
              <w:widowControl w:val="0"/>
              <w:tabs>
                <w:tab w:val="left" w:pos="1134"/>
              </w:tabs>
              <w:snapToGrid w:val="0"/>
              <w:jc w:val="right"/>
              <w:rPr>
                <w:rFonts w:ascii="Arial" w:hAnsi="Arial" w:cs="Arial"/>
                <w:bCs/>
                <w:i/>
              </w:rPr>
            </w:pPr>
            <w:r>
              <w:rPr>
                <w:rFonts w:ascii="Arial" w:hAnsi="Arial" w:cs="Arial"/>
                <w:bCs/>
                <w:i/>
              </w:rPr>
              <w:t>0.00</w:t>
            </w:r>
          </w:p>
        </w:tc>
        <w:tc>
          <w:tcPr>
            <w:tcW w:w="2195" w:type="dxa"/>
          </w:tcPr>
          <w:p w14:paraId="49062EAA" w14:textId="77777777" w:rsidR="00D3344B" w:rsidRDefault="00143C25">
            <w:pPr>
              <w:widowControl w:val="0"/>
              <w:tabs>
                <w:tab w:val="left" w:pos="1134"/>
              </w:tabs>
              <w:snapToGrid w:val="0"/>
              <w:jc w:val="center"/>
              <w:rPr>
                <w:rFonts w:ascii="Arial" w:hAnsi="Arial" w:cs="Arial"/>
                <w:bCs/>
                <w:i/>
              </w:rPr>
            </w:pPr>
            <w:r>
              <w:rPr>
                <w:rFonts w:ascii="Arial" w:hAnsi="Arial" w:cs="Arial"/>
                <w:bCs/>
                <w:i/>
              </w:rPr>
              <w:t>3.0</w:t>
            </w:r>
          </w:p>
        </w:tc>
      </w:tr>
      <w:tr w:rsidR="00D3344B" w14:paraId="11F9CACA" w14:textId="77777777">
        <w:trPr>
          <w:jc w:val="right"/>
        </w:trPr>
        <w:tc>
          <w:tcPr>
            <w:tcW w:w="2196" w:type="dxa"/>
          </w:tcPr>
          <w:p w14:paraId="60C77D87" w14:textId="77777777" w:rsidR="00D3344B" w:rsidRDefault="00143C25">
            <w:pPr>
              <w:widowControl w:val="0"/>
              <w:tabs>
                <w:tab w:val="left" w:pos="1134"/>
              </w:tabs>
              <w:snapToGrid w:val="0"/>
              <w:jc w:val="right"/>
              <w:rPr>
                <w:rFonts w:ascii="Arial" w:hAnsi="Arial" w:cs="Arial"/>
                <w:bCs/>
                <w:i/>
              </w:rPr>
            </w:pPr>
            <w:r>
              <w:rPr>
                <w:rFonts w:ascii="Arial" w:hAnsi="Arial" w:cs="Arial"/>
                <w:bCs/>
                <w:i/>
              </w:rPr>
              <w:t>220,660.01</w:t>
            </w:r>
          </w:p>
        </w:tc>
        <w:tc>
          <w:tcPr>
            <w:tcW w:w="2195" w:type="dxa"/>
          </w:tcPr>
          <w:p w14:paraId="60278D51" w14:textId="77777777" w:rsidR="00D3344B" w:rsidRDefault="00143C25">
            <w:pPr>
              <w:widowControl w:val="0"/>
              <w:tabs>
                <w:tab w:val="left" w:pos="1134"/>
              </w:tabs>
              <w:snapToGrid w:val="0"/>
              <w:jc w:val="right"/>
              <w:rPr>
                <w:rFonts w:ascii="Arial" w:hAnsi="Arial" w:cs="Arial"/>
                <w:bCs/>
                <w:i/>
              </w:rPr>
            </w:pPr>
            <w:r>
              <w:rPr>
                <w:rFonts w:ascii="Arial" w:hAnsi="Arial" w:cs="Arial"/>
                <w:bCs/>
                <w:i/>
              </w:rPr>
              <w:t>303,459.28</w:t>
            </w:r>
          </w:p>
        </w:tc>
        <w:tc>
          <w:tcPr>
            <w:tcW w:w="2194" w:type="dxa"/>
          </w:tcPr>
          <w:p w14:paraId="68653E21" w14:textId="77777777" w:rsidR="00D3344B" w:rsidRDefault="00143C25">
            <w:pPr>
              <w:widowControl w:val="0"/>
              <w:tabs>
                <w:tab w:val="left" w:pos="1134"/>
              </w:tabs>
              <w:snapToGrid w:val="0"/>
              <w:jc w:val="right"/>
              <w:rPr>
                <w:rFonts w:ascii="Arial" w:hAnsi="Arial" w:cs="Arial"/>
                <w:bCs/>
                <w:i/>
              </w:rPr>
            </w:pPr>
            <w:r>
              <w:rPr>
                <w:rFonts w:ascii="Arial" w:hAnsi="Arial" w:cs="Arial"/>
                <w:bCs/>
                <w:i/>
              </w:rPr>
              <w:t>6,619.80</w:t>
            </w:r>
          </w:p>
        </w:tc>
        <w:tc>
          <w:tcPr>
            <w:tcW w:w="2195" w:type="dxa"/>
          </w:tcPr>
          <w:p w14:paraId="0F0D72CD" w14:textId="77777777" w:rsidR="00D3344B" w:rsidRDefault="00143C25">
            <w:pPr>
              <w:widowControl w:val="0"/>
              <w:tabs>
                <w:tab w:val="left" w:pos="1134"/>
              </w:tabs>
              <w:snapToGrid w:val="0"/>
              <w:jc w:val="center"/>
              <w:rPr>
                <w:rFonts w:ascii="Arial" w:hAnsi="Arial" w:cs="Arial"/>
                <w:bCs/>
                <w:i/>
              </w:rPr>
            </w:pPr>
            <w:r>
              <w:rPr>
                <w:rFonts w:ascii="Arial" w:hAnsi="Arial" w:cs="Arial"/>
                <w:bCs/>
                <w:i/>
              </w:rPr>
              <w:t>8.7</w:t>
            </w:r>
          </w:p>
        </w:tc>
      </w:tr>
      <w:tr w:rsidR="00D3344B" w14:paraId="756A89E8" w14:textId="77777777">
        <w:trPr>
          <w:jc w:val="right"/>
        </w:trPr>
        <w:tc>
          <w:tcPr>
            <w:tcW w:w="2196" w:type="dxa"/>
          </w:tcPr>
          <w:p w14:paraId="36E55038" w14:textId="77777777" w:rsidR="00D3344B" w:rsidRDefault="00143C25">
            <w:pPr>
              <w:widowControl w:val="0"/>
              <w:tabs>
                <w:tab w:val="left" w:pos="1134"/>
              </w:tabs>
              <w:snapToGrid w:val="0"/>
              <w:jc w:val="right"/>
              <w:rPr>
                <w:rFonts w:ascii="Arial" w:hAnsi="Arial" w:cs="Arial"/>
                <w:bCs/>
                <w:i/>
              </w:rPr>
            </w:pPr>
            <w:r>
              <w:rPr>
                <w:rFonts w:ascii="Arial" w:hAnsi="Arial" w:cs="Arial"/>
                <w:bCs/>
                <w:i/>
              </w:rPr>
              <w:t>303,459.28</w:t>
            </w:r>
          </w:p>
        </w:tc>
        <w:tc>
          <w:tcPr>
            <w:tcW w:w="2195" w:type="dxa"/>
          </w:tcPr>
          <w:p w14:paraId="16434DF6" w14:textId="77777777" w:rsidR="00D3344B" w:rsidRDefault="00143C25">
            <w:pPr>
              <w:widowControl w:val="0"/>
              <w:tabs>
                <w:tab w:val="left" w:pos="1134"/>
              </w:tabs>
              <w:snapToGrid w:val="0"/>
              <w:jc w:val="right"/>
              <w:rPr>
                <w:rFonts w:ascii="Arial" w:hAnsi="Arial" w:cs="Arial"/>
                <w:bCs/>
                <w:i/>
              </w:rPr>
            </w:pPr>
            <w:r>
              <w:rPr>
                <w:rFonts w:ascii="Arial" w:hAnsi="Arial" w:cs="Arial"/>
                <w:bCs/>
                <w:i/>
              </w:rPr>
              <w:t>407,882.92</w:t>
            </w:r>
          </w:p>
        </w:tc>
        <w:tc>
          <w:tcPr>
            <w:tcW w:w="2194" w:type="dxa"/>
          </w:tcPr>
          <w:p w14:paraId="2F129323" w14:textId="77777777" w:rsidR="00D3344B" w:rsidRDefault="00143C25">
            <w:pPr>
              <w:widowControl w:val="0"/>
              <w:tabs>
                <w:tab w:val="left" w:pos="1134"/>
              </w:tabs>
              <w:snapToGrid w:val="0"/>
              <w:jc w:val="right"/>
              <w:rPr>
                <w:rFonts w:ascii="Arial" w:hAnsi="Arial" w:cs="Arial"/>
                <w:bCs/>
                <w:i/>
              </w:rPr>
            </w:pPr>
            <w:r>
              <w:rPr>
                <w:rFonts w:ascii="Arial" w:hAnsi="Arial" w:cs="Arial"/>
                <w:bCs/>
                <w:i/>
              </w:rPr>
              <w:t>13,823.33</w:t>
            </w:r>
          </w:p>
        </w:tc>
        <w:tc>
          <w:tcPr>
            <w:tcW w:w="2195" w:type="dxa"/>
          </w:tcPr>
          <w:p w14:paraId="76A3651A" w14:textId="77777777" w:rsidR="00D3344B" w:rsidRDefault="00143C25">
            <w:pPr>
              <w:widowControl w:val="0"/>
              <w:tabs>
                <w:tab w:val="left" w:pos="1134"/>
              </w:tabs>
              <w:snapToGrid w:val="0"/>
              <w:jc w:val="center"/>
              <w:rPr>
                <w:rFonts w:ascii="Arial" w:hAnsi="Arial" w:cs="Arial"/>
                <w:bCs/>
                <w:i/>
              </w:rPr>
            </w:pPr>
            <w:r>
              <w:rPr>
                <w:rFonts w:ascii="Arial" w:hAnsi="Arial" w:cs="Arial"/>
                <w:bCs/>
                <w:i/>
              </w:rPr>
              <w:t>13.3</w:t>
            </w:r>
          </w:p>
        </w:tc>
      </w:tr>
      <w:tr w:rsidR="00D3344B" w14:paraId="58840E29" w14:textId="77777777">
        <w:trPr>
          <w:jc w:val="right"/>
        </w:trPr>
        <w:tc>
          <w:tcPr>
            <w:tcW w:w="2196" w:type="dxa"/>
          </w:tcPr>
          <w:p w14:paraId="1339860A" w14:textId="77777777" w:rsidR="00D3344B" w:rsidRDefault="00143C25">
            <w:pPr>
              <w:widowControl w:val="0"/>
              <w:tabs>
                <w:tab w:val="left" w:pos="1134"/>
              </w:tabs>
              <w:snapToGrid w:val="0"/>
              <w:jc w:val="right"/>
              <w:rPr>
                <w:rFonts w:ascii="Arial" w:hAnsi="Arial" w:cs="Arial"/>
                <w:bCs/>
                <w:i/>
              </w:rPr>
            </w:pPr>
            <w:r>
              <w:rPr>
                <w:rFonts w:ascii="Arial" w:hAnsi="Arial" w:cs="Arial"/>
                <w:bCs/>
                <w:i/>
              </w:rPr>
              <w:t>407,882.93</w:t>
            </w:r>
          </w:p>
        </w:tc>
        <w:tc>
          <w:tcPr>
            <w:tcW w:w="2195" w:type="dxa"/>
          </w:tcPr>
          <w:p w14:paraId="20D7F1BF" w14:textId="77777777" w:rsidR="00D3344B" w:rsidRDefault="00143C25">
            <w:pPr>
              <w:widowControl w:val="0"/>
              <w:tabs>
                <w:tab w:val="left" w:pos="1134"/>
              </w:tabs>
              <w:snapToGrid w:val="0"/>
              <w:jc w:val="right"/>
              <w:rPr>
                <w:rFonts w:ascii="Arial" w:hAnsi="Arial" w:cs="Arial"/>
                <w:bCs/>
                <w:i/>
              </w:rPr>
            </w:pPr>
            <w:r>
              <w:rPr>
                <w:rFonts w:ascii="Arial" w:hAnsi="Arial" w:cs="Arial"/>
                <w:bCs/>
                <w:i/>
              </w:rPr>
              <w:t>En adelante</w:t>
            </w:r>
          </w:p>
        </w:tc>
        <w:tc>
          <w:tcPr>
            <w:tcW w:w="2194" w:type="dxa"/>
          </w:tcPr>
          <w:p w14:paraId="1761E423" w14:textId="77777777" w:rsidR="00D3344B" w:rsidRDefault="00143C25">
            <w:pPr>
              <w:widowControl w:val="0"/>
              <w:tabs>
                <w:tab w:val="left" w:pos="1134"/>
              </w:tabs>
              <w:snapToGrid w:val="0"/>
              <w:jc w:val="right"/>
              <w:rPr>
                <w:rFonts w:ascii="Arial" w:hAnsi="Arial" w:cs="Arial"/>
                <w:bCs/>
                <w:i/>
              </w:rPr>
            </w:pPr>
            <w:r>
              <w:rPr>
                <w:rFonts w:ascii="Arial" w:hAnsi="Arial" w:cs="Arial"/>
                <w:bCs/>
                <w:i/>
              </w:rPr>
              <w:t>27,711.67</w:t>
            </w:r>
          </w:p>
        </w:tc>
        <w:tc>
          <w:tcPr>
            <w:tcW w:w="2195" w:type="dxa"/>
          </w:tcPr>
          <w:p w14:paraId="2179CB96" w14:textId="77777777" w:rsidR="00D3344B" w:rsidRDefault="00143C25">
            <w:pPr>
              <w:widowControl w:val="0"/>
              <w:tabs>
                <w:tab w:val="left" w:pos="1134"/>
              </w:tabs>
              <w:snapToGrid w:val="0"/>
              <w:jc w:val="center"/>
              <w:rPr>
                <w:rFonts w:ascii="Arial" w:hAnsi="Arial" w:cs="Arial"/>
                <w:bCs/>
                <w:i/>
              </w:rPr>
            </w:pPr>
            <w:r>
              <w:rPr>
                <w:rFonts w:ascii="Arial" w:hAnsi="Arial" w:cs="Arial"/>
                <w:bCs/>
                <w:i/>
              </w:rPr>
              <w:t>16.8</w:t>
            </w:r>
          </w:p>
        </w:tc>
      </w:tr>
    </w:tbl>
    <w:p w14:paraId="5D201E79" w14:textId="77777777" w:rsidR="00D3344B" w:rsidRDefault="00D3344B">
      <w:pPr>
        <w:pStyle w:val="Estilo"/>
        <w:rPr>
          <w:rFonts w:cs="Arial"/>
        </w:rPr>
      </w:pPr>
    </w:p>
    <w:p w14:paraId="343DF128" w14:textId="77777777" w:rsidR="00D3344B" w:rsidRDefault="00D3344B">
      <w:pPr>
        <w:pStyle w:val="Estilo"/>
        <w:rPr>
          <w:rFonts w:cs="Arial"/>
        </w:rPr>
      </w:pPr>
    </w:p>
    <w:p w14:paraId="47596645" w14:textId="77777777" w:rsidR="00D3344B" w:rsidRDefault="00143C25">
      <w:pPr>
        <w:pStyle w:val="Estilo"/>
        <w:rPr>
          <w:rFonts w:cs="Arial"/>
        </w:rPr>
      </w:pPr>
      <w:r>
        <w:rPr>
          <w:rFonts w:cs="Arial"/>
          <w:i/>
          <w:sz w:val="16"/>
        </w:rPr>
        <w:lastRenderedPageBreak/>
        <w:t>N. DE E. EN RELACIÓN CON LA ENTRADA EN VIGOR DEL PRESENTE ARTÍCULO, VÉASE ARTÍCULO ÚNICO TRANSITORIO DEL DECRETO QUE MODIFICA ESTE ORDENAMIENTO.</w:t>
      </w:r>
    </w:p>
    <w:p w14:paraId="4BB53DA2" w14:textId="77777777" w:rsidR="00D3344B" w:rsidRDefault="00143C25">
      <w:pPr>
        <w:pStyle w:val="Estilo"/>
        <w:rPr>
          <w:rFonts w:cs="Arial"/>
        </w:rPr>
      </w:pPr>
      <w:r>
        <w:rPr>
          <w:rFonts w:cs="Arial"/>
          <w:i/>
          <w:sz w:val="16"/>
        </w:rPr>
        <w:t>(REFORMADO, P.O. 23 DE DICIEMBRE DE 2011)</w:t>
      </w:r>
    </w:p>
    <w:p w14:paraId="030A3E28" w14:textId="77777777" w:rsidR="00D3344B" w:rsidRDefault="00143C25">
      <w:pPr>
        <w:pStyle w:val="Estilo"/>
        <w:rPr>
          <w:rFonts w:cs="Arial"/>
        </w:rPr>
      </w:pPr>
      <w:r>
        <w:rPr>
          <w:rFonts w:cs="Arial"/>
          <w:b/>
        </w:rPr>
        <w:t>Artículo 93 C.</w:t>
      </w:r>
      <w:r>
        <w:rPr>
          <w:rFonts w:cs="Arial"/>
        </w:rPr>
        <w:t xml:space="preserve"> Tratándose de automóviles eléctricos nuevos, así como de aquellos eléctricos nuevos que además cuenten con motor de combustión interna o con motor accionado por hidrógeno o por cualquier otra fuente de energía alternativa no contaminante, el impuesto será la cantidad que resulte de aplicar al valor total del automóvil la tasa del 0%.</w:t>
      </w:r>
    </w:p>
    <w:p w14:paraId="3AFF30E4" w14:textId="77777777" w:rsidR="00D3344B" w:rsidRDefault="00D3344B">
      <w:pPr>
        <w:pStyle w:val="Estilo"/>
        <w:rPr>
          <w:rFonts w:cs="Arial"/>
        </w:rPr>
      </w:pPr>
    </w:p>
    <w:p w14:paraId="6B0362AF" w14:textId="77777777" w:rsidR="00D3344B" w:rsidRDefault="00D3344B">
      <w:pPr>
        <w:pStyle w:val="Estilo"/>
        <w:rPr>
          <w:rFonts w:cs="Arial"/>
        </w:rPr>
      </w:pPr>
    </w:p>
    <w:p w14:paraId="7BEDCBD5" w14:textId="77777777" w:rsidR="00D3344B" w:rsidRDefault="00143C25">
      <w:pPr>
        <w:pStyle w:val="Estilo"/>
        <w:jc w:val="center"/>
        <w:rPr>
          <w:rFonts w:cs="Arial"/>
        </w:rPr>
      </w:pPr>
      <w:r>
        <w:rPr>
          <w:rFonts w:cs="Arial"/>
          <w:i/>
          <w:sz w:val="16"/>
        </w:rPr>
        <w:t>(ADICIONADA CON LOS ARTÍCULOS QUE LA INTEGRAN, P.O. 16 DE MARZO DE 2011)</w:t>
      </w:r>
    </w:p>
    <w:p w14:paraId="6CB198BF" w14:textId="77777777" w:rsidR="00D3344B" w:rsidRDefault="00143C25">
      <w:pPr>
        <w:pStyle w:val="Estilo"/>
        <w:jc w:val="center"/>
        <w:rPr>
          <w:rFonts w:cs="Arial"/>
          <w:b/>
        </w:rPr>
      </w:pPr>
      <w:r>
        <w:rPr>
          <w:rFonts w:cs="Arial"/>
          <w:b/>
        </w:rPr>
        <w:t>Sección III</w:t>
      </w:r>
    </w:p>
    <w:p w14:paraId="743DC6A7" w14:textId="77777777" w:rsidR="00D3344B" w:rsidRDefault="00143C25">
      <w:pPr>
        <w:pStyle w:val="Estilo"/>
        <w:jc w:val="center"/>
        <w:rPr>
          <w:rFonts w:cs="Arial"/>
          <w:b/>
        </w:rPr>
      </w:pPr>
      <w:r>
        <w:rPr>
          <w:rFonts w:cs="Arial"/>
          <w:b/>
        </w:rPr>
        <w:t>De los Vehículos Usados de Uno a Nueve Años Modelo de Antigüedad</w:t>
      </w:r>
    </w:p>
    <w:p w14:paraId="00FAEAD6" w14:textId="77777777" w:rsidR="00D3344B" w:rsidRDefault="00D3344B">
      <w:pPr>
        <w:pStyle w:val="Estilo"/>
        <w:jc w:val="center"/>
        <w:rPr>
          <w:rFonts w:cs="Arial"/>
          <w:b/>
        </w:rPr>
      </w:pPr>
    </w:p>
    <w:p w14:paraId="350FB217" w14:textId="77777777" w:rsidR="00D3344B" w:rsidRDefault="00143C25">
      <w:pPr>
        <w:pStyle w:val="Estilo"/>
        <w:rPr>
          <w:rFonts w:cs="Arial"/>
        </w:rPr>
      </w:pPr>
      <w:r>
        <w:rPr>
          <w:rFonts w:cs="Arial"/>
          <w:i/>
          <w:sz w:val="16"/>
        </w:rPr>
        <w:t>(ADICIONADO, P.O. 16 DE MARZO DE 2011)</w:t>
      </w:r>
    </w:p>
    <w:p w14:paraId="362FE57D" w14:textId="77777777" w:rsidR="00D3344B" w:rsidRDefault="00143C25">
      <w:pPr>
        <w:pStyle w:val="Estilo"/>
        <w:rPr>
          <w:rFonts w:cs="Arial"/>
        </w:rPr>
      </w:pPr>
      <w:r>
        <w:rPr>
          <w:rFonts w:cs="Arial"/>
          <w:b/>
        </w:rPr>
        <w:t>Artículo 93 D.</w:t>
      </w:r>
      <w:r>
        <w:rPr>
          <w:rFonts w:cs="Arial"/>
        </w:rPr>
        <w:t xml:space="preserve"> Tratándose de vehículos de fabricación nacional o importados, a que se refiere el artículo 93 A inciso b de este Código, el impuesto será el que resulte de multiplicar el importe del impuesto causado en el ejercicio fiscal inmediato anterior por el factor que corresponda conforme a los años de antigüedad del vehículo, de acuerdo con la siguiente:</w:t>
      </w:r>
    </w:p>
    <w:p w14:paraId="6683B62D" w14:textId="77777777" w:rsidR="00D3344B" w:rsidRDefault="00D3344B">
      <w:pPr>
        <w:pStyle w:val="Estilo"/>
        <w:rPr>
          <w:rFonts w:cs="Arial"/>
        </w:rPr>
      </w:pPr>
    </w:p>
    <w:p w14:paraId="65F0C2B3" w14:textId="77777777" w:rsidR="00D3344B" w:rsidRDefault="00143C25">
      <w:pPr>
        <w:pStyle w:val="Estilo"/>
        <w:jc w:val="center"/>
        <w:rPr>
          <w:rFonts w:cs="Arial"/>
        </w:rPr>
      </w:pPr>
      <w:r>
        <w:rPr>
          <w:rFonts w:cs="Arial"/>
        </w:rPr>
        <w:t>TABLA</w:t>
      </w:r>
    </w:p>
    <w:p w14:paraId="606A2B83" w14:textId="77777777" w:rsidR="00D3344B" w:rsidRDefault="00D3344B">
      <w:pPr>
        <w:pStyle w:val="Estilo"/>
        <w:jc w:val="center"/>
        <w:rPr>
          <w:rFonts w:cs="Arial"/>
        </w:rPr>
      </w:pPr>
    </w:p>
    <w:tbl>
      <w:tblPr>
        <w:tblW w:w="3715" w:type="dxa"/>
        <w:jc w:val="center"/>
        <w:tblLayout w:type="fixed"/>
        <w:tblLook w:val="0000" w:firstRow="0" w:lastRow="0" w:firstColumn="0" w:lastColumn="0" w:noHBand="0" w:noVBand="0"/>
      </w:tblPr>
      <w:tblGrid>
        <w:gridCol w:w="2170"/>
        <w:gridCol w:w="1545"/>
      </w:tblGrid>
      <w:tr w:rsidR="00D3344B" w14:paraId="6412DA81" w14:textId="77777777">
        <w:trPr>
          <w:jc w:val="center"/>
        </w:trPr>
        <w:tc>
          <w:tcPr>
            <w:tcW w:w="2169" w:type="dxa"/>
          </w:tcPr>
          <w:p w14:paraId="64141C4D" w14:textId="77777777" w:rsidR="00D3344B" w:rsidRDefault="00143C25">
            <w:pPr>
              <w:widowControl w:val="0"/>
              <w:snapToGrid w:val="0"/>
              <w:jc w:val="center"/>
              <w:rPr>
                <w:rFonts w:ascii="Arial" w:hAnsi="Arial" w:cs="Arial"/>
                <w:b/>
                <w:bCs/>
                <w:i/>
              </w:rPr>
            </w:pPr>
            <w:r>
              <w:rPr>
                <w:rFonts w:ascii="Arial" w:hAnsi="Arial" w:cs="Arial"/>
                <w:b/>
                <w:bCs/>
                <w:i/>
              </w:rPr>
              <w:t>Años de antigüedad</w:t>
            </w:r>
          </w:p>
        </w:tc>
        <w:tc>
          <w:tcPr>
            <w:tcW w:w="1545" w:type="dxa"/>
          </w:tcPr>
          <w:p w14:paraId="728E9C66" w14:textId="77777777" w:rsidR="00D3344B" w:rsidRDefault="00143C25">
            <w:pPr>
              <w:widowControl w:val="0"/>
              <w:snapToGrid w:val="0"/>
              <w:jc w:val="center"/>
              <w:rPr>
                <w:rFonts w:ascii="Arial" w:hAnsi="Arial" w:cs="Arial"/>
                <w:b/>
                <w:bCs/>
                <w:i/>
              </w:rPr>
            </w:pPr>
            <w:r>
              <w:rPr>
                <w:rFonts w:ascii="Arial" w:hAnsi="Arial" w:cs="Arial"/>
                <w:b/>
                <w:bCs/>
                <w:i/>
              </w:rPr>
              <w:t>Factor</w:t>
            </w:r>
          </w:p>
        </w:tc>
      </w:tr>
      <w:tr w:rsidR="00D3344B" w14:paraId="1AAE9149" w14:textId="77777777">
        <w:trPr>
          <w:jc w:val="center"/>
        </w:trPr>
        <w:tc>
          <w:tcPr>
            <w:tcW w:w="2169" w:type="dxa"/>
          </w:tcPr>
          <w:p w14:paraId="425584F8" w14:textId="77777777" w:rsidR="00D3344B" w:rsidRDefault="00143C25">
            <w:pPr>
              <w:widowControl w:val="0"/>
              <w:snapToGrid w:val="0"/>
              <w:jc w:val="center"/>
              <w:rPr>
                <w:rFonts w:ascii="Arial" w:hAnsi="Arial" w:cs="Arial"/>
                <w:bCs/>
                <w:i/>
              </w:rPr>
            </w:pPr>
            <w:r>
              <w:rPr>
                <w:rFonts w:ascii="Arial" w:hAnsi="Arial" w:cs="Arial"/>
                <w:bCs/>
                <w:i/>
              </w:rPr>
              <w:t>1</w:t>
            </w:r>
          </w:p>
        </w:tc>
        <w:tc>
          <w:tcPr>
            <w:tcW w:w="1545" w:type="dxa"/>
          </w:tcPr>
          <w:p w14:paraId="65DAEC77" w14:textId="77777777" w:rsidR="00D3344B" w:rsidRDefault="00143C25">
            <w:pPr>
              <w:widowControl w:val="0"/>
              <w:snapToGrid w:val="0"/>
              <w:jc w:val="center"/>
              <w:rPr>
                <w:rFonts w:ascii="Arial" w:hAnsi="Arial" w:cs="Arial"/>
                <w:bCs/>
                <w:i/>
              </w:rPr>
            </w:pPr>
            <w:r>
              <w:rPr>
                <w:rFonts w:ascii="Arial" w:hAnsi="Arial" w:cs="Arial"/>
                <w:bCs/>
                <w:i/>
              </w:rPr>
              <w:t>0.900</w:t>
            </w:r>
          </w:p>
        </w:tc>
      </w:tr>
      <w:tr w:rsidR="00D3344B" w14:paraId="49192A5D" w14:textId="77777777">
        <w:trPr>
          <w:jc w:val="center"/>
        </w:trPr>
        <w:tc>
          <w:tcPr>
            <w:tcW w:w="2169" w:type="dxa"/>
          </w:tcPr>
          <w:p w14:paraId="36086141" w14:textId="77777777" w:rsidR="00D3344B" w:rsidRDefault="00143C25">
            <w:pPr>
              <w:widowControl w:val="0"/>
              <w:snapToGrid w:val="0"/>
              <w:jc w:val="center"/>
              <w:rPr>
                <w:rFonts w:ascii="Arial" w:hAnsi="Arial" w:cs="Arial"/>
                <w:bCs/>
                <w:i/>
              </w:rPr>
            </w:pPr>
            <w:r>
              <w:rPr>
                <w:rFonts w:ascii="Arial" w:hAnsi="Arial" w:cs="Arial"/>
                <w:bCs/>
                <w:i/>
              </w:rPr>
              <w:t>2</w:t>
            </w:r>
          </w:p>
        </w:tc>
        <w:tc>
          <w:tcPr>
            <w:tcW w:w="1545" w:type="dxa"/>
          </w:tcPr>
          <w:p w14:paraId="7A87DC3E" w14:textId="77777777" w:rsidR="00D3344B" w:rsidRDefault="00143C25">
            <w:pPr>
              <w:widowControl w:val="0"/>
              <w:snapToGrid w:val="0"/>
              <w:jc w:val="center"/>
              <w:rPr>
                <w:rFonts w:ascii="Arial" w:hAnsi="Arial" w:cs="Arial"/>
                <w:bCs/>
                <w:i/>
              </w:rPr>
            </w:pPr>
            <w:r>
              <w:rPr>
                <w:rFonts w:ascii="Arial" w:hAnsi="Arial" w:cs="Arial"/>
                <w:bCs/>
                <w:i/>
              </w:rPr>
              <w:t>0.889</w:t>
            </w:r>
          </w:p>
        </w:tc>
      </w:tr>
      <w:tr w:rsidR="00D3344B" w14:paraId="0617BF90" w14:textId="77777777">
        <w:trPr>
          <w:jc w:val="center"/>
        </w:trPr>
        <w:tc>
          <w:tcPr>
            <w:tcW w:w="2169" w:type="dxa"/>
          </w:tcPr>
          <w:p w14:paraId="657B04BB" w14:textId="77777777" w:rsidR="00D3344B" w:rsidRDefault="00143C25">
            <w:pPr>
              <w:widowControl w:val="0"/>
              <w:snapToGrid w:val="0"/>
              <w:jc w:val="center"/>
              <w:rPr>
                <w:rFonts w:ascii="Arial" w:hAnsi="Arial" w:cs="Arial"/>
                <w:bCs/>
                <w:i/>
              </w:rPr>
            </w:pPr>
            <w:r>
              <w:rPr>
                <w:rFonts w:ascii="Arial" w:hAnsi="Arial" w:cs="Arial"/>
                <w:bCs/>
                <w:i/>
              </w:rPr>
              <w:t>3</w:t>
            </w:r>
          </w:p>
        </w:tc>
        <w:tc>
          <w:tcPr>
            <w:tcW w:w="1545" w:type="dxa"/>
          </w:tcPr>
          <w:p w14:paraId="3B7156B2" w14:textId="77777777" w:rsidR="00D3344B" w:rsidRDefault="00143C25">
            <w:pPr>
              <w:widowControl w:val="0"/>
              <w:snapToGrid w:val="0"/>
              <w:jc w:val="center"/>
              <w:rPr>
                <w:rFonts w:ascii="Arial" w:hAnsi="Arial" w:cs="Arial"/>
                <w:bCs/>
                <w:i/>
              </w:rPr>
            </w:pPr>
            <w:r>
              <w:rPr>
                <w:rFonts w:ascii="Arial" w:hAnsi="Arial" w:cs="Arial"/>
                <w:bCs/>
                <w:i/>
              </w:rPr>
              <w:t>0.875</w:t>
            </w:r>
          </w:p>
        </w:tc>
      </w:tr>
      <w:tr w:rsidR="00D3344B" w14:paraId="2ECF2CBD" w14:textId="77777777">
        <w:trPr>
          <w:jc w:val="center"/>
        </w:trPr>
        <w:tc>
          <w:tcPr>
            <w:tcW w:w="2169" w:type="dxa"/>
          </w:tcPr>
          <w:p w14:paraId="581CA312" w14:textId="77777777" w:rsidR="00D3344B" w:rsidRDefault="00143C25">
            <w:pPr>
              <w:widowControl w:val="0"/>
              <w:snapToGrid w:val="0"/>
              <w:jc w:val="center"/>
              <w:rPr>
                <w:rFonts w:ascii="Arial" w:hAnsi="Arial" w:cs="Arial"/>
                <w:bCs/>
                <w:i/>
              </w:rPr>
            </w:pPr>
            <w:r>
              <w:rPr>
                <w:rFonts w:ascii="Arial" w:hAnsi="Arial" w:cs="Arial"/>
                <w:bCs/>
                <w:i/>
              </w:rPr>
              <w:t>4</w:t>
            </w:r>
          </w:p>
        </w:tc>
        <w:tc>
          <w:tcPr>
            <w:tcW w:w="1545" w:type="dxa"/>
          </w:tcPr>
          <w:p w14:paraId="5DA8C660" w14:textId="77777777" w:rsidR="00D3344B" w:rsidRDefault="00143C25">
            <w:pPr>
              <w:widowControl w:val="0"/>
              <w:snapToGrid w:val="0"/>
              <w:jc w:val="center"/>
              <w:rPr>
                <w:rFonts w:ascii="Arial" w:hAnsi="Arial" w:cs="Arial"/>
                <w:bCs/>
                <w:i/>
              </w:rPr>
            </w:pPr>
            <w:r>
              <w:rPr>
                <w:rFonts w:ascii="Arial" w:hAnsi="Arial" w:cs="Arial"/>
                <w:bCs/>
                <w:i/>
              </w:rPr>
              <w:t>0.857</w:t>
            </w:r>
          </w:p>
        </w:tc>
      </w:tr>
      <w:tr w:rsidR="00D3344B" w14:paraId="3B797EA6" w14:textId="77777777">
        <w:trPr>
          <w:jc w:val="center"/>
        </w:trPr>
        <w:tc>
          <w:tcPr>
            <w:tcW w:w="2169" w:type="dxa"/>
          </w:tcPr>
          <w:p w14:paraId="5CF41CA9" w14:textId="77777777" w:rsidR="00D3344B" w:rsidRDefault="00143C25">
            <w:pPr>
              <w:widowControl w:val="0"/>
              <w:snapToGrid w:val="0"/>
              <w:jc w:val="center"/>
              <w:rPr>
                <w:rFonts w:ascii="Arial" w:hAnsi="Arial" w:cs="Arial"/>
                <w:bCs/>
                <w:i/>
              </w:rPr>
            </w:pPr>
            <w:r>
              <w:rPr>
                <w:rFonts w:ascii="Arial" w:hAnsi="Arial" w:cs="Arial"/>
                <w:bCs/>
                <w:i/>
              </w:rPr>
              <w:t>5</w:t>
            </w:r>
          </w:p>
        </w:tc>
        <w:tc>
          <w:tcPr>
            <w:tcW w:w="1545" w:type="dxa"/>
          </w:tcPr>
          <w:p w14:paraId="1BFC5C9C" w14:textId="77777777" w:rsidR="00D3344B" w:rsidRDefault="00143C25">
            <w:pPr>
              <w:widowControl w:val="0"/>
              <w:snapToGrid w:val="0"/>
              <w:jc w:val="center"/>
              <w:rPr>
                <w:rFonts w:ascii="Arial" w:hAnsi="Arial" w:cs="Arial"/>
                <w:bCs/>
                <w:i/>
              </w:rPr>
            </w:pPr>
            <w:r>
              <w:rPr>
                <w:rFonts w:ascii="Arial" w:hAnsi="Arial" w:cs="Arial"/>
                <w:bCs/>
                <w:i/>
              </w:rPr>
              <w:t>0.833</w:t>
            </w:r>
          </w:p>
        </w:tc>
      </w:tr>
      <w:tr w:rsidR="00D3344B" w14:paraId="1106284A" w14:textId="77777777">
        <w:trPr>
          <w:jc w:val="center"/>
        </w:trPr>
        <w:tc>
          <w:tcPr>
            <w:tcW w:w="2169" w:type="dxa"/>
          </w:tcPr>
          <w:p w14:paraId="3EFC8610" w14:textId="77777777" w:rsidR="00D3344B" w:rsidRDefault="00143C25">
            <w:pPr>
              <w:widowControl w:val="0"/>
              <w:snapToGrid w:val="0"/>
              <w:jc w:val="center"/>
              <w:rPr>
                <w:rFonts w:ascii="Arial" w:hAnsi="Arial" w:cs="Arial"/>
                <w:bCs/>
                <w:i/>
              </w:rPr>
            </w:pPr>
            <w:r>
              <w:rPr>
                <w:rFonts w:ascii="Arial" w:hAnsi="Arial" w:cs="Arial"/>
                <w:bCs/>
                <w:i/>
              </w:rPr>
              <w:t>6</w:t>
            </w:r>
          </w:p>
        </w:tc>
        <w:tc>
          <w:tcPr>
            <w:tcW w:w="1545" w:type="dxa"/>
          </w:tcPr>
          <w:p w14:paraId="78AFF2E5" w14:textId="77777777" w:rsidR="00D3344B" w:rsidRDefault="00143C25">
            <w:pPr>
              <w:widowControl w:val="0"/>
              <w:snapToGrid w:val="0"/>
              <w:jc w:val="center"/>
              <w:rPr>
                <w:rFonts w:ascii="Arial" w:hAnsi="Arial" w:cs="Arial"/>
                <w:bCs/>
                <w:i/>
              </w:rPr>
            </w:pPr>
            <w:r>
              <w:rPr>
                <w:rFonts w:ascii="Arial" w:hAnsi="Arial" w:cs="Arial"/>
                <w:bCs/>
                <w:i/>
              </w:rPr>
              <w:t>0.800</w:t>
            </w:r>
          </w:p>
        </w:tc>
      </w:tr>
      <w:tr w:rsidR="00D3344B" w14:paraId="70EE68DD" w14:textId="77777777">
        <w:trPr>
          <w:jc w:val="center"/>
        </w:trPr>
        <w:tc>
          <w:tcPr>
            <w:tcW w:w="2169" w:type="dxa"/>
          </w:tcPr>
          <w:p w14:paraId="34446458" w14:textId="77777777" w:rsidR="00D3344B" w:rsidRDefault="00143C25">
            <w:pPr>
              <w:widowControl w:val="0"/>
              <w:snapToGrid w:val="0"/>
              <w:jc w:val="center"/>
              <w:rPr>
                <w:rFonts w:ascii="Arial" w:hAnsi="Arial" w:cs="Arial"/>
                <w:bCs/>
                <w:i/>
              </w:rPr>
            </w:pPr>
            <w:r>
              <w:rPr>
                <w:rFonts w:ascii="Arial" w:hAnsi="Arial" w:cs="Arial"/>
                <w:bCs/>
                <w:i/>
              </w:rPr>
              <w:t>7</w:t>
            </w:r>
          </w:p>
        </w:tc>
        <w:tc>
          <w:tcPr>
            <w:tcW w:w="1545" w:type="dxa"/>
          </w:tcPr>
          <w:p w14:paraId="3ECA460E" w14:textId="77777777" w:rsidR="00D3344B" w:rsidRDefault="00143C25">
            <w:pPr>
              <w:widowControl w:val="0"/>
              <w:snapToGrid w:val="0"/>
              <w:jc w:val="center"/>
              <w:rPr>
                <w:rFonts w:ascii="Arial" w:hAnsi="Arial" w:cs="Arial"/>
                <w:bCs/>
                <w:i/>
              </w:rPr>
            </w:pPr>
            <w:r>
              <w:rPr>
                <w:rFonts w:ascii="Arial" w:hAnsi="Arial" w:cs="Arial"/>
                <w:bCs/>
                <w:i/>
              </w:rPr>
              <w:t>0.750</w:t>
            </w:r>
          </w:p>
        </w:tc>
      </w:tr>
      <w:tr w:rsidR="00D3344B" w14:paraId="237E7DB9" w14:textId="77777777">
        <w:trPr>
          <w:jc w:val="center"/>
        </w:trPr>
        <w:tc>
          <w:tcPr>
            <w:tcW w:w="2169" w:type="dxa"/>
          </w:tcPr>
          <w:p w14:paraId="0539E811" w14:textId="77777777" w:rsidR="00D3344B" w:rsidRDefault="00143C25">
            <w:pPr>
              <w:widowControl w:val="0"/>
              <w:snapToGrid w:val="0"/>
              <w:jc w:val="center"/>
              <w:rPr>
                <w:rFonts w:ascii="Arial" w:hAnsi="Arial" w:cs="Arial"/>
                <w:bCs/>
                <w:i/>
              </w:rPr>
            </w:pPr>
            <w:r>
              <w:rPr>
                <w:rFonts w:ascii="Arial" w:hAnsi="Arial" w:cs="Arial"/>
                <w:bCs/>
                <w:i/>
              </w:rPr>
              <w:t>8</w:t>
            </w:r>
          </w:p>
        </w:tc>
        <w:tc>
          <w:tcPr>
            <w:tcW w:w="1545" w:type="dxa"/>
          </w:tcPr>
          <w:p w14:paraId="1988785E" w14:textId="77777777" w:rsidR="00D3344B" w:rsidRDefault="00143C25">
            <w:pPr>
              <w:widowControl w:val="0"/>
              <w:snapToGrid w:val="0"/>
              <w:jc w:val="center"/>
              <w:rPr>
                <w:rFonts w:ascii="Arial" w:hAnsi="Arial" w:cs="Arial"/>
                <w:bCs/>
                <w:i/>
              </w:rPr>
            </w:pPr>
            <w:r>
              <w:rPr>
                <w:rFonts w:ascii="Arial" w:hAnsi="Arial" w:cs="Arial"/>
                <w:bCs/>
                <w:i/>
              </w:rPr>
              <w:t>0.667</w:t>
            </w:r>
          </w:p>
        </w:tc>
      </w:tr>
      <w:tr w:rsidR="00D3344B" w14:paraId="0F939FC4" w14:textId="77777777">
        <w:trPr>
          <w:jc w:val="center"/>
        </w:trPr>
        <w:tc>
          <w:tcPr>
            <w:tcW w:w="2169" w:type="dxa"/>
          </w:tcPr>
          <w:p w14:paraId="46A9F84D" w14:textId="77777777" w:rsidR="00D3344B" w:rsidRDefault="00143C25">
            <w:pPr>
              <w:widowControl w:val="0"/>
              <w:snapToGrid w:val="0"/>
              <w:jc w:val="center"/>
              <w:rPr>
                <w:rFonts w:ascii="Arial" w:hAnsi="Arial" w:cs="Arial"/>
                <w:bCs/>
                <w:i/>
              </w:rPr>
            </w:pPr>
            <w:r>
              <w:rPr>
                <w:rFonts w:ascii="Arial" w:hAnsi="Arial" w:cs="Arial"/>
                <w:bCs/>
                <w:i/>
              </w:rPr>
              <w:t>9</w:t>
            </w:r>
          </w:p>
        </w:tc>
        <w:tc>
          <w:tcPr>
            <w:tcW w:w="1545" w:type="dxa"/>
          </w:tcPr>
          <w:p w14:paraId="01A77080" w14:textId="77777777" w:rsidR="00D3344B" w:rsidRDefault="00143C25">
            <w:pPr>
              <w:widowControl w:val="0"/>
              <w:snapToGrid w:val="0"/>
              <w:jc w:val="center"/>
              <w:rPr>
                <w:rFonts w:ascii="Arial" w:hAnsi="Arial" w:cs="Arial"/>
                <w:bCs/>
                <w:i/>
              </w:rPr>
            </w:pPr>
            <w:r>
              <w:rPr>
                <w:rFonts w:ascii="Arial" w:hAnsi="Arial" w:cs="Arial"/>
                <w:bCs/>
                <w:i/>
              </w:rPr>
              <w:t>0.500</w:t>
            </w:r>
          </w:p>
        </w:tc>
      </w:tr>
    </w:tbl>
    <w:p w14:paraId="2D64DDB3" w14:textId="77777777" w:rsidR="00D3344B" w:rsidRDefault="00D3344B">
      <w:pPr>
        <w:pStyle w:val="Estilo"/>
        <w:rPr>
          <w:rFonts w:cs="Arial"/>
        </w:rPr>
      </w:pPr>
    </w:p>
    <w:p w14:paraId="1199E38D" w14:textId="77777777" w:rsidR="00D3344B" w:rsidRDefault="00143C25">
      <w:pPr>
        <w:pStyle w:val="Estilo"/>
        <w:rPr>
          <w:rFonts w:cs="Arial"/>
        </w:rPr>
      </w:pPr>
      <w:r>
        <w:rPr>
          <w:rFonts w:cs="Arial"/>
        </w:rPr>
        <w:t>El resultado obtenido conforme al párrafo anterior, se actualizará de acuerdo con lo dispuesto en el artículo 93 H de este Código.</w:t>
      </w:r>
    </w:p>
    <w:p w14:paraId="57BB46F0" w14:textId="77777777" w:rsidR="00D3344B" w:rsidRDefault="00D3344B">
      <w:pPr>
        <w:pStyle w:val="Estilo"/>
        <w:rPr>
          <w:rFonts w:cs="Arial"/>
        </w:rPr>
      </w:pPr>
    </w:p>
    <w:p w14:paraId="469D5BE9" w14:textId="77777777" w:rsidR="00D3344B" w:rsidRDefault="00143C25">
      <w:pPr>
        <w:pStyle w:val="Estilo"/>
        <w:rPr>
          <w:rFonts w:cs="Arial"/>
        </w:rPr>
      </w:pPr>
      <w:r>
        <w:rPr>
          <w:rFonts w:cs="Arial"/>
          <w:i/>
          <w:sz w:val="16"/>
        </w:rPr>
        <w:t>(ADICIONADO, P.O. 16 DE MARZO DE 2011)</w:t>
      </w:r>
    </w:p>
    <w:p w14:paraId="1DDBDF66" w14:textId="77777777" w:rsidR="00D3344B" w:rsidRDefault="00143C25">
      <w:pPr>
        <w:pStyle w:val="Estilo"/>
        <w:rPr>
          <w:rFonts w:cs="Arial"/>
        </w:rPr>
      </w:pPr>
      <w:r>
        <w:rPr>
          <w:rFonts w:cs="Arial"/>
          <w:b/>
        </w:rPr>
        <w:lastRenderedPageBreak/>
        <w:t>Artículo 93 E.</w:t>
      </w:r>
      <w:r>
        <w:rPr>
          <w:rFonts w:cs="Arial"/>
        </w:rPr>
        <w:t xml:space="preserve"> Tratándose de automóviles de servicio particular que pasen a ser de servicio público de transporte de alquiler en su modalidad de taxis, el impuesto a que se refiere este Capítulo, se calculará para el ejercicio fiscal siguiente a aquél en el que se dé este supuesto, conforme al siguiente procedimiento:</w:t>
      </w:r>
    </w:p>
    <w:p w14:paraId="17161929" w14:textId="77777777" w:rsidR="00D3344B" w:rsidRDefault="00D3344B">
      <w:pPr>
        <w:pStyle w:val="Estilo"/>
        <w:rPr>
          <w:rFonts w:cs="Arial"/>
        </w:rPr>
      </w:pPr>
    </w:p>
    <w:p w14:paraId="45CFE9D9" w14:textId="77777777" w:rsidR="00D3344B" w:rsidRDefault="00143C25">
      <w:pPr>
        <w:pStyle w:val="Estilo"/>
        <w:ind w:left="567" w:hanging="567"/>
        <w:rPr>
          <w:rFonts w:cs="Arial"/>
        </w:rPr>
      </w:pPr>
      <w:r>
        <w:rPr>
          <w:rFonts w:cs="Arial"/>
        </w:rPr>
        <w:t xml:space="preserve">I. </w:t>
      </w:r>
      <w:r>
        <w:rPr>
          <w:rFonts w:cs="Arial"/>
        </w:rPr>
        <w:tab/>
        <w:t>El valor total del automóvil se multiplicará por el factor de depreciación, de acuerdo al año modelo del vehículo, de conformidad con la tabla establecida en el artículo 93 D de este Código, y</w:t>
      </w:r>
    </w:p>
    <w:p w14:paraId="544B0D43" w14:textId="77777777" w:rsidR="00D3344B" w:rsidRDefault="00D3344B">
      <w:pPr>
        <w:pStyle w:val="Estilo"/>
        <w:ind w:left="567" w:hanging="567"/>
        <w:rPr>
          <w:rFonts w:cs="Arial"/>
        </w:rPr>
      </w:pPr>
    </w:p>
    <w:p w14:paraId="5E489E9A" w14:textId="77777777" w:rsidR="00D3344B" w:rsidRDefault="00143C25">
      <w:pPr>
        <w:pStyle w:val="Estilo"/>
        <w:ind w:left="567" w:hanging="567"/>
        <w:rPr>
          <w:rFonts w:cs="Arial"/>
        </w:rPr>
      </w:pPr>
      <w:r>
        <w:rPr>
          <w:rFonts w:cs="Arial"/>
        </w:rPr>
        <w:t xml:space="preserve">II. </w:t>
      </w:r>
      <w:r>
        <w:rPr>
          <w:rFonts w:cs="Arial"/>
        </w:rPr>
        <w:tab/>
        <w:t>La cantidad obtenida conforme a la fracción anterior se actualizará de conformidad con lo dispuesto en el artículo 93 H de este Código; el resultado obtenido se multiplicará por 0.245%.</w:t>
      </w:r>
    </w:p>
    <w:p w14:paraId="22F95CED" w14:textId="77777777" w:rsidR="00D3344B" w:rsidRDefault="00D3344B">
      <w:pPr>
        <w:pStyle w:val="Estilo"/>
        <w:rPr>
          <w:rFonts w:cs="Arial"/>
        </w:rPr>
      </w:pPr>
    </w:p>
    <w:p w14:paraId="536EC7EA" w14:textId="77777777" w:rsidR="00D3344B" w:rsidRDefault="00143C25">
      <w:pPr>
        <w:pStyle w:val="Estilo"/>
        <w:rPr>
          <w:rFonts w:cs="Arial"/>
        </w:rPr>
      </w:pPr>
      <w:r>
        <w:rPr>
          <w:rFonts w:cs="Arial"/>
        </w:rPr>
        <w:t>Para los efectos de este artículo, los años de antigüedad se calcularán con base en el número de años transcurridos a partir del año modelo al que corresponda el vehículo.</w:t>
      </w:r>
    </w:p>
    <w:p w14:paraId="5BF8315A" w14:textId="77777777" w:rsidR="00D3344B" w:rsidRDefault="00D3344B">
      <w:pPr>
        <w:pStyle w:val="Estilo"/>
        <w:rPr>
          <w:rFonts w:cs="Arial"/>
        </w:rPr>
      </w:pPr>
    </w:p>
    <w:p w14:paraId="5B8A1F43"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ESTE ORDENAMIENTO.</w:t>
      </w:r>
    </w:p>
    <w:p w14:paraId="5CDE37D0" w14:textId="77777777" w:rsidR="00D3344B" w:rsidRDefault="00143C25">
      <w:pPr>
        <w:pStyle w:val="Estilo"/>
        <w:rPr>
          <w:rFonts w:cs="Arial"/>
        </w:rPr>
      </w:pPr>
      <w:r>
        <w:rPr>
          <w:rFonts w:cs="Arial"/>
          <w:i/>
          <w:sz w:val="16"/>
        </w:rPr>
        <w:t>(REFORMADO PRIMER PÁRRAFO, P.O. 23 DE DICIEMBRE DE 2011)</w:t>
      </w:r>
    </w:p>
    <w:p w14:paraId="541004AC" w14:textId="77777777" w:rsidR="00D3344B" w:rsidRDefault="00143C25">
      <w:pPr>
        <w:pStyle w:val="Estilo"/>
        <w:rPr>
          <w:rFonts w:cs="Arial"/>
        </w:rPr>
      </w:pPr>
      <w:r>
        <w:rPr>
          <w:rFonts w:cs="Arial"/>
          <w:b/>
        </w:rPr>
        <w:t>Artículo 93 F.</w:t>
      </w:r>
      <w:r>
        <w:rPr>
          <w:rFonts w:cs="Arial"/>
        </w:rPr>
        <w:t xml:space="preserve"> Tratándose de automóviles de fabricación nacional o importados, destinados al transporte de hasta quince pasajeros de uno a nueve años modelo de antigüedad anteriores al de aplicación de este Código, el impuesto será el que resulte de aplicar el procedimiento siguiente:</w:t>
      </w:r>
    </w:p>
    <w:p w14:paraId="059019B9" w14:textId="77777777" w:rsidR="00D3344B" w:rsidRDefault="00D3344B">
      <w:pPr>
        <w:pStyle w:val="Estilo"/>
        <w:rPr>
          <w:rFonts w:cs="Arial"/>
        </w:rPr>
      </w:pPr>
    </w:p>
    <w:p w14:paraId="04377C84" w14:textId="77777777" w:rsidR="00D3344B" w:rsidRDefault="00143C25">
      <w:pPr>
        <w:pStyle w:val="Estilo"/>
        <w:ind w:firstLine="567"/>
        <w:rPr>
          <w:rFonts w:cs="Arial"/>
        </w:rPr>
      </w:pPr>
      <w:r>
        <w:rPr>
          <w:rFonts w:cs="Arial"/>
          <w:i/>
          <w:sz w:val="16"/>
        </w:rPr>
        <w:t>(ADICIONADO, P.O. 16 DE MARZO DE 2011)</w:t>
      </w:r>
    </w:p>
    <w:p w14:paraId="5FB0912B" w14:textId="77777777" w:rsidR="00D3344B" w:rsidRDefault="00143C25">
      <w:pPr>
        <w:pStyle w:val="Estilo"/>
        <w:ind w:left="567" w:hanging="567"/>
        <w:rPr>
          <w:rFonts w:cs="Arial"/>
        </w:rPr>
      </w:pPr>
      <w:r>
        <w:rPr>
          <w:rFonts w:cs="Arial"/>
        </w:rPr>
        <w:t xml:space="preserve">a) </w:t>
      </w:r>
      <w:r>
        <w:rPr>
          <w:rFonts w:cs="Arial"/>
        </w:rPr>
        <w:tab/>
        <w:t>El valor total del automóvil se multiplicará por el factor de depreciación, de acuerdo al año modelo del vehículo, de conformidad con la siguiente:</w:t>
      </w:r>
    </w:p>
    <w:p w14:paraId="13BE07D3" w14:textId="77777777" w:rsidR="00D3344B" w:rsidRDefault="00D3344B">
      <w:pPr>
        <w:pStyle w:val="Estilo"/>
        <w:rPr>
          <w:rFonts w:cs="Arial"/>
        </w:rPr>
      </w:pPr>
    </w:p>
    <w:p w14:paraId="7C3EDE06" w14:textId="77777777" w:rsidR="00D3344B" w:rsidRDefault="00143C25">
      <w:pPr>
        <w:pStyle w:val="Estilo"/>
        <w:jc w:val="center"/>
        <w:rPr>
          <w:rFonts w:cs="Arial"/>
        </w:rPr>
      </w:pPr>
      <w:r>
        <w:rPr>
          <w:rFonts w:cs="Arial"/>
        </w:rPr>
        <w:t>TABLA</w:t>
      </w:r>
    </w:p>
    <w:p w14:paraId="12D88B1C" w14:textId="77777777" w:rsidR="00D3344B" w:rsidRDefault="00D3344B">
      <w:pPr>
        <w:pStyle w:val="Estilo"/>
        <w:jc w:val="center"/>
        <w:rPr>
          <w:rFonts w:cs="Arial"/>
        </w:rPr>
      </w:pPr>
    </w:p>
    <w:tbl>
      <w:tblPr>
        <w:tblW w:w="3715" w:type="dxa"/>
        <w:jc w:val="center"/>
        <w:tblLayout w:type="fixed"/>
        <w:tblLook w:val="0000" w:firstRow="0" w:lastRow="0" w:firstColumn="0" w:lastColumn="0" w:noHBand="0" w:noVBand="0"/>
      </w:tblPr>
      <w:tblGrid>
        <w:gridCol w:w="2170"/>
        <w:gridCol w:w="1545"/>
      </w:tblGrid>
      <w:tr w:rsidR="00D3344B" w14:paraId="535609D9" w14:textId="77777777">
        <w:trPr>
          <w:jc w:val="center"/>
        </w:trPr>
        <w:tc>
          <w:tcPr>
            <w:tcW w:w="2169" w:type="dxa"/>
          </w:tcPr>
          <w:p w14:paraId="185D7FA0" w14:textId="77777777" w:rsidR="00D3344B" w:rsidRDefault="00143C25">
            <w:pPr>
              <w:widowControl w:val="0"/>
              <w:snapToGrid w:val="0"/>
              <w:jc w:val="center"/>
              <w:rPr>
                <w:rFonts w:ascii="Arial" w:hAnsi="Arial" w:cs="Arial"/>
                <w:b/>
                <w:bCs/>
                <w:i/>
              </w:rPr>
            </w:pPr>
            <w:r>
              <w:rPr>
                <w:rFonts w:ascii="Arial" w:hAnsi="Arial" w:cs="Arial"/>
                <w:b/>
                <w:bCs/>
                <w:i/>
              </w:rPr>
              <w:t>Años de antigüedad</w:t>
            </w:r>
          </w:p>
        </w:tc>
        <w:tc>
          <w:tcPr>
            <w:tcW w:w="1545" w:type="dxa"/>
          </w:tcPr>
          <w:p w14:paraId="55F5D76B" w14:textId="77777777" w:rsidR="00D3344B" w:rsidRDefault="00143C25">
            <w:pPr>
              <w:widowControl w:val="0"/>
              <w:snapToGrid w:val="0"/>
              <w:jc w:val="center"/>
              <w:rPr>
                <w:rFonts w:ascii="Arial" w:hAnsi="Arial" w:cs="Arial"/>
                <w:b/>
                <w:bCs/>
                <w:i/>
              </w:rPr>
            </w:pPr>
            <w:r>
              <w:rPr>
                <w:rFonts w:ascii="Arial" w:hAnsi="Arial" w:cs="Arial"/>
                <w:b/>
                <w:bCs/>
                <w:i/>
              </w:rPr>
              <w:t>Factor de depreciación</w:t>
            </w:r>
          </w:p>
        </w:tc>
      </w:tr>
      <w:tr w:rsidR="00D3344B" w14:paraId="605E2100" w14:textId="77777777">
        <w:trPr>
          <w:jc w:val="center"/>
        </w:trPr>
        <w:tc>
          <w:tcPr>
            <w:tcW w:w="2169" w:type="dxa"/>
          </w:tcPr>
          <w:p w14:paraId="26C4ABD7" w14:textId="77777777" w:rsidR="00D3344B" w:rsidRDefault="00143C25">
            <w:pPr>
              <w:widowControl w:val="0"/>
              <w:snapToGrid w:val="0"/>
              <w:jc w:val="center"/>
              <w:rPr>
                <w:rFonts w:ascii="Arial" w:hAnsi="Arial" w:cs="Arial"/>
                <w:bCs/>
                <w:i/>
              </w:rPr>
            </w:pPr>
            <w:r>
              <w:rPr>
                <w:rFonts w:ascii="Arial" w:hAnsi="Arial" w:cs="Arial"/>
                <w:bCs/>
                <w:i/>
              </w:rPr>
              <w:t>1</w:t>
            </w:r>
          </w:p>
        </w:tc>
        <w:tc>
          <w:tcPr>
            <w:tcW w:w="1545" w:type="dxa"/>
          </w:tcPr>
          <w:p w14:paraId="6201210F" w14:textId="77777777" w:rsidR="00D3344B" w:rsidRDefault="00143C25">
            <w:pPr>
              <w:widowControl w:val="0"/>
              <w:snapToGrid w:val="0"/>
              <w:jc w:val="center"/>
              <w:rPr>
                <w:rFonts w:ascii="Arial" w:hAnsi="Arial" w:cs="Arial"/>
                <w:bCs/>
                <w:i/>
              </w:rPr>
            </w:pPr>
            <w:r>
              <w:rPr>
                <w:rFonts w:ascii="Arial" w:hAnsi="Arial" w:cs="Arial"/>
                <w:bCs/>
                <w:i/>
              </w:rPr>
              <w:t>0.850</w:t>
            </w:r>
          </w:p>
        </w:tc>
      </w:tr>
      <w:tr w:rsidR="00D3344B" w14:paraId="680C480A" w14:textId="77777777">
        <w:trPr>
          <w:jc w:val="center"/>
        </w:trPr>
        <w:tc>
          <w:tcPr>
            <w:tcW w:w="2169" w:type="dxa"/>
          </w:tcPr>
          <w:p w14:paraId="1624F410" w14:textId="77777777" w:rsidR="00D3344B" w:rsidRDefault="00143C25">
            <w:pPr>
              <w:widowControl w:val="0"/>
              <w:snapToGrid w:val="0"/>
              <w:jc w:val="center"/>
              <w:rPr>
                <w:rFonts w:ascii="Arial" w:hAnsi="Arial" w:cs="Arial"/>
                <w:bCs/>
                <w:i/>
              </w:rPr>
            </w:pPr>
            <w:r>
              <w:rPr>
                <w:rFonts w:ascii="Arial" w:hAnsi="Arial" w:cs="Arial"/>
                <w:bCs/>
                <w:i/>
              </w:rPr>
              <w:t>2</w:t>
            </w:r>
          </w:p>
        </w:tc>
        <w:tc>
          <w:tcPr>
            <w:tcW w:w="1545" w:type="dxa"/>
          </w:tcPr>
          <w:p w14:paraId="22B3D558" w14:textId="77777777" w:rsidR="00D3344B" w:rsidRDefault="00143C25">
            <w:pPr>
              <w:widowControl w:val="0"/>
              <w:snapToGrid w:val="0"/>
              <w:jc w:val="center"/>
              <w:rPr>
                <w:rFonts w:ascii="Arial" w:hAnsi="Arial" w:cs="Arial"/>
                <w:bCs/>
                <w:i/>
              </w:rPr>
            </w:pPr>
            <w:r>
              <w:rPr>
                <w:rFonts w:ascii="Arial" w:hAnsi="Arial" w:cs="Arial"/>
                <w:bCs/>
                <w:i/>
              </w:rPr>
              <w:t>0.725</w:t>
            </w:r>
          </w:p>
        </w:tc>
      </w:tr>
      <w:tr w:rsidR="00D3344B" w14:paraId="5428AB8F" w14:textId="77777777">
        <w:trPr>
          <w:jc w:val="center"/>
        </w:trPr>
        <w:tc>
          <w:tcPr>
            <w:tcW w:w="2169" w:type="dxa"/>
          </w:tcPr>
          <w:p w14:paraId="3A3494E1" w14:textId="77777777" w:rsidR="00D3344B" w:rsidRDefault="00143C25">
            <w:pPr>
              <w:widowControl w:val="0"/>
              <w:snapToGrid w:val="0"/>
              <w:jc w:val="center"/>
              <w:rPr>
                <w:rFonts w:ascii="Arial" w:hAnsi="Arial" w:cs="Arial"/>
                <w:bCs/>
                <w:i/>
              </w:rPr>
            </w:pPr>
            <w:r>
              <w:rPr>
                <w:rFonts w:ascii="Arial" w:hAnsi="Arial" w:cs="Arial"/>
                <w:bCs/>
                <w:i/>
              </w:rPr>
              <w:t>3</w:t>
            </w:r>
          </w:p>
        </w:tc>
        <w:tc>
          <w:tcPr>
            <w:tcW w:w="1545" w:type="dxa"/>
          </w:tcPr>
          <w:p w14:paraId="0E404F23" w14:textId="77777777" w:rsidR="00D3344B" w:rsidRDefault="00143C25">
            <w:pPr>
              <w:widowControl w:val="0"/>
              <w:snapToGrid w:val="0"/>
              <w:jc w:val="center"/>
              <w:rPr>
                <w:rFonts w:ascii="Arial" w:hAnsi="Arial" w:cs="Arial"/>
                <w:bCs/>
                <w:i/>
              </w:rPr>
            </w:pPr>
            <w:r>
              <w:rPr>
                <w:rFonts w:ascii="Arial" w:hAnsi="Arial" w:cs="Arial"/>
                <w:bCs/>
                <w:i/>
              </w:rPr>
              <w:t>0.600</w:t>
            </w:r>
          </w:p>
        </w:tc>
      </w:tr>
      <w:tr w:rsidR="00D3344B" w14:paraId="47C05ECB" w14:textId="77777777">
        <w:trPr>
          <w:jc w:val="center"/>
        </w:trPr>
        <w:tc>
          <w:tcPr>
            <w:tcW w:w="2169" w:type="dxa"/>
          </w:tcPr>
          <w:p w14:paraId="374A6F7B" w14:textId="77777777" w:rsidR="00D3344B" w:rsidRDefault="00143C25">
            <w:pPr>
              <w:widowControl w:val="0"/>
              <w:snapToGrid w:val="0"/>
              <w:jc w:val="center"/>
              <w:rPr>
                <w:rFonts w:ascii="Arial" w:hAnsi="Arial" w:cs="Arial"/>
                <w:bCs/>
                <w:i/>
              </w:rPr>
            </w:pPr>
            <w:r>
              <w:rPr>
                <w:rFonts w:ascii="Arial" w:hAnsi="Arial" w:cs="Arial"/>
                <w:bCs/>
                <w:i/>
              </w:rPr>
              <w:t>4</w:t>
            </w:r>
          </w:p>
        </w:tc>
        <w:tc>
          <w:tcPr>
            <w:tcW w:w="1545" w:type="dxa"/>
          </w:tcPr>
          <w:p w14:paraId="3DA3960E" w14:textId="77777777" w:rsidR="00D3344B" w:rsidRDefault="00143C25">
            <w:pPr>
              <w:widowControl w:val="0"/>
              <w:snapToGrid w:val="0"/>
              <w:jc w:val="center"/>
              <w:rPr>
                <w:rFonts w:ascii="Arial" w:hAnsi="Arial" w:cs="Arial"/>
                <w:bCs/>
                <w:i/>
              </w:rPr>
            </w:pPr>
            <w:r>
              <w:rPr>
                <w:rFonts w:ascii="Arial" w:hAnsi="Arial" w:cs="Arial"/>
                <w:bCs/>
                <w:i/>
              </w:rPr>
              <w:t>0.500</w:t>
            </w:r>
          </w:p>
        </w:tc>
      </w:tr>
      <w:tr w:rsidR="00D3344B" w14:paraId="265BC729" w14:textId="77777777">
        <w:trPr>
          <w:jc w:val="center"/>
        </w:trPr>
        <w:tc>
          <w:tcPr>
            <w:tcW w:w="2169" w:type="dxa"/>
          </w:tcPr>
          <w:p w14:paraId="3A016511" w14:textId="77777777" w:rsidR="00D3344B" w:rsidRDefault="00143C25">
            <w:pPr>
              <w:widowControl w:val="0"/>
              <w:snapToGrid w:val="0"/>
              <w:jc w:val="center"/>
              <w:rPr>
                <w:rFonts w:ascii="Arial" w:hAnsi="Arial" w:cs="Arial"/>
                <w:bCs/>
                <w:i/>
              </w:rPr>
            </w:pPr>
            <w:r>
              <w:rPr>
                <w:rFonts w:ascii="Arial" w:hAnsi="Arial" w:cs="Arial"/>
                <w:bCs/>
                <w:i/>
              </w:rPr>
              <w:t>5</w:t>
            </w:r>
          </w:p>
        </w:tc>
        <w:tc>
          <w:tcPr>
            <w:tcW w:w="1545" w:type="dxa"/>
          </w:tcPr>
          <w:p w14:paraId="628F166A" w14:textId="77777777" w:rsidR="00D3344B" w:rsidRDefault="00143C25">
            <w:pPr>
              <w:widowControl w:val="0"/>
              <w:snapToGrid w:val="0"/>
              <w:jc w:val="center"/>
              <w:rPr>
                <w:rFonts w:ascii="Arial" w:hAnsi="Arial" w:cs="Arial"/>
                <w:bCs/>
                <w:i/>
              </w:rPr>
            </w:pPr>
            <w:r>
              <w:rPr>
                <w:rFonts w:ascii="Arial" w:hAnsi="Arial" w:cs="Arial"/>
                <w:bCs/>
                <w:i/>
              </w:rPr>
              <w:t>0.400</w:t>
            </w:r>
          </w:p>
        </w:tc>
      </w:tr>
      <w:tr w:rsidR="00D3344B" w14:paraId="36E1FA03" w14:textId="77777777">
        <w:trPr>
          <w:jc w:val="center"/>
        </w:trPr>
        <w:tc>
          <w:tcPr>
            <w:tcW w:w="2169" w:type="dxa"/>
          </w:tcPr>
          <w:p w14:paraId="29F443E4" w14:textId="77777777" w:rsidR="00D3344B" w:rsidRDefault="00143C25">
            <w:pPr>
              <w:widowControl w:val="0"/>
              <w:snapToGrid w:val="0"/>
              <w:jc w:val="center"/>
              <w:rPr>
                <w:rFonts w:ascii="Arial" w:hAnsi="Arial" w:cs="Arial"/>
                <w:bCs/>
                <w:i/>
              </w:rPr>
            </w:pPr>
            <w:r>
              <w:rPr>
                <w:rFonts w:ascii="Arial" w:hAnsi="Arial" w:cs="Arial"/>
                <w:bCs/>
                <w:i/>
              </w:rPr>
              <w:t>6</w:t>
            </w:r>
          </w:p>
        </w:tc>
        <w:tc>
          <w:tcPr>
            <w:tcW w:w="1545" w:type="dxa"/>
          </w:tcPr>
          <w:p w14:paraId="1ADD4D0F" w14:textId="77777777" w:rsidR="00D3344B" w:rsidRDefault="00143C25">
            <w:pPr>
              <w:widowControl w:val="0"/>
              <w:snapToGrid w:val="0"/>
              <w:jc w:val="center"/>
              <w:rPr>
                <w:rFonts w:ascii="Arial" w:hAnsi="Arial" w:cs="Arial"/>
                <w:bCs/>
                <w:i/>
              </w:rPr>
            </w:pPr>
            <w:r>
              <w:rPr>
                <w:rFonts w:ascii="Arial" w:hAnsi="Arial" w:cs="Arial"/>
                <w:bCs/>
                <w:i/>
              </w:rPr>
              <w:t>0.300</w:t>
            </w:r>
          </w:p>
        </w:tc>
      </w:tr>
      <w:tr w:rsidR="00D3344B" w14:paraId="6549E559" w14:textId="77777777">
        <w:trPr>
          <w:jc w:val="center"/>
        </w:trPr>
        <w:tc>
          <w:tcPr>
            <w:tcW w:w="2169" w:type="dxa"/>
          </w:tcPr>
          <w:p w14:paraId="16411C76" w14:textId="77777777" w:rsidR="00D3344B" w:rsidRDefault="00143C25">
            <w:pPr>
              <w:widowControl w:val="0"/>
              <w:snapToGrid w:val="0"/>
              <w:jc w:val="center"/>
              <w:rPr>
                <w:rFonts w:ascii="Arial" w:hAnsi="Arial" w:cs="Arial"/>
                <w:bCs/>
                <w:i/>
              </w:rPr>
            </w:pPr>
            <w:r>
              <w:rPr>
                <w:rFonts w:ascii="Arial" w:hAnsi="Arial" w:cs="Arial"/>
                <w:bCs/>
                <w:i/>
              </w:rPr>
              <w:t>7</w:t>
            </w:r>
          </w:p>
        </w:tc>
        <w:tc>
          <w:tcPr>
            <w:tcW w:w="1545" w:type="dxa"/>
          </w:tcPr>
          <w:p w14:paraId="5AED8666" w14:textId="77777777" w:rsidR="00D3344B" w:rsidRDefault="00143C25">
            <w:pPr>
              <w:widowControl w:val="0"/>
              <w:snapToGrid w:val="0"/>
              <w:jc w:val="center"/>
              <w:rPr>
                <w:rFonts w:ascii="Arial" w:hAnsi="Arial" w:cs="Arial"/>
                <w:bCs/>
                <w:i/>
              </w:rPr>
            </w:pPr>
            <w:r>
              <w:rPr>
                <w:rFonts w:ascii="Arial" w:hAnsi="Arial" w:cs="Arial"/>
                <w:bCs/>
                <w:i/>
              </w:rPr>
              <w:t>0.225</w:t>
            </w:r>
          </w:p>
        </w:tc>
      </w:tr>
      <w:tr w:rsidR="00D3344B" w14:paraId="68F1BF6D" w14:textId="77777777">
        <w:trPr>
          <w:jc w:val="center"/>
        </w:trPr>
        <w:tc>
          <w:tcPr>
            <w:tcW w:w="2169" w:type="dxa"/>
          </w:tcPr>
          <w:p w14:paraId="5EF06F8E" w14:textId="77777777" w:rsidR="00D3344B" w:rsidRDefault="00143C25">
            <w:pPr>
              <w:widowControl w:val="0"/>
              <w:snapToGrid w:val="0"/>
              <w:jc w:val="center"/>
              <w:rPr>
                <w:rFonts w:ascii="Arial" w:hAnsi="Arial" w:cs="Arial"/>
                <w:bCs/>
                <w:i/>
              </w:rPr>
            </w:pPr>
            <w:r>
              <w:rPr>
                <w:rFonts w:ascii="Arial" w:hAnsi="Arial" w:cs="Arial"/>
                <w:bCs/>
                <w:i/>
              </w:rPr>
              <w:lastRenderedPageBreak/>
              <w:t>8</w:t>
            </w:r>
          </w:p>
        </w:tc>
        <w:tc>
          <w:tcPr>
            <w:tcW w:w="1545" w:type="dxa"/>
          </w:tcPr>
          <w:p w14:paraId="48F48DD3" w14:textId="77777777" w:rsidR="00D3344B" w:rsidRDefault="00143C25">
            <w:pPr>
              <w:widowControl w:val="0"/>
              <w:snapToGrid w:val="0"/>
              <w:jc w:val="center"/>
              <w:rPr>
                <w:rFonts w:ascii="Arial" w:hAnsi="Arial" w:cs="Arial"/>
                <w:bCs/>
                <w:i/>
              </w:rPr>
            </w:pPr>
            <w:r>
              <w:rPr>
                <w:rFonts w:ascii="Arial" w:hAnsi="Arial" w:cs="Arial"/>
                <w:bCs/>
                <w:i/>
              </w:rPr>
              <w:t>0.150</w:t>
            </w:r>
          </w:p>
        </w:tc>
      </w:tr>
      <w:tr w:rsidR="00D3344B" w14:paraId="4DDC68C6" w14:textId="77777777">
        <w:trPr>
          <w:jc w:val="center"/>
        </w:trPr>
        <w:tc>
          <w:tcPr>
            <w:tcW w:w="2169" w:type="dxa"/>
          </w:tcPr>
          <w:p w14:paraId="1D49A865" w14:textId="77777777" w:rsidR="00D3344B" w:rsidRDefault="00143C25">
            <w:pPr>
              <w:widowControl w:val="0"/>
              <w:snapToGrid w:val="0"/>
              <w:jc w:val="center"/>
              <w:rPr>
                <w:rFonts w:ascii="Arial" w:hAnsi="Arial" w:cs="Arial"/>
                <w:bCs/>
                <w:i/>
              </w:rPr>
            </w:pPr>
            <w:r>
              <w:rPr>
                <w:rFonts w:ascii="Arial" w:hAnsi="Arial" w:cs="Arial"/>
                <w:bCs/>
                <w:i/>
              </w:rPr>
              <w:t>9</w:t>
            </w:r>
          </w:p>
        </w:tc>
        <w:tc>
          <w:tcPr>
            <w:tcW w:w="1545" w:type="dxa"/>
          </w:tcPr>
          <w:p w14:paraId="2DCDDE78" w14:textId="77777777" w:rsidR="00D3344B" w:rsidRDefault="00143C25">
            <w:pPr>
              <w:widowControl w:val="0"/>
              <w:snapToGrid w:val="0"/>
              <w:jc w:val="center"/>
              <w:rPr>
                <w:rFonts w:ascii="Arial" w:hAnsi="Arial" w:cs="Arial"/>
                <w:bCs/>
                <w:i/>
              </w:rPr>
            </w:pPr>
            <w:r>
              <w:rPr>
                <w:rFonts w:ascii="Arial" w:hAnsi="Arial" w:cs="Arial"/>
                <w:bCs/>
                <w:i/>
              </w:rPr>
              <w:t>0.075</w:t>
            </w:r>
          </w:p>
        </w:tc>
      </w:tr>
    </w:tbl>
    <w:p w14:paraId="1BAC6333" w14:textId="77777777" w:rsidR="00D3344B" w:rsidRDefault="00D3344B">
      <w:pPr>
        <w:pStyle w:val="Estilo"/>
        <w:jc w:val="center"/>
        <w:rPr>
          <w:rFonts w:cs="Arial"/>
        </w:rPr>
      </w:pPr>
    </w:p>
    <w:p w14:paraId="3F666B40" w14:textId="77777777" w:rsidR="00D3344B" w:rsidRDefault="00D3344B">
      <w:pPr>
        <w:pStyle w:val="Estilo"/>
        <w:rPr>
          <w:rFonts w:cs="Arial"/>
          <w:i/>
          <w:sz w:val="16"/>
        </w:rPr>
      </w:pPr>
    </w:p>
    <w:p w14:paraId="572D5A47" w14:textId="77777777" w:rsidR="00D3344B" w:rsidRDefault="00143C25">
      <w:pPr>
        <w:pStyle w:val="Estilo"/>
        <w:rPr>
          <w:rFonts w:cs="Arial"/>
        </w:rPr>
      </w:pPr>
      <w:r>
        <w:rPr>
          <w:rFonts w:cs="Arial"/>
          <w:i/>
          <w:sz w:val="16"/>
        </w:rPr>
        <w:t xml:space="preserve"> (ADICIONADO, P.O. 16 DE MARZO DE 2011)</w:t>
      </w:r>
    </w:p>
    <w:p w14:paraId="01ED4271" w14:textId="77777777" w:rsidR="00D3344B" w:rsidRDefault="00143C25">
      <w:pPr>
        <w:pStyle w:val="Estilo"/>
        <w:ind w:left="567" w:hanging="567"/>
        <w:rPr>
          <w:rFonts w:cs="Arial"/>
        </w:rPr>
      </w:pPr>
      <w:r>
        <w:rPr>
          <w:rFonts w:cs="Arial"/>
        </w:rPr>
        <w:t xml:space="preserve">b) </w:t>
      </w:r>
      <w:r>
        <w:rPr>
          <w:rFonts w:cs="Arial"/>
        </w:rPr>
        <w:tab/>
        <w:t>La cantidad obtenida conforme al inciso anterior, se actualizará de conformidad con lo dispuesto en el artículo 93 H de este Código; al resultado se le aplicará la tarifa establecida en el artículo 93 A de este Código.</w:t>
      </w:r>
    </w:p>
    <w:p w14:paraId="061AAB11" w14:textId="77777777" w:rsidR="00D3344B" w:rsidRDefault="00D3344B">
      <w:pPr>
        <w:pStyle w:val="Estilo"/>
        <w:rPr>
          <w:rFonts w:cs="Arial"/>
        </w:rPr>
      </w:pPr>
    </w:p>
    <w:p w14:paraId="48215FA1" w14:textId="77777777" w:rsidR="00D3344B" w:rsidRDefault="00143C25">
      <w:pPr>
        <w:pStyle w:val="Estilo"/>
        <w:rPr>
          <w:rFonts w:cs="Arial"/>
        </w:rPr>
      </w:pPr>
      <w:r>
        <w:rPr>
          <w:rFonts w:cs="Arial"/>
          <w:i/>
          <w:sz w:val="16"/>
        </w:rPr>
        <w:t>(ADICIONADO, P.O. 16 DE MARZO DE 2011)</w:t>
      </w:r>
    </w:p>
    <w:p w14:paraId="435E73A7" w14:textId="77777777" w:rsidR="00D3344B" w:rsidRDefault="00143C25">
      <w:pPr>
        <w:pStyle w:val="Estilo"/>
        <w:rPr>
          <w:rFonts w:cs="Arial"/>
        </w:rPr>
      </w:pPr>
      <w:r>
        <w:rPr>
          <w:rFonts w:cs="Arial"/>
        </w:rPr>
        <w:t>Para efectos de la depreciación y actualización a que se refiere este artículo, los años de antigüedad se calcularán con base en el número de años transcurridos a partir del año modelo al que corresponda el vehículo.</w:t>
      </w:r>
    </w:p>
    <w:p w14:paraId="1987A5DC" w14:textId="77777777" w:rsidR="00D3344B" w:rsidRDefault="00D3344B">
      <w:pPr>
        <w:pStyle w:val="Estilo"/>
        <w:rPr>
          <w:rFonts w:cs="Arial"/>
        </w:rPr>
      </w:pPr>
    </w:p>
    <w:p w14:paraId="03F2BABF" w14:textId="77777777" w:rsidR="00D3344B" w:rsidRDefault="00143C25">
      <w:pPr>
        <w:pStyle w:val="Estilo"/>
        <w:rPr>
          <w:rFonts w:cs="Arial"/>
        </w:rPr>
      </w:pPr>
      <w:r>
        <w:rPr>
          <w:rFonts w:cs="Arial"/>
          <w:i/>
          <w:sz w:val="16"/>
        </w:rPr>
        <w:t>(ADICIONADO, P.O. 16 DE MARZO DE 2011)</w:t>
      </w:r>
    </w:p>
    <w:p w14:paraId="11F2F25A" w14:textId="77777777" w:rsidR="00D3344B" w:rsidRDefault="00143C25">
      <w:pPr>
        <w:pStyle w:val="Estilo"/>
        <w:rPr>
          <w:rFonts w:cs="Arial"/>
        </w:rPr>
      </w:pPr>
      <w:r>
        <w:rPr>
          <w:rFonts w:cs="Arial"/>
          <w:b/>
        </w:rPr>
        <w:t>Artículo 93 G.</w:t>
      </w:r>
      <w:r>
        <w:rPr>
          <w:rFonts w:cs="Arial"/>
        </w:rPr>
        <w:t xml:space="preserve"> Tratándose de motocicletas de fabricación nacional o importada, de hasta nueve años modelo anteriores al de aplicación de este Código, el impuesto será el que resulte de aplicar el procedimiento siguiente:</w:t>
      </w:r>
    </w:p>
    <w:p w14:paraId="30482CAE" w14:textId="77777777" w:rsidR="00D3344B" w:rsidRDefault="00D3344B">
      <w:pPr>
        <w:pStyle w:val="Estilo"/>
        <w:rPr>
          <w:rFonts w:cs="Arial"/>
        </w:rPr>
      </w:pPr>
    </w:p>
    <w:p w14:paraId="5BE6DBB6" w14:textId="77777777" w:rsidR="00D3344B" w:rsidRDefault="00143C25">
      <w:pPr>
        <w:pStyle w:val="Estilo"/>
        <w:ind w:left="567" w:hanging="567"/>
        <w:rPr>
          <w:rFonts w:cs="Arial"/>
        </w:rPr>
      </w:pPr>
      <w:r>
        <w:rPr>
          <w:rFonts w:cs="Arial"/>
        </w:rPr>
        <w:t xml:space="preserve">a) </w:t>
      </w:r>
      <w:r>
        <w:rPr>
          <w:rFonts w:cs="Arial"/>
        </w:rPr>
        <w:tab/>
        <w:t>El valor total de la motocicleta se multiplicará por el factor de depreciación, de acuerdo al año modelo de la motocicleta, de conformidad con la siguiente:</w:t>
      </w:r>
    </w:p>
    <w:p w14:paraId="4287C06A" w14:textId="77777777" w:rsidR="00D3344B" w:rsidRDefault="00D3344B">
      <w:pPr>
        <w:pStyle w:val="Estilo"/>
        <w:rPr>
          <w:rFonts w:cs="Arial"/>
        </w:rPr>
      </w:pPr>
    </w:p>
    <w:p w14:paraId="6CED808A" w14:textId="77777777" w:rsidR="00D3344B" w:rsidRDefault="00143C25">
      <w:pPr>
        <w:pStyle w:val="Estilo"/>
        <w:jc w:val="center"/>
        <w:rPr>
          <w:rFonts w:cs="Arial"/>
        </w:rPr>
      </w:pPr>
      <w:r>
        <w:rPr>
          <w:rFonts w:cs="Arial"/>
        </w:rPr>
        <w:t>TABLA</w:t>
      </w:r>
    </w:p>
    <w:p w14:paraId="6E692CC2" w14:textId="77777777" w:rsidR="00D3344B" w:rsidRDefault="00D3344B">
      <w:pPr>
        <w:pStyle w:val="Estilo"/>
        <w:jc w:val="center"/>
        <w:rPr>
          <w:rFonts w:cs="Arial"/>
        </w:rPr>
      </w:pPr>
    </w:p>
    <w:tbl>
      <w:tblPr>
        <w:tblW w:w="3715" w:type="dxa"/>
        <w:jc w:val="center"/>
        <w:tblLayout w:type="fixed"/>
        <w:tblLook w:val="0000" w:firstRow="0" w:lastRow="0" w:firstColumn="0" w:lastColumn="0" w:noHBand="0" w:noVBand="0"/>
      </w:tblPr>
      <w:tblGrid>
        <w:gridCol w:w="2170"/>
        <w:gridCol w:w="1545"/>
      </w:tblGrid>
      <w:tr w:rsidR="00D3344B" w14:paraId="7A9D72AC" w14:textId="77777777">
        <w:trPr>
          <w:jc w:val="center"/>
        </w:trPr>
        <w:tc>
          <w:tcPr>
            <w:tcW w:w="2169" w:type="dxa"/>
          </w:tcPr>
          <w:p w14:paraId="53E70DC7" w14:textId="77777777" w:rsidR="00D3344B" w:rsidRDefault="00143C25">
            <w:pPr>
              <w:widowControl w:val="0"/>
              <w:snapToGrid w:val="0"/>
              <w:jc w:val="center"/>
              <w:rPr>
                <w:rFonts w:ascii="Arial" w:hAnsi="Arial" w:cs="Arial"/>
                <w:b/>
                <w:bCs/>
                <w:i/>
              </w:rPr>
            </w:pPr>
            <w:r>
              <w:rPr>
                <w:rFonts w:ascii="Arial" w:hAnsi="Arial" w:cs="Arial"/>
                <w:b/>
                <w:bCs/>
                <w:i/>
              </w:rPr>
              <w:t>Años de antigüedad</w:t>
            </w:r>
          </w:p>
        </w:tc>
        <w:tc>
          <w:tcPr>
            <w:tcW w:w="1545" w:type="dxa"/>
          </w:tcPr>
          <w:p w14:paraId="62087C82" w14:textId="77777777" w:rsidR="00D3344B" w:rsidRDefault="00143C25">
            <w:pPr>
              <w:widowControl w:val="0"/>
              <w:snapToGrid w:val="0"/>
              <w:jc w:val="center"/>
              <w:rPr>
                <w:rFonts w:ascii="Arial" w:hAnsi="Arial" w:cs="Arial"/>
                <w:b/>
                <w:bCs/>
                <w:i/>
              </w:rPr>
            </w:pPr>
            <w:r>
              <w:rPr>
                <w:rFonts w:ascii="Arial" w:hAnsi="Arial" w:cs="Arial"/>
                <w:b/>
                <w:bCs/>
                <w:i/>
              </w:rPr>
              <w:t>Factor de depreciación</w:t>
            </w:r>
          </w:p>
        </w:tc>
      </w:tr>
      <w:tr w:rsidR="00D3344B" w14:paraId="0328E875" w14:textId="77777777">
        <w:trPr>
          <w:jc w:val="center"/>
        </w:trPr>
        <w:tc>
          <w:tcPr>
            <w:tcW w:w="2169" w:type="dxa"/>
          </w:tcPr>
          <w:p w14:paraId="05451C76" w14:textId="77777777" w:rsidR="00D3344B" w:rsidRDefault="00143C25">
            <w:pPr>
              <w:widowControl w:val="0"/>
              <w:snapToGrid w:val="0"/>
              <w:jc w:val="center"/>
              <w:rPr>
                <w:rFonts w:ascii="Arial" w:hAnsi="Arial" w:cs="Arial"/>
                <w:bCs/>
                <w:i/>
              </w:rPr>
            </w:pPr>
            <w:r>
              <w:rPr>
                <w:rFonts w:ascii="Arial" w:hAnsi="Arial" w:cs="Arial"/>
                <w:bCs/>
                <w:i/>
              </w:rPr>
              <w:t>1</w:t>
            </w:r>
          </w:p>
        </w:tc>
        <w:tc>
          <w:tcPr>
            <w:tcW w:w="1545" w:type="dxa"/>
          </w:tcPr>
          <w:p w14:paraId="4761849A" w14:textId="77777777" w:rsidR="00D3344B" w:rsidRDefault="00143C25">
            <w:pPr>
              <w:widowControl w:val="0"/>
              <w:snapToGrid w:val="0"/>
              <w:jc w:val="center"/>
              <w:rPr>
                <w:rFonts w:ascii="Arial" w:hAnsi="Arial" w:cs="Arial"/>
                <w:bCs/>
                <w:i/>
              </w:rPr>
            </w:pPr>
            <w:r>
              <w:rPr>
                <w:rFonts w:ascii="Arial" w:hAnsi="Arial" w:cs="Arial"/>
                <w:bCs/>
                <w:i/>
              </w:rPr>
              <w:t>0.9</w:t>
            </w:r>
          </w:p>
        </w:tc>
      </w:tr>
      <w:tr w:rsidR="00D3344B" w14:paraId="0091A594" w14:textId="77777777">
        <w:trPr>
          <w:jc w:val="center"/>
        </w:trPr>
        <w:tc>
          <w:tcPr>
            <w:tcW w:w="2169" w:type="dxa"/>
          </w:tcPr>
          <w:p w14:paraId="536A822E" w14:textId="77777777" w:rsidR="00D3344B" w:rsidRDefault="00143C25">
            <w:pPr>
              <w:widowControl w:val="0"/>
              <w:snapToGrid w:val="0"/>
              <w:jc w:val="center"/>
              <w:rPr>
                <w:rFonts w:ascii="Arial" w:hAnsi="Arial" w:cs="Arial"/>
                <w:bCs/>
                <w:i/>
              </w:rPr>
            </w:pPr>
            <w:r>
              <w:rPr>
                <w:rFonts w:ascii="Arial" w:hAnsi="Arial" w:cs="Arial"/>
                <w:bCs/>
                <w:i/>
              </w:rPr>
              <w:t>2</w:t>
            </w:r>
          </w:p>
        </w:tc>
        <w:tc>
          <w:tcPr>
            <w:tcW w:w="1545" w:type="dxa"/>
          </w:tcPr>
          <w:p w14:paraId="381108F6" w14:textId="77777777" w:rsidR="00D3344B" w:rsidRDefault="00143C25">
            <w:pPr>
              <w:widowControl w:val="0"/>
              <w:snapToGrid w:val="0"/>
              <w:jc w:val="center"/>
              <w:rPr>
                <w:rFonts w:ascii="Arial" w:hAnsi="Arial" w:cs="Arial"/>
                <w:bCs/>
                <w:i/>
              </w:rPr>
            </w:pPr>
            <w:r>
              <w:rPr>
                <w:rFonts w:ascii="Arial" w:hAnsi="Arial" w:cs="Arial"/>
                <w:bCs/>
                <w:i/>
              </w:rPr>
              <w:t>0.8</w:t>
            </w:r>
          </w:p>
        </w:tc>
      </w:tr>
      <w:tr w:rsidR="00D3344B" w14:paraId="6A6C6C68" w14:textId="77777777">
        <w:trPr>
          <w:jc w:val="center"/>
        </w:trPr>
        <w:tc>
          <w:tcPr>
            <w:tcW w:w="2169" w:type="dxa"/>
          </w:tcPr>
          <w:p w14:paraId="6E89DAEE" w14:textId="77777777" w:rsidR="00D3344B" w:rsidRDefault="00143C25">
            <w:pPr>
              <w:widowControl w:val="0"/>
              <w:snapToGrid w:val="0"/>
              <w:jc w:val="center"/>
              <w:rPr>
                <w:rFonts w:ascii="Arial" w:hAnsi="Arial" w:cs="Arial"/>
                <w:bCs/>
                <w:i/>
              </w:rPr>
            </w:pPr>
            <w:r>
              <w:rPr>
                <w:rFonts w:ascii="Arial" w:hAnsi="Arial" w:cs="Arial"/>
                <w:bCs/>
                <w:i/>
              </w:rPr>
              <w:t>3</w:t>
            </w:r>
          </w:p>
        </w:tc>
        <w:tc>
          <w:tcPr>
            <w:tcW w:w="1545" w:type="dxa"/>
          </w:tcPr>
          <w:p w14:paraId="39A0D732" w14:textId="77777777" w:rsidR="00D3344B" w:rsidRDefault="00143C25">
            <w:pPr>
              <w:widowControl w:val="0"/>
              <w:snapToGrid w:val="0"/>
              <w:jc w:val="center"/>
              <w:rPr>
                <w:rFonts w:ascii="Arial" w:hAnsi="Arial" w:cs="Arial"/>
                <w:bCs/>
                <w:i/>
              </w:rPr>
            </w:pPr>
            <w:r>
              <w:rPr>
                <w:rFonts w:ascii="Arial" w:hAnsi="Arial" w:cs="Arial"/>
                <w:bCs/>
                <w:i/>
              </w:rPr>
              <w:t>0.7</w:t>
            </w:r>
          </w:p>
        </w:tc>
      </w:tr>
      <w:tr w:rsidR="00D3344B" w14:paraId="57BBB0C6" w14:textId="77777777">
        <w:trPr>
          <w:jc w:val="center"/>
        </w:trPr>
        <w:tc>
          <w:tcPr>
            <w:tcW w:w="2169" w:type="dxa"/>
          </w:tcPr>
          <w:p w14:paraId="5C87CA6A" w14:textId="77777777" w:rsidR="00D3344B" w:rsidRDefault="00143C25">
            <w:pPr>
              <w:widowControl w:val="0"/>
              <w:snapToGrid w:val="0"/>
              <w:jc w:val="center"/>
              <w:rPr>
                <w:rFonts w:ascii="Arial" w:hAnsi="Arial" w:cs="Arial"/>
                <w:bCs/>
                <w:i/>
              </w:rPr>
            </w:pPr>
            <w:r>
              <w:rPr>
                <w:rFonts w:ascii="Arial" w:hAnsi="Arial" w:cs="Arial"/>
                <w:bCs/>
                <w:i/>
              </w:rPr>
              <w:t>4</w:t>
            </w:r>
          </w:p>
        </w:tc>
        <w:tc>
          <w:tcPr>
            <w:tcW w:w="1545" w:type="dxa"/>
          </w:tcPr>
          <w:p w14:paraId="606D2F47" w14:textId="77777777" w:rsidR="00D3344B" w:rsidRDefault="00143C25">
            <w:pPr>
              <w:widowControl w:val="0"/>
              <w:snapToGrid w:val="0"/>
              <w:jc w:val="center"/>
              <w:rPr>
                <w:rFonts w:ascii="Arial" w:hAnsi="Arial" w:cs="Arial"/>
                <w:bCs/>
                <w:i/>
              </w:rPr>
            </w:pPr>
            <w:r>
              <w:rPr>
                <w:rFonts w:ascii="Arial" w:hAnsi="Arial" w:cs="Arial"/>
                <w:bCs/>
                <w:i/>
              </w:rPr>
              <w:t>0.6</w:t>
            </w:r>
          </w:p>
        </w:tc>
      </w:tr>
      <w:tr w:rsidR="00D3344B" w14:paraId="6A3E05C0" w14:textId="77777777">
        <w:trPr>
          <w:jc w:val="center"/>
        </w:trPr>
        <w:tc>
          <w:tcPr>
            <w:tcW w:w="2169" w:type="dxa"/>
          </w:tcPr>
          <w:p w14:paraId="5679910B" w14:textId="77777777" w:rsidR="00D3344B" w:rsidRDefault="00143C25">
            <w:pPr>
              <w:widowControl w:val="0"/>
              <w:snapToGrid w:val="0"/>
              <w:jc w:val="center"/>
              <w:rPr>
                <w:rFonts w:ascii="Arial" w:hAnsi="Arial" w:cs="Arial"/>
                <w:bCs/>
                <w:i/>
              </w:rPr>
            </w:pPr>
            <w:r>
              <w:rPr>
                <w:rFonts w:ascii="Arial" w:hAnsi="Arial" w:cs="Arial"/>
                <w:bCs/>
                <w:i/>
              </w:rPr>
              <w:t>5</w:t>
            </w:r>
          </w:p>
        </w:tc>
        <w:tc>
          <w:tcPr>
            <w:tcW w:w="1545" w:type="dxa"/>
          </w:tcPr>
          <w:p w14:paraId="10BE292B" w14:textId="77777777" w:rsidR="00D3344B" w:rsidRDefault="00143C25">
            <w:pPr>
              <w:widowControl w:val="0"/>
              <w:snapToGrid w:val="0"/>
              <w:jc w:val="center"/>
              <w:rPr>
                <w:rFonts w:ascii="Arial" w:hAnsi="Arial" w:cs="Arial"/>
                <w:bCs/>
                <w:i/>
              </w:rPr>
            </w:pPr>
            <w:r>
              <w:rPr>
                <w:rFonts w:ascii="Arial" w:hAnsi="Arial" w:cs="Arial"/>
                <w:bCs/>
                <w:i/>
              </w:rPr>
              <w:t>0.5</w:t>
            </w:r>
          </w:p>
        </w:tc>
      </w:tr>
      <w:tr w:rsidR="00D3344B" w14:paraId="2097CA55" w14:textId="77777777">
        <w:trPr>
          <w:jc w:val="center"/>
        </w:trPr>
        <w:tc>
          <w:tcPr>
            <w:tcW w:w="2169" w:type="dxa"/>
          </w:tcPr>
          <w:p w14:paraId="686F7A41" w14:textId="77777777" w:rsidR="00D3344B" w:rsidRDefault="00143C25">
            <w:pPr>
              <w:widowControl w:val="0"/>
              <w:snapToGrid w:val="0"/>
              <w:jc w:val="center"/>
              <w:rPr>
                <w:rFonts w:ascii="Arial" w:hAnsi="Arial" w:cs="Arial"/>
                <w:bCs/>
                <w:i/>
              </w:rPr>
            </w:pPr>
            <w:r>
              <w:rPr>
                <w:rFonts w:ascii="Arial" w:hAnsi="Arial" w:cs="Arial"/>
                <w:bCs/>
                <w:i/>
              </w:rPr>
              <w:t>6</w:t>
            </w:r>
          </w:p>
        </w:tc>
        <w:tc>
          <w:tcPr>
            <w:tcW w:w="1545" w:type="dxa"/>
          </w:tcPr>
          <w:p w14:paraId="17B1F1D9" w14:textId="77777777" w:rsidR="00D3344B" w:rsidRDefault="00143C25">
            <w:pPr>
              <w:widowControl w:val="0"/>
              <w:snapToGrid w:val="0"/>
              <w:jc w:val="center"/>
              <w:rPr>
                <w:rFonts w:ascii="Arial" w:hAnsi="Arial" w:cs="Arial"/>
                <w:bCs/>
                <w:i/>
              </w:rPr>
            </w:pPr>
            <w:r>
              <w:rPr>
                <w:rFonts w:ascii="Arial" w:hAnsi="Arial" w:cs="Arial"/>
                <w:bCs/>
                <w:i/>
              </w:rPr>
              <w:t>0.4</w:t>
            </w:r>
          </w:p>
        </w:tc>
      </w:tr>
      <w:tr w:rsidR="00D3344B" w14:paraId="3C5FCBBB" w14:textId="77777777">
        <w:trPr>
          <w:jc w:val="center"/>
        </w:trPr>
        <w:tc>
          <w:tcPr>
            <w:tcW w:w="2169" w:type="dxa"/>
          </w:tcPr>
          <w:p w14:paraId="7A39D0B4" w14:textId="77777777" w:rsidR="00D3344B" w:rsidRDefault="00143C25">
            <w:pPr>
              <w:widowControl w:val="0"/>
              <w:snapToGrid w:val="0"/>
              <w:jc w:val="center"/>
              <w:rPr>
                <w:rFonts w:ascii="Arial" w:hAnsi="Arial" w:cs="Arial"/>
                <w:bCs/>
                <w:i/>
              </w:rPr>
            </w:pPr>
            <w:r>
              <w:rPr>
                <w:rFonts w:ascii="Arial" w:hAnsi="Arial" w:cs="Arial"/>
                <w:bCs/>
                <w:i/>
              </w:rPr>
              <w:t>7</w:t>
            </w:r>
          </w:p>
        </w:tc>
        <w:tc>
          <w:tcPr>
            <w:tcW w:w="1545" w:type="dxa"/>
          </w:tcPr>
          <w:p w14:paraId="17088194" w14:textId="77777777" w:rsidR="00D3344B" w:rsidRDefault="00143C25">
            <w:pPr>
              <w:widowControl w:val="0"/>
              <w:snapToGrid w:val="0"/>
              <w:jc w:val="center"/>
              <w:rPr>
                <w:rFonts w:ascii="Arial" w:hAnsi="Arial" w:cs="Arial"/>
                <w:bCs/>
                <w:i/>
              </w:rPr>
            </w:pPr>
            <w:r>
              <w:rPr>
                <w:rFonts w:ascii="Arial" w:hAnsi="Arial" w:cs="Arial"/>
                <w:bCs/>
                <w:i/>
              </w:rPr>
              <w:t>0.3</w:t>
            </w:r>
          </w:p>
        </w:tc>
      </w:tr>
      <w:tr w:rsidR="00D3344B" w14:paraId="576EC74F" w14:textId="77777777">
        <w:trPr>
          <w:jc w:val="center"/>
        </w:trPr>
        <w:tc>
          <w:tcPr>
            <w:tcW w:w="2169" w:type="dxa"/>
          </w:tcPr>
          <w:p w14:paraId="42178AEB" w14:textId="77777777" w:rsidR="00D3344B" w:rsidRDefault="00143C25">
            <w:pPr>
              <w:widowControl w:val="0"/>
              <w:snapToGrid w:val="0"/>
              <w:jc w:val="center"/>
              <w:rPr>
                <w:rFonts w:ascii="Arial" w:hAnsi="Arial" w:cs="Arial"/>
                <w:bCs/>
                <w:i/>
              </w:rPr>
            </w:pPr>
            <w:r>
              <w:rPr>
                <w:rFonts w:ascii="Arial" w:hAnsi="Arial" w:cs="Arial"/>
                <w:bCs/>
                <w:i/>
              </w:rPr>
              <w:t>8</w:t>
            </w:r>
          </w:p>
        </w:tc>
        <w:tc>
          <w:tcPr>
            <w:tcW w:w="1545" w:type="dxa"/>
          </w:tcPr>
          <w:p w14:paraId="1C3925E0" w14:textId="77777777" w:rsidR="00D3344B" w:rsidRDefault="00143C25">
            <w:pPr>
              <w:widowControl w:val="0"/>
              <w:snapToGrid w:val="0"/>
              <w:jc w:val="center"/>
              <w:rPr>
                <w:rFonts w:ascii="Arial" w:hAnsi="Arial" w:cs="Arial"/>
                <w:bCs/>
                <w:i/>
              </w:rPr>
            </w:pPr>
            <w:r>
              <w:rPr>
                <w:rFonts w:ascii="Arial" w:hAnsi="Arial" w:cs="Arial"/>
                <w:bCs/>
                <w:i/>
              </w:rPr>
              <w:t>0.2</w:t>
            </w:r>
          </w:p>
        </w:tc>
      </w:tr>
      <w:tr w:rsidR="00D3344B" w14:paraId="248C181B" w14:textId="77777777">
        <w:trPr>
          <w:jc w:val="center"/>
        </w:trPr>
        <w:tc>
          <w:tcPr>
            <w:tcW w:w="2169" w:type="dxa"/>
          </w:tcPr>
          <w:p w14:paraId="4FE0FFBC" w14:textId="77777777" w:rsidR="00D3344B" w:rsidRDefault="00143C25">
            <w:pPr>
              <w:widowControl w:val="0"/>
              <w:snapToGrid w:val="0"/>
              <w:jc w:val="center"/>
              <w:rPr>
                <w:rFonts w:ascii="Arial" w:hAnsi="Arial" w:cs="Arial"/>
                <w:bCs/>
                <w:i/>
              </w:rPr>
            </w:pPr>
            <w:r>
              <w:rPr>
                <w:rFonts w:ascii="Arial" w:hAnsi="Arial" w:cs="Arial"/>
                <w:bCs/>
                <w:i/>
              </w:rPr>
              <w:t>9</w:t>
            </w:r>
          </w:p>
        </w:tc>
        <w:tc>
          <w:tcPr>
            <w:tcW w:w="1545" w:type="dxa"/>
          </w:tcPr>
          <w:p w14:paraId="05BFA791" w14:textId="77777777" w:rsidR="00D3344B" w:rsidRDefault="00143C25">
            <w:pPr>
              <w:widowControl w:val="0"/>
              <w:snapToGrid w:val="0"/>
              <w:jc w:val="center"/>
              <w:rPr>
                <w:rFonts w:ascii="Arial" w:hAnsi="Arial" w:cs="Arial"/>
                <w:bCs/>
                <w:i/>
              </w:rPr>
            </w:pPr>
            <w:r>
              <w:rPr>
                <w:rFonts w:ascii="Arial" w:hAnsi="Arial" w:cs="Arial"/>
                <w:bCs/>
                <w:i/>
              </w:rPr>
              <w:t>0.1</w:t>
            </w:r>
          </w:p>
        </w:tc>
      </w:tr>
    </w:tbl>
    <w:p w14:paraId="2D8580A7" w14:textId="77777777" w:rsidR="00D3344B" w:rsidRDefault="00D3344B">
      <w:pPr>
        <w:pStyle w:val="Estilo"/>
        <w:jc w:val="center"/>
        <w:rPr>
          <w:rFonts w:cs="Arial"/>
        </w:rPr>
      </w:pPr>
    </w:p>
    <w:p w14:paraId="75A54D06" w14:textId="77777777" w:rsidR="00D3344B" w:rsidRDefault="00D3344B">
      <w:pPr>
        <w:pStyle w:val="Estilo"/>
        <w:rPr>
          <w:rFonts w:cs="Arial"/>
        </w:rPr>
      </w:pPr>
    </w:p>
    <w:p w14:paraId="6188CE85" w14:textId="77777777" w:rsidR="00D3344B" w:rsidRDefault="00143C25">
      <w:pPr>
        <w:pStyle w:val="Estilo"/>
        <w:ind w:left="567" w:hanging="567"/>
        <w:rPr>
          <w:rFonts w:cs="Arial"/>
        </w:rPr>
      </w:pPr>
      <w:r>
        <w:rPr>
          <w:rFonts w:cs="Arial"/>
        </w:rPr>
        <w:lastRenderedPageBreak/>
        <w:t xml:space="preserve">b) </w:t>
      </w:r>
      <w:r>
        <w:rPr>
          <w:rFonts w:cs="Arial"/>
        </w:rPr>
        <w:tab/>
        <w:t>La cantidad obtenida conforme al inciso anterior, se actualizará de conformidad con lo dispuesto en el artículo 93 H de este Código; al resultado se le aplicará la tarifa establecida en el artículo 93 B de este Código.</w:t>
      </w:r>
    </w:p>
    <w:p w14:paraId="5867C185" w14:textId="77777777" w:rsidR="00D3344B" w:rsidRDefault="00D3344B">
      <w:pPr>
        <w:pStyle w:val="Estilo"/>
        <w:rPr>
          <w:rFonts w:cs="Arial"/>
        </w:rPr>
      </w:pPr>
    </w:p>
    <w:p w14:paraId="1F77F92A" w14:textId="77777777" w:rsidR="00D3344B" w:rsidRDefault="00143C25">
      <w:pPr>
        <w:pStyle w:val="Estilo"/>
        <w:rPr>
          <w:rFonts w:cs="Arial"/>
        </w:rPr>
      </w:pPr>
      <w:r>
        <w:rPr>
          <w:rFonts w:cs="Arial"/>
        </w:rPr>
        <w:t>Para efectos de la depreciación y actualización a que se refiere este artículo, los años de antigüedad se calcularán con base en el número de años transcurridos a partir del año modelo al que corresponda el vehículo.</w:t>
      </w:r>
    </w:p>
    <w:p w14:paraId="589E7EAC" w14:textId="77777777" w:rsidR="00D3344B" w:rsidRDefault="00D3344B">
      <w:pPr>
        <w:pStyle w:val="Estilo"/>
        <w:rPr>
          <w:rFonts w:cs="Arial"/>
        </w:rPr>
      </w:pPr>
    </w:p>
    <w:p w14:paraId="536E7216" w14:textId="77777777" w:rsidR="00D3344B" w:rsidRDefault="00143C25">
      <w:pPr>
        <w:pStyle w:val="Estilo"/>
        <w:rPr>
          <w:rFonts w:cs="Arial"/>
        </w:rPr>
      </w:pPr>
      <w:r>
        <w:rPr>
          <w:rFonts w:cs="Arial"/>
          <w:i/>
          <w:sz w:val="16"/>
        </w:rPr>
        <w:t>(ADICIONADO, P.O. 16 DE MARZO DE 2011)</w:t>
      </w:r>
    </w:p>
    <w:p w14:paraId="4F1B9B85" w14:textId="77777777" w:rsidR="00D3344B" w:rsidRDefault="00143C25">
      <w:pPr>
        <w:pStyle w:val="Estilo"/>
        <w:rPr>
          <w:rFonts w:cs="Arial"/>
        </w:rPr>
      </w:pPr>
      <w:r>
        <w:rPr>
          <w:rFonts w:cs="Arial"/>
          <w:b/>
        </w:rPr>
        <w:t>Artículo 93 H.</w:t>
      </w:r>
      <w:r>
        <w:rPr>
          <w:rFonts w:cs="Arial"/>
        </w:rPr>
        <w:t xml:space="preserve"> Para los efectos de lo dispuesto en los artículos 93 A, 93 B, 93 J, y 93 M de este Código, los montos de las cantidades que en los mismos se señalan se actualizarán cuando el incremento porcentual acumulado del Índice Nacional de Precios al Consumidor desde el mes en que se actualizaron por última vez, exceda del 10%. Dicha actualización se llevará a cabo por la Secretaría a partir del mes de enero del siguiente ejercicio fiscal a aquél en el que se haya dado dicho incremento, aplicando el factor correspondiente al periodo comprendido desde el mes en el que éstas se actualizaron por última vez y hasta el último mes del ejercicio en el que se exceda el por ciento citado, mismo que se obtendrá de conformidad con el artículo 17-A del Código Fiscal de la Federación.</w:t>
      </w:r>
    </w:p>
    <w:p w14:paraId="712A1BE0" w14:textId="77777777" w:rsidR="00D3344B" w:rsidRDefault="00D3344B">
      <w:pPr>
        <w:pStyle w:val="Estilo"/>
        <w:rPr>
          <w:rFonts w:cs="Arial"/>
        </w:rPr>
      </w:pPr>
    </w:p>
    <w:p w14:paraId="777C430D" w14:textId="77777777" w:rsidR="00D3344B" w:rsidRDefault="00D3344B">
      <w:pPr>
        <w:pStyle w:val="Estilo"/>
        <w:rPr>
          <w:rFonts w:cs="Arial"/>
        </w:rPr>
      </w:pPr>
    </w:p>
    <w:p w14:paraId="75255277" w14:textId="77777777" w:rsidR="00D3344B" w:rsidRDefault="00143C25">
      <w:pPr>
        <w:pStyle w:val="Estilo"/>
        <w:jc w:val="center"/>
        <w:rPr>
          <w:rFonts w:cs="Arial"/>
        </w:rPr>
      </w:pPr>
      <w:r>
        <w:rPr>
          <w:rFonts w:cs="Arial"/>
          <w:i/>
          <w:sz w:val="16"/>
        </w:rPr>
        <w:t>(ADICIONADA CON LOS ARTÍCULOS QUE LA INTEGRAN, P.O. 16 DE MARZO DE 2011)</w:t>
      </w:r>
    </w:p>
    <w:p w14:paraId="33D98C1A" w14:textId="77777777" w:rsidR="00D3344B" w:rsidRDefault="00143C25">
      <w:pPr>
        <w:pStyle w:val="Estilo"/>
        <w:jc w:val="center"/>
        <w:rPr>
          <w:rFonts w:cs="Arial"/>
          <w:b/>
        </w:rPr>
      </w:pPr>
      <w:r>
        <w:rPr>
          <w:rFonts w:cs="Arial"/>
          <w:b/>
        </w:rPr>
        <w:t>Sección IV</w:t>
      </w:r>
    </w:p>
    <w:p w14:paraId="3BE09870" w14:textId="77777777" w:rsidR="00D3344B" w:rsidRDefault="00143C25">
      <w:pPr>
        <w:pStyle w:val="Estilo"/>
        <w:jc w:val="center"/>
        <w:rPr>
          <w:rFonts w:cs="Arial"/>
          <w:b/>
        </w:rPr>
      </w:pPr>
      <w:r>
        <w:rPr>
          <w:rFonts w:cs="Arial"/>
          <w:b/>
        </w:rPr>
        <w:t>Otros Vehículos</w:t>
      </w:r>
    </w:p>
    <w:p w14:paraId="3244D61B" w14:textId="77777777" w:rsidR="00D3344B" w:rsidRDefault="00D3344B">
      <w:pPr>
        <w:pStyle w:val="Estilo"/>
        <w:rPr>
          <w:rFonts w:cs="Arial"/>
        </w:rPr>
      </w:pPr>
    </w:p>
    <w:p w14:paraId="15D6A659"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ESTE ORDENAMIENTO.</w:t>
      </w:r>
    </w:p>
    <w:p w14:paraId="66B86452" w14:textId="77777777" w:rsidR="00D3344B" w:rsidRDefault="00143C25">
      <w:pPr>
        <w:pStyle w:val="Estilo"/>
        <w:rPr>
          <w:rFonts w:cs="Arial"/>
        </w:rPr>
      </w:pPr>
      <w:r>
        <w:rPr>
          <w:rFonts w:cs="Arial"/>
          <w:i/>
          <w:sz w:val="16"/>
        </w:rPr>
        <w:t>(REFORMADO, P.O. 23 DE DICIEMBRE DE 2011)</w:t>
      </w:r>
    </w:p>
    <w:p w14:paraId="4AED7C46" w14:textId="77777777" w:rsidR="00D3344B" w:rsidRDefault="00143C25">
      <w:pPr>
        <w:pStyle w:val="Estilo"/>
        <w:rPr>
          <w:rFonts w:cs="Arial"/>
        </w:rPr>
      </w:pPr>
      <w:r>
        <w:rPr>
          <w:rFonts w:cs="Arial"/>
          <w:b/>
        </w:rPr>
        <w:t>Artículo 93 I.</w:t>
      </w:r>
      <w:r>
        <w:rPr>
          <w:rFonts w:cs="Arial"/>
        </w:rPr>
        <w:t xml:space="preserve"> En la presente Sección se establecen las disposiciones aplicables a las aeronaves, embarcaciones, veleros, esquís acuáticos motorizados, motocicletas acuáticas y tablas de oleaje con motor.</w:t>
      </w:r>
    </w:p>
    <w:p w14:paraId="13C56525" w14:textId="77777777" w:rsidR="00D3344B" w:rsidRDefault="00D3344B">
      <w:pPr>
        <w:pStyle w:val="Estilo"/>
        <w:rPr>
          <w:rFonts w:cs="Arial"/>
        </w:rPr>
      </w:pPr>
    </w:p>
    <w:p w14:paraId="16C5FC82"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ESTE ORDENAMIENTO.</w:t>
      </w:r>
    </w:p>
    <w:p w14:paraId="4474C651" w14:textId="77777777" w:rsidR="00D3344B" w:rsidRDefault="00143C25">
      <w:pPr>
        <w:pStyle w:val="Estilo"/>
        <w:rPr>
          <w:rFonts w:cs="Arial"/>
        </w:rPr>
      </w:pPr>
      <w:r>
        <w:rPr>
          <w:rFonts w:cs="Arial"/>
          <w:i/>
          <w:sz w:val="16"/>
        </w:rPr>
        <w:t>(REFORMADO PRIMER PÁRRAFO, P.O. 23 DE DICIEMBRE DE 2011)</w:t>
      </w:r>
    </w:p>
    <w:p w14:paraId="4EE8E904" w14:textId="77777777" w:rsidR="00D3344B" w:rsidRDefault="00143C25">
      <w:pPr>
        <w:pStyle w:val="Estilo"/>
        <w:rPr>
          <w:rFonts w:cs="Arial"/>
        </w:rPr>
      </w:pPr>
      <w:r>
        <w:rPr>
          <w:rFonts w:cs="Arial"/>
          <w:b/>
        </w:rPr>
        <w:t>Artículo 93 J.</w:t>
      </w:r>
      <w:r>
        <w:rPr>
          <w:rFonts w:cs="Arial"/>
        </w:rPr>
        <w:t xml:space="preserve"> Tratándose de aeronaves nuevas, el impuesto a que se refiere esta Sección será la cantidad que resulte de multiplicar el peso máximo, incluyendo la carga de la aeronave expresada en toneladas, por la cantidad de $9,577.39, para aeronaves de pistón (hélice), turbohélice y helicópteros.</w:t>
      </w:r>
    </w:p>
    <w:p w14:paraId="58402541" w14:textId="77777777" w:rsidR="00D3344B" w:rsidRDefault="00D3344B">
      <w:pPr>
        <w:pStyle w:val="Estilo"/>
        <w:rPr>
          <w:rFonts w:cs="Arial"/>
        </w:rPr>
      </w:pPr>
    </w:p>
    <w:p w14:paraId="2FE2108C" w14:textId="77777777" w:rsidR="00D3344B" w:rsidRDefault="00143C25">
      <w:pPr>
        <w:pStyle w:val="Estilo"/>
        <w:rPr>
          <w:rFonts w:cs="Arial"/>
        </w:rPr>
      </w:pPr>
      <w:r>
        <w:rPr>
          <w:rFonts w:cs="Arial"/>
          <w:i/>
          <w:sz w:val="16"/>
        </w:rPr>
        <w:t>(ADICIONADO, P.O. 16 DE MARZO DE 2011)</w:t>
      </w:r>
    </w:p>
    <w:p w14:paraId="0EA18DD9" w14:textId="77777777" w:rsidR="00D3344B" w:rsidRDefault="00143C25">
      <w:pPr>
        <w:pStyle w:val="Estilo"/>
        <w:rPr>
          <w:rFonts w:cs="Arial"/>
        </w:rPr>
      </w:pPr>
      <w:r>
        <w:rPr>
          <w:rFonts w:cs="Arial"/>
        </w:rPr>
        <w:t>Para aeronaves de reacción, el impuesto a que se refiere este Capítulo será la cantidad que resulte de multiplicar el peso máximo, incluyendo la carga de la aeronave expresado en toneladas, por la cantidad de $10,294.49.</w:t>
      </w:r>
    </w:p>
    <w:p w14:paraId="66CB8024" w14:textId="77777777" w:rsidR="00D3344B" w:rsidRDefault="00D3344B">
      <w:pPr>
        <w:pStyle w:val="Estilo"/>
        <w:rPr>
          <w:rFonts w:cs="Arial"/>
        </w:rPr>
      </w:pPr>
    </w:p>
    <w:p w14:paraId="27FFDBC4" w14:textId="77777777" w:rsidR="00D3344B" w:rsidRDefault="00143C25">
      <w:pPr>
        <w:pStyle w:val="Estilo"/>
        <w:rPr>
          <w:rFonts w:cs="Arial"/>
        </w:rPr>
      </w:pPr>
      <w:r>
        <w:rPr>
          <w:rFonts w:cs="Arial"/>
          <w:i/>
          <w:sz w:val="16"/>
        </w:rPr>
        <w:t>(ADICIONADO, P.O. 16 DE MARZO DE 2011)</w:t>
      </w:r>
    </w:p>
    <w:p w14:paraId="1D9EBD41" w14:textId="77777777" w:rsidR="00D3344B" w:rsidRDefault="00143C25">
      <w:pPr>
        <w:pStyle w:val="Estilo"/>
        <w:rPr>
          <w:rFonts w:cs="Arial"/>
        </w:rPr>
      </w:pPr>
      <w:r>
        <w:rPr>
          <w:rFonts w:cs="Arial"/>
          <w:b/>
        </w:rPr>
        <w:t>Artículo 93 K.</w:t>
      </w:r>
      <w:r>
        <w:rPr>
          <w:rFonts w:cs="Arial"/>
        </w:rPr>
        <w:t xml:space="preserve"> Tratándose de aeronaves de uno a nueve años modelo de antigüedad, el impuesto será el que resulte de multiplicar el importe del impuesto </w:t>
      </w:r>
      <w:r>
        <w:rPr>
          <w:rFonts w:cs="Arial"/>
        </w:rPr>
        <w:lastRenderedPageBreak/>
        <w:t>causado en el ejercicio fiscal inmediato anterior por el factor que corresponda conforme a los años de antigüedad de la aeronave, de acuerdo con la siguiente:</w:t>
      </w:r>
    </w:p>
    <w:p w14:paraId="6DCF324A" w14:textId="77777777" w:rsidR="00D3344B" w:rsidRDefault="00D3344B">
      <w:pPr>
        <w:pStyle w:val="Estilo"/>
        <w:rPr>
          <w:rFonts w:cs="Arial"/>
        </w:rPr>
      </w:pPr>
    </w:p>
    <w:p w14:paraId="40C92C41" w14:textId="77777777" w:rsidR="00D3344B" w:rsidRDefault="00143C25">
      <w:pPr>
        <w:pStyle w:val="Estilo"/>
        <w:jc w:val="center"/>
        <w:rPr>
          <w:rFonts w:cs="Arial"/>
        </w:rPr>
      </w:pPr>
      <w:r>
        <w:rPr>
          <w:rFonts w:cs="Arial"/>
        </w:rPr>
        <w:t>TABLA</w:t>
      </w:r>
    </w:p>
    <w:p w14:paraId="00B39EB2" w14:textId="77777777" w:rsidR="00D3344B" w:rsidRDefault="00D3344B">
      <w:pPr>
        <w:pStyle w:val="Estilo"/>
        <w:jc w:val="center"/>
        <w:rPr>
          <w:rFonts w:cs="Arial"/>
        </w:rPr>
      </w:pPr>
    </w:p>
    <w:tbl>
      <w:tblPr>
        <w:tblW w:w="3715" w:type="dxa"/>
        <w:jc w:val="center"/>
        <w:tblLayout w:type="fixed"/>
        <w:tblLook w:val="0000" w:firstRow="0" w:lastRow="0" w:firstColumn="0" w:lastColumn="0" w:noHBand="0" w:noVBand="0"/>
      </w:tblPr>
      <w:tblGrid>
        <w:gridCol w:w="2170"/>
        <w:gridCol w:w="1545"/>
      </w:tblGrid>
      <w:tr w:rsidR="00D3344B" w14:paraId="0C34C6C8" w14:textId="77777777">
        <w:trPr>
          <w:jc w:val="center"/>
        </w:trPr>
        <w:tc>
          <w:tcPr>
            <w:tcW w:w="2169" w:type="dxa"/>
          </w:tcPr>
          <w:p w14:paraId="05DBC76B" w14:textId="77777777" w:rsidR="00D3344B" w:rsidRDefault="00143C25">
            <w:pPr>
              <w:widowControl w:val="0"/>
              <w:snapToGrid w:val="0"/>
              <w:jc w:val="center"/>
              <w:rPr>
                <w:rFonts w:ascii="Arial" w:hAnsi="Arial" w:cs="Arial"/>
                <w:b/>
                <w:bCs/>
                <w:i/>
              </w:rPr>
            </w:pPr>
            <w:r>
              <w:rPr>
                <w:rFonts w:ascii="Arial" w:hAnsi="Arial" w:cs="Arial"/>
                <w:b/>
                <w:bCs/>
                <w:i/>
              </w:rPr>
              <w:t>Años de antigüedad</w:t>
            </w:r>
          </w:p>
        </w:tc>
        <w:tc>
          <w:tcPr>
            <w:tcW w:w="1545" w:type="dxa"/>
          </w:tcPr>
          <w:p w14:paraId="5B7E028D" w14:textId="77777777" w:rsidR="00D3344B" w:rsidRDefault="00143C25">
            <w:pPr>
              <w:widowControl w:val="0"/>
              <w:snapToGrid w:val="0"/>
              <w:jc w:val="center"/>
              <w:rPr>
                <w:rFonts w:ascii="Arial" w:hAnsi="Arial" w:cs="Arial"/>
                <w:b/>
                <w:bCs/>
                <w:i/>
              </w:rPr>
            </w:pPr>
            <w:r>
              <w:rPr>
                <w:rFonts w:ascii="Arial" w:hAnsi="Arial" w:cs="Arial"/>
                <w:b/>
                <w:bCs/>
                <w:i/>
              </w:rPr>
              <w:t>Factor de depreciación</w:t>
            </w:r>
          </w:p>
        </w:tc>
      </w:tr>
      <w:tr w:rsidR="00D3344B" w14:paraId="431A98F2" w14:textId="77777777">
        <w:trPr>
          <w:jc w:val="center"/>
        </w:trPr>
        <w:tc>
          <w:tcPr>
            <w:tcW w:w="2169" w:type="dxa"/>
          </w:tcPr>
          <w:p w14:paraId="5FBA9BEE" w14:textId="77777777" w:rsidR="00D3344B" w:rsidRDefault="00143C25">
            <w:pPr>
              <w:widowControl w:val="0"/>
              <w:snapToGrid w:val="0"/>
              <w:jc w:val="center"/>
              <w:rPr>
                <w:rFonts w:ascii="Arial" w:hAnsi="Arial" w:cs="Arial"/>
                <w:bCs/>
                <w:i/>
              </w:rPr>
            </w:pPr>
            <w:r>
              <w:rPr>
                <w:rFonts w:ascii="Arial" w:hAnsi="Arial" w:cs="Arial"/>
                <w:bCs/>
                <w:i/>
              </w:rPr>
              <w:t>1</w:t>
            </w:r>
          </w:p>
        </w:tc>
        <w:tc>
          <w:tcPr>
            <w:tcW w:w="1545" w:type="dxa"/>
          </w:tcPr>
          <w:p w14:paraId="14FCD8EC" w14:textId="77777777" w:rsidR="00D3344B" w:rsidRDefault="00143C25">
            <w:pPr>
              <w:widowControl w:val="0"/>
              <w:snapToGrid w:val="0"/>
              <w:jc w:val="center"/>
              <w:rPr>
                <w:rFonts w:ascii="Arial" w:hAnsi="Arial" w:cs="Arial"/>
                <w:bCs/>
                <w:i/>
              </w:rPr>
            </w:pPr>
            <w:r>
              <w:rPr>
                <w:rFonts w:ascii="Arial" w:hAnsi="Arial" w:cs="Arial"/>
                <w:bCs/>
                <w:i/>
              </w:rPr>
              <w:t>0.900</w:t>
            </w:r>
          </w:p>
        </w:tc>
      </w:tr>
      <w:tr w:rsidR="00D3344B" w14:paraId="34FFE450" w14:textId="77777777">
        <w:trPr>
          <w:jc w:val="center"/>
        </w:trPr>
        <w:tc>
          <w:tcPr>
            <w:tcW w:w="2169" w:type="dxa"/>
          </w:tcPr>
          <w:p w14:paraId="6E6A5321" w14:textId="77777777" w:rsidR="00D3344B" w:rsidRDefault="00143C25">
            <w:pPr>
              <w:widowControl w:val="0"/>
              <w:snapToGrid w:val="0"/>
              <w:jc w:val="center"/>
              <w:rPr>
                <w:rFonts w:ascii="Arial" w:hAnsi="Arial" w:cs="Arial"/>
                <w:bCs/>
                <w:i/>
              </w:rPr>
            </w:pPr>
            <w:r>
              <w:rPr>
                <w:rFonts w:ascii="Arial" w:hAnsi="Arial" w:cs="Arial"/>
                <w:bCs/>
                <w:i/>
              </w:rPr>
              <w:t>2</w:t>
            </w:r>
          </w:p>
        </w:tc>
        <w:tc>
          <w:tcPr>
            <w:tcW w:w="1545" w:type="dxa"/>
          </w:tcPr>
          <w:p w14:paraId="00040351" w14:textId="77777777" w:rsidR="00D3344B" w:rsidRDefault="00143C25">
            <w:pPr>
              <w:widowControl w:val="0"/>
              <w:snapToGrid w:val="0"/>
              <w:jc w:val="center"/>
              <w:rPr>
                <w:rFonts w:ascii="Arial" w:hAnsi="Arial" w:cs="Arial"/>
                <w:bCs/>
                <w:i/>
              </w:rPr>
            </w:pPr>
            <w:r>
              <w:rPr>
                <w:rFonts w:ascii="Arial" w:hAnsi="Arial" w:cs="Arial"/>
                <w:bCs/>
                <w:i/>
              </w:rPr>
              <w:t>0.889</w:t>
            </w:r>
          </w:p>
        </w:tc>
      </w:tr>
      <w:tr w:rsidR="00D3344B" w14:paraId="16589743" w14:textId="77777777">
        <w:trPr>
          <w:jc w:val="center"/>
        </w:trPr>
        <w:tc>
          <w:tcPr>
            <w:tcW w:w="2169" w:type="dxa"/>
          </w:tcPr>
          <w:p w14:paraId="57E69925" w14:textId="77777777" w:rsidR="00D3344B" w:rsidRDefault="00143C25">
            <w:pPr>
              <w:widowControl w:val="0"/>
              <w:snapToGrid w:val="0"/>
              <w:jc w:val="center"/>
              <w:rPr>
                <w:rFonts w:ascii="Arial" w:hAnsi="Arial" w:cs="Arial"/>
                <w:bCs/>
                <w:i/>
              </w:rPr>
            </w:pPr>
            <w:r>
              <w:rPr>
                <w:rFonts w:ascii="Arial" w:hAnsi="Arial" w:cs="Arial"/>
                <w:bCs/>
                <w:i/>
              </w:rPr>
              <w:t>3</w:t>
            </w:r>
          </w:p>
        </w:tc>
        <w:tc>
          <w:tcPr>
            <w:tcW w:w="1545" w:type="dxa"/>
          </w:tcPr>
          <w:p w14:paraId="448DFE10" w14:textId="77777777" w:rsidR="00D3344B" w:rsidRDefault="00143C25">
            <w:pPr>
              <w:widowControl w:val="0"/>
              <w:snapToGrid w:val="0"/>
              <w:jc w:val="center"/>
              <w:rPr>
                <w:rFonts w:ascii="Arial" w:hAnsi="Arial" w:cs="Arial"/>
                <w:bCs/>
                <w:i/>
              </w:rPr>
            </w:pPr>
            <w:r>
              <w:rPr>
                <w:rFonts w:ascii="Arial" w:hAnsi="Arial" w:cs="Arial"/>
                <w:bCs/>
                <w:i/>
              </w:rPr>
              <w:t>0.875</w:t>
            </w:r>
          </w:p>
        </w:tc>
      </w:tr>
      <w:tr w:rsidR="00D3344B" w14:paraId="7204EF82" w14:textId="77777777">
        <w:trPr>
          <w:jc w:val="center"/>
        </w:trPr>
        <w:tc>
          <w:tcPr>
            <w:tcW w:w="2169" w:type="dxa"/>
          </w:tcPr>
          <w:p w14:paraId="5FAFAAF2" w14:textId="77777777" w:rsidR="00D3344B" w:rsidRDefault="00143C25">
            <w:pPr>
              <w:widowControl w:val="0"/>
              <w:snapToGrid w:val="0"/>
              <w:jc w:val="center"/>
              <w:rPr>
                <w:rFonts w:ascii="Arial" w:hAnsi="Arial" w:cs="Arial"/>
                <w:bCs/>
                <w:i/>
              </w:rPr>
            </w:pPr>
            <w:r>
              <w:rPr>
                <w:rFonts w:ascii="Arial" w:hAnsi="Arial" w:cs="Arial"/>
                <w:bCs/>
                <w:i/>
              </w:rPr>
              <w:t>4</w:t>
            </w:r>
          </w:p>
        </w:tc>
        <w:tc>
          <w:tcPr>
            <w:tcW w:w="1545" w:type="dxa"/>
          </w:tcPr>
          <w:p w14:paraId="713DFC4C" w14:textId="77777777" w:rsidR="00D3344B" w:rsidRDefault="00143C25">
            <w:pPr>
              <w:widowControl w:val="0"/>
              <w:snapToGrid w:val="0"/>
              <w:jc w:val="center"/>
              <w:rPr>
                <w:rFonts w:ascii="Arial" w:hAnsi="Arial" w:cs="Arial"/>
                <w:bCs/>
                <w:i/>
              </w:rPr>
            </w:pPr>
            <w:r>
              <w:rPr>
                <w:rFonts w:ascii="Arial" w:hAnsi="Arial" w:cs="Arial"/>
                <w:bCs/>
                <w:i/>
              </w:rPr>
              <w:t>0.857</w:t>
            </w:r>
          </w:p>
        </w:tc>
      </w:tr>
      <w:tr w:rsidR="00D3344B" w14:paraId="3528739D" w14:textId="77777777">
        <w:trPr>
          <w:jc w:val="center"/>
        </w:trPr>
        <w:tc>
          <w:tcPr>
            <w:tcW w:w="2169" w:type="dxa"/>
          </w:tcPr>
          <w:p w14:paraId="426550D4" w14:textId="77777777" w:rsidR="00D3344B" w:rsidRDefault="00143C25">
            <w:pPr>
              <w:widowControl w:val="0"/>
              <w:snapToGrid w:val="0"/>
              <w:jc w:val="center"/>
              <w:rPr>
                <w:rFonts w:ascii="Arial" w:hAnsi="Arial" w:cs="Arial"/>
                <w:bCs/>
                <w:i/>
              </w:rPr>
            </w:pPr>
            <w:r>
              <w:rPr>
                <w:rFonts w:ascii="Arial" w:hAnsi="Arial" w:cs="Arial"/>
                <w:bCs/>
                <w:i/>
              </w:rPr>
              <w:t>5</w:t>
            </w:r>
          </w:p>
        </w:tc>
        <w:tc>
          <w:tcPr>
            <w:tcW w:w="1545" w:type="dxa"/>
          </w:tcPr>
          <w:p w14:paraId="43DA9F92" w14:textId="77777777" w:rsidR="00D3344B" w:rsidRDefault="00143C25">
            <w:pPr>
              <w:widowControl w:val="0"/>
              <w:snapToGrid w:val="0"/>
              <w:jc w:val="center"/>
              <w:rPr>
                <w:rFonts w:ascii="Arial" w:hAnsi="Arial" w:cs="Arial"/>
                <w:bCs/>
                <w:i/>
              </w:rPr>
            </w:pPr>
            <w:r>
              <w:rPr>
                <w:rFonts w:ascii="Arial" w:hAnsi="Arial" w:cs="Arial"/>
                <w:bCs/>
                <w:i/>
              </w:rPr>
              <w:t>0.833</w:t>
            </w:r>
          </w:p>
        </w:tc>
      </w:tr>
      <w:tr w:rsidR="00D3344B" w14:paraId="0AEB8D38" w14:textId="77777777">
        <w:trPr>
          <w:jc w:val="center"/>
        </w:trPr>
        <w:tc>
          <w:tcPr>
            <w:tcW w:w="2169" w:type="dxa"/>
          </w:tcPr>
          <w:p w14:paraId="6BE82420" w14:textId="77777777" w:rsidR="00D3344B" w:rsidRDefault="00143C25">
            <w:pPr>
              <w:widowControl w:val="0"/>
              <w:snapToGrid w:val="0"/>
              <w:jc w:val="center"/>
              <w:rPr>
                <w:rFonts w:ascii="Arial" w:hAnsi="Arial" w:cs="Arial"/>
                <w:bCs/>
                <w:i/>
              </w:rPr>
            </w:pPr>
            <w:r>
              <w:rPr>
                <w:rFonts w:ascii="Arial" w:hAnsi="Arial" w:cs="Arial"/>
                <w:bCs/>
                <w:i/>
              </w:rPr>
              <w:t>6</w:t>
            </w:r>
          </w:p>
        </w:tc>
        <w:tc>
          <w:tcPr>
            <w:tcW w:w="1545" w:type="dxa"/>
          </w:tcPr>
          <w:p w14:paraId="43BED483" w14:textId="77777777" w:rsidR="00D3344B" w:rsidRDefault="00143C25">
            <w:pPr>
              <w:widowControl w:val="0"/>
              <w:snapToGrid w:val="0"/>
              <w:jc w:val="center"/>
              <w:rPr>
                <w:rFonts w:ascii="Arial" w:hAnsi="Arial" w:cs="Arial"/>
                <w:bCs/>
                <w:i/>
              </w:rPr>
            </w:pPr>
            <w:r>
              <w:rPr>
                <w:rFonts w:ascii="Arial" w:hAnsi="Arial" w:cs="Arial"/>
                <w:bCs/>
                <w:i/>
              </w:rPr>
              <w:t>0.800</w:t>
            </w:r>
          </w:p>
        </w:tc>
      </w:tr>
      <w:tr w:rsidR="00D3344B" w14:paraId="16D84E0F" w14:textId="77777777">
        <w:trPr>
          <w:jc w:val="center"/>
        </w:trPr>
        <w:tc>
          <w:tcPr>
            <w:tcW w:w="2169" w:type="dxa"/>
          </w:tcPr>
          <w:p w14:paraId="099558D7" w14:textId="77777777" w:rsidR="00D3344B" w:rsidRDefault="00143C25">
            <w:pPr>
              <w:widowControl w:val="0"/>
              <w:snapToGrid w:val="0"/>
              <w:jc w:val="center"/>
              <w:rPr>
                <w:rFonts w:ascii="Arial" w:hAnsi="Arial" w:cs="Arial"/>
                <w:bCs/>
                <w:i/>
              </w:rPr>
            </w:pPr>
            <w:r>
              <w:rPr>
                <w:rFonts w:ascii="Arial" w:hAnsi="Arial" w:cs="Arial"/>
                <w:bCs/>
                <w:i/>
              </w:rPr>
              <w:t>7</w:t>
            </w:r>
          </w:p>
        </w:tc>
        <w:tc>
          <w:tcPr>
            <w:tcW w:w="1545" w:type="dxa"/>
          </w:tcPr>
          <w:p w14:paraId="417DEC20" w14:textId="77777777" w:rsidR="00D3344B" w:rsidRDefault="00143C25">
            <w:pPr>
              <w:widowControl w:val="0"/>
              <w:snapToGrid w:val="0"/>
              <w:jc w:val="center"/>
              <w:rPr>
                <w:rFonts w:ascii="Arial" w:hAnsi="Arial" w:cs="Arial"/>
                <w:bCs/>
                <w:i/>
              </w:rPr>
            </w:pPr>
            <w:r>
              <w:rPr>
                <w:rFonts w:ascii="Arial" w:hAnsi="Arial" w:cs="Arial"/>
                <w:bCs/>
                <w:i/>
              </w:rPr>
              <w:t>0.750</w:t>
            </w:r>
          </w:p>
        </w:tc>
      </w:tr>
      <w:tr w:rsidR="00D3344B" w14:paraId="676BF668" w14:textId="77777777">
        <w:trPr>
          <w:jc w:val="center"/>
        </w:trPr>
        <w:tc>
          <w:tcPr>
            <w:tcW w:w="2169" w:type="dxa"/>
          </w:tcPr>
          <w:p w14:paraId="03376567" w14:textId="77777777" w:rsidR="00D3344B" w:rsidRDefault="00143C25">
            <w:pPr>
              <w:widowControl w:val="0"/>
              <w:snapToGrid w:val="0"/>
              <w:jc w:val="center"/>
              <w:rPr>
                <w:rFonts w:ascii="Arial" w:hAnsi="Arial" w:cs="Arial"/>
                <w:bCs/>
                <w:i/>
              </w:rPr>
            </w:pPr>
            <w:r>
              <w:rPr>
                <w:rFonts w:ascii="Arial" w:hAnsi="Arial" w:cs="Arial"/>
                <w:bCs/>
                <w:i/>
              </w:rPr>
              <w:t>8</w:t>
            </w:r>
          </w:p>
        </w:tc>
        <w:tc>
          <w:tcPr>
            <w:tcW w:w="1545" w:type="dxa"/>
          </w:tcPr>
          <w:p w14:paraId="7F39CC9F" w14:textId="77777777" w:rsidR="00D3344B" w:rsidRDefault="00143C25">
            <w:pPr>
              <w:widowControl w:val="0"/>
              <w:snapToGrid w:val="0"/>
              <w:jc w:val="center"/>
              <w:rPr>
                <w:rFonts w:ascii="Arial" w:hAnsi="Arial" w:cs="Arial"/>
                <w:bCs/>
                <w:i/>
              </w:rPr>
            </w:pPr>
            <w:r>
              <w:rPr>
                <w:rFonts w:ascii="Arial" w:hAnsi="Arial" w:cs="Arial"/>
                <w:bCs/>
                <w:i/>
              </w:rPr>
              <w:t>0.667</w:t>
            </w:r>
          </w:p>
        </w:tc>
      </w:tr>
      <w:tr w:rsidR="00D3344B" w14:paraId="656AD14B" w14:textId="77777777">
        <w:trPr>
          <w:jc w:val="center"/>
        </w:trPr>
        <w:tc>
          <w:tcPr>
            <w:tcW w:w="2169" w:type="dxa"/>
          </w:tcPr>
          <w:p w14:paraId="33D8F449" w14:textId="77777777" w:rsidR="00D3344B" w:rsidRDefault="00143C25">
            <w:pPr>
              <w:widowControl w:val="0"/>
              <w:snapToGrid w:val="0"/>
              <w:jc w:val="center"/>
              <w:rPr>
                <w:rFonts w:ascii="Arial" w:hAnsi="Arial" w:cs="Arial"/>
                <w:bCs/>
                <w:i/>
              </w:rPr>
            </w:pPr>
            <w:r>
              <w:rPr>
                <w:rFonts w:ascii="Arial" w:hAnsi="Arial" w:cs="Arial"/>
                <w:bCs/>
                <w:i/>
              </w:rPr>
              <w:t>9</w:t>
            </w:r>
          </w:p>
        </w:tc>
        <w:tc>
          <w:tcPr>
            <w:tcW w:w="1545" w:type="dxa"/>
          </w:tcPr>
          <w:p w14:paraId="25205BB4" w14:textId="77777777" w:rsidR="00D3344B" w:rsidRDefault="00143C25">
            <w:pPr>
              <w:widowControl w:val="0"/>
              <w:snapToGrid w:val="0"/>
              <w:jc w:val="center"/>
              <w:rPr>
                <w:rFonts w:ascii="Arial" w:hAnsi="Arial" w:cs="Arial"/>
                <w:bCs/>
                <w:i/>
              </w:rPr>
            </w:pPr>
            <w:r>
              <w:rPr>
                <w:rFonts w:ascii="Arial" w:hAnsi="Arial" w:cs="Arial"/>
                <w:bCs/>
                <w:i/>
              </w:rPr>
              <w:t>0.500</w:t>
            </w:r>
          </w:p>
        </w:tc>
      </w:tr>
    </w:tbl>
    <w:p w14:paraId="4DEC2055" w14:textId="77777777" w:rsidR="00D3344B" w:rsidRDefault="00D3344B">
      <w:pPr>
        <w:pStyle w:val="Estilo"/>
        <w:jc w:val="center"/>
        <w:rPr>
          <w:rFonts w:cs="Arial"/>
        </w:rPr>
      </w:pPr>
    </w:p>
    <w:p w14:paraId="76A140E8" w14:textId="77777777" w:rsidR="00D3344B" w:rsidRDefault="00143C25">
      <w:pPr>
        <w:pStyle w:val="Estilo"/>
        <w:rPr>
          <w:rFonts w:cs="Arial"/>
        </w:rPr>
      </w:pPr>
      <w:r>
        <w:rPr>
          <w:rFonts w:cs="Arial"/>
        </w:rPr>
        <w:t>El resultado obtenido conforme al párrafo anterior, se actualizará de acuerdo con lo dispuesto en el artículo 93 H de este Código.</w:t>
      </w:r>
    </w:p>
    <w:p w14:paraId="2343F0EE" w14:textId="77777777" w:rsidR="00D3344B" w:rsidRDefault="00D3344B">
      <w:pPr>
        <w:pStyle w:val="Estilo"/>
        <w:rPr>
          <w:rFonts w:cs="Arial"/>
        </w:rPr>
      </w:pPr>
    </w:p>
    <w:p w14:paraId="007E9CA0"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ESTE ORDENAMIENTO.</w:t>
      </w:r>
    </w:p>
    <w:p w14:paraId="144B6884" w14:textId="77777777" w:rsidR="00D3344B" w:rsidRDefault="00143C25">
      <w:pPr>
        <w:pStyle w:val="Estilo"/>
        <w:rPr>
          <w:rFonts w:cs="Arial"/>
        </w:rPr>
      </w:pPr>
      <w:r>
        <w:rPr>
          <w:rFonts w:cs="Arial"/>
          <w:i/>
          <w:sz w:val="16"/>
        </w:rPr>
        <w:t>(REFORMADO, P.O. 23 DE DICIEMBRE DE 2011)</w:t>
      </w:r>
    </w:p>
    <w:p w14:paraId="2BF540E2" w14:textId="77777777" w:rsidR="00D3344B" w:rsidRDefault="00143C25">
      <w:pPr>
        <w:pStyle w:val="Estilo"/>
        <w:rPr>
          <w:rFonts w:cs="Arial"/>
        </w:rPr>
      </w:pPr>
      <w:r>
        <w:rPr>
          <w:rFonts w:cs="Arial"/>
          <w:b/>
        </w:rPr>
        <w:t>Artículo 93 L.</w:t>
      </w:r>
      <w:r>
        <w:rPr>
          <w:rFonts w:cs="Arial"/>
        </w:rPr>
        <w:t xml:space="preserve"> Tratándose de embarcaciones, veleros, esquís acuáticos motorizados, motocicletas acuáticas y tablas de oleaje con motor, nuevos, el impuesto será la cantidad que resulte de aplicar al valor total del vehículo de que se trate la tasa del 1.5%.</w:t>
      </w:r>
    </w:p>
    <w:p w14:paraId="7AC6F487" w14:textId="77777777" w:rsidR="00D3344B" w:rsidRDefault="00D3344B">
      <w:pPr>
        <w:pStyle w:val="Estilo"/>
        <w:rPr>
          <w:rFonts w:cs="Arial"/>
        </w:rPr>
      </w:pPr>
    </w:p>
    <w:p w14:paraId="3D9FE01C"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ESTE ORDENAMIENTO.</w:t>
      </w:r>
    </w:p>
    <w:p w14:paraId="3965542F" w14:textId="77777777" w:rsidR="00D3344B" w:rsidRDefault="00143C25">
      <w:pPr>
        <w:pStyle w:val="Estilo"/>
        <w:rPr>
          <w:rFonts w:cs="Arial"/>
        </w:rPr>
      </w:pPr>
      <w:r>
        <w:rPr>
          <w:rFonts w:cs="Arial"/>
          <w:i/>
          <w:sz w:val="16"/>
        </w:rPr>
        <w:t>(REFORMADO, P.O. 23 DE DICIEMBRE DE 2011)</w:t>
      </w:r>
    </w:p>
    <w:p w14:paraId="7F5B69E2" w14:textId="77777777" w:rsidR="00D3344B" w:rsidRDefault="00143C25">
      <w:pPr>
        <w:pStyle w:val="Estilo"/>
        <w:rPr>
          <w:rFonts w:cs="Arial"/>
        </w:rPr>
      </w:pPr>
      <w:r>
        <w:rPr>
          <w:rFonts w:cs="Arial"/>
          <w:b/>
        </w:rPr>
        <w:t>Artículo 93 M.</w:t>
      </w:r>
      <w:r>
        <w:rPr>
          <w:rFonts w:cs="Arial"/>
        </w:rPr>
        <w:t xml:space="preserve"> Tratándose de aeronaves de más de diez años de fabricación anteriores al de aplicación de este Código, el impuesto se pagará conforme a la siguiente:</w:t>
      </w:r>
    </w:p>
    <w:p w14:paraId="70FA08FF" w14:textId="77777777" w:rsidR="00D3344B" w:rsidRDefault="00D3344B">
      <w:pPr>
        <w:pStyle w:val="Estilo"/>
        <w:rPr>
          <w:rFonts w:cs="Arial"/>
        </w:rPr>
      </w:pPr>
    </w:p>
    <w:p w14:paraId="43380F41" w14:textId="77777777" w:rsidR="00D3344B" w:rsidRDefault="00143C25">
      <w:pPr>
        <w:pStyle w:val="Estilo"/>
        <w:jc w:val="center"/>
        <w:rPr>
          <w:rFonts w:cs="Arial"/>
        </w:rPr>
      </w:pPr>
      <w:r>
        <w:rPr>
          <w:rFonts w:cs="Arial"/>
        </w:rPr>
        <w:t>TABLA</w:t>
      </w:r>
    </w:p>
    <w:p w14:paraId="58AE0AC0" w14:textId="77777777" w:rsidR="00D3344B" w:rsidRDefault="00D3344B">
      <w:pPr>
        <w:pStyle w:val="Estilo"/>
        <w:jc w:val="center"/>
        <w:rPr>
          <w:rFonts w:cs="Arial"/>
        </w:rPr>
      </w:pPr>
    </w:p>
    <w:tbl>
      <w:tblPr>
        <w:tblW w:w="4031" w:type="dxa"/>
        <w:jc w:val="center"/>
        <w:tblLayout w:type="fixed"/>
        <w:tblLook w:val="0000" w:firstRow="0" w:lastRow="0" w:firstColumn="0" w:lastColumn="0" w:noHBand="0" w:noVBand="0"/>
      </w:tblPr>
      <w:tblGrid>
        <w:gridCol w:w="2413"/>
        <w:gridCol w:w="1618"/>
      </w:tblGrid>
      <w:tr w:rsidR="00D3344B" w14:paraId="248B50AE" w14:textId="77777777">
        <w:trPr>
          <w:trHeight w:val="240"/>
          <w:jc w:val="center"/>
        </w:trPr>
        <w:tc>
          <w:tcPr>
            <w:tcW w:w="2412" w:type="dxa"/>
            <w:vAlign w:val="center"/>
          </w:tcPr>
          <w:p w14:paraId="27DF554C" w14:textId="77777777" w:rsidR="00D3344B" w:rsidRDefault="00143C25">
            <w:pPr>
              <w:pStyle w:val="Textosinformato1"/>
              <w:widowControl w:val="0"/>
              <w:snapToGrid w:val="0"/>
              <w:ind w:left="283"/>
              <w:rPr>
                <w:rFonts w:ascii="Arial" w:eastAsia="MS Mincho" w:hAnsi="Arial" w:cs="Arial"/>
                <w:b/>
                <w:i/>
                <w:sz w:val="22"/>
                <w:szCs w:val="22"/>
              </w:rPr>
            </w:pPr>
            <w:r>
              <w:rPr>
                <w:rFonts w:ascii="Arial" w:eastAsia="MS Mincho" w:hAnsi="Arial" w:cs="Arial"/>
                <w:b/>
                <w:i/>
                <w:sz w:val="22"/>
                <w:szCs w:val="22"/>
              </w:rPr>
              <w:t>TIPO DE VEHICULOS</w:t>
            </w:r>
          </w:p>
        </w:tc>
        <w:tc>
          <w:tcPr>
            <w:tcW w:w="1618" w:type="dxa"/>
            <w:vAlign w:val="center"/>
          </w:tcPr>
          <w:p w14:paraId="3DD80D84" w14:textId="77777777" w:rsidR="00D3344B" w:rsidRDefault="00143C25">
            <w:pPr>
              <w:pStyle w:val="Textosinformato1"/>
              <w:widowControl w:val="0"/>
              <w:snapToGrid w:val="0"/>
              <w:ind w:left="138"/>
              <w:jc w:val="center"/>
              <w:rPr>
                <w:rFonts w:ascii="Arial" w:eastAsia="MS Mincho" w:hAnsi="Arial" w:cs="Arial"/>
                <w:b/>
                <w:i/>
                <w:sz w:val="22"/>
                <w:szCs w:val="22"/>
              </w:rPr>
            </w:pPr>
            <w:r>
              <w:rPr>
                <w:rFonts w:ascii="Arial" w:eastAsia="MS Mincho" w:hAnsi="Arial" w:cs="Arial"/>
                <w:b/>
                <w:i/>
                <w:sz w:val="22"/>
                <w:szCs w:val="22"/>
              </w:rPr>
              <w:t>CUOTA</w:t>
            </w:r>
          </w:p>
        </w:tc>
      </w:tr>
      <w:tr w:rsidR="00D3344B" w14:paraId="07E74E32" w14:textId="77777777">
        <w:trPr>
          <w:trHeight w:val="255"/>
          <w:jc w:val="center"/>
        </w:trPr>
        <w:tc>
          <w:tcPr>
            <w:tcW w:w="2412" w:type="dxa"/>
          </w:tcPr>
          <w:p w14:paraId="0FA2E0E1" w14:textId="77777777" w:rsidR="00D3344B" w:rsidRDefault="00143C25">
            <w:pPr>
              <w:pStyle w:val="Textosinformato1"/>
              <w:widowControl w:val="0"/>
              <w:snapToGrid w:val="0"/>
              <w:ind w:left="283"/>
              <w:jc w:val="both"/>
              <w:rPr>
                <w:rFonts w:ascii="Arial" w:eastAsia="MS Mincho" w:hAnsi="Arial" w:cs="Arial"/>
                <w:b/>
                <w:i/>
                <w:sz w:val="22"/>
                <w:szCs w:val="22"/>
              </w:rPr>
            </w:pPr>
            <w:r>
              <w:rPr>
                <w:rFonts w:ascii="Arial" w:eastAsia="MS Mincho" w:hAnsi="Arial" w:cs="Arial"/>
                <w:b/>
                <w:i/>
                <w:sz w:val="22"/>
                <w:szCs w:val="22"/>
              </w:rPr>
              <w:lastRenderedPageBreak/>
              <w:t>AERONAVES:</w:t>
            </w:r>
          </w:p>
        </w:tc>
        <w:tc>
          <w:tcPr>
            <w:tcW w:w="1618" w:type="dxa"/>
          </w:tcPr>
          <w:p w14:paraId="7699DE05" w14:textId="77777777" w:rsidR="00D3344B" w:rsidRDefault="00D3344B">
            <w:pPr>
              <w:pStyle w:val="Textosinformato1"/>
              <w:widowControl w:val="0"/>
              <w:snapToGrid w:val="0"/>
              <w:ind w:left="138"/>
              <w:jc w:val="right"/>
              <w:rPr>
                <w:rFonts w:ascii="Arial" w:eastAsia="MS Mincho" w:hAnsi="Arial" w:cs="Arial"/>
                <w:i/>
                <w:sz w:val="22"/>
                <w:szCs w:val="22"/>
              </w:rPr>
            </w:pPr>
          </w:p>
        </w:tc>
      </w:tr>
      <w:tr w:rsidR="00D3344B" w14:paraId="6CFFEB1B" w14:textId="77777777">
        <w:trPr>
          <w:trHeight w:val="255"/>
          <w:jc w:val="center"/>
        </w:trPr>
        <w:tc>
          <w:tcPr>
            <w:tcW w:w="2412" w:type="dxa"/>
          </w:tcPr>
          <w:p w14:paraId="4FAF88B0" w14:textId="77777777" w:rsidR="00D3344B" w:rsidRDefault="00143C25">
            <w:pPr>
              <w:pStyle w:val="Textosinformato1"/>
              <w:widowControl w:val="0"/>
              <w:snapToGrid w:val="0"/>
              <w:ind w:left="283"/>
              <w:jc w:val="both"/>
              <w:rPr>
                <w:rFonts w:ascii="Arial" w:eastAsia="MS Mincho" w:hAnsi="Arial" w:cs="Arial"/>
                <w:i/>
                <w:sz w:val="22"/>
                <w:szCs w:val="22"/>
              </w:rPr>
            </w:pPr>
            <w:r>
              <w:rPr>
                <w:rFonts w:ascii="Arial" w:eastAsia="MS Mincho" w:hAnsi="Arial" w:cs="Arial"/>
                <w:i/>
                <w:sz w:val="22"/>
                <w:szCs w:val="22"/>
              </w:rPr>
              <w:t>Pistón (Hélice)</w:t>
            </w:r>
          </w:p>
        </w:tc>
        <w:tc>
          <w:tcPr>
            <w:tcW w:w="1618" w:type="dxa"/>
          </w:tcPr>
          <w:p w14:paraId="1C1BAE71" w14:textId="77777777" w:rsidR="00D3344B" w:rsidRDefault="00143C25">
            <w:pPr>
              <w:pStyle w:val="Textosinformato1"/>
              <w:widowControl w:val="0"/>
              <w:tabs>
                <w:tab w:val="left" w:pos="2043"/>
              </w:tabs>
              <w:snapToGrid w:val="0"/>
              <w:ind w:left="138" w:right="2"/>
              <w:jc w:val="right"/>
              <w:rPr>
                <w:rFonts w:ascii="Arial" w:eastAsia="MS Mincho" w:hAnsi="Arial" w:cs="Arial"/>
                <w:i/>
                <w:sz w:val="22"/>
                <w:szCs w:val="22"/>
              </w:rPr>
            </w:pPr>
            <w:r>
              <w:rPr>
                <w:rFonts w:ascii="Arial" w:eastAsia="MS Mincho" w:hAnsi="Arial" w:cs="Arial"/>
                <w:i/>
                <w:sz w:val="22"/>
                <w:szCs w:val="22"/>
              </w:rPr>
              <w:t>2,115.74</w:t>
            </w:r>
          </w:p>
        </w:tc>
      </w:tr>
      <w:tr w:rsidR="00D3344B" w14:paraId="558E6043" w14:textId="77777777">
        <w:trPr>
          <w:trHeight w:val="255"/>
          <w:jc w:val="center"/>
        </w:trPr>
        <w:tc>
          <w:tcPr>
            <w:tcW w:w="2412" w:type="dxa"/>
          </w:tcPr>
          <w:p w14:paraId="30EB64A5" w14:textId="77777777" w:rsidR="00D3344B" w:rsidRDefault="00143C25">
            <w:pPr>
              <w:pStyle w:val="Textosinformato1"/>
              <w:widowControl w:val="0"/>
              <w:snapToGrid w:val="0"/>
              <w:ind w:left="283"/>
              <w:jc w:val="both"/>
              <w:rPr>
                <w:rFonts w:ascii="Arial" w:eastAsia="MS Mincho" w:hAnsi="Arial" w:cs="Arial"/>
                <w:i/>
                <w:sz w:val="22"/>
                <w:szCs w:val="22"/>
              </w:rPr>
            </w:pPr>
            <w:r>
              <w:rPr>
                <w:rFonts w:ascii="Arial" w:eastAsia="MS Mincho" w:hAnsi="Arial" w:cs="Arial"/>
                <w:i/>
                <w:sz w:val="22"/>
                <w:szCs w:val="22"/>
              </w:rPr>
              <w:t>Turbohélice</w:t>
            </w:r>
          </w:p>
        </w:tc>
        <w:tc>
          <w:tcPr>
            <w:tcW w:w="1618" w:type="dxa"/>
          </w:tcPr>
          <w:p w14:paraId="5180CEE7" w14:textId="77777777" w:rsidR="00D3344B" w:rsidRDefault="00143C25">
            <w:pPr>
              <w:pStyle w:val="Textosinformato1"/>
              <w:widowControl w:val="0"/>
              <w:tabs>
                <w:tab w:val="left" w:pos="2043"/>
              </w:tabs>
              <w:snapToGrid w:val="0"/>
              <w:ind w:left="138" w:right="2"/>
              <w:jc w:val="right"/>
              <w:rPr>
                <w:rFonts w:ascii="Arial" w:eastAsia="MS Mincho" w:hAnsi="Arial" w:cs="Arial"/>
                <w:i/>
                <w:sz w:val="22"/>
                <w:szCs w:val="22"/>
              </w:rPr>
            </w:pPr>
            <w:r>
              <w:rPr>
                <w:rFonts w:ascii="Arial" w:eastAsia="MS Mincho" w:hAnsi="Arial" w:cs="Arial"/>
                <w:i/>
                <w:sz w:val="22"/>
                <w:szCs w:val="22"/>
              </w:rPr>
              <w:t>11,710.12</w:t>
            </w:r>
          </w:p>
        </w:tc>
      </w:tr>
      <w:tr w:rsidR="00D3344B" w14:paraId="0C3BB27A" w14:textId="77777777">
        <w:trPr>
          <w:trHeight w:val="255"/>
          <w:jc w:val="center"/>
        </w:trPr>
        <w:tc>
          <w:tcPr>
            <w:tcW w:w="2412" w:type="dxa"/>
          </w:tcPr>
          <w:p w14:paraId="520FDD34" w14:textId="77777777" w:rsidR="00D3344B" w:rsidRDefault="00143C25">
            <w:pPr>
              <w:pStyle w:val="Textosinformato1"/>
              <w:widowControl w:val="0"/>
              <w:snapToGrid w:val="0"/>
              <w:ind w:left="283"/>
              <w:jc w:val="both"/>
              <w:rPr>
                <w:rFonts w:ascii="Arial" w:eastAsia="MS Mincho" w:hAnsi="Arial" w:cs="Arial"/>
                <w:i/>
                <w:sz w:val="22"/>
                <w:szCs w:val="22"/>
              </w:rPr>
            </w:pPr>
            <w:r>
              <w:rPr>
                <w:rFonts w:ascii="Arial" w:eastAsia="MS Mincho" w:hAnsi="Arial" w:cs="Arial"/>
                <w:i/>
                <w:sz w:val="22"/>
                <w:szCs w:val="22"/>
              </w:rPr>
              <w:t>Reacción</w:t>
            </w:r>
          </w:p>
        </w:tc>
        <w:tc>
          <w:tcPr>
            <w:tcW w:w="1618" w:type="dxa"/>
          </w:tcPr>
          <w:p w14:paraId="45A5FF30" w14:textId="77777777" w:rsidR="00D3344B" w:rsidRDefault="00143C25">
            <w:pPr>
              <w:pStyle w:val="Textosinformato1"/>
              <w:widowControl w:val="0"/>
              <w:tabs>
                <w:tab w:val="left" w:pos="2043"/>
              </w:tabs>
              <w:snapToGrid w:val="0"/>
              <w:ind w:left="138" w:right="2"/>
              <w:jc w:val="right"/>
              <w:rPr>
                <w:rFonts w:ascii="Arial" w:eastAsia="MS Mincho" w:hAnsi="Arial" w:cs="Arial"/>
                <w:i/>
                <w:sz w:val="22"/>
                <w:szCs w:val="22"/>
              </w:rPr>
            </w:pPr>
            <w:r>
              <w:rPr>
                <w:rFonts w:ascii="Arial" w:eastAsia="MS Mincho" w:hAnsi="Arial" w:cs="Arial"/>
                <w:i/>
                <w:sz w:val="22"/>
                <w:szCs w:val="22"/>
              </w:rPr>
              <w:t>16,918.38</w:t>
            </w:r>
          </w:p>
        </w:tc>
      </w:tr>
      <w:tr w:rsidR="00D3344B" w14:paraId="64B5A657" w14:textId="77777777">
        <w:trPr>
          <w:trHeight w:val="255"/>
          <w:jc w:val="center"/>
        </w:trPr>
        <w:tc>
          <w:tcPr>
            <w:tcW w:w="2412" w:type="dxa"/>
          </w:tcPr>
          <w:p w14:paraId="693AA438" w14:textId="77777777" w:rsidR="00D3344B" w:rsidRDefault="00143C25">
            <w:pPr>
              <w:pStyle w:val="Textosinformato1"/>
              <w:widowControl w:val="0"/>
              <w:snapToGrid w:val="0"/>
              <w:ind w:left="283"/>
              <w:jc w:val="both"/>
              <w:rPr>
                <w:rFonts w:ascii="Arial" w:eastAsia="MS Mincho" w:hAnsi="Arial" w:cs="Arial"/>
                <w:b/>
                <w:i/>
                <w:sz w:val="22"/>
                <w:szCs w:val="22"/>
              </w:rPr>
            </w:pPr>
            <w:r>
              <w:rPr>
                <w:rFonts w:ascii="Arial" w:eastAsia="MS Mincho" w:hAnsi="Arial" w:cs="Arial"/>
                <w:b/>
                <w:i/>
                <w:sz w:val="22"/>
                <w:szCs w:val="22"/>
              </w:rPr>
              <w:t>HELICOPTEROS</w:t>
            </w:r>
          </w:p>
        </w:tc>
        <w:tc>
          <w:tcPr>
            <w:tcW w:w="1618" w:type="dxa"/>
          </w:tcPr>
          <w:p w14:paraId="09BAF780" w14:textId="77777777" w:rsidR="00D3344B" w:rsidRDefault="00143C25">
            <w:pPr>
              <w:pStyle w:val="Textosinformato1"/>
              <w:widowControl w:val="0"/>
              <w:tabs>
                <w:tab w:val="left" w:pos="2043"/>
              </w:tabs>
              <w:snapToGrid w:val="0"/>
              <w:ind w:left="138" w:right="2"/>
              <w:jc w:val="right"/>
              <w:rPr>
                <w:rFonts w:ascii="Arial" w:eastAsia="MS Mincho" w:hAnsi="Arial" w:cs="Arial"/>
                <w:i/>
                <w:sz w:val="22"/>
                <w:szCs w:val="22"/>
              </w:rPr>
            </w:pPr>
            <w:r>
              <w:rPr>
                <w:rFonts w:ascii="Arial" w:eastAsia="MS Mincho" w:hAnsi="Arial" w:cs="Arial"/>
                <w:i/>
                <w:sz w:val="22"/>
                <w:szCs w:val="22"/>
              </w:rPr>
              <w:t>2,600.99</w:t>
            </w:r>
          </w:p>
        </w:tc>
      </w:tr>
    </w:tbl>
    <w:p w14:paraId="27BB4454" w14:textId="77777777" w:rsidR="00D3344B" w:rsidRDefault="00D3344B">
      <w:pPr>
        <w:pStyle w:val="Estilo"/>
        <w:jc w:val="center"/>
        <w:rPr>
          <w:rFonts w:cs="Arial"/>
        </w:rPr>
      </w:pPr>
    </w:p>
    <w:p w14:paraId="5639137F" w14:textId="77777777" w:rsidR="00D3344B" w:rsidRDefault="00D3344B">
      <w:pPr>
        <w:pStyle w:val="Estilo"/>
        <w:rPr>
          <w:rFonts w:cs="Arial"/>
        </w:rPr>
      </w:pPr>
    </w:p>
    <w:p w14:paraId="66ADC5D4" w14:textId="77777777" w:rsidR="00D3344B" w:rsidRDefault="00143C25">
      <w:pPr>
        <w:pStyle w:val="Estilo"/>
        <w:rPr>
          <w:rFonts w:cs="Arial"/>
        </w:rPr>
      </w:pPr>
      <w:r>
        <w:rPr>
          <w:rFonts w:cs="Arial"/>
          <w:i/>
          <w:sz w:val="16"/>
        </w:rPr>
        <w:t>(ADICIONADO, P.O. 16 DE MARZO DE 2011)</w:t>
      </w:r>
    </w:p>
    <w:p w14:paraId="338B35ED" w14:textId="77777777" w:rsidR="00D3344B" w:rsidRDefault="00143C25">
      <w:pPr>
        <w:pStyle w:val="Estilo"/>
        <w:rPr>
          <w:rFonts w:cs="Arial"/>
        </w:rPr>
      </w:pPr>
      <w:r>
        <w:rPr>
          <w:rFonts w:cs="Arial"/>
          <w:b/>
        </w:rPr>
        <w:t>Artículo 93 N.</w:t>
      </w:r>
      <w:r>
        <w:rPr>
          <w:rFonts w:cs="Arial"/>
        </w:rPr>
        <w:t xml:space="preserve"> Tratándose de embarcaciones, veleros, esquís acuáticos motorizados, motocicletas acuáticas y tablas de oleaje con motor, usados, el impuesto será el que resulte de aplicar el procedimiento siguiente:</w:t>
      </w:r>
    </w:p>
    <w:p w14:paraId="7EA08BC0" w14:textId="77777777" w:rsidR="00D3344B" w:rsidRDefault="00D3344B">
      <w:pPr>
        <w:pStyle w:val="Estilo"/>
        <w:rPr>
          <w:rFonts w:cs="Arial"/>
        </w:rPr>
      </w:pPr>
    </w:p>
    <w:p w14:paraId="701E4FF7" w14:textId="77777777" w:rsidR="00D3344B" w:rsidRDefault="00143C25">
      <w:pPr>
        <w:pStyle w:val="Estilo"/>
        <w:ind w:left="567" w:hanging="567"/>
        <w:rPr>
          <w:rFonts w:cs="Arial"/>
        </w:rPr>
      </w:pPr>
      <w:r>
        <w:rPr>
          <w:rFonts w:cs="Arial"/>
        </w:rPr>
        <w:t xml:space="preserve">a) </w:t>
      </w:r>
      <w:r>
        <w:rPr>
          <w:rFonts w:cs="Arial"/>
        </w:rPr>
        <w:tab/>
        <w:t>El valor total del vehículo de que se trate se multiplicará por el factor de depreciación de acuerdo al año modelo, de conformidad con la siguiente:</w:t>
      </w:r>
    </w:p>
    <w:p w14:paraId="55EEA373" w14:textId="77777777" w:rsidR="00D3344B" w:rsidRDefault="00D3344B">
      <w:pPr>
        <w:pStyle w:val="Estilo"/>
        <w:rPr>
          <w:rFonts w:cs="Arial"/>
        </w:rPr>
      </w:pPr>
    </w:p>
    <w:p w14:paraId="3F016232" w14:textId="77777777" w:rsidR="00D3344B" w:rsidRDefault="00143C25">
      <w:pPr>
        <w:pStyle w:val="Estilo"/>
        <w:jc w:val="center"/>
        <w:rPr>
          <w:rFonts w:cs="Arial"/>
        </w:rPr>
      </w:pPr>
      <w:r>
        <w:rPr>
          <w:rFonts w:cs="Arial"/>
        </w:rPr>
        <w:t>TABLA</w:t>
      </w:r>
    </w:p>
    <w:p w14:paraId="3320F5D3" w14:textId="77777777" w:rsidR="00D3344B" w:rsidRDefault="00D3344B">
      <w:pPr>
        <w:pStyle w:val="Estilo"/>
        <w:jc w:val="center"/>
        <w:rPr>
          <w:rFonts w:cs="Arial"/>
        </w:rPr>
      </w:pPr>
    </w:p>
    <w:tbl>
      <w:tblPr>
        <w:tblW w:w="4820" w:type="dxa"/>
        <w:jc w:val="center"/>
        <w:tblLayout w:type="fixed"/>
        <w:tblLook w:val="0000" w:firstRow="0" w:lastRow="0" w:firstColumn="0" w:lastColumn="0" w:noHBand="0" w:noVBand="0"/>
      </w:tblPr>
      <w:tblGrid>
        <w:gridCol w:w="1983"/>
        <w:gridCol w:w="2837"/>
      </w:tblGrid>
      <w:tr w:rsidR="00D3344B" w14:paraId="3DE9B7F6" w14:textId="77777777">
        <w:trPr>
          <w:jc w:val="center"/>
        </w:trPr>
        <w:tc>
          <w:tcPr>
            <w:tcW w:w="1983" w:type="dxa"/>
          </w:tcPr>
          <w:p w14:paraId="12837B71" w14:textId="77777777" w:rsidR="00D3344B" w:rsidRDefault="00143C25">
            <w:pPr>
              <w:widowControl w:val="0"/>
              <w:snapToGrid w:val="0"/>
              <w:jc w:val="center"/>
              <w:rPr>
                <w:rFonts w:ascii="Arial" w:hAnsi="Arial" w:cs="Arial"/>
                <w:b/>
                <w:bCs/>
                <w:i/>
              </w:rPr>
            </w:pPr>
            <w:r>
              <w:rPr>
                <w:rFonts w:ascii="Arial" w:hAnsi="Arial" w:cs="Arial"/>
                <w:b/>
                <w:bCs/>
                <w:i/>
              </w:rPr>
              <w:t>Años de antigüedad</w:t>
            </w:r>
          </w:p>
        </w:tc>
        <w:tc>
          <w:tcPr>
            <w:tcW w:w="2836" w:type="dxa"/>
          </w:tcPr>
          <w:p w14:paraId="59236515" w14:textId="77777777" w:rsidR="00D3344B" w:rsidRDefault="00143C25">
            <w:pPr>
              <w:widowControl w:val="0"/>
              <w:snapToGrid w:val="0"/>
              <w:jc w:val="center"/>
              <w:rPr>
                <w:rFonts w:ascii="Arial" w:hAnsi="Arial" w:cs="Arial"/>
                <w:b/>
                <w:bCs/>
                <w:i/>
              </w:rPr>
            </w:pPr>
            <w:r>
              <w:rPr>
                <w:rFonts w:ascii="Arial" w:hAnsi="Arial" w:cs="Arial"/>
                <w:b/>
                <w:bCs/>
                <w:i/>
              </w:rPr>
              <w:t>Factor de depreciación</w:t>
            </w:r>
          </w:p>
        </w:tc>
      </w:tr>
      <w:tr w:rsidR="00D3344B" w14:paraId="7A52C238" w14:textId="77777777">
        <w:trPr>
          <w:jc w:val="center"/>
        </w:trPr>
        <w:tc>
          <w:tcPr>
            <w:tcW w:w="1983" w:type="dxa"/>
          </w:tcPr>
          <w:p w14:paraId="4A433055" w14:textId="77777777" w:rsidR="00D3344B" w:rsidRDefault="00143C25">
            <w:pPr>
              <w:widowControl w:val="0"/>
              <w:snapToGrid w:val="0"/>
              <w:jc w:val="center"/>
              <w:rPr>
                <w:rFonts w:ascii="Arial" w:hAnsi="Arial" w:cs="Arial"/>
                <w:bCs/>
                <w:i/>
              </w:rPr>
            </w:pPr>
            <w:r>
              <w:rPr>
                <w:rFonts w:ascii="Arial" w:hAnsi="Arial" w:cs="Arial"/>
                <w:bCs/>
                <w:i/>
              </w:rPr>
              <w:t>1</w:t>
            </w:r>
          </w:p>
        </w:tc>
        <w:tc>
          <w:tcPr>
            <w:tcW w:w="2836" w:type="dxa"/>
          </w:tcPr>
          <w:p w14:paraId="0EA2102A" w14:textId="77777777" w:rsidR="00D3344B" w:rsidRDefault="00143C25">
            <w:pPr>
              <w:widowControl w:val="0"/>
              <w:snapToGrid w:val="0"/>
              <w:jc w:val="center"/>
              <w:rPr>
                <w:rFonts w:ascii="Arial" w:hAnsi="Arial" w:cs="Arial"/>
                <w:bCs/>
                <w:i/>
              </w:rPr>
            </w:pPr>
            <w:r>
              <w:rPr>
                <w:rFonts w:ascii="Arial" w:hAnsi="Arial" w:cs="Arial"/>
                <w:bCs/>
                <w:i/>
              </w:rPr>
              <w:t>0.9250</w:t>
            </w:r>
          </w:p>
        </w:tc>
      </w:tr>
      <w:tr w:rsidR="00D3344B" w14:paraId="797CB347" w14:textId="77777777">
        <w:trPr>
          <w:jc w:val="center"/>
        </w:trPr>
        <w:tc>
          <w:tcPr>
            <w:tcW w:w="1983" w:type="dxa"/>
          </w:tcPr>
          <w:p w14:paraId="53F1C991" w14:textId="77777777" w:rsidR="00D3344B" w:rsidRDefault="00143C25">
            <w:pPr>
              <w:widowControl w:val="0"/>
              <w:snapToGrid w:val="0"/>
              <w:jc w:val="center"/>
              <w:rPr>
                <w:rFonts w:ascii="Arial" w:hAnsi="Arial" w:cs="Arial"/>
                <w:bCs/>
                <w:i/>
              </w:rPr>
            </w:pPr>
            <w:r>
              <w:rPr>
                <w:rFonts w:ascii="Arial" w:hAnsi="Arial" w:cs="Arial"/>
                <w:bCs/>
                <w:i/>
              </w:rPr>
              <w:t>2</w:t>
            </w:r>
          </w:p>
        </w:tc>
        <w:tc>
          <w:tcPr>
            <w:tcW w:w="2836" w:type="dxa"/>
          </w:tcPr>
          <w:p w14:paraId="7DCE96D0" w14:textId="77777777" w:rsidR="00D3344B" w:rsidRDefault="00143C25">
            <w:pPr>
              <w:widowControl w:val="0"/>
              <w:snapToGrid w:val="0"/>
              <w:jc w:val="center"/>
              <w:rPr>
                <w:rFonts w:ascii="Arial" w:hAnsi="Arial" w:cs="Arial"/>
                <w:bCs/>
                <w:i/>
              </w:rPr>
            </w:pPr>
            <w:r>
              <w:rPr>
                <w:rFonts w:ascii="Arial" w:hAnsi="Arial" w:cs="Arial"/>
                <w:bCs/>
                <w:i/>
              </w:rPr>
              <w:t>0.8500</w:t>
            </w:r>
          </w:p>
        </w:tc>
      </w:tr>
      <w:tr w:rsidR="00D3344B" w14:paraId="363529D5" w14:textId="77777777">
        <w:trPr>
          <w:jc w:val="center"/>
        </w:trPr>
        <w:tc>
          <w:tcPr>
            <w:tcW w:w="1983" w:type="dxa"/>
          </w:tcPr>
          <w:p w14:paraId="3FF6A59A" w14:textId="77777777" w:rsidR="00D3344B" w:rsidRDefault="00143C25">
            <w:pPr>
              <w:widowControl w:val="0"/>
              <w:snapToGrid w:val="0"/>
              <w:jc w:val="center"/>
              <w:rPr>
                <w:rFonts w:ascii="Arial" w:hAnsi="Arial" w:cs="Arial"/>
                <w:bCs/>
                <w:i/>
              </w:rPr>
            </w:pPr>
            <w:r>
              <w:rPr>
                <w:rFonts w:ascii="Arial" w:hAnsi="Arial" w:cs="Arial"/>
                <w:bCs/>
                <w:i/>
              </w:rPr>
              <w:t>3</w:t>
            </w:r>
          </w:p>
        </w:tc>
        <w:tc>
          <w:tcPr>
            <w:tcW w:w="2836" w:type="dxa"/>
          </w:tcPr>
          <w:p w14:paraId="743BD3B1" w14:textId="77777777" w:rsidR="00D3344B" w:rsidRDefault="00143C25">
            <w:pPr>
              <w:widowControl w:val="0"/>
              <w:snapToGrid w:val="0"/>
              <w:jc w:val="center"/>
              <w:rPr>
                <w:rFonts w:ascii="Arial" w:hAnsi="Arial" w:cs="Arial"/>
                <w:bCs/>
                <w:i/>
              </w:rPr>
            </w:pPr>
            <w:r>
              <w:rPr>
                <w:rFonts w:ascii="Arial" w:hAnsi="Arial" w:cs="Arial"/>
                <w:bCs/>
                <w:i/>
              </w:rPr>
              <w:t>0.7875</w:t>
            </w:r>
          </w:p>
        </w:tc>
      </w:tr>
      <w:tr w:rsidR="00D3344B" w14:paraId="390860F7" w14:textId="77777777">
        <w:trPr>
          <w:jc w:val="center"/>
        </w:trPr>
        <w:tc>
          <w:tcPr>
            <w:tcW w:w="1983" w:type="dxa"/>
          </w:tcPr>
          <w:p w14:paraId="3092A606" w14:textId="77777777" w:rsidR="00D3344B" w:rsidRDefault="00143C25">
            <w:pPr>
              <w:widowControl w:val="0"/>
              <w:snapToGrid w:val="0"/>
              <w:jc w:val="center"/>
              <w:rPr>
                <w:rFonts w:ascii="Arial" w:hAnsi="Arial" w:cs="Arial"/>
                <w:bCs/>
                <w:i/>
              </w:rPr>
            </w:pPr>
            <w:r>
              <w:rPr>
                <w:rFonts w:ascii="Arial" w:hAnsi="Arial" w:cs="Arial"/>
                <w:bCs/>
                <w:i/>
              </w:rPr>
              <w:t>4</w:t>
            </w:r>
          </w:p>
        </w:tc>
        <w:tc>
          <w:tcPr>
            <w:tcW w:w="2836" w:type="dxa"/>
          </w:tcPr>
          <w:p w14:paraId="04F7FF43" w14:textId="77777777" w:rsidR="00D3344B" w:rsidRDefault="00143C25">
            <w:pPr>
              <w:widowControl w:val="0"/>
              <w:snapToGrid w:val="0"/>
              <w:jc w:val="center"/>
              <w:rPr>
                <w:rFonts w:ascii="Arial" w:hAnsi="Arial" w:cs="Arial"/>
                <w:bCs/>
                <w:i/>
              </w:rPr>
            </w:pPr>
            <w:r>
              <w:rPr>
                <w:rFonts w:ascii="Arial" w:hAnsi="Arial" w:cs="Arial"/>
                <w:bCs/>
                <w:i/>
              </w:rPr>
              <w:t>0.7250</w:t>
            </w:r>
          </w:p>
        </w:tc>
      </w:tr>
      <w:tr w:rsidR="00D3344B" w14:paraId="1DD60817" w14:textId="77777777">
        <w:trPr>
          <w:jc w:val="center"/>
        </w:trPr>
        <w:tc>
          <w:tcPr>
            <w:tcW w:w="1983" w:type="dxa"/>
          </w:tcPr>
          <w:p w14:paraId="117CC358" w14:textId="77777777" w:rsidR="00D3344B" w:rsidRDefault="00143C25">
            <w:pPr>
              <w:widowControl w:val="0"/>
              <w:snapToGrid w:val="0"/>
              <w:jc w:val="center"/>
              <w:rPr>
                <w:rFonts w:ascii="Arial" w:hAnsi="Arial" w:cs="Arial"/>
                <w:bCs/>
                <w:i/>
              </w:rPr>
            </w:pPr>
            <w:r>
              <w:rPr>
                <w:rFonts w:ascii="Arial" w:hAnsi="Arial" w:cs="Arial"/>
                <w:bCs/>
                <w:i/>
              </w:rPr>
              <w:t>5</w:t>
            </w:r>
          </w:p>
        </w:tc>
        <w:tc>
          <w:tcPr>
            <w:tcW w:w="2836" w:type="dxa"/>
          </w:tcPr>
          <w:p w14:paraId="7A5EB1C0" w14:textId="77777777" w:rsidR="00D3344B" w:rsidRDefault="00143C25">
            <w:pPr>
              <w:widowControl w:val="0"/>
              <w:snapToGrid w:val="0"/>
              <w:jc w:val="center"/>
              <w:rPr>
                <w:rFonts w:ascii="Arial" w:hAnsi="Arial" w:cs="Arial"/>
                <w:bCs/>
                <w:i/>
              </w:rPr>
            </w:pPr>
            <w:r>
              <w:rPr>
                <w:rFonts w:ascii="Arial" w:hAnsi="Arial" w:cs="Arial"/>
                <w:bCs/>
                <w:i/>
              </w:rPr>
              <w:t>0.6625</w:t>
            </w:r>
          </w:p>
        </w:tc>
      </w:tr>
      <w:tr w:rsidR="00D3344B" w14:paraId="3799A0BF" w14:textId="77777777">
        <w:trPr>
          <w:jc w:val="center"/>
        </w:trPr>
        <w:tc>
          <w:tcPr>
            <w:tcW w:w="1983" w:type="dxa"/>
          </w:tcPr>
          <w:p w14:paraId="37011F37" w14:textId="77777777" w:rsidR="00D3344B" w:rsidRDefault="00143C25">
            <w:pPr>
              <w:widowControl w:val="0"/>
              <w:snapToGrid w:val="0"/>
              <w:jc w:val="center"/>
              <w:rPr>
                <w:rFonts w:ascii="Arial" w:hAnsi="Arial" w:cs="Arial"/>
                <w:bCs/>
                <w:i/>
              </w:rPr>
            </w:pPr>
            <w:r>
              <w:rPr>
                <w:rFonts w:ascii="Arial" w:hAnsi="Arial" w:cs="Arial"/>
                <w:bCs/>
                <w:i/>
              </w:rPr>
              <w:t>6</w:t>
            </w:r>
          </w:p>
        </w:tc>
        <w:tc>
          <w:tcPr>
            <w:tcW w:w="2836" w:type="dxa"/>
          </w:tcPr>
          <w:p w14:paraId="4117580C" w14:textId="77777777" w:rsidR="00D3344B" w:rsidRDefault="00143C25">
            <w:pPr>
              <w:widowControl w:val="0"/>
              <w:snapToGrid w:val="0"/>
              <w:jc w:val="center"/>
              <w:rPr>
                <w:rFonts w:ascii="Arial" w:hAnsi="Arial" w:cs="Arial"/>
                <w:bCs/>
                <w:i/>
              </w:rPr>
            </w:pPr>
            <w:r>
              <w:rPr>
                <w:rFonts w:ascii="Arial" w:hAnsi="Arial" w:cs="Arial"/>
                <w:bCs/>
                <w:i/>
              </w:rPr>
              <w:t>0.6000</w:t>
            </w:r>
          </w:p>
        </w:tc>
      </w:tr>
      <w:tr w:rsidR="00D3344B" w14:paraId="27F0D17E" w14:textId="77777777">
        <w:trPr>
          <w:jc w:val="center"/>
        </w:trPr>
        <w:tc>
          <w:tcPr>
            <w:tcW w:w="1983" w:type="dxa"/>
          </w:tcPr>
          <w:p w14:paraId="1BB897CE" w14:textId="77777777" w:rsidR="00D3344B" w:rsidRDefault="00143C25">
            <w:pPr>
              <w:widowControl w:val="0"/>
              <w:snapToGrid w:val="0"/>
              <w:jc w:val="center"/>
              <w:rPr>
                <w:rFonts w:ascii="Arial" w:hAnsi="Arial" w:cs="Arial"/>
                <w:bCs/>
                <w:i/>
              </w:rPr>
            </w:pPr>
            <w:r>
              <w:rPr>
                <w:rFonts w:ascii="Arial" w:hAnsi="Arial" w:cs="Arial"/>
                <w:bCs/>
                <w:i/>
              </w:rPr>
              <w:t>7</w:t>
            </w:r>
          </w:p>
        </w:tc>
        <w:tc>
          <w:tcPr>
            <w:tcW w:w="2836" w:type="dxa"/>
          </w:tcPr>
          <w:p w14:paraId="13A47A34" w14:textId="77777777" w:rsidR="00D3344B" w:rsidRDefault="00143C25">
            <w:pPr>
              <w:widowControl w:val="0"/>
              <w:snapToGrid w:val="0"/>
              <w:jc w:val="center"/>
              <w:rPr>
                <w:rFonts w:ascii="Arial" w:hAnsi="Arial" w:cs="Arial"/>
                <w:bCs/>
                <w:i/>
              </w:rPr>
            </w:pPr>
            <w:r>
              <w:rPr>
                <w:rFonts w:ascii="Arial" w:hAnsi="Arial" w:cs="Arial"/>
                <w:bCs/>
                <w:i/>
              </w:rPr>
              <w:t>0.5500</w:t>
            </w:r>
          </w:p>
        </w:tc>
      </w:tr>
      <w:tr w:rsidR="00D3344B" w14:paraId="179D707B" w14:textId="77777777">
        <w:trPr>
          <w:jc w:val="center"/>
        </w:trPr>
        <w:tc>
          <w:tcPr>
            <w:tcW w:w="1983" w:type="dxa"/>
          </w:tcPr>
          <w:p w14:paraId="5CA195E1" w14:textId="77777777" w:rsidR="00D3344B" w:rsidRDefault="00143C25">
            <w:pPr>
              <w:widowControl w:val="0"/>
              <w:snapToGrid w:val="0"/>
              <w:jc w:val="center"/>
              <w:rPr>
                <w:rFonts w:ascii="Arial" w:hAnsi="Arial" w:cs="Arial"/>
                <w:bCs/>
                <w:i/>
              </w:rPr>
            </w:pPr>
            <w:r>
              <w:rPr>
                <w:rFonts w:ascii="Arial" w:hAnsi="Arial" w:cs="Arial"/>
                <w:bCs/>
                <w:i/>
              </w:rPr>
              <w:t>8</w:t>
            </w:r>
          </w:p>
        </w:tc>
        <w:tc>
          <w:tcPr>
            <w:tcW w:w="2836" w:type="dxa"/>
          </w:tcPr>
          <w:p w14:paraId="3DFFC10A" w14:textId="77777777" w:rsidR="00D3344B" w:rsidRDefault="00143C25">
            <w:pPr>
              <w:widowControl w:val="0"/>
              <w:snapToGrid w:val="0"/>
              <w:jc w:val="center"/>
              <w:rPr>
                <w:rFonts w:ascii="Arial" w:hAnsi="Arial" w:cs="Arial"/>
                <w:bCs/>
                <w:i/>
              </w:rPr>
            </w:pPr>
            <w:r>
              <w:rPr>
                <w:rFonts w:ascii="Arial" w:hAnsi="Arial" w:cs="Arial"/>
                <w:bCs/>
                <w:i/>
              </w:rPr>
              <w:t>0.5000</w:t>
            </w:r>
          </w:p>
        </w:tc>
      </w:tr>
      <w:tr w:rsidR="00D3344B" w14:paraId="1AB103BF" w14:textId="77777777">
        <w:trPr>
          <w:jc w:val="center"/>
        </w:trPr>
        <w:tc>
          <w:tcPr>
            <w:tcW w:w="1983" w:type="dxa"/>
          </w:tcPr>
          <w:p w14:paraId="0DF0DBFA" w14:textId="77777777" w:rsidR="00D3344B" w:rsidRDefault="00143C25">
            <w:pPr>
              <w:widowControl w:val="0"/>
              <w:snapToGrid w:val="0"/>
              <w:jc w:val="center"/>
              <w:rPr>
                <w:rFonts w:ascii="Arial" w:hAnsi="Arial" w:cs="Arial"/>
                <w:bCs/>
                <w:i/>
              </w:rPr>
            </w:pPr>
            <w:r>
              <w:rPr>
                <w:rFonts w:ascii="Arial" w:hAnsi="Arial" w:cs="Arial"/>
                <w:bCs/>
                <w:i/>
              </w:rPr>
              <w:t>9</w:t>
            </w:r>
          </w:p>
        </w:tc>
        <w:tc>
          <w:tcPr>
            <w:tcW w:w="2836" w:type="dxa"/>
          </w:tcPr>
          <w:p w14:paraId="6C33CF9F" w14:textId="77777777" w:rsidR="00D3344B" w:rsidRDefault="00143C25">
            <w:pPr>
              <w:widowControl w:val="0"/>
              <w:snapToGrid w:val="0"/>
              <w:jc w:val="center"/>
              <w:rPr>
                <w:rFonts w:ascii="Arial" w:hAnsi="Arial" w:cs="Arial"/>
                <w:bCs/>
                <w:i/>
              </w:rPr>
            </w:pPr>
            <w:r>
              <w:rPr>
                <w:rFonts w:ascii="Arial" w:hAnsi="Arial" w:cs="Arial"/>
                <w:bCs/>
                <w:i/>
              </w:rPr>
              <w:t>0.4500</w:t>
            </w:r>
          </w:p>
        </w:tc>
      </w:tr>
      <w:tr w:rsidR="00D3344B" w14:paraId="6CD6DDB4" w14:textId="77777777">
        <w:trPr>
          <w:jc w:val="center"/>
        </w:trPr>
        <w:tc>
          <w:tcPr>
            <w:tcW w:w="1983" w:type="dxa"/>
          </w:tcPr>
          <w:p w14:paraId="13E968F7" w14:textId="77777777" w:rsidR="00D3344B" w:rsidRDefault="00143C25">
            <w:pPr>
              <w:widowControl w:val="0"/>
              <w:snapToGrid w:val="0"/>
              <w:jc w:val="center"/>
              <w:rPr>
                <w:rFonts w:ascii="Arial" w:hAnsi="Arial" w:cs="Arial"/>
                <w:bCs/>
                <w:i/>
              </w:rPr>
            </w:pPr>
            <w:r>
              <w:rPr>
                <w:rFonts w:ascii="Arial" w:hAnsi="Arial" w:cs="Arial"/>
                <w:bCs/>
                <w:i/>
              </w:rPr>
              <w:t>10</w:t>
            </w:r>
          </w:p>
        </w:tc>
        <w:tc>
          <w:tcPr>
            <w:tcW w:w="2836" w:type="dxa"/>
          </w:tcPr>
          <w:p w14:paraId="7C6C9681" w14:textId="77777777" w:rsidR="00D3344B" w:rsidRDefault="00143C25">
            <w:pPr>
              <w:widowControl w:val="0"/>
              <w:snapToGrid w:val="0"/>
              <w:jc w:val="center"/>
              <w:rPr>
                <w:rFonts w:ascii="Arial" w:hAnsi="Arial" w:cs="Arial"/>
                <w:bCs/>
                <w:i/>
              </w:rPr>
            </w:pPr>
            <w:r>
              <w:rPr>
                <w:rFonts w:ascii="Arial" w:hAnsi="Arial" w:cs="Arial"/>
                <w:bCs/>
                <w:i/>
              </w:rPr>
              <w:t>0.4000</w:t>
            </w:r>
          </w:p>
        </w:tc>
      </w:tr>
      <w:tr w:rsidR="00D3344B" w14:paraId="50E5697C" w14:textId="77777777">
        <w:trPr>
          <w:jc w:val="center"/>
        </w:trPr>
        <w:tc>
          <w:tcPr>
            <w:tcW w:w="1983" w:type="dxa"/>
          </w:tcPr>
          <w:p w14:paraId="0A043290" w14:textId="77777777" w:rsidR="00D3344B" w:rsidRDefault="00143C25">
            <w:pPr>
              <w:widowControl w:val="0"/>
              <w:snapToGrid w:val="0"/>
              <w:jc w:val="center"/>
              <w:rPr>
                <w:rFonts w:ascii="Arial" w:hAnsi="Arial" w:cs="Arial"/>
                <w:bCs/>
                <w:i/>
              </w:rPr>
            </w:pPr>
            <w:r>
              <w:rPr>
                <w:rFonts w:ascii="Arial" w:hAnsi="Arial" w:cs="Arial"/>
                <w:bCs/>
                <w:i/>
              </w:rPr>
              <w:t>11</w:t>
            </w:r>
          </w:p>
        </w:tc>
        <w:tc>
          <w:tcPr>
            <w:tcW w:w="2836" w:type="dxa"/>
          </w:tcPr>
          <w:p w14:paraId="5E146EA4" w14:textId="77777777" w:rsidR="00D3344B" w:rsidRDefault="00143C25">
            <w:pPr>
              <w:widowControl w:val="0"/>
              <w:snapToGrid w:val="0"/>
              <w:jc w:val="center"/>
              <w:rPr>
                <w:rFonts w:ascii="Arial" w:hAnsi="Arial" w:cs="Arial"/>
                <w:bCs/>
                <w:i/>
              </w:rPr>
            </w:pPr>
            <w:r>
              <w:rPr>
                <w:rFonts w:ascii="Arial" w:hAnsi="Arial" w:cs="Arial"/>
                <w:bCs/>
                <w:i/>
              </w:rPr>
              <w:t>0.3500</w:t>
            </w:r>
          </w:p>
        </w:tc>
      </w:tr>
      <w:tr w:rsidR="00D3344B" w14:paraId="20AA251E" w14:textId="77777777">
        <w:trPr>
          <w:jc w:val="center"/>
        </w:trPr>
        <w:tc>
          <w:tcPr>
            <w:tcW w:w="1983" w:type="dxa"/>
          </w:tcPr>
          <w:p w14:paraId="0C0CA712" w14:textId="77777777" w:rsidR="00D3344B" w:rsidRDefault="00143C25">
            <w:pPr>
              <w:widowControl w:val="0"/>
              <w:snapToGrid w:val="0"/>
              <w:jc w:val="center"/>
              <w:rPr>
                <w:rFonts w:ascii="Arial" w:hAnsi="Arial" w:cs="Arial"/>
                <w:bCs/>
                <w:i/>
              </w:rPr>
            </w:pPr>
            <w:r>
              <w:rPr>
                <w:rFonts w:ascii="Arial" w:hAnsi="Arial" w:cs="Arial"/>
                <w:bCs/>
                <w:i/>
              </w:rPr>
              <w:t>12</w:t>
            </w:r>
          </w:p>
        </w:tc>
        <w:tc>
          <w:tcPr>
            <w:tcW w:w="2836" w:type="dxa"/>
          </w:tcPr>
          <w:p w14:paraId="5C721C07" w14:textId="77777777" w:rsidR="00D3344B" w:rsidRDefault="00143C25">
            <w:pPr>
              <w:widowControl w:val="0"/>
              <w:snapToGrid w:val="0"/>
              <w:jc w:val="center"/>
              <w:rPr>
                <w:rFonts w:ascii="Arial" w:hAnsi="Arial" w:cs="Arial"/>
                <w:bCs/>
                <w:i/>
              </w:rPr>
            </w:pPr>
            <w:r>
              <w:rPr>
                <w:rFonts w:ascii="Arial" w:hAnsi="Arial" w:cs="Arial"/>
                <w:bCs/>
                <w:i/>
              </w:rPr>
              <w:t>0.3000</w:t>
            </w:r>
          </w:p>
        </w:tc>
      </w:tr>
      <w:tr w:rsidR="00D3344B" w14:paraId="4F287A35" w14:textId="77777777">
        <w:trPr>
          <w:jc w:val="center"/>
        </w:trPr>
        <w:tc>
          <w:tcPr>
            <w:tcW w:w="1983" w:type="dxa"/>
          </w:tcPr>
          <w:p w14:paraId="3A5EAAF1" w14:textId="77777777" w:rsidR="00D3344B" w:rsidRDefault="00143C25">
            <w:pPr>
              <w:widowControl w:val="0"/>
              <w:snapToGrid w:val="0"/>
              <w:jc w:val="center"/>
              <w:rPr>
                <w:rFonts w:ascii="Arial" w:hAnsi="Arial" w:cs="Arial"/>
                <w:bCs/>
                <w:i/>
              </w:rPr>
            </w:pPr>
            <w:r>
              <w:rPr>
                <w:rFonts w:ascii="Arial" w:hAnsi="Arial" w:cs="Arial"/>
                <w:bCs/>
                <w:i/>
              </w:rPr>
              <w:t>13</w:t>
            </w:r>
          </w:p>
        </w:tc>
        <w:tc>
          <w:tcPr>
            <w:tcW w:w="2836" w:type="dxa"/>
          </w:tcPr>
          <w:p w14:paraId="5CD0BE7C" w14:textId="77777777" w:rsidR="00D3344B" w:rsidRDefault="00143C25">
            <w:pPr>
              <w:widowControl w:val="0"/>
              <w:snapToGrid w:val="0"/>
              <w:jc w:val="center"/>
              <w:rPr>
                <w:rFonts w:ascii="Arial" w:hAnsi="Arial" w:cs="Arial"/>
                <w:bCs/>
                <w:i/>
              </w:rPr>
            </w:pPr>
            <w:r>
              <w:rPr>
                <w:rFonts w:ascii="Arial" w:hAnsi="Arial" w:cs="Arial"/>
                <w:bCs/>
                <w:i/>
              </w:rPr>
              <w:t>0.2625</w:t>
            </w:r>
          </w:p>
        </w:tc>
      </w:tr>
      <w:tr w:rsidR="00D3344B" w14:paraId="628C1A6E" w14:textId="77777777">
        <w:trPr>
          <w:jc w:val="center"/>
        </w:trPr>
        <w:tc>
          <w:tcPr>
            <w:tcW w:w="1983" w:type="dxa"/>
          </w:tcPr>
          <w:p w14:paraId="5EE510F4" w14:textId="77777777" w:rsidR="00D3344B" w:rsidRDefault="00143C25">
            <w:pPr>
              <w:widowControl w:val="0"/>
              <w:snapToGrid w:val="0"/>
              <w:jc w:val="center"/>
              <w:rPr>
                <w:rFonts w:ascii="Arial" w:hAnsi="Arial" w:cs="Arial"/>
                <w:bCs/>
                <w:i/>
              </w:rPr>
            </w:pPr>
            <w:r>
              <w:rPr>
                <w:rFonts w:ascii="Arial" w:hAnsi="Arial" w:cs="Arial"/>
                <w:bCs/>
                <w:i/>
              </w:rPr>
              <w:t>14</w:t>
            </w:r>
          </w:p>
        </w:tc>
        <w:tc>
          <w:tcPr>
            <w:tcW w:w="2836" w:type="dxa"/>
          </w:tcPr>
          <w:p w14:paraId="14C84858" w14:textId="77777777" w:rsidR="00D3344B" w:rsidRDefault="00143C25">
            <w:pPr>
              <w:widowControl w:val="0"/>
              <w:snapToGrid w:val="0"/>
              <w:jc w:val="center"/>
              <w:rPr>
                <w:rFonts w:ascii="Arial" w:hAnsi="Arial" w:cs="Arial"/>
                <w:bCs/>
                <w:i/>
              </w:rPr>
            </w:pPr>
            <w:r>
              <w:rPr>
                <w:rFonts w:ascii="Arial" w:hAnsi="Arial" w:cs="Arial"/>
                <w:bCs/>
                <w:i/>
              </w:rPr>
              <w:t>0.2250</w:t>
            </w:r>
          </w:p>
        </w:tc>
      </w:tr>
      <w:tr w:rsidR="00D3344B" w14:paraId="066F2D62" w14:textId="77777777">
        <w:trPr>
          <w:jc w:val="center"/>
        </w:trPr>
        <w:tc>
          <w:tcPr>
            <w:tcW w:w="1983" w:type="dxa"/>
          </w:tcPr>
          <w:p w14:paraId="33DECC39" w14:textId="77777777" w:rsidR="00D3344B" w:rsidRDefault="00143C25">
            <w:pPr>
              <w:widowControl w:val="0"/>
              <w:snapToGrid w:val="0"/>
              <w:jc w:val="center"/>
              <w:rPr>
                <w:rFonts w:ascii="Arial" w:hAnsi="Arial" w:cs="Arial"/>
                <w:bCs/>
                <w:i/>
              </w:rPr>
            </w:pPr>
            <w:r>
              <w:rPr>
                <w:rFonts w:ascii="Arial" w:hAnsi="Arial" w:cs="Arial"/>
                <w:bCs/>
                <w:i/>
              </w:rPr>
              <w:t>15</w:t>
            </w:r>
          </w:p>
        </w:tc>
        <w:tc>
          <w:tcPr>
            <w:tcW w:w="2836" w:type="dxa"/>
          </w:tcPr>
          <w:p w14:paraId="054D6D85" w14:textId="77777777" w:rsidR="00D3344B" w:rsidRDefault="00143C25">
            <w:pPr>
              <w:widowControl w:val="0"/>
              <w:snapToGrid w:val="0"/>
              <w:jc w:val="center"/>
              <w:rPr>
                <w:rFonts w:ascii="Arial" w:hAnsi="Arial" w:cs="Arial"/>
                <w:bCs/>
                <w:i/>
              </w:rPr>
            </w:pPr>
            <w:r>
              <w:rPr>
                <w:rFonts w:ascii="Arial" w:hAnsi="Arial" w:cs="Arial"/>
                <w:bCs/>
                <w:i/>
              </w:rPr>
              <w:t>0.1875</w:t>
            </w:r>
          </w:p>
        </w:tc>
      </w:tr>
      <w:tr w:rsidR="00D3344B" w14:paraId="073CE56C" w14:textId="77777777">
        <w:trPr>
          <w:jc w:val="center"/>
        </w:trPr>
        <w:tc>
          <w:tcPr>
            <w:tcW w:w="1983" w:type="dxa"/>
          </w:tcPr>
          <w:p w14:paraId="722CC691" w14:textId="77777777" w:rsidR="00D3344B" w:rsidRDefault="00143C25">
            <w:pPr>
              <w:widowControl w:val="0"/>
              <w:snapToGrid w:val="0"/>
              <w:jc w:val="center"/>
              <w:rPr>
                <w:rFonts w:ascii="Arial" w:hAnsi="Arial" w:cs="Arial"/>
                <w:bCs/>
                <w:i/>
              </w:rPr>
            </w:pPr>
            <w:r>
              <w:rPr>
                <w:rFonts w:ascii="Arial" w:hAnsi="Arial" w:cs="Arial"/>
                <w:bCs/>
                <w:i/>
              </w:rPr>
              <w:lastRenderedPageBreak/>
              <w:t>16</w:t>
            </w:r>
          </w:p>
        </w:tc>
        <w:tc>
          <w:tcPr>
            <w:tcW w:w="2836" w:type="dxa"/>
          </w:tcPr>
          <w:p w14:paraId="3ACA8AD5" w14:textId="77777777" w:rsidR="00D3344B" w:rsidRDefault="00143C25">
            <w:pPr>
              <w:widowControl w:val="0"/>
              <w:snapToGrid w:val="0"/>
              <w:jc w:val="center"/>
              <w:rPr>
                <w:rFonts w:ascii="Arial" w:hAnsi="Arial" w:cs="Arial"/>
                <w:bCs/>
                <w:i/>
              </w:rPr>
            </w:pPr>
            <w:r>
              <w:rPr>
                <w:rFonts w:ascii="Arial" w:hAnsi="Arial" w:cs="Arial"/>
                <w:bCs/>
                <w:i/>
              </w:rPr>
              <w:t>0.1500</w:t>
            </w:r>
          </w:p>
        </w:tc>
      </w:tr>
      <w:tr w:rsidR="00D3344B" w14:paraId="7301FAD3" w14:textId="77777777">
        <w:trPr>
          <w:jc w:val="center"/>
        </w:trPr>
        <w:tc>
          <w:tcPr>
            <w:tcW w:w="1983" w:type="dxa"/>
          </w:tcPr>
          <w:p w14:paraId="463A241F" w14:textId="77777777" w:rsidR="00D3344B" w:rsidRDefault="00143C25">
            <w:pPr>
              <w:widowControl w:val="0"/>
              <w:snapToGrid w:val="0"/>
              <w:jc w:val="center"/>
              <w:rPr>
                <w:rFonts w:ascii="Arial" w:hAnsi="Arial" w:cs="Arial"/>
                <w:bCs/>
                <w:i/>
              </w:rPr>
            </w:pPr>
            <w:r>
              <w:rPr>
                <w:rFonts w:ascii="Arial" w:hAnsi="Arial" w:cs="Arial"/>
                <w:bCs/>
                <w:i/>
              </w:rPr>
              <w:t>17</w:t>
            </w:r>
          </w:p>
        </w:tc>
        <w:tc>
          <w:tcPr>
            <w:tcW w:w="2836" w:type="dxa"/>
          </w:tcPr>
          <w:p w14:paraId="3F888278" w14:textId="77777777" w:rsidR="00D3344B" w:rsidRDefault="00143C25">
            <w:pPr>
              <w:widowControl w:val="0"/>
              <w:snapToGrid w:val="0"/>
              <w:jc w:val="center"/>
              <w:rPr>
                <w:rFonts w:ascii="Arial" w:hAnsi="Arial" w:cs="Arial"/>
                <w:bCs/>
                <w:i/>
              </w:rPr>
            </w:pPr>
            <w:r>
              <w:rPr>
                <w:rFonts w:ascii="Arial" w:hAnsi="Arial" w:cs="Arial"/>
                <w:bCs/>
                <w:i/>
              </w:rPr>
              <w:t>0.1125</w:t>
            </w:r>
          </w:p>
        </w:tc>
      </w:tr>
      <w:tr w:rsidR="00D3344B" w14:paraId="12CBF8E2" w14:textId="77777777">
        <w:trPr>
          <w:jc w:val="center"/>
        </w:trPr>
        <w:tc>
          <w:tcPr>
            <w:tcW w:w="1983" w:type="dxa"/>
          </w:tcPr>
          <w:p w14:paraId="2E006A90" w14:textId="77777777" w:rsidR="00D3344B" w:rsidRDefault="00143C25">
            <w:pPr>
              <w:widowControl w:val="0"/>
              <w:snapToGrid w:val="0"/>
              <w:jc w:val="center"/>
              <w:rPr>
                <w:rFonts w:ascii="Arial" w:hAnsi="Arial" w:cs="Arial"/>
                <w:bCs/>
                <w:i/>
              </w:rPr>
            </w:pPr>
            <w:r>
              <w:rPr>
                <w:rFonts w:ascii="Arial" w:hAnsi="Arial" w:cs="Arial"/>
                <w:bCs/>
                <w:i/>
              </w:rPr>
              <w:t>18</w:t>
            </w:r>
          </w:p>
        </w:tc>
        <w:tc>
          <w:tcPr>
            <w:tcW w:w="2836" w:type="dxa"/>
          </w:tcPr>
          <w:p w14:paraId="6104DE2B" w14:textId="77777777" w:rsidR="00D3344B" w:rsidRDefault="00143C25">
            <w:pPr>
              <w:widowControl w:val="0"/>
              <w:snapToGrid w:val="0"/>
              <w:jc w:val="center"/>
              <w:rPr>
                <w:rFonts w:ascii="Arial" w:hAnsi="Arial" w:cs="Arial"/>
                <w:bCs/>
                <w:i/>
              </w:rPr>
            </w:pPr>
            <w:r>
              <w:rPr>
                <w:rFonts w:ascii="Arial" w:hAnsi="Arial" w:cs="Arial"/>
                <w:bCs/>
                <w:i/>
              </w:rPr>
              <w:t>0.0750</w:t>
            </w:r>
          </w:p>
        </w:tc>
      </w:tr>
      <w:tr w:rsidR="00D3344B" w14:paraId="5B9226FA" w14:textId="77777777">
        <w:trPr>
          <w:jc w:val="center"/>
        </w:trPr>
        <w:tc>
          <w:tcPr>
            <w:tcW w:w="1983" w:type="dxa"/>
          </w:tcPr>
          <w:p w14:paraId="3617A0BD" w14:textId="77777777" w:rsidR="00D3344B" w:rsidRDefault="00143C25">
            <w:pPr>
              <w:widowControl w:val="0"/>
              <w:snapToGrid w:val="0"/>
              <w:jc w:val="center"/>
              <w:rPr>
                <w:rFonts w:ascii="Arial" w:hAnsi="Arial" w:cs="Arial"/>
                <w:bCs/>
                <w:i/>
              </w:rPr>
            </w:pPr>
            <w:r>
              <w:rPr>
                <w:rFonts w:ascii="Arial" w:hAnsi="Arial" w:cs="Arial"/>
                <w:bCs/>
                <w:i/>
              </w:rPr>
              <w:t>19 y siguientes</w:t>
            </w:r>
          </w:p>
        </w:tc>
        <w:tc>
          <w:tcPr>
            <w:tcW w:w="2836" w:type="dxa"/>
          </w:tcPr>
          <w:p w14:paraId="437E33B3" w14:textId="77777777" w:rsidR="00D3344B" w:rsidRDefault="00143C25">
            <w:pPr>
              <w:widowControl w:val="0"/>
              <w:snapToGrid w:val="0"/>
              <w:jc w:val="center"/>
              <w:rPr>
                <w:rFonts w:ascii="Arial" w:hAnsi="Arial" w:cs="Arial"/>
                <w:bCs/>
                <w:i/>
              </w:rPr>
            </w:pPr>
            <w:r>
              <w:rPr>
                <w:rFonts w:ascii="Arial" w:hAnsi="Arial" w:cs="Arial"/>
                <w:bCs/>
                <w:i/>
              </w:rPr>
              <w:t>0.0375</w:t>
            </w:r>
          </w:p>
        </w:tc>
      </w:tr>
    </w:tbl>
    <w:p w14:paraId="10EE3391" w14:textId="77777777" w:rsidR="00D3344B" w:rsidRDefault="00D3344B">
      <w:pPr>
        <w:pStyle w:val="Estilo"/>
        <w:jc w:val="center"/>
        <w:rPr>
          <w:rFonts w:cs="Arial"/>
        </w:rPr>
      </w:pPr>
    </w:p>
    <w:p w14:paraId="1D3D06FD" w14:textId="77777777" w:rsidR="00D3344B" w:rsidRDefault="00143C25">
      <w:pPr>
        <w:pStyle w:val="Estilo"/>
        <w:ind w:left="567" w:hanging="567"/>
        <w:rPr>
          <w:rFonts w:cs="Arial"/>
        </w:rPr>
      </w:pPr>
      <w:r>
        <w:rPr>
          <w:rFonts w:cs="Arial"/>
        </w:rPr>
        <w:t xml:space="preserve">b) </w:t>
      </w:r>
      <w:r>
        <w:rPr>
          <w:rFonts w:cs="Arial"/>
        </w:rPr>
        <w:tab/>
        <w:t>La cantidad obtenida conforme al inciso anterior, se actualizará de conformidad con lo dispuesto en el artículo 93 H de este Código; al resultado se le aplicará la tarifa establecida en el artículo 93 L de este Código.</w:t>
      </w:r>
    </w:p>
    <w:p w14:paraId="4941CC0F" w14:textId="77777777" w:rsidR="00D3344B" w:rsidRDefault="00D3344B">
      <w:pPr>
        <w:pStyle w:val="Estilo"/>
        <w:rPr>
          <w:rFonts w:cs="Arial"/>
        </w:rPr>
      </w:pPr>
    </w:p>
    <w:p w14:paraId="7C3E4578" w14:textId="77777777" w:rsidR="00D3344B" w:rsidRDefault="00143C25">
      <w:pPr>
        <w:pStyle w:val="Estilo"/>
        <w:rPr>
          <w:rFonts w:cs="Arial"/>
        </w:rPr>
      </w:pPr>
      <w:r>
        <w:rPr>
          <w:rFonts w:cs="Arial"/>
        </w:rPr>
        <w:t>Para los efectos de la depreciación y actualización a que se refiere este artículo, los años de antigüedad se calcularán con base en el número de años transcurridos a partir del año modelo al que corresponda el vehículo.</w:t>
      </w:r>
    </w:p>
    <w:p w14:paraId="7BFC0D9E" w14:textId="77777777" w:rsidR="00D3344B" w:rsidRDefault="00D3344B">
      <w:pPr>
        <w:pStyle w:val="Estilo"/>
        <w:rPr>
          <w:rFonts w:cs="Arial"/>
        </w:rPr>
      </w:pPr>
    </w:p>
    <w:p w14:paraId="0FA35E83" w14:textId="77777777" w:rsidR="00D3344B" w:rsidRDefault="00143C25">
      <w:pPr>
        <w:pStyle w:val="Estilo"/>
        <w:rPr>
          <w:rFonts w:cs="Arial"/>
        </w:rPr>
      </w:pPr>
      <w:r>
        <w:rPr>
          <w:rFonts w:cs="Arial"/>
          <w:i/>
          <w:sz w:val="16"/>
        </w:rPr>
        <w:t>(ADICIONADO, P.O. 16 DE MARZO DE 2011)</w:t>
      </w:r>
    </w:p>
    <w:p w14:paraId="096D81AA" w14:textId="77777777" w:rsidR="00D3344B" w:rsidRDefault="00143C25">
      <w:pPr>
        <w:pStyle w:val="Estilo"/>
        <w:rPr>
          <w:rFonts w:cs="Arial"/>
        </w:rPr>
      </w:pPr>
      <w:r>
        <w:rPr>
          <w:rFonts w:cs="Arial"/>
          <w:b/>
        </w:rPr>
        <w:t>Artículo 93 Ñ.</w:t>
      </w:r>
      <w:r>
        <w:rPr>
          <w:rFonts w:cs="Arial"/>
        </w:rPr>
        <w:t xml:space="preserve"> Las autoridades competentes para expedir los certificados de aeronavegabilidad o de inspección de seguridad a embarcaciones y los certificados de matrícula para las aeronaves, se abstendrán de expedirlos cuando el propietario, tenedor o usuario del vehículo no compruebe el pago del impuesto a que se refiere este Código, a excepción de los casos en que se encuentre liberado de ese pago. De no comprobarse que se ha cumplido con la obligación de pago, dichas oficinas lo harán del conocimiento de las autoridades fiscales.</w:t>
      </w:r>
    </w:p>
    <w:p w14:paraId="49140177" w14:textId="77777777" w:rsidR="00D3344B" w:rsidRDefault="00D3344B">
      <w:pPr>
        <w:pStyle w:val="Estilo"/>
        <w:rPr>
          <w:rFonts w:cs="Arial"/>
        </w:rPr>
      </w:pPr>
    </w:p>
    <w:p w14:paraId="1F89209A" w14:textId="77777777" w:rsidR="00D3344B" w:rsidRDefault="00143C25">
      <w:pPr>
        <w:pStyle w:val="Estilo"/>
        <w:rPr>
          <w:rFonts w:cs="Arial"/>
        </w:rPr>
      </w:pPr>
      <w:r>
        <w:rPr>
          <w:rFonts w:cs="Arial"/>
          <w:i/>
          <w:sz w:val="16"/>
        </w:rPr>
        <w:t>(REFORMADO, P.O. 29 DE NOVIEMBRE DE 2023)</w:t>
      </w:r>
    </w:p>
    <w:p w14:paraId="6AB47CC6" w14:textId="77777777" w:rsidR="00D3344B" w:rsidRDefault="00143C25">
      <w:pPr>
        <w:pStyle w:val="Estilo"/>
        <w:rPr>
          <w:rFonts w:cs="Arial"/>
        </w:rPr>
      </w:pPr>
      <w:r>
        <w:rPr>
          <w:rFonts w:cs="Arial"/>
          <w:b/>
        </w:rPr>
        <w:t>Artículo 93 O.</w:t>
      </w:r>
      <w:r>
        <w:rPr>
          <w:rFonts w:cs="Arial"/>
        </w:rPr>
        <w:t xml:space="preserve"> A requerimiento de las autoridades fiscales, los sujetos obligados al pago del impuesto a que se refiere este Capítulo, deberán presentar:</w:t>
      </w:r>
    </w:p>
    <w:p w14:paraId="2923A70D" w14:textId="77777777" w:rsidR="00D3344B" w:rsidRDefault="00D3344B">
      <w:pPr>
        <w:pStyle w:val="Estilo"/>
        <w:rPr>
          <w:rFonts w:cs="Arial"/>
        </w:rPr>
      </w:pPr>
    </w:p>
    <w:p w14:paraId="57CC5F82" w14:textId="77777777" w:rsidR="00D3344B" w:rsidRDefault="00143C25">
      <w:pPr>
        <w:pStyle w:val="Estilo"/>
        <w:ind w:left="709" w:hanging="709"/>
        <w:rPr>
          <w:rFonts w:cs="Arial"/>
        </w:rPr>
      </w:pPr>
      <w:r>
        <w:rPr>
          <w:rFonts w:cs="Arial"/>
        </w:rPr>
        <w:t>I.</w:t>
      </w:r>
      <w:r>
        <w:rPr>
          <w:rFonts w:cs="Arial"/>
        </w:rPr>
        <w:tab/>
        <w:t>Original del documento que ampare la propiedad del vehículo, a través de alguno de los documentos y en los supuestos siguientes:</w:t>
      </w:r>
    </w:p>
    <w:p w14:paraId="5678EA7F" w14:textId="77777777" w:rsidR="00D3344B" w:rsidRDefault="00D3344B">
      <w:pPr>
        <w:pStyle w:val="Estilo"/>
        <w:ind w:left="709" w:hanging="709"/>
        <w:rPr>
          <w:rFonts w:cs="Arial"/>
        </w:rPr>
      </w:pPr>
    </w:p>
    <w:p w14:paraId="77C8F608" w14:textId="77777777" w:rsidR="00D3344B" w:rsidRDefault="00143C25">
      <w:pPr>
        <w:pStyle w:val="Estilo"/>
        <w:ind w:left="1134" w:hanging="426"/>
        <w:rPr>
          <w:rFonts w:cs="Arial"/>
        </w:rPr>
      </w:pPr>
      <w:r>
        <w:rPr>
          <w:rFonts w:cs="Arial"/>
        </w:rPr>
        <w:t>a)</w:t>
      </w:r>
      <w:r>
        <w:rPr>
          <w:rFonts w:cs="Arial"/>
        </w:rPr>
        <w:tab/>
        <w:t>Factura impresa, en el supuesto en el que se hayan cedido los derechos de propiedad del vehículo, deberá acreditar el endoso;</w:t>
      </w:r>
    </w:p>
    <w:p w14:paraId="73938052" w14:textId="77777777" w:rsidR="00D3344B" w:rsidRDefault="00D3344B">
      <w:pPr>
        <w:pStyle w:val="Estilo"/>
        <w:ind w:left="1134" w:hanging="426"/>
        <w:rPr>
          <w:rFonts w:cs="Arial"/>
        </w:rPr>
      </w:pPr>
    </w:p>
    <w:p w14:paraId="7CAECDE2" w14:textId="77777777" w:rsidR="00D3344B" w:rsidRDefault="00143C25">
      <w:pPr>
        <w:pStyle w:val="Estilo"/>
        <w:ind w:left="1134" w:hanging="426"/>
        <w:rPr>
          <w:rFonts w:cs="Arial"/>
        </w:rPr>
      </w:pPr>
      <w:r>
        <w:rPr>
          <w:rFonts w:cs="Arial"/>
        </w:rPr>
        <w:t>b)</w:t>
      </w:r>
      <w:r>
        <w:rPr>
          <w:rFonts w:cs="Arial"/>
        </w:rPr>
        <w:tab/>
        <w:t>En caso de que haya sido enajenado el vehículo deberá exhibir factura emitida a nombre del propietario actual;</w:t>
      </w:r>
    </w:p>
    <w:p w14:paraId="591D604B" w14:textId="77777777" w:rsidR="00D3344B" w:rsidRDefault="00D3344B">
      <w:pPr>
        <w:pStyle w:val="Estilo"/>
        <w:ind w:left="1134" w:hanging="426"/>
        <w:rPr>
          <w:rFonts w:cs="Arial"/>
        </w:rPr>
      </w:pPr>
    </w:p>
    <w:p w14:paraId="57040D90" w14:textId="77777777" w:rsidR="00D3344B" w:rsidRDefault="00143C25">
      <w:pPr>
        <w:pStyle w:val="Estilo"/>
        <w:ind w:left="1134" w:hanging="426"/>
        <w:rPr>
          <w:rFonts w:cs="Arial"/>
        </w:rPr>
      </w:pPr>
      <w:r>
        <w:rPr>
          <w:rFonts w:cs="Arial"/>
        </w:rPr>
        <w:t>c)</w:t>
      </w:r>
      <w:r>
        <w:rPr>
          <w:rFonts w:cs="Arial"/>
        </w:rPr>
        <w:tab/>
        <w:t>Tratándose de Comprobante Fiscal Digital CFD emitido a partir del año dos mil cinco deberá anexar contrato de compraventa y copia de la identificación oficial con fotografía del vendedor vigente a la fecha del contrato;</w:t>
      </w:r>
    </w:p>
    <w:p w14:paraId="518931DE" w14:textId="77777777" w:rsidR="00D3344B" w:rsidRDefault="00D3344B">
      <w:pPr>
        <w:pStyle w:val="Estilo"/>
        <w:ind w:left="1134" w:hanging="426"/>
        <w:rPr>
          <w:rFonts w:cs="Arial"/>
        </w:rPr>
      </w:pPr>
    </w:p>
    <w:p w14:paraId="174AE259" w14:textId="77777777" w:rsidR="00D3344B" w:rsidRDefault="00143C25">
      <w:pPr>
        <w:pStyle w:val="Estilo"/>
        <w:ind w:left="1134" w:hanging="426"/>
        <w:rPr>
          <w:rFonts w:cs="Arial"/>
        </w:rPr>
      </w:pPr>
      <w:r>
        <w:rPr>
          <w:rFonts w:cs="Arial"/>
        </w:rPr>
        <w:t>d)</w:t>
      </w:r>
      <w:r>
        <w:rPr>
          <w:rFonts w:cs="Arial"/>
        </w:rPr>
        <w:tab/>
        <w:t xml:space="preserve">Tratándose de Comprobante Fiscal Digital por Internet CFDI emitido a partir del año dos mil once, de conformidad con el artículo 29 del Código Fiscal de la Federación, en caso de que dicho comprobante no haya sido emitido a su nombre deberá anexar contrato de compraventa y copia de </w:t>
      </w:r>
      <w:r>
        <w:rPr>
          <w:rFonts w:cs="Arial"/>
        </w:rPr>
        <w:lastRenderedPageBreak/>
        <w:t>la identificación oficial con fotografía del vendedor vigente a la fecha del contrato; e</w:t>
      </w:r>
    </w:p>
    <w:p w14:paraId="2EDA3BDC" w14:textId="77777777" w:rsidR="00D3344B" w:rsidRDefault="00D3344B">
      <w:pPr>
        <w:pStyle w:val="Estilo"/>
        <w:ind w:left="1134" w:hanging="426"/>
        <w:rPr>
          <w:rFonts w:cs="Arial"/>
        </w:rPr>
      </w:pPr>
    </w:p>
    <w:p w14:paraId="0537445D" w14:textId="77777777" w:rsidR="00D3344B" w:rsidRDefault="00143C25">
      <w:pPr>
        <w:pStyle w:val="Estilo"/>
        <w:ind w:left="1134" w:hanging="426"/>
        <w:rPr>
          <w:rFonts w:cs="Arial"/>
        </w:rPr>
      </w:pPr>
      <w:r>
        <w:rPr>
          <w:rFonts w:cs="Arial"/>
        </w:rPr>
        <w:t>e)</w:t>
      </w:r>
      <w:r>
        <w:rPr>
          <w:rFonts w:cs="Arial"/>
        </w:rPr>
        <w:tab/>
        <w:t>Copia de la factura de origen para modelos con antigüedad de hasta diez años.</w:t>
      </w:r>
    </w:p>
    <w:p w14:paraId="3446444E" w14:textId="77777777" w:rsidR="00D3344B" w:rsidRDefault="00D3344B">
      <w:pPr>
        <w:pStyle w:val="Estilo"/>
        <w:ind w:left="709" w:hanging="709"/>
        <w:rPr>
          <w:rFonts w:cs="Arial"/>
        </w:rPr>
      </w:pPr>
    </w:p>
    <w:p w14:paraId="06B737BC" w14:textId="77777777" w:rsidR="00D3344B" w:rsidRDefault="00143C25">
      <w:pPr>
        <w:pStyle w:val="Estilo"/>
        <w:ind w:left="709"/>
        <w:rPr>
          <w:rFonts w:cs="Arial"/>
        </w:rPr>
      </w:pPr>
      <w:r>
        <w:rPr>
          <w:rFonts w:cs="Arial"/>
        </w:rPr>
        <w:t>De los documentos señalados en esta fracción, no se aceptarán copias certificadas.</w:t>
      </w:r>
    </w:p>
    <w:p w14:paraId="3DE1E124" w14:textId="77777777" w:rsidR="00D3344B" w:rsidRDefault="00D3344B">
      <w:pPr>
        <w:pStyle w:val="Estilo"/>
        <w:ind w:left="709" w:hanging="709"/>
        <w:rPr>
          <w:rFonts w:cs="Arial"/>
        </w:rPr>
      </w:pPr>
    </w:p>
    <w:p w14:paraId="1D87049C" w14:textId="77777777" w:rsidR="00D3344B" w:rsidRDefault="00143C25">
      <w:pPr>
        <w:pStyle w:val="Estilo"/>
        <w:ind w:left="709" w:hanging="709"/>
        <w:rPr>
          <w:rFonts w:cs="Arial"/>
        </w:rPr>
      </w:pPr>
      <w:r>
        <w:rPr>
          <w:rFonts w:cs="Arial"/>
        </w:rPr>
        <w:t>II.</w:t>
      </w:r>
      <w:r>
        <w:rPr>
          <w:rFonts w:cs="Arial"/>
        </w:rPr>
        <w:tab/>
        <w:t>Comprobante de domicilio no mayor a tres meses de su expedición consistente en:</w:t>
      </w:r>
    </w:p>
    <w:p w14:paraId="5FC8A90A" w14:textId="77777777" w:rsidR="00D3344B" w:rsidRDefault="00D3344B">
      <w:pPr>
        <w:pStyle w:val="Estilo"/>
        <w:ind w:left="709" w:hanging="709"/>
        <w:rPr>
          <w:rFonts w:cs="Arial"/>
        </w:rPr>
      </w:pPr>
    </w:p>
    <w:p w14:paraId="3009D2B4" w14:textId="77777777" w:rsidR="00D3344B" w:rsidRDefault="00143C25">
      <w:pPr>
        <w:pStyle w:val="Estilo"/>
        <w:ind w:left="1134" w:hanging="425"/>
        <w:rPr>
          <w:rFonts w:cs="Arial"/>
        </w:rPr>
      </w:pPr>
      <w:r>
        <w:rPr>
          <w:rFonts w:cs="Arial"/>
        </w:rPr>
        <w:t>a)</w:t>
      </w:r>
      <w:r>
        <w:rPr>
          <w:rFonts w:cs="Arial"/>
        </w:rPr>
        <w:tab/>
        <w:t>Recibo telefónico;</w:t>
      </w:r>
    </w:p>
    <w:p w14:paraId="03E516B7" w14:textId="77777777" w:rsidR="00D3344B" w:rsidRDefault="00D3344B">
      <w:pPr>
        <w:pStyle w:val="Estilo"/>
        <w:ind w:left="1134" w:hanging="425"/>
        <w:rPr>
          <w:rFonts w:cs="Arial"/>
        </w:rPr>
      </w:pPr>
    </w:p>
    <w:p w14:paraId="06A51D5C" w14:textId="77777777" w:rsidR="00D3344B" w:rsidRDefault="00143C25">
      <w:pPr>
        <w:pStyle w:val="Estilo"/>
        <w:ind w:left="1134" w:hanging="425"/>
        <w:rPr>
          <w:rFonts w:cs="Arial"/>
        </w:rPr>
      </w:pPr>
      <w:r>
        <w:rPr>
          <w:rFonts w:cs="Arial"/>
        </w:rPr>
        <w:t>b)</w:t>
      </w:r>
      <w:r>
        <w:rPr>
          <w:rFonts w:cs="Arial"/>
        </w:rPr>
        <w:tab/>
        <w:t>Servicio de internet o telefonía móvil;</w:t>
      </w:r>
    </w:p>
    <w:p w14:paraId="076412B7" w14:textId="77777777" w:rsidR="00D3344B" w:rsidRDefault="00D3344B">
      <w:pPr>
        <w:pStyle w:val="Estilo"/>
        <w:ind w:left="1134" w:hanging="425"/>
        <w:rPr>
          <w:rFonts w:cs="Arial"/>
        </w:rPr>
      </w:pPr>
    </w:p>
    <w:p w14:paraId="252EA41D" w14:textId="77777777" w:rsidR="00D3344B" w:rsidRDefault="00143C25">
      <w:pPr>
        <w:pStyle w:val="Estilo"/>
        <w:ind w:left="1134" w:hanging="425"/>
        <w:rPr>
          <w:rFonts w:cs="Arial"/>
        </w:rPr>
      </w:pPr>
      <w:r>
        <w:rPr>
          <w:rFonts w:cs="Arial"/>
        </w:rPr>
        <w:t>c)</w:t>
      </w:r>
      <w:r>
        <w:rPr>
          <w:rFonts w:cs="Arial"/>
        </w:rPr>
        <w:tab/>
        <w:t>Recibo de energía eléctrica; e</w:t>
      </w:r>
    </w:p>
    <w:p w14:paraId="095AB7C4" w14:textId="77777777" w:rsidR="00D3344B" w:rsidRDefault="00D3344B">
      <w:pPr>
        <w:pStyle w:val="Estilo"/>
        <w:ind w:left="1134" w:hanging="425"/>
        <w:rPr>
          <w:rFonts w:cs="Arial"/>
        </w:rPr>
      </w:pPr>
    </w:p>
    <w:p w14:paraId="78489BC3" w14:textId="77777777" w:rsidR="00D3344B" w:rsidRDefault="00143C25">
      <w:pPr>
        <w:pStyle w:val="Estilo"/>
        <w:ind w:left="1134" w:hanging="425"/>
        <w:rPr>
          <w:rFonts w:cs="Arial"/>
        </w:rPr>
      </w:pPr>
      <w:r>
        <w:rPr>
          <w:rFonts w:cs="Arial"/>
        </w:rPr>
        <w:t>d)</w:t>
      </w:r>
      <w:r>
        <w:rPr>
          <w:rFonts w:cs="Arial"/>
        </w:rPr>
        <w:tab/>
        <w:t>Constancia de Situación Fiscal.</w:t>
      </w:r>
    </w:p>
    <w:p w14:paraId="148C8593" w14:textId="77777777" w:rsidR="00D3344B" w:rsidRDefault="00D3344B">
      <w:pPr>
        <w:pStyle w:val="Estilo"/>
        <w:ind w:left="1134" w:hanging="425"/>
        <w:rPr>
          <w:rFonts w:cs="Arial"/>
        </w:rPr>
      </w:pPr>
    </w:p>
    <w:p w14:paraId="6DED0415" w14:textId="77777777" w:rsidR="00D3344B" w:rsidRDefault="00143C25">
      <w:pPr>
        <w:pStyle w:val="Estilo"/>
        <w:ind w:left="709" w:hanging="709"/>
        <w:rPr>
          <w:rFonts w:cs="Arial"/>
        </w:rPr>
      </w:pPr>
      <w:r>
        <w:rPr>
          <w:rFonts w:cs="Arial"/>
        </w:rPr>
        <w:t>III.</w:t>
      </w:r>
      <w:r>
        <w:rPr>
          <w:rFonts w:cs="Arial"/>
        </w:rPr>
        <w:tab/>
        <w:t>Comprobantes del pago de este impuesto y de los derechos de control vehicular, en los que conste el sello del lugar autorizado en que se haya realizado dicho pago o bien, el comprobante de pago computarizado, cuya expedición no sea mayor al plazo de cinco años o en su caso certificación vehicular de pagos, debiendo cumplir con lo dispuesto en la fracción I de este artículo;</w:t>
      </w:r>
    </w:p>
    <w:p w14:paraId="38C295DC" w14:textId="77777777" w:rsidR="00D3344B" w:rsidRDefault="00D3344B">
      <w:pPr>
        <w:pStyle w:val="Estilo"/>
        <w:ind w:left="709" w:hanging="709"/>
        <w:rPr>
          <w:rFonts w:cs="Arial"/>
        </w:rPr>
      </w:pPr>
    </w:p>
    <w:p w14:paraId="1BFBF90F" w14:textId="77777777" w:rsidR="00D3344B" w:rsidRDefault="00143C25">
      <w:pPr>
        <w:pStyle w:val="Estilo"/>
        <w:ind w:left="709" w:hanging="709"/>
        <w:rPr>
          <w:rFonts w:cs="Arial"/>
        </w:rPr>
      </w:pPr>
      <w:r>
        <w:rPr>
          <w:rFonts w:cs="Arial"/>
        </w:rPr>
        <w:t>IV.</w:t>
      </w:r>
      <w:r>
        <w:rPr>
          <w:rFonts w:cs="Arial"/>
        </w:rPr>
        <w:tab/>
        <w:t>Clave Única de Registro de Población actualizado;</w:t>
      </w:r>
    </w:p>
    <w:p w14:paraId="2C8E69A6" w14:textId="77777777" w:rsidR="00D3344B" w:rsidRDefault="00D3344B">
      <w:pPr>
        <w:pStyle w:val="Estilo"/>
        <w:ind w:left="709" w:hanging="709"/>
        <w:rPr>
          <w:rFonts w:cs="Arial"/>
        </w:rPr>
      </w:pPr>
    </w:p>
    <w:p w14:paraId="6E77DDCB" w14:textId="77777777" w:rsidR="00D3344B" w:rsidRDefault="00143C25">
      <w:pPr>
        <w:pStyle w:val="Estilo"/>
        <w:ind w:left="709" w:hanging="709"/>
        <w:rPr>
          <w:rFonts w:cs="Arial"/>
        </w:rPr>
      </w:pPr>
      <w:r>
        <w:rPr>
          <w:rFonts w:cs="Arial"/>
        </w:rPr>
        <w:t>V.</w:t>
      </w:r>
      <w:r>
        <w:rPr>
          <w:rFonts w:cs="Arial"/>
        </w:rPr>
        <w:tab/>
        <w:t>Identificación oficial con fotografía original vigente:</w:t>
      </w:r>
    </w:p>
    <w:p w14:paraId="0784A272" w14:textId="77777777" w:rsidR="00D3344B" w:rsidRDefault="00D3344B">
      <w:pPr>
        <w:pStyle w:val="Estilo"/>
        <w:ind w:left="709" w:hanging="709"/>
        <w:rPr>
          <w:rFonts w:cs="Arial"/>
        </w:rPr>
      </w:pPr>
    </w:p>
    <w:p w14:paraId="06589FE6" w14:textId="77777777" w:rsidR="00D3344B" w:rsidRDefault="00143C25">
      <w:pPr>
        <w:pStyle w:val="Estilo"/>
        <w:ind w:left="1134" w:hanging="425"/>
        <w:rPr>
          <w:rFonts w:cs="Arial"/>
        </w:rPr>
      </w:pPr>
      <w:r>
        <w:rPr>
          <w:rFonts w:cs="Arial"/>
        </w:rPr>
        <w:t>a)</w:t>
      </w:r>
      <w:r>
        <w:rPr>
          <w:rFonts w:cs="Arial"/>
        </w:rPr>
        <w:tab/>
        <w:t>Credencial para votar expedida por el Instituto Nacional Electoral;</w:t>
      </w:r>
    </w:p>
    <w:p w14:paraId="10FADBAD" w14:textId="77777777" w:rsidR="00D3344B" w:rsidRDefault="00D3344B">
      <w:pPr>
        <w:pStyle w:val="Estilo"/>
        <w:ind w:left="1134" w:hanging="425"/>
        <w:rPr>
          <w:rFonts w:cs="Arial"/>
        </w:rPr>
      </w:pPr>
    </w:p>
    <w:p w14:paraId="02CA3A44" w14:textId="77777777" w:rsidR="00D3344B" w:rsidRDefault="00143C25">
      <w:pPr>
        <w:pStyle w:val="Estilo"/>
        <w:ind w:left="1134" w:hanging="425"/>
        <w:rPr>
          <w:rFonts w:cs="Arial"/>
        </w:rPr>
      </w:pPr>
      <w:r>
        <w:rPr>
          <w:rFonts w:cs="Arial"/>
        </w:rPr>
        <w:t>b)</w:t>
      </w:r>
      <w:r>
        <w:rPr>
          <w:rFonts w:cs="Arial"/>
        </w:rPr>
        <w:tab/>
        <w:t>Pasaporte;</w:t>
      </w:r>
    </w:p>
    <w:p w14:paraId="232A01F2" w14:textId="77777777" w:rsidR="00D3344B" w:rsidRDefault="00D3344B">
      <w:pPr>
        <w:pStyle w:val="Estilo"/>
        <w:ind w:left="1134" w:hanging="425"/>
        <w:rPr>
          <w:rFonts w:cs="Arial"/>
        </w:rPr>
      </w:pPr>
    </w:p>
    <w:p w14:paraId="1D996015" w14:textId="77777777" w:rsidR="00D3344B" w:rsidRDefault="00143C25">
      <w:pPr>
        <w:pStyle w:val="Estilo"/>
        <w:ind w:left="1134" w:hanging="425"/>
        <w:rPr>
          <w:rFonts w:cs="Arial"/>
        </w:rPr>
      </w:pPr>
      <w:r>
        <w:rPr>
          <w:rFonts w:cs="Arial"/>
        </w:rPr>
        <w:t>c)</w:t>
      </w:r>
      <w:r>
        <w:rPr>
          <w:rFonts w:cs="Arial"/>
        </w:rPr>
        <w:tab/>
        <w:t>Cartilla militar; e</w:t>
      </w:r>
    </w:p>
    <w:p w14:paraId="2007D4D5" w14:textId="77777777" w:rsidR="00D3344B" w:rsidRDefault="00D3344B">
      <w:pPr>
        <w:pStyle w:val="Estilo"/>
        <w:ind w:left="1134" w:hanging="425"/>
        <w:rPr>
          <w:rFonts w:cs="Arial"/>
        </w:rPr>
      </w:pPr>
    </w:p>
    <w:p w14:paraId="677CA2A1" w14:textId="77777777" w:rsidR="00D3344B" w:rsidRDefault="00143C25">
      <w:pPr>
        <w:pStyle w:val="Estilo"/>
        <w:ind w:left="1134" w:hanging="425"/>
        <w:rPr>
          <w:rFonts w:cs="Arial"/>
        </w:rPr>
      </w:pPr>
      <w:r>
        <w:rPr>
          <w:rFonts w:cs="Arial"/>
        </w:rPr>
        <w:t>d)</w:t>
      </w:r>
      <w:r>
        <w:rPr>
          <w:rFonts w:cs="Arial"/>
        </w:rPr>
        <w:tab/>
        <w:t>Cédula profesional.</w:t>
      </w:r>
    </w:p>
    <w:p w14:paraId="3377DD9F" w14:textId="77777777" w:rsidR="00D3344B" w:rsidRDefault="00143C25">
      <w:pPr>
        <w:pStyle w:val="Estilo"/>
        <w:ind w:left="709" w:hanging="709"/>
        <w:rPr>
          <w:rFonts w:cs="Arial"/>
        </w:rPr>
      </w:pPr>
      <w:r>
        <w:rPr>
          <w:rFonts w:cs="Arial"/>
        </w:rPr>
        <w:t xml:space="preserve"> </w:t>
      </w:r>
    </w:p>
    <w:p w14:paraId="187DDC27" w14:textId="77777777" w:rsidR="00D3344B" w:rsidRDefault="00143C25">
      <w:pPr>
        <w:pStyle w:val="Estilo"/>
        <w:ind w:left="709" w:hanging="709"/>
        <w:rPr>
          <w:rFonts w:cs="Arial"/>
        </w:rPr>
      </w:pPr>
      <w:r>
        <w:rPr>
          <w:rFonts w:cs="Arial"/>
        </w:rPr>
        <w:t>VI.</w:t>
      </w:r>
      <w:r>
        <w:rPr>
          <w:rFonts w:cs="Arial"/>
        </w:rPr>
        <w:tab/>
        <w:t>Tratándose de vehículos de procedencia extranjera, acreditar con la documentación original respectiva, su legal y definitiva estancia en el país, mediante:</w:t>
      </w:r>
    </w:p>
    <w:p w14:paraId="2F739145" w14:textId="77777777" w:rsidR="00D3344B" w:rsidRDefault="00D3344B">
      <w:pPr>
        <w:pStyle w:val="Estilo"/>
        <w:ind w:left="709" w:hanging="709"/>
        <w:rPr>
          <w:rFonts w:cs="Arial"/>
        </w:rPr>
      </w:pPr>
    </w:p>
    <w:p w14:paraId="7F98DA61" w14:textId="77777777" w:rsidR="00D3344B" w:rsidRDefault="00143C25">
      <w:pPr>
        <w:pStyle w:val="Estilo"/>
        <w:ind w:left="1134" w:hanging="425"/>
        <w:rPr>
          <w:rFonts w:cs="Arial"/>
        </w:rPr>
      </w:pPr>
      <w:r>
        <w:rPr>
          <w:rFonts w:cs="Arial"/>
        </w:rPr>
        <w:t>a)</w:t>
      </w:r>
      <w:r>
        <w:rPr>
          <w:rFonts w:cs="Arial"/>
        </w:rPr>
        <w:tab/>
        <w:t>Título de propiedad de la unidad o sentencia del juicio de usucapión y acuerdo que declare la sentencia ejecutoriada;</w:t>
      </w:r>
    </w:p>
    <w:p w14:paraId="25FEC509" w14:textId="77777777" w:rsidR="00D3344B" w:rsidRDefault="00D3344B">
      <w:pPr>
        <w:pStyle w:val="Estilo"/>
        <w:ind w:left="1134" w:hanging="425"/>
        <w:rPr>
          <w:rFonts w:cs="Arial"/>
        </w:rPr>
      </w:pPr>
    </w:p>
    <w:p w14:paraId="39D99F3F" w14:textId="77777777" w:rsidR="00D3344B" w:rsidRDefault="00143C25">
      <w:pPr>
        <w:pStyle w:val="Estilo"/>
        <w:ind w:left="1134" w:hanging="425"/>
        <w:rPr>
          <w:rFonts w:cs="Arial"/>
        </w:rPr>
      </w:pPr>
      <w:r>
        <w:rPr>
          <w:rFonts w:cs="Arial"/>
        </w:rPr>
        <w:lastRenderedPageBreak/>
        <w:t>b)</w:t>
      </w:r>
      <w:r>
        <w:rPr>
          <w:rFonts w:cs="Arial"/>
        </w:rPr>
        <w:tab/>
        <w:t>Constancia de inscripción;</w:t>
      </w:r>
    </w:p>
    <w:p w14:paraId="6CBEF778" w14:textId="77777777" w:rsidR="00D3344B" w:rsidRDefault="00D3344B">
      <w:pPr>
        <w:pStyle w:val="Estilo"/>
        <w:ind w:left="1134" w:hanging="425"/>
        <w:rPr>
          <w:rFonts w:cs="Arial"/>
        </w:rPr>
      </w:pPr>
    </w:p>
    <w:p w14:paraId="7528B0A6" w14:textId="77777777" w:rsidR="00D3344B" w:rsidRDefault="00143C25">
      <w:pPr>
        <w:pStyle w:val="Estilo"/>
        <w:ind w:left="1134" w:hanging="425"/>
        <w:rPr>
          <w:rFonts w:cs="Arial"/>
        </w:rPr>
      </w:pPr>
      <w:r>
        <w:rPr>
          <w:rFonts w:cs="Arial"/>
        </w:rPr>
        <w:t>c)</w:t>
      </w:r>
      <w:r>
        <w:rPr>
          <w:rFonts w:cs="Arial"/>
        </w:rPr>
        <w:tab/>
        <w:t>Pedimento por la importación definitiva con las características descritas del vehículo, en caso de que el pedimento venga expedido a nombre de persona moral deberá presentar la factura correspondiente;</w:t>
      </w:r>
    </w:p>
    <w:p w14:paraId="350DCC76" w14:textId="77777777" w:rsidR="00D3344B" w:rsidRDefault="00D3344B">
      <w:pPr>
        <w:pStyle w:val="Estilo"/>
        <w:ind w:left="1134" w:hanging="425"/>
        <w:rPr>
          <w:rFonts w:cs="Arial"/>
        </w:rPr>
      </w:pPr>
    </w:p>
    <w:p w14:paraId="6D69A3F4" w14:textId="77777777" w:rsidR="00D3344B" w:rsidRDefault="00143C25">
      <w:pPr>
        <w:pStyle w:val="Estilo"/>
        <w:ind w:left="1134" w:hanging="425"/>
        <w:rPr>
          <w:rFonts w:cs="Arial"/>
        </w:rPr>
      </w:pPr>
      <w:r>
        <w:rPr>
          <w:rFonts w:cs="Arial"/>
        </w:rPr>
        <w:t>d)</w:t>
      </w:r>
      <w:r>
        <w:rPr>
          <w:rFonts w:cs="Arial"/>
        </w:rPr>
        <w:tab/>
        <w:t>Contrato de compraventa con identificación oficial con fotografía vigente del vendedor siempre y cuando el título de propiedad no se encuentre endosado;</w:t>
      </w:r>
    </w:p>
    <w:p w14:paraId="08C3C6B9" w14:textId="77777777" w:rsidR="00D3344B" w:rsidRDefault="00D3344B">
      <w:pPr>
        <w:pStyle w:val="Estilo"/>
        <w:ind w:left="1134" w:hanging="425"/>
        <w:rPr>
          <w:rFonts w:cs="Arial"/>
        </w:rPr>
      </w:pPr>
    </w:p>
    <w:p w14:paraId="59AB5D14" w14:textId="77777777" w:rsidR="00D3344B" w:rsidRDefault="00143C25">
      <w:pPr>
        <w:pStyle w:val="Estilo"/>
        <w:ind w:left="1134" w:hanging="425"/>
        <w:rPr>
          <w:rFonts w:cs="Arial"/>
        </w:rPr>
      </w:pPr>
      <w:r>
        <w:rPr>
          <w:rFonts w:cs="Arial"/>
        </w:rPr>
        <w:t>e)</w:t>
      </w:r>
      <w:r>
        <w:rPr>
          <w:rFonts w:cs="Arial"/>
        </w:rPr>
        <w:tab/>
        <w:t>Cédula de vehículo extranjero y en su caso validación de tenencias; e</w:t>
      </w:r>
    </w:p>
    <w:p w14:paraId="1E1EB91C" w14:textId="77777777" w:rsidR="00D3344B" w:rsidRDefault="00D3344B">
      <w:pPr>
        <w:pStyle w:val="Estilo"/>
        <w:ind w:left="1134" w:hanging="425"/>
        <w:rPr>
          <w:rFonts w:cs="Arial"/>
        </w:rPr>
      </w:pPr>
    </w:p>
    <w:p w14:paraId="1BB02FC8" w14:textId="77777777" w:rsidR="00D3344B" w:rsidRDefault="00143C25">
      <w:pPr>
        <w:pStyle w:val="Estilo"/>
        <w:ind w:left="1134" w:hanging="425"/>
        <w:rPr>
          <w:rFonts w:cs="Arial"/>
        </w:rPr>
      </w:pPr>
      <w:r>
        <w:rPr>
          <w:rFonts w:cs="Arial"/>
        </w:rPr>
        <w:t>f)</w:t>
      </w:r>
      <w:r>
        <w:rPr>
          <w:rFonts w:cs="Arial"/>
        </w:rPr>
        <w:tab/>
        <w:t>Presentar la unidad vehicular para su revisión.</w:t>
      </w:r>
    </w:p>
    <w:p w14:paraId="5125BF82" w14:textId="77777777" w:rsidR="00D3344B" w:rsidRDefault="00D3344B">
      <w:pPr>
        <w:pStyle w:val="Estilo"/>
        <w:ind w:left="709" w:hanging="709"/>
        <w:rPr>
          <w:rFonts w:cs="Arial"/>
        </w:rPr>
      </w:pPr>
    </w:p>
    <w:p w14:paraId="3030AC61" w14:textId="77777777" w:rsidR="00D3344B" w:rsidRDefault="00143C25">
      <w:pPr>
        <w:pStyle w:val="Estilo"/>
        <w:ind w:left="709"/>
        <w:rPr>
          <w:rFonts w:cs="Arial"/>
        </w:rPr>
      </w:pPr>
      <w:r>
        <w:rPr>
          <w:rFonts w:cs="Arial"/>
        </w:rPr>
        <w:t xml:space="preserve">La cédula de vehículo extranjero para vehículos con placas del Estado, se deberá presentar cuando haya programa de </w:t>
      </w:r>
      <w:proofErr w:type="spellStart"/>
      <w:r>
        <w:rPr>
          <w:rFonts w:cs="Arial"/>
        </w:rPr>
        <w:t>reemplacamiento</w:t>
      </w:r>
      <w:proofErr w:type="spellEnd"/>
      <w:r>
        <w:rPr>
          <w:rFonts w:cs="Arial"/>
        </w:rPr>
        <w:t xml:space="preserve"> o bien, cuando se realicen movimientos al Padrón Estatal Vehicular.</w:t>
      </w:r>
    </w:p>
    <w:p w14:paraId="5651CA05" w14:textId="77777777" w:rsidR="00D3344B" w:rsidRDefault="00D3344B">
      <w:pPr>
        <w:pStyle w:val="Estilo"/>
        <w:ind w:left="709" w:hanging="709"/>
        <w:rPr>
          <w:rFonts w:cs="Arial"/>
        </w:rPr>
      </w:pPr>
    </w:p>
    <w:p w14:paraId="1AC01848" w14:textId="77777777" w:rsidR="00D3344B" w:rsidRDefault="00143C25">
      <w:pPr>
        <w:pStyle w:val="Estilo"/>
        <w:ind w:left="709" w:hanging="709"/>
        <w:rPr>
          <w:rFonts w:cs="Arial"/>
        </w:rPr>
      </w:pPr>
      <w:r>
        <w:rPr>
          <w:rFonts w:cs="Arial"/>
        </w:rPr>
        <w:t>VII.</w:t>
      </w:r>
      <w:r>
        <w:rPr>
          <w:rFonts w:cs="Arial"/>
        </w:rPr>
        <w:tab/>
        <w:t>Tratándose de vehículos clásicos deberán presentar dictamen que certifique al noventa por ciento la originalidad y antigüedad de treinta años expedido por la agencia automotriz autorizada por la Secretaría y la Secretaría de Movilidad y Transporte;</w:t>
      </w:r>
    </w:p>
    <w:p w14:paraId="56703C4D" w14:textId="77777777" w:rsidR="00D3344B" w:rsidRDefault="00D3344B">
      <w:pPr>
        <w:pStyle w:val="Estilo"/>
        <w:ind w:left="709" w:hanging="709"/>
        <w:rPr>
          <w:rFonts w:cs="Arial"/>
        </w:rPr>
      </w:pPr>
    </w:p>
    <w:p w14:paraId="2AC62E04" w14:textId="77777777" w:rsidR="00D3344B" w:rsidRDefault="00143C25">
      <w:pPr>
        <w:pStyle w:val="Estilo"/>
        <w:ind w:left="709" w:hanging="709"/>
        <w:rPr>
          <w:rFonts w:cs="Arial"/>
        </w:rPr>
      </w:pPr>
      <w:r>
        <w:rPr>
          <w:rFonts w:cs="Arial"/>
        </w:rPr>
        <w:t>VIII.</w:t>
      </w:r>
      <w:r>
        <w:rPr>
          <w:rFonts w:cs="Arial"/>
        </w:rPr>
        <w:tab/>
        <w:t>Tratándose del servicio público, además, el acuerdo de otorgamiento de concesión y tarjeta de circulación o de permiso, según sea el caso;</w:t>
      </w:r>
    </w:p>
    <w:p w14:paraId="0FE01357" w14:textId="77777777" w:rsidR="00D3344B" w:rsidRDefault="00D3344B">
      <w:pPr>
        <w:pStyle w:val="Estilo"/>
        <w:ind w:left="709" w:hanging="709"/>
        <w:rPr>
          <w:rFonts w:cs="Arial"/>
        </w:rPr>
      </w:pPr>
    </w:p>
    <w:p w14:paraId="2252B9D0" w14:textId="77777777" w:rsidR="00D3344B" w:rsidRDefault="00143C25">
      <w:pPr>
        <w:pStyle w:val="Estilo"/>
        <w:ind w:left="709" w:hanging="709"/>
        <w:rPr>
          <w:rFonts w:cs="Arial"/>
        </w:rPr>
      </w:pPr>
      <w:r>
        <w:rPr>
          <w:rFonts w:cs="Arial"/>
        </w:rPr>
        <w:t>IX.</w:t>
      </w:r>
      <w:r>
        <w:rPr>
          <w:rFonts w:cs="Arial"/>
        </w:rPr>
        <w:tab/>
        <w:t>Tratándose del servicio público foráneo presentar baja correspondiente;</w:t>
      </w:r>
    </w:p>
    <w:p w14:paraId="5AAF25CC" w14:textId="77777777" w:rsidR="00D3344B" w:rsidRDefault="00D3344B">
      <w:pPr>
        <w:pStyle w:val="Estilo"/>
        <w:ind w:left="709" w:hanging="709"/>
        <w:rPr>
          <w:rFonts w:cs="Arial"/>
        </w:rPr>
      </w:pPr>
    </w:p>
    <w:p w14:paraId="0C49D6A8" w14:textId="77777777" w:rsidR="00D3344B" w:rsidRDefault="00143C25">
      <w:pPr>
        <w:pStyle w:val="Estilo"/>
        <w:ind w:left="709" w:hanging="709"/>
        <w:rPr>
          <w:rFonts w:cs="Arial"/>
        </w:rPr>
      </w:pPr>
      <w:r>
        <w:rPr>
          <w:rFonts w:cs="Arial"/>
        </w:rPr>
        <w:t>X.</w:t>
      </w:r>
      <w:r>
        <w:rPr>
          <w:rFonts w:cs="Arial"/>
        </w:rPr>
        <w:tab/>
        <w:t>Tratándose de transporte federal foráneo presentar baja correspondiente;</w:t>
      </w:r>
    </w:p>
    <w:p w14:paraId="07BCB2D1" w14:textId="77777777" w:rsidR="00D3344B" w:rsidRDefault="00D3344B">
      <w:pPr>
        <w:pStyle w:val="Estilo"/>
        <w:ind w:left="709" w:hanging="709"/>
        <w:rPr>
          <w:rFonts w:cs="Arial"/>
        </w:rPr>
      </w:pPr>
    </w:p>
    <w:p w14:paraId="6D24AFD9" w14:textId="77777777" w:rsidR="00D3344B" w:rsidRDefault="00143C25">
      <w:pPr>
        <w:pStyle w:val="Estilo"/>
        <w:ind w:left="709" w:hanging="709"/>
        <w:rPr>
          <w:rFonts w:cs="Arial"/>
        </w:rPr>
      </w:pPr>
      <w:r>
        <w:rPr>
          <w:rFonts w:cs="Arial"/>
        </w:rPr>
        <w:t>XI.</w:t>
      </w:r>
      <w:r>
        <w:rPr>
          <w:rFonts w:cs="Arial"/>
        </w:rPr>
        <w:tab/>
        <w:t>Copia autentificada del acta levantada ante el Ministerio Público o del documento en el que conste el robo, siniestro y/o extravío del vehículo, en los casos que proceda, en caso de pérdida total por siniestro presentar oficio de la aseguradora y/o autoridad correspondiente; tratándose de robo deberá presentar también oficio de liberación del corralón;</w:t>
      </w:r>
    </w:p>
    <w:p w14:paraId="337B1351" w14:textId="77777777" w:rsidR="00D3344B" w:rsidRDefault="00D3344B">
      <w:pPr>
        <w:pStyle w:val="Estilo"/>
        <w:ind w:left="709" w:hanging="709"/>
        <w:rPr>
          <w:rFonts w:cs="Arial"/>
        </w:rPr>
      </w:pPr>
    </w:p>
    <w:p w14:paraId="13A0CB18" w14:textId="77777777" w:rsidR="00D3344B" w:rsidRDefault="00143C25">
      <w:pPr>
        <w:pStyle w:val="Estilo"/>
        <w:ind w:left="709" w:hanging="709"/>
        <w:rPr>
          <w:rFonts w:cs="Arial"/>
        </w:rPr>
      </w:pPr>
      <w:r>
        <w:rPr>
          <w:rFonts w:cs="Arial"/>
        </w:rPr>
        <w:t>XII.</w:t>
      </w:r>
      <w:r>
        <w:rPr>
          <w:rFonts w:cs="Arial"/>
        </w:rPr>
        <w:tab/>
        <w:t>Tarjeta de circulación o en su caso, Certificado de no infracción; en caso de extravío o robo de tarjeta de circulación, deberá presentar copia autentificada del acta de hechos tramitada ante el Ministerio Público;</w:t>
      </w:r>
    </w:p>
    <w:p w14:paraId="1A9C01D5" w14:textId="77777777" w:rsidR="00D3344B" w:rsidRDefault="00D3344B">
      <w:pPr>
        <w:pStyle w:val="Estilo"/>
        <w:ind w:left="709" w:hanging="709"/>
        <w:rPr>
          <w:rFonts w:cs="Arial"/>
        </w:rPr>
      </w:pPr>
    </w:p>
    <w:p w14:paraId="6DFEFF00" w14:textId="77777777" w:rsidR="00D3344B" w:rsidRDefault="00143C25">
      <w:pPr>
        <w:pStyle w:val="Estilo"/>
        <w:ind w:left="709" w:hanging="709"/>
        <w:rPr>
          <w:rFonts w:cs="Arial"/>
        </w:rPr>
      </w:pPr>
      <w:r>
        <w:rPr>
          <w:rFonts w:cs="Arial"/>
        </w:rPr>
        <w:t>XIII.</w:t>
      </w:r>
      <w:r>
        <w:rPr>
          <w:rFonts w:cs="Arial"/>
        </w:rPr>
        <w:tab/>
        <w:t>Para el caso de las personas morales se presentará lo siguiente:</w:t>
      </w:r>
    </w:p>
    <w:p w14:paraId="6A898CCC" w14:textId="77777777" w:rsidR="00D3344B" w:rsidRDefault="00D3344B">
      <w:pPr>
        <w:pStyle w:val="Estilo"/>
        <w:ind w:left="709" w:hanging="709"/>
        <w:rPr>
          <w:rFonts w:cs="Arial"/>
        </w:rPr>
      </w:pPr>
    </w:p>
    <w:p w14:paraId="39EB5A3B" w14:textId="77777777" w:rsidR="00D3344B" w:rsidRDefault="00143C25">
      <w:pPr>
        <w:pStyle w:val="Estilo"/>
        <w:ind w:left="1134" w:hanging="425"/>
        <w:rPr>
          <w:rFonts w:cs="Arial"/>
        </w:rPr>
      </w:pPr>
      <w:r>
        <w:rPr>
          <w:rFonts w:cs="Arial"/>
        </w:rPr>
        <w:t>a)</w:t>
      </w:r>
      <w:r>
        <w:rPr>
          <w:rFonts w:cs="Arial"/>
        </w:rPr>
        <w:tab/>
        <w:t>Acta constitutiva y sus modificaciones, debidamente inscritas ante la Dirección de Notarías y Registros Públicos del Estado;</w:t>
      </w:r>
    </w:p>
    <w:p w14:paraId="14F16766" w14:textId="77777777" w:rsidR="00D3344B" w:rsidRDefault="00D3344B">
      <w:pPr>
        <w:pStyle w:val="Estilo"/>
        <w:ind w:left="1134" w:hanging="425"/>
        <w:rPr>
          <w:rFonts w:cs="Arial"/>
        </w:rPr>
      </w:pPr>
    </w:p>
    <w:p w14:paraId="0C185EFE" w14:textId="77777777" w:rsidR="00D3344B" w:rsidRDefault="00143C25">
      <w:pPr>
        <w:pStyle w:val="Estilo"/>
        <w:ind w:left="1134" w:hanging="425"/>
        <w:rPr>
          <w:rFonts w:cs="Arial"/>
        </w:rPr>
      </w:pPr>
      <w:r>
        <w:rPr>
          <w:rFonts w:cs="Arial"/>
        </w:rPr>
        <w:lastRenderedPageBreak/>
        <w:t>b)</w:t>
      </w:r>
      <w:r>
        <w:rPr>
          <w:rFonts w:cs="Arial"/>
        </w:rPr>
        <w:tab/>
        <w:t>Poder notarial debidamente inscrito ante la Dirección de Notarías y Registros Públicos del Estado;</w:t>
      </w:r>
    </w:p>
    <w:p w14:paraId="1E00ECD3" w14:textId="77777777" w:rsidR="00D3344B" w:rsidRDefault="00143C25">
      <w:pPr>
        <w:pStyle w:val="Estilo"/>
        <w:ind w:left="1134" w:hanging="425"/>
        <w:rPr>
          <w:rFonts w:cs="Arial"/>
        </w:rPr>
      </w:pPr>
      <w:r>
        <w:rPr>
          <w:rFonts w:cs="Arial"/>
        </w:rPr>
        <w:t xml:space="preserve"> </w:t>
      </w:r>
    </w:p>
    <w:p w14:paraId="248A171F" w14:textId="77777777" w:rsidR="00D3344B" w:rsidRDefault="00143C25">
      <w:pPr>
        <w:pStyle w:val="Estilo"/>
        <w:ind w:left="1134" w:hanging="425"/>
        <w:rPr>
          <w:rFonts w:cs="Arial"/>
        </w:rPr>
      </w:pPr>
      <w:r>
        <w:rPr>
          <w:rFonts w:cs="Arial"/>
        </w:rPr>
        <w:t>c)</w:t>
      </w:r>
      <w:r>
        <w:rPr>
          <w:rFonts w:cs="Arial"/>
        </w:rPr>
        <w:tab/>
        <w:t>Constancia de situación fiscal actualizada, no mayor a tres meses de su expedición y apertura de establecimiento en el Estado;</w:t>
      </w:r>
    </w:p>
    <w:p w14:paraId="60A5CA24" w14:textId="77777777" w:rsidR="00D3344B" w:rsidRDefault="00D3344B">
      <w:pPr>
        <w:pStyle w:val="Estilo"/>
        <w:ind w:left="1134" w:hanging="425"/>
        <w:rPr>
          <w:rFonts w:cs="Arial"/>
        </w:rPr>
      </w:pPr>
    </w:p>
    <w:p w14:paraId="5348A4AA" w14:textId="77777777" w:rsidR="00D3344B" w:rsidRDefault="00143C25">
      <w:pPr>
        <w:pStyle w:val="Estilo"/>
        <w:ind w:left="1134" w:hanging="425"/>
        <w:rPr>
          <w:rFonts w:cs="Arial"/>
        </w:rPr>
      </w:pPr>
      <w:r>
        <w:rPr>
          <w:rFonts w:cs="Arial"/>
        </w:rPr>
        <w:t>d)</w:t>
      </w:r>
      <w:r>
        <w:rPr>
          <w:rFonts w:cs="Arial"/>
        </w:rPr>
        <w:tab/>
        <w:t>Comprobante de domicilio a nombre de la persona moral;</w:t>
      </w:r>
    </w:p>
    <w:p w14:paraId="24E1E294" w14:textId="77777777" w:rsidR="00D3344B" w:rsidRDefault="00D3344B">
      <w:pPr>
        <w:pStyle w:val="Estilo"/>
        <w:ind w:left="1134" w:hanging="425"/>
        <w:rPr>
          <w:rFonts w:cs="Arial"/>
        </w:rPr>
      </w:pPr>
    </w:p>
    <w:p w14:paraId="08BE12EC" w14:textId="77777777" w:rsidR="00D3344B" w:rsidRDefault="00143C25">
      <w:pPr>
        <w:pStyle w:val="Estilo"/>
        <w:ind w:left="1134" w:hanging="425"/>
        <w:rPr>
          <w:rFonts w:cs="Arial"/>
        </w:rPr>
      </w:pPr>
      <w:r>
        <w:rPr>
          <w:rFonts w:cs="Arial"/>
        </w:rPr>
        <w:t>e)</w:t>
      </w:r>
      <w:r>
        <w:rPr>
          <w:rFonts w:cs="Arial"/>
        </w:rPr>
        <w:tab/>
        <w:t>Identificación oficial con fotografía del representante legal;</w:t>
      </w:r>
    </w:p>
    <w:p w14:paraId="7EE8A253" w14:textId="77777777" w:rsidR="00D3344B" w:rsidRDefault="00D3344B">
      <w:pPr>
        <w:pStyle w:val="Estilo"/>
        <w:ind w:left="1134" w:hanging="425"/>
        <w:rPr>
          <w:rFonts w:cs="Arial"/>
        </w:rPr>
      </w:pPr>
    </w:p>
    <w:p w14:paraId="3DA84C01" w14:textId="77777777" w:rsidR="00D3344B" w:rsidRDefault="00143C25">
      <w:pPr>
        <w:pStyle w:val="Estilo"/>
        <w:ind w:left="1134" w:hanging="425"/>
        <w:rPr>
          <w:rFonts w:cs="Arial"/>
        </w:rPr>
      </w:pPr>
      <w:r>
        <w:rPr>
          <w:rFonts w:cs="Arial"/>
        </w:rPr>
        <w:t>f)</w:t>
      </w:r>
      <w:r>
        <w:rPr>
          <w:rFonts w:cs="Arial"/>
        </w:rPr>
        <w:tab/>
        <w:t>Clave Única de Registro de Población del representante legal;</w:t>
      </w:r>
    </w:p>
    <w:p w14:paraId="7C7893F5" w14:textId="77777777" w:rsidR="00D3344B" w:rsidRDefault="00D3344B">
      <w:pPr>
        <w:pStyle w:val="Estilo"/>
        <w:ind w:left="1134" w:hanging="425"/>
        <w:rPr>
          <w:rFonts w:cs="Arial"/>
        </w:rPr>
      </w:pPr>
    </w:p>
    <w:p w14:paraId="38D116CA" w14:textId="77777777" w:rsidR="00D3344B" w:rsidRDefault="00143C25">
      <w:pPr>
        <w:pStyle w:val="Estilo"/>
        <w:ind w:left="1134" w:hanging="425"/>
        <w:rPr>
          <w:rFonts w:cs="Arial"/>
        </w:rPr>
      </w:pPr>
      <w:r>
        <w:rPr>
          <w:rFonts w:cs="Arial"/>
        </w:rPr>
        <w:t>g)</w:t>
      </w:r>
      <w:r>
        <w:rPr>
          <w:rFonts w:cs="Arial"/>
        </w:rPr>
        <w:tab/>
        <w:t>Carta de presentación firmada por el representante legal y notificado a la Secretaría y la Secretaría de Movilidad y Transporte, e</w:t>
      </w:r>
    </w:p>
    <w:p w14:paraId="486415BB" w14:textId="77777777" w:rsidR="00D3344B" w:rsidRDefault="00D3344B">
      <w:pPr>
        <w:pStyle w:val="Estilo"/>
        <w:ind w:left="1134" w:hanging="425"/>
        <w:rPr>
          <w:rFonts w:cs="Arial"/>
        </w:rPr>
      </w:pPr>
    </w:p>
    <w:p w14:paraId="42A27250" w14:textId="77777777" w:rsidR="00D3344B" w:rsidRDefault="00143C25">
      <w:pPr>
        <w:pStyle w:val="Estilo"/>
        <w:ind w:left="1134" w:hanging="425"/>
        <w:rPr>
          <w:rFonts w:cs="Arial"/>
        </w:rPr>
      </w:pPr>
      <w:r>
        <w:rPr>
          <w:rFonts w:cs="Arial"/>
        </w:rPr>
        <w:t>h)</w:t>
      </w:r>
      <w:r>
        <w:rPr>
          <w:rFonts w:cs="Arial"/>
        </w:rPr>
        <w:tab/>
        <w:t>Así como los documentos señalados en las fracciones I, III, VI, VII, IX, X y XI.</w:t>
      </w:r>
    </w:p>
    <w:p w14:paraId="6D08368F" w14:textId="77777777" w:rsidR="00D3344B" w:rsidRDefault="00D3344B">
      <w:pPr>
        <w:pStyle w:val="Estilo"/>
        <w:ind w:left="709" w:hanging="709"/>
        <w:rPr>
          <w:rFonts w:cs="Arial"/>
        </w:rPr>
      </w:pPr>
    </w:p>
    <w:p w14:paraId="6F22016F" w14:textId="77777777" w:rsidR="00D3344B" w:rsidRDefault="00143C25">
      <w:pPr>
        <w:pStyle w:val="Estilo"/>
        <w:ind w:left="709" w:hanging="709"/>
        <w:rPr>
          <w:rFonts w:cs="Arial"/>
        </w:rPr>
      </w:pPr>
      <w:r>
        <w:rPr>
          <w:rFonts w:cs="Arial"/>
        </w:rPr>
        <w:t>XIV.</w:t>
      </w:r>
      <w:r>
        <w:rPr>
          <w:rFonts w:cs="Arial"/>
        </w:rPr>
        <w:tab/>
        <w:t>En caso de los entes públicos deberán acreditar su personalidad a través de:</w:t>
      </w:r>
    </w:p>
    <w:p w14:paraId="069DF856" w14:textId="77777777" w:rsidR="00D3344B" w:rsidRDefault="00D3344B">
      <w:pPr>
        <w:pStyle w:val="Estilo"/>
        <w:ind w:left="709" w:hanging="709"/>
        <w:rPr>
          <w:rFonts w:cs="Arial"/>
        </w:rPr>
      </w:pPr>
    </w:p>
    <w:p w14:paraId="754CBC34" w14:textId="77777777" w:rsidR="00D3344B" w:rsidRDefault="00143C25">
      <w:pPr>
        <w:pStyle w:val="Estilo"/>
        <w:ind w:left="1134" w:hanging="425"/>
        <w:rPr>
          <w:rFonts w:cs="Arial"/>
        </w:rPr>
      </w:pPr>
      <w:r>
        <w:rPr>
          <w:rFonts w:cs="Arial"/>
        </w:rPr>
        <w:t>a)</w:t>
      </w:r>
      <w:r>
        <w:rPr>
          <w:rFonts w:cs="Arial"/>
        </w:rPr>
        <w:tab/>
        <w:t>Documento por el que se creó el ente público;</w:t>
      </w:r>
    </w:p>
    <w:p w14:paraId="1BDD033D" w14:textId="77777777" w:rsidR="00D3344B" w:rsidRDefault="00D3344B">
      <w:pPr>
        <w:pStyle w:val="Estilo"/>
        <w:ind w:left="1134" w:hanging="425"/>
        <w:rPr>
          <w:rFonts w:cs="Arial"/>
        </w:rPr>
      </w:pPr>
    </w:p>
    <w:p w14:paraId="08D207D1" w14:textId="77777777" w:rsidR="00D3344B" w:rsidRDefault="00143C25">
      <w:pPr>
        <w:pStyle w:val="Estilo"/>
        <w:ind w:left="1134" w:hanging="425"/>
        <w:rPr>
          <w:rFonts w:cs="Arial"/>
        </w:rPr>
      </w:pPr>
      <w:r>
        <w:rPr>
          <w:rFonts w:cs="Arial"/>
        </w:rPr>
        <w:t>b)</w:t>
      </w:r>
      <w:r>
        <w:rPr>
          <w:rFonts w:cs="Arial"/>
        </w:rPr>
        <w:tab/>
        <w:t>Documento que acredite la personalidad del titular de dicho ente público; e</w:t>
      </w:r>
    </w:p>
    <w:p w14:paraId="7C82896E" w14:textId="77777777" w:rsidR="00D3344B" w:rsidRDefault="00D3344B">
      <w:pPr>
        <w:pStyle w:val="Estilo"/>
        <w:ind w:left="1134" w:hanging="425"/>
        <w:rPr>
          <w:rFonts w:cs="Arial"/>
        </w:rPr>
      </w:pPr>
    </w:p>
    <w:p w14:paraId="36DF3D1E" w14:textId="77777777" w:rsidR="00D3344B" w:rsidRDefault="00143C25">
      <w:pPr>
        <w:pStyle w:val="Estilo"/>
        <w:ind w:left="1134" w:hanging="425"/>
        <w:rPr>
          <w:rFonts w:cs="Arial"/>
        </w:rPr>
      </w:pPr>
      <w:r>
        <w:rPr>
          <w:rFonts w:cs="Arial"/>
        </w:rPr>
        <w:t>c)</w:t>
      </w:r>
      <w:r>
        <w:rPr>
          <w:rFonts w:cs="Arial"/>
        </w:rPr>
        <w:tab/>
        <w:t>Oficio de designación del que se desprenda la facultad para realizar el trámite correspondiente.</w:t>
      </w:r>
    </w:p>
    <w:p w14:paraId="2D3880FD" w14:textId="77777777" w:rsidR="00D3344B" w:rsidRDefault="00D3344B">
      <w:pPr>
        <w:pStyle w:val="Estilo"/>
        <w:rPr>
          <w:rFonts w:cs="Arial"/>
        </w:rPr>
      </w:pPr>
    </w:p>
    <w:p w14:paraId="6BB9429F" w14:textId="77777777" w:rsidR="00D3344B" w:rsidRDefault="00143C25">
      <w:pPr>
        <w:pStyle w:val="Estilo"/>
        <w:rPr>
          <w:rFonts w:cs="Arial"/>
        </w:rPr>
      </w:pPr>
      <w:r>
        <w:rPr>
          <w:rFonts w:cs="Arial"/>
        </w:rPr>
        <w:t>En ningún caso se aceptarán documentos que presenten alteraciones, tachaduras, enmendaduras, enmicados o estén vencidos.</w:t>
      </w:r>
    </w:p>
    <w:p w14:paraId="3D3DD05D" w14:textId="77777777" w:rsidR="00D3344B" w:rsidRDefault="00D3344B">
      <w:pPr>
        <w:pStyle w:val="Estilo"/>
        <w:rPr>
          <w:rFonts w:cs="Arial"/>
        </w:rPr>
      </w:pPr>
    </w:p>
    <w:p w14:paraId="076F4A58" w14:textId="77777777" w:rsidR="00D3344B" w:rsidRDefault="00143C25">
      <w:pPr>
        <w:pStyle w:val="Estilo"/>
        <w:rPr>
          <w:rFonts w:cs="Arial"/>
        </w:rPr>
      </w:pPr>
      <w:r>
        <w:rPr>
          <w:rFonts w:cs="Arial"/>
        </w:rPr>
        <w:t>Las certificaciones vehiculares de pagos, estarán sujetas a los requisitos previstos en este artículo.</w:t>
      </w:r>
    </w:p>
    <w:p w14:paraId="5383BB2E" w14:textId="77777777" w:rsidR="00D3344B" w:rsidRDefault="00D3344B">
      <w:pPr>
        <w:pStyle w:val="Estilo"/>
        <w:rPr>
          <w:rFonts w:cs="Arial"/>
        </w:rPr>
      </w:pPr>
    </w:p>
    <w:p w14:paraId="7FB0A9CD" w14:textId="77777777" w:rsidR="00D3344B" w:rsidRDefault="00143C25">
      <w:pPr>
        <w:pStyle w:val="Estilo"/>
        <w:rPr>
          <w:rFonts w:cs="Arial"/>
        </w:rPr>
      </w:pPr>
      <w:r>
        <w:rPr>
          <w:rFonts w:cs="Arial"/>
        </w:rPr>
        <w:t>En los casos no previstos en este Código, la Secretaría y la Secretaría de Movilidad y Transporte determinarán lo conducente.</w:t>
      </w:r>
    </w:p>
    <w:p w14:paraId="376F125D" w14:textId="77777777" w:rsidR="00D3344B" w:rsidRDefault="00D3344B">
      <w:pPr>
        <w:pStyle w:val="Estilo"/>
        <w:rPr>
          <w:rFonts w:cs="Arial"/>
        </w:rPr>
      </w:pPr>
    </w:p>
    <w:p w14:paraId="3B203B0C" w14:textId="77777777" w:rsidR="00D3344B" w:rsidRDefault="00143C25">
      <w:pPr>
        <w:pStyle w:val="Estilo"/>
        <w:rPr>
          <w:rFonts w:cs="Arial"/>
        </w:rPr>
      </w:pPr>
      <w:r>
        <w:rPr>
          <w:rFonts w:cs="Arial"/>
        </w:rPr>
        <w:t>Los contribuyentes sujetos al pago del Impuesto al que se refiere este artículo deberán anotar en los formatos respectivos, al momento de solicitar su incorporación o modificación al Registro Público Vehicular, su clave de los Registros Federal y Estatal de Contribuyentes, en los casos en que se encuentren inscritos en los mismos, y tratándose de personas físicas, además, presentar su Clave Única del Registro de Población actualizada.</w:t>
      </w:r>
    </w:p>
    <w:p w14:paraId="5E861D37" w14:textId="77777777" w:rsidR="00D3344B" w:rsidRDefault="00D3344B">
      <w:pPr>
        <w:pStyle w:val="Estilo"/>
        <w:rPr>
          <w:rFonts w:cs="Arial"/>
        </w:rPr>
      </w:pPr>
    </w:p>
    <w:p w14:paraId="5A1BA95C" w14:textId="77777777" w:rsidR="00D3344B" w:rsidRDefault="00143C25">
      <w:pPr>
        <w:pStyle w:val="Estilo"/>
        <w:rPr>
          <w:rFonts w:cs="Arial"/>
        </w:rPr>
      </w:pPr>
      <w:r>
        <w:rPr>
          <w:rFonts w:cs="Arial"/>
          <w:i/>
          <w:sz w:val="16"/>
        </w:rPr>
        <w:t>(ADICIONADO, P.O. 16 DE MARZO DE 2011)</w:t>
      </w:r>
    </w:p>
    <w:p w14:paraId="723D1B37" w14:textId="77777777" w:rsidR="00D3344B" w:rsidRDefault="00143C25">
      <w:pPr>
        <w:pStyle w:val="Estilo"/>
        <w:rPr>
          <w:rFonts w:cs="Arial"/>
        </w:rPr>
      </w:pPr>
      <w:r>
        <w:rPr>
          <w:rFonts w:cs="Arial"/>
          <w:b/>
        </w:rPr>
        <w:lastRenderedPageBreak/>
        <w:t>Artículo 93 P.</w:t>
      </w:r>
      <w:r>
        <w:rPr>
          <w:rFonts w:cs="Arial"/>
        </w:rPr>
        <w:t xml:space="preserve"> Las infracciones a las disposiciones a que se refiere este capítulo, serán sancionadas de conformidad con lo previsto en este Código y demás disposiciones aplicables.</w:t>
      </w:r>
    </w:p>
    <w:p w14:paraId="2D4A034B" w14:textId="77777777" w:rsidR="00D3344B" w:rsidRDefault="00D3344B">
      <w:pPr>
        <w:pStyle w:val="Estilo"/>
        <w:rPr>
          <w:rFonts w:cs="Arial"/>
        </w:rPr>
      </w:pPr>
    </w:p>
    <w:p w14:paraId="0B6D26E5" w14:textId="77777777" w:rsidR="00D3344B" w:rsidRDefault="00143C25">
      <w:pPr>
        <w:pStyle w:val="Estilo"/>
        <w:rPr>
          <w:rFonts w:cs="Arial"/>
        </w:rPr>
      </w:pPr>
      <w:r>
        <w:rPr>
          <w:rFonts w:cs="Arial"/>
          <w:i/>
          <w:sz w:val="16"/>
        </w:rPr>
        <w:t>(ADICIONADO, P.O. 29 DE NOVIEMBRE DE 2023)</w:t>
      </w:r>
    </w:p>
    <w:p w14:paraId="7579E014" w14:textId="77777777" w:rsidR="00D3344B" w:rsidRDefault="00143C25">
      <w:pPr>
        <w:pStyle w:val="Estilo"/>
        <w:rPr>
          <w:rFonts w:cs="Arial"/>
        </w:rPr>
      </w:pPr>
      <w:r>
        <w:rPr>
          <w:rFonts w:cs="Arial"/>
          <w:b/>
          <w:bCs/>
        </w:rPr>
        <w:t>Artículo 93 Q.</w:t>
      </w:r>
      <w:r>
        <w:rPr>
          <w:rFonts w:cs="Arial"/>
        </w:rPr>
        <w:t xml:space="preserve"> La Secretaría y la Secretaría de Movilidad y Transporte, podrán negar el otorgamiento de la tarjeta de circulación, placas de circulación o cualquier otro documento que permita la movilidad de los vehículos, cuando no se acredite el cumplimiento a las disposiciones establecidas en este Código.</w:t>
      </w:r>
    </w:p>
    <w:p w14:paraId="5F9644A4" w14:textId="77777777" w:rsidR="00D3344B" w:rsidRDefault="00D3344B">
      <w:pPr>
        <w:pStyle w:val="Estilo"/>
        <w:rPr>
          <w:rFonts w:cs="Arial"/>
        </w:rPr>
      </w:pPr>
    </w:p>
    <w:p w14:paraId="22D43EA4" w14:textId="77777777" w:rsidR="00D3344B" w:rsidRDefault="00143C25">
      <w:pPr>
        <w:pStyle w:val="Estilo"/>
        <w:rPr>
          <w:rFonts w:cs="Arial"/>
        </w:rPr>
      </w:pPr>
      <w:r>
        <w:rPr>
          <w:rFonts w:cs="Arial"/>
        </w:rPr>
        <w:t>En el supuesto de que se verifique que los documentos presentados por el contribuyente resultaren con alguna irregularidad, se retendrán los mismos y serán remitidos a la autoridad competente para los efectos legales a que haya lugar.</w:t>
      </w:r>
    </w:p>
    <w:p w14:paraId="4373E51B" w14:textId="77777777" w:rsidR="00D3344B" w:rsidRDefault="00D3344B">
      <w:pPr>
        <w:pStyle w:val="Estilo"/>
        <w:rPr>
          <w:rFonts w:cs="Arial"/>
        </w:rPr>
      </w:pPr>
    </w:p>
    <w:p w14:paraId="50291A3E" w14:textId="77777777" w:rsidR="00D3344B" w:rsidRDefault="00143C25">
      <w:pPr>
        <w:pStyle w:val="Estilo"/>
        <w:rPr>
          <w:rFonts w:cs="Arial"/>
        </w:rPr>
      </w:pPr>
      <w:r>
        <w:rPr>
          <w:rFonts w:cs="Arial"/>
          <w:i/>
          <w:sz w:val="16"/>
        </w:rPr>
        <w:t>N. DE E. EN RELACIÓN CON LA ENTRADA EN VIGOR DEL PRESENTE ARTÍCULO, VÉASE TRANSITORIO ÚNICO DEL DECRETO QUE MODIFICA EL CÓDIGO.</w:t>
      </w:r>
    </w:p>
    <w:p w14:paraId="53E0A9C5" w14:textId="77777777" w:rsidR="00D3344B" w:rsidRDefault="00143C25">
      <w:pPr>
        <w:pStyle w:val="Estilo"/>
        <w:rPr>
          <w:rFonts w:cs="Arial"/>
        </w:rPr>
      </w:pPr>
      <w:r>
        <w:rPr>
          <w:rFonts w:cs="Arial"/>
          <w:i/>
          <w:sz w:val="16"/>
        </w:rPr>
        <w:t>(REFORMADO, P.O. 7 DE DICIEMBRE DE 2009)</w:t>
      </w:r>
    </w:p>
    <w:p w14:paraId="6CDDBDF6" w14:textId="77777777" w:rsidR="00D3344B" w:rsidRDefault="00143C25">
      <w:pPr>
        <w:pStyle w:val="Estilo"/>
        <w:rPr>
          <w:rFonts w:cs="Arial"/>
        </w:rPr>
      </w:pPr>
      <w:r>
        <w:rPr>
          <w:rFonts w:cs="Arial"/>
          <w:b/>
        </w:rPr>
        <w:t>Artículo 94.</w:t>
      </w:r>
      <w:r>
        <w:rPr>
          <w:rFonts w:cs="Arial"/>
        </w:rPr>
        <w:t xml:space="preserve"> Para el cobro de este impuesto la autoridad fiscal podrá requerir al contribuyente, que compruebe su pago de los cinco años anteriores, </w:t>
      </w:r>
      <w:proofErr w:type="spellStart"/>
      <w:r>
        <w:rPr>
          <w:rFonts w:cs="Arial"/>
        </w:rPr>
        <w:t>aún</w:t>
      </w:r>
      <w:proofErr w:type="spellEnd"/>
      <w:r>
        <w:rPr>
          <w:rFonts w:cs="Arial"/>
        </w:rPr>
        <w:t xml:space="preserve"> cuando corresponda al impuesto federal.</w:t>
      </w:r>
    </w:p>
    <w:p w14:paraId="11CD6694" w14:textId="77777777" w:rsidR="00D3344B" w:rsidRDefault="00D3344B">
      <w:pPr>
        <w:pStyle w:val="Estilo"/>
        <w:rPr>
          <w:rFonts w:cs="Arial"/>
        </w:rPr>
      </w:pPr>
    </w:p>
    <w:p w14:paraId="0FE4F7F0" w14:textId="77777777" w:rsidR="00D3344B" w:rsidRDefault="00143C25">
      <w:pPr>
        <w:pStyle w:val="Estilo"/>
        <w:rPr>
          <w:rFonts w:cs="Arial"/>
        </w:rPr>
      </w:pPr>
      <w:r>
        <w:rPr>
          <w:rFonts w:cs="Arial"/>
        </w:rPr>
        <w:t>Los contribuyentes de este impuesto no estarán obligados a la presentación de la documentación a que se refiere este artículo cuando sean vehículos que se registren por primera vez en el padrón vehicular del Estado que provengan de otra Entidad Federativa y ésta no tenga establecido un gravamen similar o sean de procedencia extranjera.</w:t>
      </w:r>
    </w:p>
    <w:p w14:paraId="5E086031" w14:textId="77777777" w:rsidR="00D3344B" w:rsidRDefault="00D3344B">
      <w:pPr>
        <w:pStyle w:val="Estilo"/>
        <w:rPr>
          <w:rFonts w:cs="Arial"/>
        </w:rPr>
      </w:pPr>
    </w:p>
    <w:p w14:paraId="025F25E0" w14:textId="77777777" w:rsidR="00D3344B" w:rsidRDefault="00143C25">
      <w:pPr>
        <w:pStyle w:val="Estilo"/>
        <w:rPr>
          <w:rFonts w:cs="Arial"/>
        </w:rPr>
      </w:pPr>
      <w:r>
        <w:rPr>
          <w:rFonts w:cs="Arial"/>
          <w:i/>
          <w:sz w:val="16"/>
        </w:rPr>
        <w:t>(REFORMADO, P.O. 16 DE MARZO DE 2011)</w:t>
      </w:r>
    </w:p>
    <w:p w14:paraId="173CAF56" w14:textId="77777777" w:rsidR="00D3344B" w:rsidRDefault="00143C25">
      <w:pPr>
        <w:pStyle w:val="Estilo"/>
        <w:rPr>
          <w:rFonts w:cs="Arial"/>
        </w:rPr>
      </w:pPr>
      <w:r>
        <w:rPr>
          <w:rFonts w:cs="Arial"/>
          <w:b/>
        </w:rPr>
        <w:t>Artículo 95.</w:t>
      </w:r>
      <w:r>
        <w:rPr>
          <w:rFonts w:cs="Arial"/>
        </w:rPr>
        <w:t xml:space="preserve"> El impuesto estatal sobre tenencia o uso de vehículos se pagará, conjuntamente con los derechos por registro y control vehicular, ya sea estatal o federal, dentro de los tres primeros meses de cada año, ante la oficina recaudadora que corresponda de acuerdo con el domicilio fiscal del contribuyente, oficinas receptoras de pago; instituciones bancarias o establecimientos que autorice y dé a conocer la Secretaría mediante reglas de carácter general, o a través de medios electrónicos; mediante las formas oficiales que apruebe la misma dependencia en términos de la legislación del Estado.</w:t>
      </w:r>
    </w:p>
    <w:p w14:paraId="0E1F2920" w14:textId="77777777" w:rsidR="00D3344B" w:rsidRDefault="00D3344B">
      <w:pPr>
        <w:pStyle w:val="Estilo"/>
        <w:rPr>
          <w:rFonts w:cs="Arial"/>
        </w:rPr>
      </w:pPr>
    </w:p>
    <w:p w14:paraId="5C79618D" w14:textId="77777777" w:rsidR="00D3344B" w:rsidRDefault="00143C25">
      <w:pPr>
        <w:pStyle w:val="Estilo"/>
        <w:rPr>
          <w:rFonts w:cs="Arial"/>
        </w:rPr>
      </w:pPr>
      <w:r>
        <w:rPr>
          <w:rFonts w:cs="Arial"/>
        </w:rPr>
        <w:t>Cuando la enajenación o importación de vehículos nuevos se efectúe después del primer mes del año de calendario, el impuesto causado por dicho año se pagará en la proporción que resulte de aplicar el factor correspondiente:</w:t>
      </w:r>
    </w:p>
    <w:p w14:paraId="37A04F84" w14:textId="77777777" w:rsidR="00D3344B" w:rsidRDefault="00D3344B">
      <w:pPr>
        <w:pStyle w:val="Estilo"/>
        <w:rPr>
          <w:rFonts w:cs="Arial"/>
        </w:rPr>
      </w:pPr>
    </w:p>
    <w:tbl>
      <w:tblPr>
        <w:tblW w:w="5245" w:type="dxa"/>
        <w:jc w:val="center"/>
        <w:tblLayout w:type="fixed"/>
        <w:tblLook w:val="0000" w:firstRow="0" w:lastRow="0" w:firstColumn="0" w:lastColumn="0" w:noHBand="0" w:noVBand="0"/>
      </w:tblPr>
      <w:tblGrid>
        <w:gridCol w:w="2168"/>
        <w:gridCol w:w="3077"/>
      </w:tblGrid>
      <w:tr w:rsidR="00D3344B" w14:paraId="1598E362" w14:textId="77777777">
        <w:trPr>
          <w:jc w:val="center"/>
        </w:trPr>
        <w:tc>
          <w:tcPr>
            <w:tcW w:w="2168" w:type="dxa"/>
          </w:tcPr>
          <w:p w14:paraId="1C174702" w14:textId="77777777" w:rsidR="00D3344B" w:rsidRDefault="00143C25">
            <w:pPr>
              <w:widowControl w:val="0"/>
              <w:snapToGrid w:val="0"/>
              <w:jc w:val="center"/>
              <w:rPr>
                <w:rFonts w:ascii="Arial" w:hAnsi="Arial" w:cs="Arial"/>
                <w:b/>
                <w:bCs/>
                <w:i/>
              </w:rPr>
            </w:pPr>
            <w:r>
              <w:rPr>
                <w:rFonts w:ascii="Arial" w:hAnsi="Arial" w:cs="Arial"/>
                <w:b/>
                <w:bCs/>
                <w:i/>
              </w:rPr>
              <w:t>Mes de adquisición</w:t>
            </w:r>
          </w:p>
        </w:tc>
        <w:tc>
          <w:tcPr>
            <w:tcW w:w="3076" w:type="dxa"/>
          </w:tcPr>
          <w:p w14:paraId="440BD937" w14:textId="77777777" w:rsidR="00D3344B" w:rsidRDefault="00143C25">
            <w:pPr>
              <w:widowControl w:val="0"/>
              <w:snapToGrid w:val="0"/>
              <w:jc w:val="center"/>
              <w:rPr>
                <w:rFonts w:ascii="Arial" w:hAnsi="Arial" w:cs="Arial"/>
                <w:b/>
                <w:bCs/>
                <w:i/>
              </w:rPr>
            </w:pPr>
            <w:r>
              <w:rPr>
                <w:rFonts w:ascii="Arial" w:hAnsi="Arial" w:cs="Arial"/>
                <w:b/>
                <w:bCs/>
                <w:i/>
              </w:rPr>
              <w:t>Factor aplicable al impuesto causado</w:t>
            </w:r>
          </w:p>
        </w:tc>
      </w:tr>
      <w:tr w:rsidR="00D3344B" w14:paraId="24B47228" w14:textId="77777777">
        <w:trPr>
          <w:jc w:val="center"/>
        </w:trPr>
        <w:tc>
          <w:tcPr>
            <w:tcW w:w="2168" w:type="dxa"/>
          </w:tcPr>
          <w:p w14:paraId="2557D642" w14:textId="77777777" w:rsidR="00D3344B" w:rsidRDefault="00143C25">
            <w:pPr>
              <w:widowControl w:val="0"/>
              <w:snapToGrid w:val="0"/>
              <w:rPr>
                <w:rFonts w:ascii="Arial" w:hAnsi="Arial" w:cs="Arial"/>
                <w:bCs/>
                <w:i/>
              </w:rPr>
            </w:pPr>
            <w:r>
              <w:rPr>
                <w:rFonts w:ascii="Arial" w:hAnsi="Arial" w:cs="Arial"/>
                <w:bCs/>
                <w:i/>
              </w:rPr>
              <w:t>Febrero</w:t>
            </w:r>
          </w:p>
        </w:tc>
        <w:tc>
          <w:tcPr>
            <w:tcW w:w="3076" w:type="dxa"/>
          </w:tcPr>
          <w:p w14:paraId="35C36989" w14:textId="77777777" w:rsidR="00D3344B" w:rsidRDefault="00143C25">
            <w:pPr>
              <w:widowControl w:val="0"/>
              <w:snapToGrid w:val="0"/>
              <w:jc w:val="center"/>
              <w:rPr>
                <w:rFonts w:ascii="Arial" w:hAnsi="Arial" w:cs="Arial"/>
                <w:bCs/>
                <w:i/>
              </w:rPr>
            </w:pPr>
            <w:r>
              <w:rPr>
                <w:rFonts w:ascii="Arial" w:hAnsi="Arial" w:cs="Arial"/>
                <w:bCs/>
                <w:i/>
              </w:rPr>
              <w:t>0.92</w:t>
            </w:r>
          </w:p>
        </w:tc>
      </w:tr>
      <w:tr w:rsidR="00D3344B" w14:paraId="5510354A" w14:textId="77777777">
        <w:trPr>
          <w:jc w:val="center"/>
        </w:trPr>
        <w:tc>
          <w:tcPr>
            <w:tcW w:w="2168" w:type="dxa"/>
          </w:tcPr>
          <w:p w14:paraId="398C23A7" w14:textId="77777777" w:rsidR="00D3344B" w:rsidRDefault="00143C25">
            <w:pPr>
              <w:widowControl w:val="0"/>
              <w:snapToGrid w:val="0"/>
              <w:rPr>
                <w:rFonts w:ascii="Arial" w:hAnsi="Arial" w:cs="Arial"/>
                <w:bCs/>
                <w:i/>
              </w:rPr>
            </w:pPr>
            <w:r>
              <w:rPr>
                <w:rFonts w:ascii="Arial" w:hAnsi="Arial" w:cs="Arial"/>
                <w:bCs/>
                <w:i/>
              </w:rPr>
              <w:t>Marzo</w:t>
            </w:r>
          </w:p>
        </w:tc>
        <w:tc>
          <w:tcPr>
            <w:tcW w:w="3076" w:type="dxa"/>
          </w:tcPr>
          <w:p w14:paraId="50407D35" w14:textId="77777777" w:rsidR="00D3344B" w:rsidRDefault="00143C25">
            <w:pPr>
              <w:widowControl w:val="0"/>
              <w:snapToGrid w:val="0"/>
              <w:jc w:val="center"/>
              <w:rPr>
                <w:rFonts w:ascii="Arial" w:hAnsi="Arial" w:cs="Arial"/>
                <w:bCs/>
                <w:i/>
              </w:rPr>
            </w:pPr>
            <w:r>
              <w:rPr>
                <w:rFonts w:ascii="Arial" w:hAnsi="Arial" w:cs="Arial"/>
                <w:bCs/>
                <w:i/>
              </w:rPr>
              <w:t>0.83</w:t>
            </w:r>
          </w:p>
        </w:tc>
      </w:tr>
      <w:tr w:rsidR="00D3344B" w14:paraId="6CBE0350" w14:textId="77777777">
        <w:trPr>
          <w:jc w:val="center"/>
        </w:trPr>
        <w:tc>
          <w:tcPr>
            <w:tcW w:w="2168" w:type="dxa"/>
          </w:tcPr>
          <w:p w14:paraId="69D94C52" w14:textId="77777777" w:rsidR="00D3344B" w:rsidRDefault="00143C25">
            <w:pPr>
              <w:widowControl w:val="0"/>
              <w:snapToGrid w:val="0"/>
              <w:rPr>
                <w:rFonts w:ascii="Arial" w:hAnsi="Arial" w:cs="Arial"/>
                <w:bCs/>
                <w:i/>
              </w:rPr>
            </w:pPr>
            <w:r>
              <w:rPr>
                <w:rFonts w:ascii="Arial" w:hAnsi="Arial" w:cs="Arial"/>
                <w:bCs/>
                <w:i/>
              </w:rPr>
              <w:lastRenderedPageBreak/>
              <w:t>Abril</w:t>
            </w:r>
          </w:p>
        </w:tc>
        <w:tc>
          <w:tcPr>
            <w:tcW w:w="3076" w:type="dxa"/>
          </w:tcPr>
          <w:p w14:paraId="5051C9F8" w14:textId="77777777" w:rsidR="00D3344B" w:rsidRDefault="00143C25">
            <w:pPr>
              <w:widowControl w:val="0"/>
              <w:snapToGrid w:val="0"/>
              <w:jc w:val="center"/>
              <w:rPr>
                <w:rFonts w:ascii="Arial" w:hAnsi="Arial" w:cs="Arial"/>
                <w:bCs/>
                <w:i/>
              </w:rPr>
            </w:pPr>
            <w:r>
              <w:rPr>
                <w:rFonts w:ascii="Arial" w:hAnsi="Arial" w:cs="Arial"/>
                <w:bCs/>
                <w:i/>
              </w:rPr>
              <w:t>0.75</w:t>
            </w:r>
          </w:p>
        </w:tc>
      </w:tr>
      <w:tr w:rsidR="00D3344B" w14:paraId="068280EF" w14:textId="77777777">
        <w:trPr>
          <w:jc w:val="center"/>
        </w:trPr>
        <w:tc>
          <w:tcPr>
            <w:tcW w:w="2168" w:type="dxa"/>
          </w:tcPr>
          <w:p w14:paraId="5091F432" w14:textId="77777777" w:rsidR="00D3344B" w:rsidRDefault="00143C25">
            <w:pPr>
              <w:widowControl w:val="0"/>
              <w:snapToGrid w:val="0"/>
              <w:rPr>
                <w:rFonts w:ascii="Arial" w:hAnsi="Arial" w:cs="Arial"/>
                <w:bCs/>
                <w:i/>
              </w:rPr>
            </w:pPr>
            <w:r>
              <w:rPr>
                <w:rFonts w:ascii="Arial" w:hAnsi="Arial" w:cs="Arial"/>
                <w:bCs/>
                <w:i/>
              </w:rPr>
              <w:t>Mayo</w:t>
            </w:r>
          </w:p>
        </w:tc>
        <w:tc>
          <w:tcPr>
            <w:tcW w:w="3076" w:type="dxa"/>
          </w:tcPr>
          <w:p w14:paraId="0A51FDCE" w14:textId="77777777" w:rsidR="00D3344B" w:rsidRDefault="00143C25">
            <w:pPr>
              <w:widowControl w:val="0"/>
              <w:snapToGrid w:val="0"/>
              <w:jc w:val="center"/>
              <w:rPr>
                <w:rFonts w:ascii="Arial" w:hAnsi="Arial" w:cs="Arial"/>
                <w:bCs/>
                <w:i/>
              </w:rPr>
            </w:pPr>
            <w:r>
              <w:rPr>
                <w:rFonts w:ascii="Arial" w:hAnsi="Arial" w:cs="Arial"/>
                <w:bCs/>
                <w:i/>
              </w:rPr>
              <w:t>0.67</w:t>
            </w:r>
          </w:p>
        </w:tc>
      </w:tr>
      <w:tr w:rsidR="00D3344B" w14:paraId="415BA35F" w14:textId="77777777">
        <w:trPr>
          <w:jc w:val="center"/>
        </w:trPr>
        <w:tc>
          <w:tcPr>
            <w:tcW w:w="2168" w:type="dxa"/>
          </w:tcPr>
          <w:p w14:paraId="57991409" w14:textId="77777777" w:rsidR="00D3344B" w:rsidRDefault="00143C25">
            <w:pPr>
              <w:widowControl w:val="0"/>
              <w:snapToGrid w:val="0"/>
              <w:rPr>
                <w:rFonts w:ascii="Arial" w:hAnsi="Arial" w:cs="Arial"/>
                <w:bCs/>
                <w:i/>
              </w:rPr>
            </w:pPr>
            <w:r>
              <w:rPr>
                <w:rFonts w:ascii="Arial" w:hAnsi="Arial" w:cs="Arial"/>
                <w:bCs/>
                <w:i/>
              </w:rPr>
              <w:t>Junio</w:t>
            </w:r>
          </w:p>
        </w:tc>
        <w:tc>
          <w:tcPr>
            <w:tcW w:w="3076" w:type="dxa"/>
          </w:tcPr>
          <w:p w14:paraId="26A2747D" w14:textId="77777777" w:rsidR="00D3344B" w:rsidRDefault="00143C25">
            <w:pPr>
              <w:widowControl w:val="0"/>
              <w:snapToGrid w:val="0"/>
              <w:jc w:val="center"/>
              <w:rPr>
                <w:rFonts w:ascii="Arial" w:hAnsi="Arial" w:cs="Arial"/>
                <w:bCs/>
                <w:i/>
              </w:rPr>
            </w:pPr>
            <w:r>
              <w:rPr>
                <w:rFonts w:ascii="Arial" w:hAnsi="Arial" w:cs="Arial"/>
                <w:bCs/>
                <w:i/>
              </w:rPr>
              <w:t>0.58</w:t>
            </w:r>
          </w:p>
        </w:tc>
      </w:tr>
      <w:tr w:rsidR="00D3344B" w14:paraId="32665EB8" w14:textId="77777777">
        <w:trPr>
          <w:jc w:val="center"/>
        </w:trPr>
        <w:tc>
          <w:tcPr>
            <w:tcW w:w="2168" w:type="dxa"/>
          </w:tcPr>
          <w:p w14:paraId="739743AF" w14:textId="77777777" w:rsidR="00D3344B" w:rsidRDefault="00143C25">
            <w:pPr>
              <w:widowControl w:val="0"/>
              <w:snapToGrid w:val="0"/>
              <w:rPr>
                <w:rFonts w:ascii="Arial" w:hAnsi="Arial" w:cs="Arial"/>
                <w:bCs/>
                <w:i/>
              </w:rPr>
            </w:pPr>
            <w:r>
              <w:rPr>
                <w:rFonts w:ascii="Arial" w:hAnsi="Arial" w:cs="Arial"/>
                <w:bCs/>
                <w:i/>
              </w:rPr>
              <w:t>Julio</w:t>
            </w:r>
          </w:p>
        </w:tc>
        <w:tc>
          <w:tcPr>
            <w:tcW w:w="3076" w:type="dxa"/>
          </w:tcPr>
          <w:p w14:paraId="0D0C780E" w14:textId="77777777" w:rsidR="00D3344B" w:rsidRDefault="00143C25">
            <w:pPr>
              <w:widowControl w:val="0"/>
              <w:snapToGrid w:val="0"/>
              <w:jc w:val="center"/>
              <w:rPr>
                <w:rFonts w:ascii="Arial" w:hAnsi="Arial" w:cs="Arial"/>
                <w:bCs/>
                <w:i/>
              </w:rPr>
            </w:pPr>
            <w:r>
              <w:rPr>
                <w:rFonts w:ascii="Arial" w:hAnsi="Arial" w:cs="Arial"/>
                <w:bCs/>
                <w:i/>
              </w:rPr>
              <w:t>0.50</w:t>
            </w:r>
          </w:p>
        </w:tc>
      </w:tr>
      <w:tr w:rsidR="00D3344B" w14:paraId="722D4298" w14:textId="77777777">
        <w:trPr>
          <w:jc w:val="center"/>
        </w:trPr>
        <w:tc>
          <w:tcPr>
            <w:tcW w:w="2168" w:type="dxa"/>
          </w:tcPr>
          <w:p w14:paraId="1C4C8413" w14:textId="77777777" w:rsidR="00D3344B" w:rsidRDefault="00143C25">
            <w:pPr>
              <w:widowControl w:val="0"/>
              <w:snapToGrid w:val="0"/>
              <w:rPr>
                <w:rFonts w:ascii="Arial" w:hAnsi="Arial" w:cs="Arial"/>
                <w:bCs/>
                <w:i/>
              </w:rPr>
            </w:pPr>
            <w:r>
              <w:rPr>
                <w:rFonts w:ascii="Arial" w:hAnsi="Arial" w:cs="Arial"/>
                <w:bCs/>
                <w:i/>
              </w:rPr>
              <w:t>Agosto</w:t>
            </w:r>
          </w:p>
        </w:tc>
        <w:tc>
          <w:tcPr>
            <w:tcW w:w="3076" w:type="dxa"/>
          </w:tcPr>
          <w:p w14:paraId="3E738E77" w14:textId="77777777" w:rsidR="00D3344B" w:rsidRDefault="00143C25">
            <w:pPr>
              <w:widowControl w:val="0"/>
              <w:snapToGrid w:val="0"/>
              <w:jc w:val="center"/>
              <w:rPr>
                <w:rFonts w:ascii="Arial" w:hAnsi="Arial" w:cs="Arial"/>
                <w:bCs/>
                <w:i/>
              </w:rPr>
            </w:pPr>
            <w:r>
              <w:rPr>
                <w:rFonts w:ascii="Arial" w:hAnsi="Arial" w:cs="Arial"/>
                <w:bCs/>
                <w:i/>
              </w:rPr>
              <w:t>0.42</w:t>
            </w:r>
          </w:p>
        </w:tc>
      </w:tr>
      <w:tr w:rsidR="00D3344B" w14:paraId="48082E22" w14:textId="77777777">
        <w:trPr>
          <w:jc w:val="center"/>
        </w:trPr>
        <w:tc>
          <w:tcPr>
            <w:tcW w:w="2168" w:type="dxa"/>
          </w:tcPr>
          <w:p w14:paraId="4D60B97A" w14:textId="77777777" w:rsidR="00D3344B" w:rsidRDefault="00143C25">
            <w:pPr>
              <w:widowControl w:val="0"/>
              <w:snapToGrid w:val="0"/>
              <w:rPr>
                <w:rFonts w:ascii="Arial" w:hAnsi="Arial" w:cs="Arial"/>
                <w:bCs/>
                <w:i/>
              </w:rPr>
            </w:pPr>
            <w:r>
              <w:rPr>
                <w:rFonts w:ascii="Arial" w:hAnsi="Arial" w:cs="Arial"/>
                <w:bCs/>
                <w:i/>
              </w:rPr>
              <w:t>Septiembre</w:t>
            </w:r>
          </w:p>
        </w:tc>
        <w:tc>
          <w:tcPr>
            <w:tcW w:w="3076" w:type="dxa"/>
          </w:tcPr>
          <w:p w14:paraId="12B86BB1" w14:textId="77777777" w:rsidR="00D3344B" w:rsidRDefault="00143C25">
            <w:pPr>
              <w:widowControl w:val="0"/>
              <w:snapToGrid w:val="0"/>
              <w:jc w:val="center"/>
              <w:rPr>
                <w:rFonts w:ascii="Arial" w:hAnsi="Arial" w:cs="Arial"/>
                <w:bCs/>
                <w:i/>
              </w:rPr>
            </w:pPr>
            <w:r>
              <w:rPr>
                <w:rFonts w:ascii="Arial" w:hAnsi="Arial" w:cs="Arial"/>
                <w:bCs/>
                <w:i/>
              </w:rPr>
              <w:t>0.33</w:t>
            </w:r>
          </w:p>
        </w:tc>
      </w:tr>
      <w:tr w:rsidR="00D3344B" w14:paraId="7DAB796C" w14:textId="77777777">
        <w:trPr>
          <w:jc w:val="center"/>
        </w:trPr>
        <w:tc>
          <w:tcPr>
            <w:tcW w:w="2168" w:type="dxa"/>
          </w:tcPr>
          <w:p w14:paraId="7CDE971B" w14:textId="77777777" w:rsidR="00D3344B" w:rsidRDefault="00143C25">
            <w:pPr>
              <w:widowControl w:val="0"/>
              <w:snapToGrid w:val="0"/>
              <w:rPr>
                <w:rFonts w:ascii="Arial" w:hAnsi="Arial" w:cs="Arial"/>
                <w:bCs/>
                <w:i/>
              </w:rPr>
            </w:pPr>
            <w:r>
              <w:rPr>
                <w:rFonts w:ascii="Arial" w:hAnsi="Arial" w:cs="Arial"/>
                <w:bCs/>
                <w:i/>
              </w:rPr>
              <w:t>Octubre</w:t>
            </w:r>
          </w:p>
        </w:tc>
        <w:tc>
          <w:tcPr>
            <w:tcW w:w="3076" w:type="dxa"/>
          </w:tcPr>
          <w:p w14:paraId="0257CEF7" w14:textId="77777777" w:rsidR="00D3344B" w:rsidRDefault="00143C25">
            <w:pPr>
              <w:widowControl w:val="0"/>
              <w:snapToGrid w:val="0"/>
              <w:jc w:val="center"/>
              <w:rPr>
                <w:rFonts w:ascii="Arial" w:hAnsi="Arial" w:cs="Arial"/>
                <w:bCs/>
                <w:i/>
              </w:rPr>
            </w:pPr>
            <w:r>
              <w:rPr>
                <w:rFonts w:ascii="Arial" w:hAnsi="Arial" w:cs="Arial"/>
                <w:bCs/>
                <w:i/>
              </w:rPr>
              <w:t>0.25</w:t>
            </w:r>
          </w:p>
        </w:tc>
      </w:tr>
      <w:tr w:rsidR="00D3344B" w14:paraId="4C4A0846" w14:textId="77777777">
        <w:trPr>
          <w:jc w:val="center"/>
        </w:trPr>
        <w:tc>
          <w:tcPr>
            <w:tcW w:w="2168" w:type="dxa"/>
          </w:tcPr>
          <w:p w14:paraId="365E1E12" w14:textId="77777777" w:rsidR="00D3344B" w:rsidRDefault="00143C25">
            <w:pPr>
              <w:widowControl w:val="0"/>
              <w:snapToGrid w:val="0"/>
              <w:rPr>
                <w:rFonts w:ascii="Arial" w:hAnsi="Arial" w:cs="Arial"/>
                <w:bCs/>
                <w:i/>
              </w:rPr>
            </w:pPr>
            <w:r>
              <w:rPr>
                <w:rFonts w:ascii="Arial" w:hAnsi="Arial" w:cs="Arial"/>
                <w:bCs/>
                <w:i/>
              </w:rPr>
              <w:t>Noviembre</w:t>
            </w:r>
          </w:p>
        </w:tc>
        <w:tc>
          <w:tcPr>
            <w:tcW w:w="3076" w:type="dxa"/>
          </w:tcPr>
          <w:p w14:paraId="53B4706E" w14:textId="77777777" w:rsidR="00D3344B" w:rsidRDefault="00143C25">
            <w:pPr>
              <w:widowControl w:val="0"/>
              <w:snapToGrid w:val="0"/>
              <w:jc w:val="center"/>
              <w:rPr>
                <w:rFonts w:ascii="Arial" w:hAnsi="Arial" w:cs="Arial"/>
                <w:bCs/>
                <w:i/>
              </w:rPr>
            </w:pPr>
            <w:r>
              <w:rPr>
                <w:rFonts w:ascii="Arial" w:hAnsi="Arial" w:cs="Arial"/>
                <w:bCs/>
                <w:i/>
              </w:rPr>
              <w:t>0.17</w:t>
            </w:r>
          </w:p>
        </w:tc>
      </w:tr>
      <w:tr w:rsidR="00D3344B" w14:paraId="78F4D74B" w14:textId="77777777">
        <w:trPr>
          <w:jc w:val="center"/>
        </w:trPr>
        <w:tc>
          <w:tcPr>
            <w:tcW w:w="2168" w:type="dxa"/>
          </w:tcPr>
          <w:p w14:paraId="4F2C36E0" w14:textId="77777777" w:rsidR="00D3344B" w:rsidRDefault="00143C25">
            <w:pPr>
              <w:widowControl w:val="0"/>
              <w:snapToGrid w:val="0"/>
              <w:rPr>
                <w:rFonts w:ascii="Arial" w:hAnsi="Arial" w:cs="Arial"/>
                <w:bCs/>
                <w:i/>
              </w:rPr>
            </w:pPr>
            <w:r>
              <w:rPr>
                <w:rFonts w:ascii="Arial" w:hAnsi="Arial" w:cs="Arial"/>
                <w:bCs/>
                <w:i/>
              </w:rPr>
              <w:t>Diciembre</w:t>
            </w:r>
          </w:p>
        </w:tc>
        <w:tc>
          <w:tcPr>
            <w:tcW w:w="3076" w:type="dxa"/>
          </w:tcPr>
          <w:p w14:paraId="6E421A38" w14:textId="77777777" w:rsidR="00D3344B" w:rsidRDefault="00143C25">
            <w:pPr>
              <w:widowControl w:val="0"/>
              <w:snapToGrid w:val="0"/>
              <w:jc w:val="center"/>
              <w:rPr>
                <w:rFonts w:ascii="Arial" w:hAnsi="Arial" w:cs="Arial"/>
                <w:bCs/>
                <w:i/>
              </w:rPr>
            </w:pPr>
            <w:r>
              <w:rPr>
                <w:rFonts w:ascii="Arial" w:hAnsi="Arial" w:cs="Arial"/>
                <w:bCs/>
                <w:i/>
              </w:rPr>
              <w:t>0.08</w:t>
            </w:r>
          </w:p>
        </w:tc>
      </w:tr>
    </w:tbl>
    <w:p w14:paraId="63F44950" w14:textId="77777777" w:rsidR="00D3344B" w:rsidRDefault="00D3344B">
      <w:pPr>
        <w:pStyle w:val="Estilo"/>
        <w:rPr>
          <w:rFonts w:cs="Arial"/>
        </w:rPr>
      </w:pPr>
    </w:p>
    <w:p w14:paraId="2DAD5FA6" w14:textId="77777777" w:rsidR="00D3344B" w:rsidRDefault="00143C25">
      <w:pPr>
        <w:pStyle w:val="Estilo"/>
        <w:rPr>
          <w:rFonts w:cs="Arial"/>
        </w:rPr>
      </w:pPr>
      <w:r>
        <w:rPr>
          <w:rFonts w:cs="Arial"/>
        </w:rPr>
        <w:t>En la enajenación o importación de vehículos nuevos de año modelo posterior al de aplicación de este Código, se pagará el impuesto correspondiente al año de calendario en que se enajene o importe, según corresponda. El impuesto para dichos vehículos se determinará en el siguiente año de calendario bajo el criterio de vehículo nuevo.</w:t>
      </w:r>
    </w:p>
    <w:p w14:paraId="6F3B381F" w14:textId="77777777" w:rsidR="00D3344B" w:rsidRDefault="00D3344B">
      <w:pPr>
        <w:pStyle w:val="Estilo"/>
        <w:rPr>
          <w:rFonts w:cs="Arial"/>
        </w:rPr>
      </w:pPr>
    </w:p>
    <w:p w14:paraId="4DE4EEC7" w14:textId="77777777" w:rsidR="00D3344B" w:rsidRDefault="00143C25">
      <w:pPr>
        <w:pStyle w:val="Estilo"/>
        <w:rPr>
          <w:rFonts w:cs="Arial"/>
        </w:rPr>
      </w:pPr>
      <w:r>
        <w:rPr>
          <w:rFonts w:cs="Arial"/>
        </w:rPr>
        <w:t>En caso de que no puedan comprobarse los años de antigüedad del vehículo, el impuesto a que se refiere este Código, se pagará como si éste fuese nuevo.</w:t>
      </w:r>
    </w:p>
    <w:p w14:paraId="62A92953" w14:textId="77777777" w:rsidR="00D3344B" w:rsidRDefault="00D3344B">
      <w:pPr>
        <w:pStyle w:val="Estilo"/>
        <w:rPr>
          <w:rFonts w:cs="Arial"/>
        </w:rPr>
      </w:pPr>
    </w:p>
    <w:p w14:paraId="0EA3379D" w14:textId="77777777" w:rsidR="00D3344B" w:rsidRDefault="00143C25">
      <w:pPr>
        <w:pStyle w:val="Estilo"/>
        <w:rPr>
          <w:rFonts w:cs="Arial"/>
        </w:rPr>
      </w:pPr>
      <w:r>
        <w:rPr>
          <w:rFonts w:cs="Arial"/>
        </w:rPr>
        <w:t>Tratándose de vehículos nuevos, este impuesto deberá enterarse en un plazo no mayor a 15 días hábiles siguientes a la fecha de su adquisición.</w:t>
      </w:r>
    </w:p>
    <w:p w14:paraId="26992913" w14:textId="77777777" w:rsidR="00D3344B" w:rsidRDefault="00D3344B">
      <w:pPr>
        <w:pStyle w:val="Estilo"/>
        <w:rPr>
          <w:rFonts w:cs="Arial"/>
        </w:rPr>
      </w:pPr>
    </w:p>
    <w:p w14:paraId="5CC989BA" w14:textId="77777777" w:rsidR="00D3344B" w:rsidRDefault="00143C25">
      <w:pPr>
        <w:pStyle w:val="Estilo"/>
        <w:rPr>
          <w:rFonts w:cs="Arial"/>
        </w:rPr>
      </w:pPr>
      <w:r>
        <w:rPr>
          <w:rFonts w:cs="Arial"/>
        </w:rPr>
        <w:t>Para aquellos vehículos que porten placas de transporte público federal, el impuesto se pagará en los plazos, lugares y formas previstas en el primer párrafo de este artículo, siempre y cuando el domicilio fiscal que el propietario tenga registrado ante la Secretaría de Hacienda y Crédito Público se encuentre dentro del territorio del Estado.</w:t>
      </w:r>
    </w:p>
    <w:p w14:paraId="3AB59DE1" w14:textId="77777777" w:rsidR="00D3344B" w:rsidRDefault="00D3344B">
      <w:pPr>
        <w:pStyle w:val="Estilo"/>
        <w:rPr>
          <w:rFonts w:cs="Arial"/>
        </w:rPr>
      </w:pPr>
    </w:p>
    <w:p w14:paraId="64769D7F" w14:textId="77777777" w:rsidR="00D3344B" w:rsidRDefault="00143C25">
      <w:pPr>
        <w:pStyle w:val="Estilo"/>
        <w:rPr>
          <w:rFonts w:cs="Arial"/>
        </w:rPr>
      </w:pPr>
      <w:r>
        <w:rPr>
          <w:rFonts w:cs="Arial"/>
        </w:rPr>
        <w:t>En los casos de vehículos procedentes de otras entidades federativas, y de los de procedencia extranjera internados en el país en régimen de importación definitiva, el impuesto deberá calcularse de conformidad a lo establecido por este capítulo y los convenios que al efecto se suscriba con las autoridades competentes, y enterarse a más tardar dentro de los treinta días siguientes a aquel en que se adquirió o interno el vehículo. Para los siguientes años de calendario, se estará a lo dispuesto en este Capítulo.</w:t>
      </w:r>
    </w:p>
    <w:p w14:paraId="35850C65" w14:textId="77777777" w:rsidR="00D3344B" w:rsidRDefault="00D3344B">
      <w:pPr>
        <w:pStyle w:val="Estilo"/>
        <w:rPr>
          <w:rFonts w:cs="Arial"/>
        </w:rPr>
      </w:pPr>
    </w:p>
    <w:p w14:paraId="4C3950D0" w14:textId="77777777" w:rsidR="00D3344B" w:rsidRDefault="00143C25">
      <w:pPr>
        <w:pStyle w:val="Estilo"/>
        <w:rPr>
          <w:rFonts w:cs="Arial"/>
        </w:rPr>
      </w:pPr>
      <w:r>
        <w:rPr>
          <w:rFonts w:cs="Arial"/>
          <w:b/>
        </w:rPr>
        <w:t>Artículo 96.</w:t>
      </w:r>
      <w:r>
        <w:rPr>
          <w:rFonts w:cs="Arial"/>
        </w:rPr>
        <w:t xml:space="preserve"> Son responsables solidarios del pago de este impuesto:</w:t>
      </w:r>
    </w:p>
    <w:p w14:paraId="4DDE1866" w14:textId="77777777" w:rsidR="00D3344B" w:rsidRDefault="00D3344B">
      <w:pPr>
        <w:pStyle w:val="Estilo"/>
        <w:rPr>
          <w:rFonts w:cs="Arial"/>
        </w:rPr>
      </w:pPr>
    </w:p>
    <w:p w14:paraId="5C5ADCEA" w14:textId="77777777" w:rsidR="00D3344B" w:rsidRDefault="00143C25">
      <w:pPr>
        <w:pStyle w:val="Estilo"/>
        <w:ind w:left="567" w:hanging="567"/>
        <w:rPr>
          <w:rFonts w:cs="Arial"/>
        </w:rPr>
      </w:pPr>
      <w:r>
        <w:rPr>
          <w:rFonts w:cs="Arial"/>
        </w:rPr>
        <w:lastRenderedPageBreak/>
        <w:t xml:space="preserve">I. </w:t>
      </w:r>
      <w:r>
        <w:rPr>
          <w:rFonts w:cs="Arial"/>
        </w:rPr>
        <w:tab/>
        <w:t>Quienes por cualquier título adquieran la propiedad, tenencia o uso de los vehículos a que se refiere este Capítulo, incluso en consignación o comisión, hasta por el monto del impuesto que, en su caso se hubiese dejado de pagar, y</w:t>
      </w:r>
    </w:p>
    <w:p w14:paraId="24D9F160" w14:textId="77777777" w:rsidR="00D3344B" w:rsidRDefault="00D3344B">
      <w:pPr>
        <w:pStyle w:val="Estilo"/>
        <w:ind w:left="567" w:hanging="567"/>
        <w:rPr>
          <w:rFonts w:cs="Arial"/>
        </w:rPr>
      </w:pPr>
    </w:p>
    <w:p w14:paraId="580DA6B9" w14:textId="77777777" w:rsidR="00D3344B" w:rsidRDefault="00143C25">
      <w:pPr>
        <w:pStyle w:val="Estilo"/>
        <w:ind w:left="567" w:hanging="567"/>
        <w:rPr>
          <w:rFonts w:cs="Arial"/>
        </w:rPr>
      </w:pPr>
      <w:r>
        <w:rPr>
          <w:rFonts w:cs="Arial"/>
          <w:i/>
          <w:sz w:val="16"/>
        </w:rPr>
        <w:tab/>
        <w:t>(REFORMADA, P.O. 31 DE DICIEMBRE DE 2007)</w:t>
      </w:r>
    </w:p>
    <w:p w14:paraId="1EC1DF8D" w14:textId="77777777" w:rsidR="00D3344B" w:rsidRDefault="00143C25">
      <w:pPr>
        <w:pStyle w:val="Estilo"/>
        <w:ind w:left="567" w:hanging="567"/>
        <w:rPr>
          <w:rFonts w:cs="Arial"/>
        </w:rPr>
      </w:pPr>
      <w:r>
        <w:rPr>
          <w:rFonts w:cs="Arial"/>
        </w:rPr>
        <w:t xml:space="preserve">II. </w:t>
      </w:r>
      <w:r>
        <w:rPr>
          <w:rFonts w:cs="Arial"/>
        </w:rPr>
        <w:tab/>
        <w:t>Las personas que en ejercicio de sus funciones autoricen altas en el padrón vehicular estatal o cambios de placas sin cerciorarse del pago de este Impuesto.</w:t>
      </w:r>
    </w:p>
    <w:p w14:paraId="0EA9DD9F" w14:textId="77777777" w:rsidR="00D3344B" w:rsidRDefault="00D3344B">
      <w:pPr>
        <w:pStyle w:val="Estilo"/>
        <w:rPr>
          <w:rFonts w:cs="Arial"/>
        </w:rPr>
      </w:pPr>
    </w:p>
    <w:p w14:paraId="25A7D57C" w14:textId="77777777" w:rsidR="00D3344B" w:rsidRDefault="00143C25">
      <w:pPr>
        <w:pStyle w:val="Estilo"/>
        <w:rPr>
          <w:rFonts w:cs="Arial"/>
        </w:rPr>
      </w:pPr>
      <w:r>
        <w:rPr>
          <w:rFonts w:cs="Arial"/>
          <w:i/>
          <w:sz w:val="16"/>
        </w:rPr>
        <w:t>(ADICIONADO, P.O. 16 DE MARZO DE 2011)</w:t>
      </w:r>
    </w:p>
    <w:p w14:paraId="32B5BCC8" w14:textId="77777777" w:rsidR="00D3344B" w:rsidRDefault="00143C25">
      <w:pPr>
        <w:pStyle w:val="Estilo"/>
        <w:rPr>
          <w:rFonts w:cs="Arial"/>
        </w:rPr>
      </w:pPr>
      <w:r>
        <w:rPr>
          <w:rFonts w:cs="Arial"/>
        </w:rPr>
        <w:t>Los servidores o empleados públicos que realicen los actos administrativos a que se refieren las fracciones anteriores, solamente registrarán vehículos cuyos propietarios se encuentren domiciliados en el territorio del Estado.</w:t>
      </w:r>
    </w:p>
    <w:p w14:paraId="01180A1E" w14:textId="77777777" w:rsidR="00D3344B" w:rsidRDefault="00D3344B">
      <w:pPr>
        <w:pStyle w:val="Estilo"/>
        <w:rPr>
          <w:rFonts w:cs="Arial"/>
        </w:rPr>
      </w:pPr>
    </w:p>
    <w:p w14:paraId="1248E2FD" w14:textId="77777777" w:rsidR="00D3344B" w:rsidRDefault="00143C25">
      <w:pPr>
        <w:pStyle w:val="Estilo"/>
        <w:rPr>
          <w:rFonts w:cs="Arial"/>
        </w:rPr>
      </w:pPr>
      <w:r>
        <w:rPr>
          <w:rFonts w:cs="Arial"/>
          <w:i/>
          <w:sz w:val="16"/>
        </w:rPr>
        <w:t>(REFORMADO, P.O. 16 DE MARZO DE 2011)</w:t>
      </w:r>
    </w:p>
    <w:p w14:paraId="1138BF55" w14:textId="77777777" w:rsidR="00D3344B" w:rsidRDefault="00143C25">
      <w:pPr>
        <w:pStyle w:val="Estilo"/>
        <w:rPr>
          <w:rFonts w:cs="Arial"/>
        </w:rPr>
      </w:pPr>
      <w:r>
        <w:rPr>
          <w:rFonts w:cs="Arial"/>
          <w:b/>
        </w:rPr>
        <w:t>Artículo 97.</w:t>
      </w:r>
      <w:r>
        <w:rPr>
          <w:rFonts w:cs="Arial"/>
        </w:rPr>
        <w:t xml:space="preserve"> No están obligados al pago del gravamen a que se refiere este capítulo, los propietarios de los vehículos que a continuación se mencionan:</w:t>
      </w:r>
    </w:p>
    <w:p w14:paraId="4910E06E" w14:textId="77777777" w:rsidR="00D3344B" w:rsidRDefault="00D3344B">
      <w:pPr>
        <w:pStyle w:val="Estilo"/>
        <w:rPr>
          <w:rFonts w:cs="Arial"/>
        </w:rPr>
      </w:pPr>
    </w:p>
    <w:p w14:paraId="277EB52A" w14:textId="77777777" w:rsidR="00D3344B" w:rsidRDefault="00143C25">
      <w:pPr>
        <w:pStyle w:val="Estilo"/>
        <w:ind w:left="567" w:hanging="567"/>
        <w:rPr>
          <w:rFonts w:cs="Arial"/>
        </w:rPr>
      </w:pPr>
      <w:r>
        <w:rPr>
          <w:rFonts w:cs="Arial"/>
        </w:rPr>
        <w:t xml:space="preserve">I. </w:t>
      </w:r>
      <w:r>
        <w:rPr>
          <w:rFonts w:cs="Arial"/>
        </w:rPr>
        <w:tab/>
        <w:t>Los destinados al servicio de misiones diplomáticas y consulares de carrera extranjeras y de sus agentes diplomáticos y consulares de carrera, excluyendo a los cónsules generales honorarios, cónsules y vicecónsules honorarios, siempre que sea exclusivamente para uso oficial y exista reciprocidad;</w:t>
      </w:r>
    </w:p>
    <w:p w14:paraId="42F8DC48" w14:textId="77777777" w:rsidR="00D3344B" w:rsidRDefault="00D3344B">
      <w:pPr>
        <w:pStyle w:val="Estilo"/>
        <w:ind w:left="567" w:hanging="567"/>
        <w:rPr>
          <w:rFonts w:cs="Arial"/>
        </w:rPr>
      </w:pPr>
    </w:p>
    <w:p w14:paraId="60278FB2" w14:textId="77777777" w:rsidR="00D3344B" w:rsidRDefault="00143C25">
      <w:pPr>
        <w:pStyle w:val="Estilo"/>
        <w:ind w:left="567" w:hanging="567"/>
        <w:rPr>
          <w:rFonts w:cs="Arial"/>
        </w:rPr>
      </w:pPr>
      <w:r>
        <w:rPr>
          <w:rFonts w:cs="Arial"/>
        </w:rPr>
        <w:t xml:space="preserve">II. </w:t>
      </w:r>
      <w:r>
        <w:rPr>
          <w:rFonts w:cs="Arial"/>
        </w:rPr>
        <w:tab/>
        <w:t>Los que la Federación, Estado y Municipios utilicen para la prestación de los servicios públicos de rescate, patrullas, transportes de limpia, pipas de agua, servicios funerarios, y las ambulancias dependientes de cualquiera de esas entidades o de instituciones de beneficencia autorizadas por la Ley de la materia y los destinados a los cuerpos de bomberos;</w:t>
      </w:r>
    </w:p>
    <w:p w14:paraId="68C07BD3" w14:textId="77777777" w:rsidR="00D3344B" w:rsidRDefault="00D3344B">
      <w:pPr>
        <w:pStyle w:val="Estilo"/>
        <w:ind w:left="567" w:hanging="567"/>
        <w:rPr>
          <w:rFonts w:cs="Arial"/>
        </w:rPr>
      </w:pPr>
    </w:p>
    <w:p w14:paraId="3B5B3787" w14:textId="77777777" w:rsidR="00D3344B" w:rsidRDefault="00143C25">
      <w:pPr>
        <w:pStyle w:val="Estilo"/>
        <w:ind w:left="567" w:hanging="567"/>
        <w:rPr>
          <w:rFonts w:cs="Arial"/>
        </w:rPr>
      </w:pPr>
      <w:r>
        <w:rPr>
          <w:rFonts w:cs="Arial"/>
        </w:rPr>
        <w:t xml:space="preserve">III. </w:t>
      </w:r>
      <w:r>
        <w:rPr>
          <w:rFonts w:cs="Arial"/>
        </w:rPr>
        <w:tab/>
        <w:t>Los eléctricos o aquéllos que utilicen cualquier otra fuente de energía alternativa no contaminante, utilizados para el transporte público de personas;</w:t>
      </w:r>
    </w:p>
    <w:p w14:paraId="356E02C5" w14:textId="77777777" w:rsidR="00D3344B" w:rsidRDefault="00D3344B">
      <w:pPr>
        <w:pStyle w:val="Estilo"/>
        <w:ind w:left="567" w:hanging="567"/>
        <w:rPr>
          <w:rFonts w:cs="Arial"/>
        </w:rPr>
      </w:pPr>
    </w:p>
    <w:p w14:paraId="586D1967" w14:textId="77777777" w:rsidR="00D3344B" w:rsidRDefault="00143C25">
      <w:pPr>
        <w:pStyle w:val="Estilo"/>
        <w:ind w:left="567" w:hanging="567"/>
        <w:rPr>
          <w:rFonts w:cs="Arial"/>
        </w:rPr>
      </w:pPr>
      <w:r>
        <w:rPr>
          <w:rFonts w:cs="Arial"/>
        </w:rPr>
        <w:t xml:space="preserve">IV. </w:t>
      </w:r>
      <w:r>
        <w:rPr>
          <w:rFonts w:cs="Arial"/>
        </w:rPr>
        <w:tab/>
        <w:t>Los importados temporalmente en los términos de la legislación aduanera;</w:t>
      </w:r>
    </w:p>
    <w:p w14:paraId="6C747C73" w14:textId="77777777" w:rsidR="00D3344B" w:rsidRDefault="00D3344B">
      <w:pPr>
        <w:pStyle w:val="Estilo"/>
        <w:ind w:left="567" w:hanging="567"/>
        <w:rPr>
          <w:rFonts w:cs="Arial"/>
        </w:rPr>
      </w:pPr>
    </w:p>
    <w:p w14:paraId="4BD74788" w14:textId="77777777" w:rsidR="00D3344B" w:rsidRDefault="00143C25">
      <w:pPr>
        <w:pStyle w:val="Estilo"/>
        <w:ind w:left="567" w:hanging="567"/>
        <w:rPr>
          <w:rFonts w:cs="Arial"/>
        </w:rPr>
      </w:pPr>
      <w:r>
        <w:rPr>
          <w:rFonts w:cs="Arial"/>
        </w:rPr>
        <w:t xml:space="preserve">V. </w:t>
      </w:r>
      <w:r>
        <w:rPr>
          <w:rFonts w:cs="Arial"/>
        </w:rPr>
        <w:tab/>
        <w:t>Los que tengan para su venta los fabricantes, las plantas ensambladoras, sus distribuidores y los comerciantes en el ramo de vehículos, siempre que carezcan de placas de circulación;</w:t>
      </w:r>
    </w:p>
    <w:p w14:paraId="1CDFFAB5" w14:textId="77777777" w:rsidR="00D3344B" w:rsidRDefault="00D3344B">
      <w:pPr>
        <w:pStyle w:val="Estilo"/>
        <w:ind w:left="567" w:hanging="567"/>
        <w:rPr>
          <w:rFonts w:cs="Arial"/>
        </w:rPr>
      </w:pPr>
    </w:p>
    <w:p w14:paraId="57A1C479" w14:textId="77777777" w:rsidR="00D3344B" w:rsidRDefault="00143C25">
      <w:pPr>
        <w:pStyle w:val="Estilo"/>
        <w:ind w:left="567" w:hanging="567"/>
        <w:rPr>
          <w:rFonts w:cs="Arial"/>
        </w:rPr>
      </w:pPr>
      <w:r>
        <w:rPr>
          <w:rFonts w:cs="Arial"/>
        </w:rPr>
        <w:t xml:space="preserve">VI. </w:t>
      </w:r>
      <w:r>
        <w:rPr>
          <w:rFonts w:cs="Arial"/>
        </w:rPr>
        <w:tab/>
        <w:t>Las embarcaciones dedicadas al transporte mercante o a la pesca comercial;</w:t>
      </w:r>
    </w:p>
    <w:p w14:paraId="73FB442C" w14:textId="77777777" w:rsidR="00D3344B" w:rsidRDefault="00D3344B">
      <w:pPr>
        <w:pStyle w:val="Estilo"/>
        <w:ind w:left="567" w:hanging="567"/>
        <w:rPr>
          <w:rFonts w:cs="Arial"/>
        </w:rPr>
      </w:pPr>
    </w:p>
    <w:p w14:paraId="0973539C" w14:textId="77777777" w:rsidR="00D3344B" w:rsidRDefault="00143C25">
      <w:pPr>
        <w:pStyle w:val="Estilo"/>
        <w:ind w:left="567" w:hanging="567"/>
        <w:rPr>
          <w:rFonts w:cs="Arial"/>
        </w:rPr>
      </w:pPr>
      <w:r>
        <w:rPr>
          <w:rFonts w:cs="Arial"/>
        </w:rPr>
        <w:t xml:space="preserve">VII. </w:t>
      </w:r>
      <w:r>
        <w:rPr>
          <w:rFonts w:cs="Arial"/>
        </w:rPr>
        <w:tab/>
        <w:t xml:space="preserve">Las aeronaves </w:t>
      </w:r>
      <w:proofErr w:type="spellStart"/>
      <w:r>
        <w:rPr>
          <w:rFonts w:cs="Arial"/>
        </w:rPr>
        <w:t>monomotores</w:t>
      </w:r>
      <w:proofErr w:type="spellEnd"/>
      <w:r>
        <w:rPr>
          <w:rFonts w:cs="Arial"/>
        </w:rPr>
        <w:t xml:space="preserve"> de una plaza, fabricadas o adaptadas para fumigar, rociar o esparcir líquidos o sólidos, con tolva de carga; y</w:t>
      </w:r>
    </w:p>
    <w:p w14:paraId="285B3275" w14:textId="77777777" w:rsidR="00D3344B" w:rsidRDefault="00D3344B">
      <w:pPr>
        <w:pStyle w:val="Estilo"/>
        <w:ind w:left="567" w:hanging="567"/>
        <w:rPr>
          <w:rFonts w:cs="Arial"/>
        </w:rPr>
      </w:pPr>
    </w:p>
    <w:p w14:paraId="4DAB817A" w14:textId="77777777" w:rsidR="00D3344B" w:rsidRDefault="00143C25">
      <w:pPr>
        <w:pStyle w:val="Estilo"/>
        <w:ind w:left="567" w:hanging="567"/>
        <w:rPr>
          <w:rFonts w:cs="Arial"/>
        </w:rPr>
      </w:pPr>
      <w:r>
        <w:rPr>
          <w:rFonts w:cs="Arial"/>
        </w:rPr>
        <w:t xml:space="preserve">VIII. </w:t>
      </w:r>
      <w:r>
        <w:rPr>
          <w:rFonts w:cs="Arial"/>
        </w:rPr>
        <w:tab/>
        <w:t>Las aeronaves con más de veinte pasajeros, destinadas al aerotransporte de público en general.</w:t>
      </w:r>
    </w:p>
    <w:p w14:paraId="47931065" w14:textId="77777777" w:rsidR="00D3344B" w:rsidRDefault="00D3344B">
      <w:pPr>
        <w:pStyle w:val="Estilo"/>
        <w:rPr>
          <w:rFonts w:cs="Arial"/>
        </w:rPr>
      </w:pPr>
    </w:p>
    <w:p w14:paraId="6FE8BBD2" w14:textId="77777777" w:rsidR="00D3344B" w:rsidRDefault="00143C25">
      <w:pPr>
        <w:pStyle w:val="Estilo"/>
        <w:rPr>
          <w:rFonts w:cs="Arial"/>
        </w:rPr>
      </w:pPr>
      <w:r>
        <w:rPr>
          <w:rFonts w:cs="Arial"/>
        </w:rPr>
        <w:lastRenderedPageBreak/>
        <w:t>Los propietarios, tenedores o usuarios de los vehículos a que se refiere este artículo, para gozar del beneficio que el mismo establece, al momento de solicitarlo deberán de comprobar ante las Oficinas Recaudadoras y/o la Secretaría que se encuentran comprendidos en dichos supuestos.</w:t>
      </w:r>
    </w:p>
    <w:p w14:paraId="4E7A4BEB" w14:textId="77777777" w:rsidR="00D3344B" w:rsidRDefault="00D3344B">
      <w:pPr>
        <w:pStyle w:val="Estilo"/>
        <w:rPr>
          <w:rFonts w:cs="Arial"/>
        </w:rPr>
      </w:pPr>
    </w:p>
    <w:p w14:paraId="44BF4E1D" w14:textId="77777777" w:rsidR="00D3344B" w:rsidRDefault="00143C25">
      <w:pPr>
        <w:pStyle w:val="Estilo"/>
        <w:rPr>
          <w:rFonts w:cs="Arial"/>
        </w:rPr>
      </w:pPr>
      <w:r>
        <w:rPr>
          <w:rFonts w:cs="Arial"/>
        </w:rPr>
        <w:t>Cuando por cualquier motivo un vehículo deje de estar comprendido en los supuestos a que se refieren las fracciones anteriores, el propietario, tenedor o usuario del mismo deberá pagar el impuesto que corresponda dentro de los treinta días hábiles siguientes a aquél en que tenga lugar el hecho de que se trate, de manera proporcional a partir del mes en que dejó de estar comprendido en los supuestos señalados, aplicando el procedimiento previsto en el artículo 95 párrafo segundo de este Código.</w:t>
      </w:r>
    </w:p>
    <w:p w14:paraId="7A247CE8" w14:textId="77777777" w:rsidR="00D3344B" w:rsidRDefault="00D3344B">
      <w:pPr>
        <w:pStyle w:val="Estilo"/>
        <w:rPr>
          <w:rFonts w:cs="Arial"/>
        </w:rPr>
      </w:pPr>
    </w:p>
    <w:p w14:paraId="64D8D055"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ESTE ORDENAMIENTO.</w:t>
      </w:r>
    </w:p>
    <w:p w14:paraId="6CBD370D" w14:textId="77777777" w:rsidR="00D3344B" w:rsidRDefault="00143C25">
      <w:pPr>
        <w:pStyle w:val="Estilo"/>
        <w:rPr>
          <w:rFonts w:cs="Arial"/>
        </w:rPr>
      </w:pPr>
      <w:r>
        <w:rPr>
          <w:rFonts w:cs="Arial"/>
          <w:i/>
          <w:sz w:val="16"/>
        </w:rPr>
        <w:t>(ADICIONADO, P.O. 23 DE DICIEMBRE DE 2011)</w:t>
      </w:r>
    </w:p>
    <w:p w14:paraId="31F5D653" w14:textId="77777777" w:rsidR="00D3344B" w:rsidRDefault="00143C25">
      <w:pPr>
        <w:pStyle w:val="Estilo"/>
        <w:rPr>
          <w:rFonts w:cs="Arial"/>
        </w:rPr>
      </w:pPr>
      <w:r>
        <w:rPr>
          <w:rFonts w:cs="Arial"/>
          <w:b/>
        </w:rPr>
        <w:t>Artículo 97 A.</w:t>
      </w:r>
      <w:r>
        <w:rPr>
          <w:rFonts w:cs="Arial"/>
        </w:rPr>
        <w:t xml:space="preserve"> Tratándose de vehículos automotores nuevos, cuyo valor total del vehículo sea hasta por un monto de $175,000.00/100 M.N., el impuesto se calculará aplicando la tasa del 0%.</w:t>
      </w:r>
    </w:p>
    <w:p w14:paraId="3F2BF782" w14:textId="77777777" w:rsidR="00D3344B" w:rsidRDefault="00D3344B">
      <w:pPr>
        <w:pStyle w:val="Estilo"/>
        <w:rPr>
          <w:rFonts w:cs="Arial"/>
        </w:rPr>
      </w:pPr>
    </w:p>
    <w:p w14:paraId="14C30966" w14:textId="77777777" w:rsidR="00D3344B" w:rsidRDefault="00143C25">
      <w:pPr>
        <w:pStyle w:val="Estilo"/>
        <w:rPr>
          <w:rFonts w:cs="Arial"/>
        </w:rPr>
      </w:pPr>
      <w:r>
        <w:rPr>
          <w:rFonts w:cs="Arial"/>
        </w:rPr>
        <w:t>Para el caso de vehículos automotores nuevos, cuyo valor total del vehículo sea superior a la cantidad antes referida en el párrafo anterior, deberán calcular el impuesto sobre la diferencia obtenida entre el valor total del vehículo y la cantidad de $175,000.00/100 M.N., observando los procedimientos establecidos en la Sección II de este Capítulo.</w:t>
      </w:r>
    </w:p>
    <w:p w14:paraId="194C595C" w14:textId="77777777" w:rsidR="00D3344B" w:rsidRDefault="00D3344B">
      <w:pPr>
        <w:pStyle w:val="Estilo"/>
        <w:rPr>
          <w:rFonts w:cs="Arial"/>
        </w:rPr>
      </w:pPr>
    </w:p>
    <w:p w14:paraId="210CE6F4"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ESTE ORDENAMIENTO.</w:t>
      </w:r>
    </w:p>
    <w:p w14:paraId="0704F1E4" w14:textId="77777777" w:rsidR="00D3344B" w:rsidRDefault="00143C25">
      <w:pPr>
        <w:pStyle w:val="Estilo"/>
        <w:rPr>
          <w:rFonts w:cs="Arial"/>
        </w:rPr>
      </w:pPr>
      <w:r>
        <w:rPr>
          <w:rFonts w:cs="Arial"/>
          <w:i/>
          <w:sz w:val="16"/>
        </w:rPr>
        <w:t>(ADICIONADO, P.O. 23 DE DICIEMBRE DE 2011)</w:t>
      </w:r>
    </w:p>
    <w:p w14:paraId="63C063BC" w14:textId="77777777" w:rsidR="00D3344B" w:rsidRDefault="00143C25">
      <w:pPr>
        <w:pStyle w:val="Estilo"/>
        <w:rPr>
          <w:rFonts w:cs="Arial"/>
        </w:rPr>
      </w:pPr>
      <w:r>
        <w:rPr>
          <w:rFonts w:cs="Arial"/>
          <w:b/>
        </w:rPr>
        <w:t>Artículo 97 B.</w:t>
      </w:r>
      <w:r>
        <w:rPr>
          <w:rFonts w:cs="Arial"/>
        </w:rPr>
        <w:t xml:space="preserve"> Tratándose de vehículos automotores usados, cuyo valor total del vehículo sea hasta por un monto de $175,000.00/100 M.N., el impuesto se calculará aplicando la tasa del 0%.</w:t>
      </w:r>
    </w:p>
    <w:p w14:paraId="66BF0E11" w14:textId="77777777" w:rsidR="00D3344B" w:rsidRDefault="00D3344B">
      <w:pPr>
        <w:pStyle w:val="Estilo"/>
        <w:rPr>
          <w:rFonts w:cs="Arial"/>
        </w:rPr>
      </w:pPr>
    </w:p>
    <w:p w14:paraId="4A8B9C29" w14:textId="77777777" w:rsidR="00D3344B" w:rsidRDefault="00143C25">
      <w:pPr>
        <w:pStyle w:val="Estilo"/>
        <w:rPr>
          <w:rFonts w:cs="Arial"/>
        </w:rPr>
      </w:pPr>
      <w:r>
        <w:rPr>
          <w:rFonts w:cs="Arial"/>
        </w:rPr>
        <w:t>Para el caso de vehículos automotores usados, cuyo valor total del vehículo sea superior a la cantidad antes referida en el párrafo anterior, deberán calcular el impuesto sobre la diferencia obtenida entre el valor total del vehículo una vez aplicados los factores de depreciación que correspondan y la cantidad de $175,000.00/100 M.N., observando los procedimientos establecidos en la Sección III de este Capítulo.</w:t>
      </w:r>
    </w:p>
    <w:p w14:paraId="68F29FA4" w14:textId="77777777" w:rsidR="00D3344B" w:rsidRDefault="00D3344B">
      <w:pPr>
        <w:pStyle w:val="Estilo"/>
        <w:rPr>
          <w:rFonts w:cs="Arial"/>
        </w:rPr>
      </w:pPr>
    </w:p>
    <w:p w14:paraId="3EE3531C" w14:textId="77777777" w:rsidR="00D3344B" w:rsidRDefault="00143C25">
      <w:pPr>
        <w:pStyle w:val="Estilo"/>
        <w:jc w:val="center"/>
        <w:rPr>
          <w:rFonts w:cs="Arial"/>
          <w:b/>
        </w:rPr>
      </w:pPr>
      <w:r>
        <w:rPr>
          <w:rFonts w:cs="Arial"/>
          <w:b/>
        </w:rPr>
        <w:t>Capítulo II</w:t>
      </w:r>
    </w:p>
    <w:p w14:paraId="31F82EAB" w14:textId="77777777" w:rsidR="00D3344B" w:rsidRDefault="00143C25">
      <w:pPr>
        <w:pStyle w:val="Estilo"/>
        <w:jc w:val="center"/>
        <w:rPr>
          <w:rFonts w:cs="Arial"/>
        </w:rPr>
      </w:pPr>
      <w:r>
        <w:rPr>
          <w:rFonts w:cs="Arial"/>
          <w:b/>
        </w:rPr>
        <w:t>Impuesto Sobre Loterías, Rifas, Sorteos, Concursos y Juegos con Cruce de Apuestas Legalmente Permitidos</w:t>
      </w:r>
    </w:p>
    <w:p w14:paraId="19231344" w14:textId="77777777" w:rsidR="00D3344B" w:rsidRDefault="00D3344B">
      <w:pPr>
        <w:pStyle w:val="Estilo"/>
        <w:rPr>
          <w:rFonts w:cs="Arial"/>
        </w:rPr>
      </w:pPr>
    </w:p>
    <w:p w14:paraId="71A6D391" w14:textId="77777777" w:rsidR="00D3344B" w:rsidRDefault="00143C25">
      <w:pPr>
        <w:pStyle w:val="Estilo"/>
        <w:rPr>
          <w:rFonts w:cs="Arial"/>
        </w:rPr>
      </w:pPr>
      <w:r>
        <w:rPr>
          <w:rFonts w:cs="Arial"/>
          <w:i/>
          <w:sz w:val="16"/>
        </w:rPr>
        <w:t>(REFORMADO, PRIMER PÁRRAFO, P.O. 30 DE DICIEMBRE DE 2005)</w:t>
      </w:r>
    </w:p>
    <w:p w14:paraId="280F66E6" w14:textId="77777777" w:rsidR="00D3344B" w:rsidRDefault="00143C25">
      <w:pPr>
        <w:pStyle w:val="Estilo"/>
        <w:rPr>
          <w:rFonts w:cs="Arial"/>
        </w:rPr>
      </w:pPr>
      <w:r>
        <w:rPr>
          <w:rFonts w:cs="Arial"/>
          <w:b/>
        </w:rPr>
        <w:t>Artículo 98.</w:t>
      </w:r>
      <w:r>
        <w:rPr>
          <w:rFonts w:cs="Arial"/>
        </w:rPr>
        <w:t xml:space="preserve"> Es objeto de este impuesto, el ingreso en efectivo, en especie o en el valor de los servicios, que perciban las personas físicas y morales organizadoras o beneficiarias de loterías, rifas, sorteos, concursos y juegos con cruce de apuestas </w:t>
      </w:r>
      <w:r>
        <w:rPr>
          <w:rFonts w:cs="Arial"/>
        </w:rPr>
        <w:lastRenderedPageBreak/>
        <w:t xml:space="preserve">legalmente permitidos, </w:t>
      </w:r>
      <w:proofErr w:type="spellStart"/>
      <w:r>
        <w:rPr>
          <w:rFonts w:cs="Arial"/>
        </w:rPr>
        <w:t>aún</w:t>
      </w:r>
      <w:proofErr w:type="spellEnd"/>
      <w:r>
        <w:rPr>
          <w:rFonts w:cs="Arial"/>
        </w:rPr>
        <w:t xml:space="preserve"> cuando por dichas actividades no se cobre cantidad alguna que represente el derecho a participar en las mismas.</w:t>
      </w:r>
    </w:p>
    <w:p w14:paraId="71EB5DE4" w14:textId="77777777" w:rsidR="00D3344B" w:rsidRDefault="00D3344B">
      <w:pPr>
        <w:pStyle w:val="Estilo"/>
        <w:rPr>
          <w:rFonts w:cs="Arial"/>
        </w:rPr>
      </w:pPr>
    </w:p>
    <w:p w14:paraId="6D7DF9F3" w14:textId="77777777" w:rsidR="00D3344B" w:rsidRDefault="00143C25">
      <w:pPr>
        <w:pStyle w:val="Estilo"/>
        <w:rPr>
          <w:rFonts w:cs="Arial"/>
        </w:rPr>
      </w:pPr>
      <w:r>
        <w:rPr>
          <w:rFonts w:cs="Arial"/>
        </w:rPr>
        <w:t>Este impuesto se causará independientemente de la denominación que se le dé al pago necesario para participar en las actividades anteriormente mencionadas.</w:t>
      </w:r>
    </w:p>
    <w:p w14:paraId="14EABE84" w14:textId="77777777" w:rsidR="00D3344B" w:rsidRDefault="00D3344B">
      <w:pPr>
        <w:pStyle w:val="Estilo"/>
        <w:rPr>
          <w:rFonts w:cs="Arial"/>
        </w:rPr>
      </w:pPr>
    </w:p>
    <w:p w14:paraId="0C9B7C56" w14:textId="77777777" w:rsidR="00D3344B" w:rsidRDefault="00143C25">
      <w:pPr>
        <w:pStyle w:val="Estilo"/>
        <w:rPr>
          <w:rFonts w:cs="Arial"/>
        </w:rPr>
      </w:pPr>
      <w:r>
        <w:rPr>
          <w:rFonts w:cs="Arial"/>
          <w:b/>
        </w:rPr>
        <w:t>Artículo 99.</w:t>
      </w:r>
      <w:r>
        <w:rPr>
          <w:rFonts w:cs="Arial"/>
        </w:rPr>
        <w:t xml:space="preserve"> Están obligados al pago de este impuesto las personas físicas y morales </w:t>
      </w:r>
      <w:proofErr w:type="gramStart"/>
      <w:r>
        <w:rPr>
          <w:rFonts w:cs="Arial"/>
        </w:rPr>
        <w:t>que</w:t>
      </w:r>
      <w:proofErr w:type="gramEnd"/>
      <w:r>
        <w:rPr>
          <w:rFonts w:cs="Arial"/>
        </w:rPr>
        <w:t xml:space="preserve"> en el Estado, habitual u ocasionalmente:</w:t>
      </w:r>
    </w:p>
    <w:p w14:paraId="43FDB36D" w14:textId="77777777" w:rsidR="00D3344B" w:rsidRDefault="00D3344B">
      <w:pPr>
        <w:pStyle w:val="Estilo"/>
        <w:rPr>
          <w:rFonts w:cs="Arial"/>
        </w:rPr>
      </w:pPr>
    </w:p>
    <w:p w14:paraId="76D941AC" w14:textId="77777777" w:rsidR="00D3344B" w:rsidRDefault="00143C25">
      <w:pPr>
        <w:pStyle w:val="Estilo"/>
        <w:rPr>
          <w:rFonts w:cs="Arial"/>
        </w:rPr>
      </w:pPr>
      <w:r>
        <w:rPr>
          <w:rFonts w:cs="Arial"/>
          <w:i/>
          <w:sz w:val="16"/>
        </w:rPr>
        <w:tab/>
        <w:t>(REFORMADA, P.O. 30 DE DICIEMBRE DE 2005)</w:t>
      </w:r>
    </w:p>
    <w:p w14:paraId="07B964F7" w14:textId="77777777" w:rsidR="00D3344B" w:rsidRDefault="00143C25">
      <w:pPr>
        <w:pStyle w:val="Estilo"/>
        <w:ind w:left="567" w:hanging="567"/>
        <w:rPr>
          <w:rFonts w:cs="Arial"/>
        </w:rPr>
      </w:pPr>
      <w:r>
        <w:rPr>
          <w:rFonts w:cs="Arial"/>
        </w:rPr>
        <w:t xml:space="preserve">I. </w:t>
      </w:r>
      <w:r>
        <w:rPr>
          <w:rFonts w:cs="Arial"/>
        </w:rPr>
        <w:tab/>
        <w:t>Organicen, administren, exploten o patrocinen loterías, rifas, sorteos, concursos y juegos con cruce de apuestas legalmente permitidos, asimismo las que obtengan o cobren premios en efectivo, en especie o en el valor de los servicios;</w:t>
      </w:r>
    </w:p>
    <w:p w14:paraId="6E630669" w14:textId="77777777" w:rsidR="00D3344B" w:rsidRDefault="00D3344B">
      <w:pPr>
        <w:pStyle w:val="Estilo"/>
        <w:ind w:left="567" w:hanging="567"/>
        <w:rPr>
          <w:rFonts w:cs="Arial"/>
        </w:rPr>
      </w:pPr>
    </w:p>
    <w:p w14:paraId="67F9CA33" w14:textId="77777777" w:rsidR="00D3344B" w:rsidRDefault="00143C25">
      <w:pPr>
        <w:pStyle w:val="Estilo"/>
        <w:ind w:left="567" w:hanging="567"/>
        <w:rPr>
          <w:rFonts w:cs="Arial"/>
        </w:rPr>
      </w:pPr>
      <w:r>
        <w:rPr>
          <w:rFonts w:cs="Arial"/>
        </w:rPr>
        <w:t xml:space="preserve">II. </w:t>
      </w:r>
      <w:r>
        <w:rPr>
          <w:rFonts w:cs="Arial"/>
        </w:rPr>
        <w:tab/>
        <w:t xml:space="preserve">Distribuyan o vendan billetes, boletos o </w:t>
      </w:r>
      <w:proofErr w:type="gramStart"/>
      <w:r>
        <w:rPr>
          <w:rFonts w:cs="Arial"/>
        </w:rPr>
        <w:t>cualesquier otro instrumento</w:t>
      </w:r>
      <w:proofErr w:type="gramEnd"/>
      <w:r>
        <w:rPr>
          <w:rFonts w:cs="Arial"/>
        </w:rPr>
        <w:t xml:space="preserve"> que dé el derecho a participar en las actividades enunciadas en este capítulo;</w:t>
      </w:r>
    </w:p>
    <w:p w14:paraId="74CF01A2" w14:textId="77777777" w:rsidR="00D3344B" w:rsidRDefault="00D3344B">
      <w:pPr>
        <w:pStyle w:val="Estilo"/>
        <w:ind w:left="567" w:hanging="567"/>
        <w:rPr>
          <w:rFonts w:cs="Arial"/>
        </w:rPr>
      </w:pPr>
    </w:p>
    <w:p w14:paraId="447E8E66" w14:textId="77777777" w:rsidR="00D3344B" w:rsidRDefault="00143C25">
      <w:pPr>
        <w:pStyle w:val="Estilo"/>
        <w:ind w:left="567" w:hanging="567"/>
        <w:rPr>
          <w:rFonts w:cs="Arial"/>
        </w:rPr>
      </w:pPr>
      <w:r>
        <w:rPr>
          <w:rFonts w:cs="Arial"/>
        </w:rPr>
        <w:t xml:space="preserve">III. </w:t>
      </w:r>
      <w:r>
        <w:rPr>
          <w:rFonts w:cs="Arial"/>
        </w:rPr>
        <w:tab/>
        <w:t>Reciban o registren apuestas dentro del Estado, independientemente de que el organizador del evento y el desarrollo de éste sean fuera del mismo;</w:t>
      </w:r>
    </w:p>
    <w:p w14:paraId="4629C448" w14:textId="77777777" w:rsidR="00D3344B" w:rsidRDefault="00D3344B">
      <w:pPr>
        <w:pStyle w:val="Estilo"/>
        <w:ind w:left="567" w:hanging="567"/>
        <w:rPr>
          <w:rFonts w:cs="Arial"/>
        </w:rPr>
      </w:pPr>
    </w:p>
    <w:p w14:paraId="4B5BE735" w14:textId="77777777" w:rsidR="00D3344B" w:rsidRDefault="00143C25">
      <w:pPr>
        <w:pStyle w:val="Estilo"/>
        <w:ind w:left="567" w:hanging="567"/>
        <w:rPr>
          <w:rFonts w:cs="Arial"/>
        </w:rPr>
      </w:pPr>
      <w:r>
        <w:rPr>
          <w:rFonts w:cs="Arial"/>
        </w:rPr>
        <w:t xml:space="preserve">IV. </w:t>
      </w:r>
      <w:r>
        <w:rPr>
          <w:rFonts w:cs="Arial"/>
        </w:rPr>
        <w:tab/>
        <w:t>Cobren los premios, derivados de las actividades enunciadas en la fracción primera de este artículo, cuando los billetes, boletos o contraseñas sean cobrados en el Estado, independientemente del lugar en que se realice el evento, y</w:t>
      </w:r>
    </w:p>
    <w:p w14:paraId="1FC1A90F" w14:textId="77777777" w:rsidR="00D3344B" w:rsidRDefault="00D3344B">
      <w:pPr>
        <w:pStyle w:val="Estilo"/>
        <w:ind w:left="567" w:hanging="567"/>
        <w:rPr>
          <w:rFonts w:cs="Arial"/>
        </w:rPr>
      </w:pPr>
    </w:p>
    <w:p w14:paraId="637F5EE4" w14:textId="77777777" w:rsidR="00D3344B" w:rsidRDefault="00143C25">
      <w:pPr>
        <w:pStyle w:val="Estilo"/>
        <w:ind w:left="567" w:hanging="567"/>
        <w:rPr>
          <w:rFonts w:cs="Arial"/>
        </w:rPr>
      </w:pPr>
      <w:proofErr w:type="gramStart"/>
      <w:r>
        <w:rPr>
          <w:rFonts w:cs="Arial"/>
        </w:rPr>
        <w:t xml:space="preserve">V. </w:t>
      </w:r>
      <w:r>
        <w:rPr>
          <w:rFonts w:cs="Arial"/>
        </w:rPr>
        <w:tab/>
        <w:t>Reciban</w:t>
      </w:r>
      <w:proofErr w:type="gramEnd"/>
      <w:r>
        <w:rPr>
          <w:rFonts w:cs="Arial"/>
        </w:rPr>
        <w:t xml:space="preserve"> o cobren premios en el territorio del Estado, sin importar que el evento se hubiere celebrado fuera de éste.</w:t>
      </w:r>
    </w:p>
    <w:p w14:paraId="286844BE" w14:textId="77777777" w:rsidR="00D3344B" w:rsidRDefault="00D3344B">
      <w:pPr>
        <w:pStyle w:val="Estilo"/>
        <w:rPr>
          <w:rFonts w:cs="Arial"/>
        </w:rPr>
      </w:pPr>
    </w:p>
    <w:p w14:paraId="432206CA" w14:textId="77777777" w:rsidR="00D3344B" w:rsidRDefault="00143C25">
      <w:pPr>
        <w:pStyle w:val="Estilo"/>
        <w:rPr>
          <w:rFonts w:cs="Arial"/>
        </w:rPr>
      </w:pPr>
      <w:r>
        <w:rPr>
          <w:rFonts w:cs="Arial"/>
          <w:b/>
        </w:rPr>
        <w:t>Artículo 100.</w:t>
      </w:r>
      <w:r>
        <w:rPr>
          <w:rFonts w:cs="Arial"/>
        </w:rPr>
        <w:t xml:space="preserve"> Los contribuyentes que organicen, administren, exploten o patrocinen, loterías, rifas, sorteos, concursos y juegos con cruce de apuestas legalmente permitidos, tendrán, independientemente de las obligaciones de carácter general previstas en este código, las siguientes:</w:t>
      </w:r>
    </w:p>
    <w:p w14:paraId="0B6B3E17" w14:textId="77777777" w:rsidR="00D3344B" w:rsidRDefault="00D3344B">
      <w:pPr>
        <w:pStyle w:val="Estilo"/>
        <w:rPr>
          <w:rFonts w:cs="Arial"/>
        </w:rPr>
      </w:pPr>
    </w:p>
    <w:p w14:paraId="2C39AF81" w14:textId="77777777" w:rsidR="00D3344B" w:rsidRDefault="00143C25">
      <w:pPr>
        <w:pStyle w:val="Estilo"/>
        <w:ind w:left="567" w:hanging="567"/>
        <w:rPr>
          <w:rFonts w:cs="Arial"/>
        </w:rPr>
      </w:pPr>
      <w:r>
        <w:rPr>
          <w:rFonts w:cs="Arial"/>
        </w:rPr>
        <w:t xml:space="preserve">I. </w:t>
      </w:r>
      <w:r>
        <w:rPr>
          <w:rFonts w:cs="Arial"/>
        </w:rPr>
        <w:tab/>
        <w:t xml:space="preserve">Expedir boletos o comprobantes impresos por imprenta autorizada, que den derecho a participar en la lotería, rifa, sorteo, concurso o juego con cruce de apuesta legalmente permitidos numerados progresivamente, en los que se exprese el nombre de la empresa, el tipo de actividad, costo del mismo, los datos de la imprenta autorizada, número de folios de boletos emitidos, la fecha de emisión, y presentarlos junto con la factura respectiva ante la Secretaría, para su autorización, cuando menos cinco días hábiles antes de que se lleve a cabo la actividad gravada, así como señalar en los boletos, billetes, contraseñas o instrumentos que permitan participar en las actividades mencionadas el valor de los premios, </w:t>
      </w:r>
      <w:proofErr w:type="spellStart"/>
      <w:r>
        <w:rPr>
          <w:rFonts w:cs="Arial"/>
        </w:rPr>
        <w:t>aún</w:t>
      </w:r>
      <w:proofErr w:type="spellEnd"/>
      <w:r>
        <w:rPr>
          <w:rFonts w:cs="Arial"/>
        </w:rPr>
        <w:t xml:space="preserve"> cuando estos sean en especie. Dicha autoridad deberá proceder a sellar el boletaje;</w:t>
      </w:r>
    </w:p>
    <w:p w14:paraId="3C0EB5B7" w14:textId="77777777" w:rsidR="00D3344B" w:rsidRDefault="00D3344B">
      <w:pPr>
        <w:pStyle w:val="Estilo"/>
        <w:ind w:left="567" w:hanging="567"/>
        <w:rPr>
          <w:rFonts w:cs="Arial"/>
        </w:rPr>
      </w:pPr>
    </w:p>
    <w:p w14:paraId="1B5DFCC2" w14:textId="77777777" w:rsidR="00D3344B" w:rsidRDefault="00143C25">
      <w:pPr>
        <w:pStyle w:val="Estilo"/>
        <w:ind w:left="567" w:hanging="567"/>
        <w:rPr>
          <w:rFonts w:cs="Arial"/>
        </w:rPr>
      </w:pPr>
      <w:r>
        <w:rPr>
          <w:rFonts w:cs="Arial"/>
        </w:rPr>
        <w:lastRenderedPageBreak/>
        <w:t xml:space="preserve">II. </w:t>
      </w:r>
      <w:r>
        <w:rPr>
          <w:rFonts w:cs="Arial"/>
        </w:rPr>
        <w:tab/>
        <w:t>Vender únicamente boletos con autorización oficial;</w:t>
      </w:r>
    </w:p>
    <w:p w14:paraId="7FB658B1" w14:textId="77777777" w:rsidR="00D3344B" w:rsidRDefault="00D3344B">
      <w:pPr>
        <w:pStyle w:val="Estilo"/>
        <w:ind w:left="567" w:hanging="567"/>
        <w:rPr>
          <w:rFonts w:cs="Arial"/>
        </w:rPr>
      </w:pPr>
    </w:p>
    <w:p w14:paraId="117583AD" w14:textId="77777777" w:rsidR="00D3344B" w:rsidRDefault="00143C25">
      <w:pPr>
        <w:pStyle w:val="Estilo"/>
        <w:ind w:left="567" w:hanging="567"/>
        <w:rPr>
          <w:rFonts w:cs="Arial"/>
        </w:rPr>
      </w:pPr>
      <w:r>
        <w:rPr>
          <w:rFonts w:cs="Arial"/>
        </w:rPr>
        <w:t xml:space="preserve">III. </w:t>
      </w:r>
      <w:r>
        <w:rPr>
          <w:rFonts w:cs="Arial"/>
        </w:rPr>
        <w:tab/>
        <w:t>Retener el monto del impuesto que les corresponda cubrir, a cargo de quien reciba los premios, y</w:t>
      </w:r>
    </w:p>
    <w:p w14:paraId="6449439C" w14:textId="77777777" w:rsidR="00D3344B" w:rsidRDefault="00D3344B">
      <w:pPr>
        <w:pStyle w:val="Estilo"/>
        <w:ind w:left="567" w:hanging="567"/>
        <w:rPr>
          <w:rFonts w:cs="Arial"/>
        </w:rPr>
      </w:pPr>
    </w:p>
    <w:p w14:paraId="69B3A79D" w14:textId="77777777" w:rsidR="00D3344B" w:rsidRDefault="00143C25">
      <w:pPr>
        <w:pStyle w:val="Estilo"/>
        <w:ind w:left="567" w:hanging="567"/>
        <w:rPr>
          <w:rFonts w:cs="Arial"/>
        </w:rPr>
      </w:pPr>
      <w:r>
        <w:rPr>
          <w:rFonts w:cs="Arial"/>
        </w:rPr>
        <w:t xml:space="preserve">IV. </w:t>
      </w:r>
      <w:r>
        <w:rPr>
          <w:rFonts w:cs="Arial"/>
        </w:rPr>
        <w:tab/>
        <w:t>Proporcionar al ganador del premio, cuando éste lo solicite, constancia de retención del impuesto a su cargo.</w:t>
      </w:r>
    </w:p>
    <w:p w14:paraId="2C321A1D" w14:textId="77777777" w:rsidR="00D3344B" w:rsidRDefault="00D3344B">
      <w:pPr>
        <w:pStyle w:val="Estilo"/>
        <w:rPr>
          <w:rFonts w:cs="Arial"/>
        </w:rPr>
      </w:pPr>
    </w:p>
    <w:p w14:paraId="1920897A" w14:textId="77777777" w:rsidR="00D3344B" w:rsidRDefault="00143C25">
      <w:pPr>
        <w:pStyle w:val="Estilo"/>
        <w:rPr>
          <w:rFonts w:cs="Arial"/>
        </w:rPr>
      </w:pPr>
      <w:r>
        <w:rPr>
          <w:rFonts w:cs="Arial"/>
          <w:i/>
          <w:sz w:val="16"/>
        </w:rPr>
        <w:t>(REFORMADO PRIMER PÁRRAFO, P.O. 30 DE DICIEMBRE DE 2005)</w:t>
      </w:r>
    </w:p>
    <w:p w14:paraId="1046D6FA" w14:textId="77777777" w:rsidR="00D3344B" w:rsidRDefault="00143C25">
      <w:pPr>
        <w:pStyle w:val="Estilo"/>
        <w:rPr>
          <w:rFonts w:cs="Arial"/>
        </w:rPr>
      </w:pPr>
      <w:r>
        <w:rPr>
          <w:rFonts w:cs="Arial"/>
          <w:b/>
        </w:rPr>
        <w:t>Artículo 101.</w:t>
      </w:r>
      <w:r>
        <w:rPr>
          <w:rFonts w:cs="Arial"/>
        </w:rPr>
        <w:t xml:space="preserve"> La base de este impuesto será el total de los ingresos en efectivo, en especie o en el valor de los servicios que se obtenga por la celebración de loterías, rifas, sorteos, concursos y juegos con cruce de apuestas legalmente permitidos.</w:t>
      </w:r>
    </w:p>
    <w:p w14:paraId="08B1FD81" w14:textId="77777777" w:rsidR="00D3344B" w:rsidRDefault="00D3344B">
      <w:pPr>
        <w:pStyle w:val="Estilo"/>
        <w:rPr>
          <w:rFonts w:cs="Arial"/>
        </w:rPr>
      </w:pPr>
    </w:p>
    <w:p w14:paraId="2F56F8AF" w14:textId="77777777" w:rsidR="00D3344B" w:rsidRDefault="00143C25">
      <w:pPr>
        <w:pStyle w:val="Estilo"/>
        <w:rPr>
          <w:rFonts w:cs="Arial"/>
        </w:rPr>
      </w:pPr>
      <w:r>
        <w:rPr>
          <w:rFonts w:cs="Arial"/>
          <w:i/>
          <w:sz w:val="16"/>
        </w:rPr>
        <w:t>(REFORMADO, P.O. 30 DE DICIEMBRE DE 2005)</w:t>
      </w:r>
    </w:p>
    <w:p w14:paraId="368F1B9B" w14:textId="77777777" w:rsidR="00D3344B" w:rsidRDefault="00143C25">
      <w:pPr>
        <w:pStyle w:val="Estilo"/>
        <w:rPr>
          <w:rFonts w:cs="Arial"/>
        </w:rPr>
      </w:pPr>
      <w:r>
        <w:rPr>
          <w:rFonts w:cs="Arial"/>
        </w:rPr>
        <w:t>De igual manera, los premios obtenidos en efectivo, en especie o en el valor de los servicios como resultado de la celebración de dichas loterías, rifas, sorteos, concursos y juegos con cruce de apuestas legalmente permitidos.</w:t>
      </w:r>
    </w:p>
    <w:p w14:paraId="2B22CE78" w14:textId="77777777" w:rsidR="00D3344B" w:rsidRDefault="00D3344B">
      <w:pPr>
        <w:pStyle w:val="Estilo"/>
        <w:rPr>
          <w:rFonts w:cs="Arial"/>
        </w:rPr>
      </w:pPr>
    </w:p>
    <w:p w14:paraId="71579E2B" w14:textId="77777777" w:rsidR="00D3344B" w:rsidRDefault="00143C25">
      <w:pPr>
        <w:pStyle w:val="Estilo"/>
        <w:rPr>
          <w:rFonts w:cs="Arial"/>
        </w:rPr>
      </w:pPr>
      <w:r>
        <w:rPr>
          <w:rFonts w:cs="Arial"/>
        </w:rPr>
        <w:t>Para el caso de los premios en especie se tomará como base gravable el valor señalado en la promoción, el valor de la facturación o el valor del avalúo que realicen las autoridades fiscales en este orden.</w:t>
      </w:r>
    </w:p>
    <w:p w14:paraId="495BC9E3" w14:textId="77777777" w:rsidR="00D3344B" w:rsidRDefault="00D3344B">
      <w:pPr>
        <w:pStyle w:val="Estilo"/>
        <w:rPr>
          <w:rFonts w:cs="Arial"/>
        </w:rPr>
      </w:pPr>
    </w:p>
    <w:p w14:paraId="615CE374" w14:textId="77777777" w:rsidR="00D3344B" w:rsidRDefault="00143C25">
      <w:pPr>
        <w:pStyle w:val="Estilo"/>
        <w:rPr>
          <w:rFonts w:cs="Arial"/>
        </w:rPr>
      </w:pPr>
      <w:r>
        <w:rPr>
          <w:rFonts w:cs="Arial"/>
          <w:i/>
          <w:sz w:val="16"/>
        </w:rPr>
        <w:t>(ADICIONADO, P.O. 30 DE DICIEMBRE DE 2005)</w:t>
      </w:r>
    </w:p>
    <w:p w14:paraId="438EB8C0" w14:textId="77777777" w:rsidR="00D3344B" w:rsidRDefault="00143C25">
      <w:pPr>
        <w:pStyle w:val="Estilo"/>
        <w:rPr>
          <w:rFonts w:cs="Arial"/>
        </w:rPr>
      </w:pPr>
      <w:r>
        <w:rPr>
          <w:rFonts w:cs="Arial"/>
        </w:rPr>
        <w:t>Cuando no exista una contraprestación para participar en una lotería, rifa, sorteo, concurso o juego con cruce de apuestas legalmente permitidos, se considerará como base gravable el valor del premio otorgado, ya sea en efectivo, en especie o en el valor de los servicios.</w:t>
      </w:r>
    </w:p>
    <w:p w14:paraId="55526EE5" w14:textId="77777777" w:rsidR="00D3344B" w:rsidRDefault="00D3344B">
      <w:pPr>
        <w:pStyle w:val="Estilo"/>
        <w:rPr>
          <w:rFonts w:cs="Arial"/>
        </w:rPr>
      </w:pPr>
    </w:p>
    <w:p w14:paraId="56753C87" w14:textId="77777777" w:rsidR="00D3344B" w:rsidRDefault="00143C25">
      <w:pPr>
        <w:pStyle w:val="Estilo"/>
        <w:rPr>
          <w:rFonts w:cs="Arial"/>
        </w:rPr>
      </w:pPr>
      <w:r>
        <w:rPr>
          <w:rFonts w:cs="Arial"/>
          <w:b/>
        </w:rPr>
        <w:t>Artículo 102.</w:t>
      </w:r>
      <w:r>
        <w:rPr>
          <w:rFonts w:cs="Arial"/>
        </w:rPr>
        <w:t xml:space="preserve"> Este impuesto se determinará y recaudará aplicando a la base gravable la tasa que para cada evento se establece a continuación:</w:t>
      </w:r>
    </w:p>
    <w:p w14:paraId="6A9FF21D" w14:textId="77777777" w:rsidR="00D3344B" w:rsidRDefault="00D3344B">
      <w:pPr>
        <w:pStyle w:val="Estilo"/>
        <w:rPr>
          <w:rFonts w:cs="Arial"/>
        </w:rPr>
      </w:pPr>
    </w:p>
    <w:p w14:paraId="15183208" w14:textId="77777777" w:rsidR="00D3344B" w:rsidRDefault="00143C25">
      <w:pPr>
        <w:pStyle w:val="Estilo"/>
        <w:ind w:left="567" w:hanging="567"/>
        <w:rPr>
          <w:rFonts w:cs="Arial"/>
        </w:rPr>
      </w:pPr>
      <w:r>
        <w:rPr>
          <w:rFonts w:cs="Arial"/>
        </w:rPr>
        <w:t xml:space="preserve">I. </w:t>
      </w:r>
      <w:r>
        <w:rPr>
          <w:rFonts w:cs="Arial"/>
        </w:rPr>
        <w:tab/>
        <w:t>Para los organizadores de loterías, rifas, sorteos, concursos y juegos con cruce de apuestas legalmente permitidos, la tasa será del ocho por ciento, y</w:t>
      </w:r>
    </w:p>
    <w:p w14:paraId="5C441B2C" w14:textId="77777777" w:rsidR="00D3344B" w:rsidRDefault="00D3344B">
      <w:pPr>
        <w:pStyle w:val="Estilo"/>
        <w:ind w:left="567" w:hanging="567"/>
        <w:rPr>
          <w:rFonts w:cs="Arial"/>
        </w:rPr>
      </w:pPr>
    </w:p>
    <w:p w14:paraId="3BD33EA7" w14:textId="77777777" w:rsidR="00D3344B" w:rsidRDefault="00143C25">
      <w:pPr>
        <w:pStyle w:val="Estilo"/>
        <w:ind w:left="567" w:hanging="567"/>
        <w:rPr>
          <w:rFonts w:cs="Arial"/>
        </w:rPr>
      </w:pPr>
      <w:r>
        <w:rPr>
          <w:rFonts w:cs="Arial"/>
        </w:rPr>
        <w:t xml:space="preserve">II. </w:t>
      </w:r>
      <w:r>
        <w:rPr>
          <w:rFonts w:cs="Arial"/>
        </w:rPr>
        <w:tab/>
        <w:t>Por premios obtenidos, se pagará el seis por ciento.</w:t>
      </w:r>
    </w:p>
    <w:p w14:paraId="32175413" w14:textId="77777777" w:rsidR="00D3344B" w:rsidRDefault="00D3344B">
      <w:pPr>
        <w:pStyle w:val="Estilo"/>
        <w:rPr>
          <w:rFonts w:cs="Arial"/>
        </w:rPr>
      </w:pPr>
    </w:p>
    <w:p w14:paraId="44013AB6" w14:textId="77777777" w:rsidR="00D3344B" w:rsidRDefault="00143C25">
      <w:pPr>
        <w:pStyle w:val="Estilo"/>
        <w:rPr>
          <w:rFonts w:cs="Arial"/>
        </w:rPr>
      </w:pPr>
      <w:r>
        <w:rPr>
          <w:rFonts w:cs="Arial"/>
          <w:b/>
        </w:rPr>
        <w:t>Artículo 103.</w:t>
      </w:r>
      <w:r>
        <w:rPr>
          <w:rFonts w:cs="Arial"/>
        </w:rPr>
        <w:t xml:space="preserve"> El pago de este impuesto deberá efectuarse en las instituciones de crédito autorizadas, dentro de los plazos siguientes:</w:t>
      </w:r>
    </w:p>
    <w:p w14:paraId="7E3641D6" w14:textId="77777777" w:rsidR="00D3344B" w:rsidRDefault="00D3344B">
      <w:pPr>
        <w:pStyle w:val="Estilo"/>
        <w:rPr>
          <w:rFonts w:cs="Arial"/>
        </w:rPr>
      </w:pPr>
    </w:p>
    <w:p w14:paraId="0288BA43" w14:textId="77777777" w:rsidR="00D3344B" w:rsidRDefault="00143C25">
      <w:pPr>
        <w:pStyle w:val="Estilo"/>
        <w:ind w:left="567" w:hanging="567"/>
        <w:rPr>
          <w:rFonts w:cs="Arial"/>
        </w:rPr>
      </w:pPr>
      <w:r>
        <w:rPr>
          <w:rFonts w:cs="Arial"/>
        </w:rPr>
        <w:t xml:space="preserve">I. </w:t>
      </w:r>
      <w:r>
        <w:rPr>
          <w:rFonts w:cs="Arial"/>
        </w:rPr>
        <w:tab/>
        <w:t>Cuando las loterías, las rifas, los sorteos, los concursos y juegos con cruce de apuestas legalmente permitidos se realicen por contribuyentes habituales, se pagará el impuesto dentro de los cinco días hábiles siguientes a la fecha de su celebración, conjuntamente con el importe del impuesto retenido, a cargo de quien obtuvo el premio;</w:t>
      </w:r>
    </w:p>
    <w:p w14:paraId="525E5835" w14:textId="77777777" w:rsidR="00D3344B" w:rsidRDefault="00D3344B">
      <w:pPr>
        <w:pStyle w:val="Estilo"/>
        <w:ind w:left="567" w:hanging="567"/>
        <w:rPr>
          <w:rFonts w:cs="Arial"/>
        </w:rPr>
      </w:pPr>
    </w:p>
    <w:p w14:paraId="086AC81F" w14:textId="77777777" w:rsidR="00D3344B" w:rsidRDefault="00143C25">
      <w:pPr>
        <w:pStyle w:val="Estilo"/>
        <w:ind w:left="567" w:hanging="567"/>
        <w:rPr>
          <w:rFonts w:cs="Arial"/>
        </w:rPr>
      </w:pPr>
      <w:r>
        <w:rPr>
          <w:rFonts w:cs="Arial"/>
        </w:rPr>
        <w:t xml:space="preserve">II. </w:t>
      </w:r>
      <w:r>
        <w:rPr>
          <w:rFonts w:cs="Arial"/>
        </w:rPr>
        <w:tab/>
        <w:t xml:space="preserve">Cuando se trate de contribuyentes eventuales, deberán otorgar un depósito equivalente al cincuenta por ciento del impuesto correspondiente al total del </w:t>
      </w:r>
      <w:r>
        <w:rPr>
          <w:rFonts w:cs="Arial"/>
        </w:rPr>
        <w:lastRenderedPageBreak/>
        <w:t>boletaje emitido, en efectivo o mediante fianza expedida por institución legalmente autorizada y presentarse ante la citada Secretaría al día hábil siguiente de la realización del evento o actividad, con el boletaje sobrante en su caso, a fin de determinar los boletos vendidos y como consecuencia, la diferencia a cargo o a favor del contribuyente, con base en los porcentajes establecidos en este capítulo, debiendo enterar en ese mismo día el impuesto a cargo que resulte.</w:t>
      </w:r>
    </w:p>
    <w:p w14:paraId="038BEFBC" w14:textId="77777777" w:rsidR="00D3344B" w:rsidRDefault="00D3344B">
      <w:pPr>
        <w:pStyle w:val="Estilo"/>
        <w:rPr>
          <w:rFonts w:cs="Arial"/>
        </w:rPr>
      </w:pPr>
    </w:p>
    <w:p w14:paraId="2A78A1B1" w14:textId="77777777" w:rsidR="00D3344B" w:rsidRDefault="00143C25">
      <w:pPr>
        <w:pStyle w:val="Estilo"/>
        <w:rPr>
          <w:rFonts w:cs="Arial"/>
        </w:rPr>
      </w:pPr>
      <w:r>
        <w:rPr>
          <w:rFonts w:cs="Arial"/>
        </w:rPr>
        <w:t>Lo anterior, sin perjuicio de que la autoridad fiscalizadora intervenga directamente el día en que se celebre la actividad.</w:t>
      </w:r>
    </w:p>
    <w:p w14:paraId="70DFC516" w14:textId="77777777" w:rsidR="00D3344B" w:rsidRDefault="00D3344B">
      <w:pPr>
        <w:pStyle w:val="Estilo"/>
        <w:rPr>
          <w:rFonts w:cs="Arial"/>
        </w:rPr>
      </w:pPr>
    </w:p>
    <w:p w14:paraId="5398C943" w14:textId="77777777" w:rsidR="00D3344B" w:rsidRDefault="00143C25">
      <w:pPr>
        <w:pStyle w:val="Estilo"/>
        <w:rPr>
          <w:rFonts w:cs="Arial"/>
        </w:rPr>
      </w:pPr>
      <w:r>
        <w:rPr>
          <w:rFonts w:cs="Arial"/>
        </w:rPr>
        <w:t>El pago de este impuesto no libera de la obligación de obtener previamente los permisos o autorizaciones correspondientes.</w:t>
      </w:r>
    </w:p>
    <w:p w14:paraId="276DFB50" w14:textId="77777777" w:rsidR="00D3344B" w:rsidRDefault="00D3344B">
      <w:pPr>
        <w:pStyle w:val="Estilo"/>
        <w:rPr>
          <w:rFonts w:cs="Arial"/>
        </w:rPr>
      </w:pPr>
    </w:p>
    <w:p w14:paraId="414EFC16" w14:textId="77777777" w:rsidR="00D3344B" w:rsidRDefault="00143C25">
      <w:pPr>
        <w:pStyle w:val="Estilo"/>
        <w:rPr>
          <w:rFonts w:cs="Arial"/>
        </w:rPr>
      </w:pPr>
      <w:r>
        <w:rPr>
          <w:rFonts w:cs="Arial"/>
        </w:rPr>
        <w:t>Los contribuyentes eventuales no podrán iniciar la lotería, rifa, sorteo, concurso o juego con cruce de apuesta legalmente permitido, si no han pagado el impuesto correspondiente a algún evento anterior, en caso de que lo adeude.</w:t>
      </w:r>
    </w:p>
    <w:p w14:paraId="0E29B189" w14:textId="77777777" w:rsidR="00D3344B" w:rsidRDefault="00D3344B">
      <w:pPr>
        <w:pStyle w:val="Estilo"/>
        <w:rPr>
          <w:rFonts w:cs="Arial"/>
        </w:rPr>
      </w:pPr>
    </w:p>
    <w:p w14:paraId="708C8A91" w14:textId="77777777" w:rsidR="00D3344B" w:rsidRDefault="00143C25">
      <w:pPr>
        <w:pStyle w:val="Estilo"/>
        <w:rPr>
          <w:rFonts w:cs="Arial"/>
        </w:rPr>
      </w:pPr>
      <w:r>
        <w:rPr>
          <w:rFonts w:cs="Arial"/>
          <w:i/>
          <w:sz w:val="16"/>
        </w:rPr>
        <w:t>(ADICIONADO, P.O. 30 DE DICIEMBRE DE 2005)</w:t>
      </w:r>
    </w:p>
    <w:p w14:paraId="5AACC68C" w14:textId="77777777" w:rsidR="00D3344B" w:rsidRDefault="00143C25">
      <w:pPr>
        <w:pStyle w:val="Estilo"/>
        <w:rPr>
          <w:rFonts w:cs="Arial"/>
        </w:rPr>
      </w:pPr>
      <w:r>
        <w:rPr>
          <w:rFonts w:cs="Arial"/>
        </w:rPr>
        <w:t>En ningún caso el impuesto por la organización de las actividades enunciadas en el artículo 99, será inferior al ocho por ciento.</w:t>
      </w:r>
    </w:p>
    <w:p w14:paraId="3149DC06" w14:textId="77777777" w:rsidR="00D3344B" w:rsidRDefault="00D3344B">
      <w:pPr>
        <w:pStyle w:val="Estilo"/>
        <w:rPr>
          <w:rFonts w:cs="Arial"/>
        </w:rPr>
      </w:pPr>
    </w:p>
    <w:p w14:paraId="798AB2FC" w14:textId="77777777" w:rsidR="00D3344B" w:rsidRDefault="00143C25">
      <w:pPr>
        <w:pStyle w:val="Estilo"/>
        <w:rPr>
          <w:rFonts w:cs="Arial"/>
          <w:i/>
          <w:iCs/>
          <w:sz w:val="16"/>
          <w:szCs w:val="16"/>
        </w:rPr>
      </w:pPr>
      <w:r>
        <w:rPr>
          <w:rFonts w:cs="Arial"/>
          <w:i/>
          <w:iCs/>
          <w:sz w:val="16"/>
          <w:szCs w:val="16"/>
        </w:rPr>
        <w:t>(REFORMADO, P.O. 22 DE DICIEMBRE DE 2021)</w:t>
      </w:r>
    </w:p>
    <w:p w14:paraId="59016176" w14:textId="77777777" w:rsidR="00D3344B" w:rsidRDefault="00143C25">
      <w:pPr>
        <w:pStyle w:val="Estilo"/>
        <w:rPr>
          <w:rFonts w:cs="Arial"/>
        </w:rPr>
      </w:pPr>
      <w:r>
        <w:rPr>
          <w:rFonts w:cs="Arial"/>
          <w:b/>
        </w:rPr>
        <w:t>Artículo 104.</w:t>
      </w:r>
      <w:r>
        <w:rPr>
          <w:rFonts w:cs="Arial"/>
        </w:rPr>
        <w:t xml:space="preserve"> El Gobierno Federal, el Estado, los municipios, el Patronato del Ahorro Nacional, la Lotería Nacional para la Asistencia Pública, Pronósticos Deportivos para la Asistencia Pública, la Cruz Roja Mexicana y los partidos políticos, están obligados al pago de este impuesto por la organización o celebración de las actividades gravadas por el mismo.</w:t>
      </w:r>
    </w:p>
    <w:p w14:paraId="2504C5B5" w14:textId="77777777" w:rsidR="00D3344B" w:rsidRDefault="00D3344B">
      <w:pPr>
        <w:pStyle w:val="Estilo"/>
        <w:rPr>
          <w:rFonts w:cs="Arial"/>
        </w:rPr>
      </w:pPr>
    </w:p>
    <w:p w14:paraId="4321826D" w14:textId="77777777" w:rsidR="00D3344B" w:rsidRDefault="00143C25">
      <w:pPr>
        <w:pStyle w:val="Estilo"/>
        <w:rPr>
          <w:rFonts w:cs="Arial"/>
        </w:rPr>
      </w:pPr>
      <w:r>
        <w:rPr>
          <w:rFonts w:cs="Arial"/>
        </w:rPr>
        <w:t>Estas instituciones deberán cumplir con la obligación de retener y enterar el impuesto que se cause por la obtención de los premios que entreguen, a quienes compren o adquieran en el territorio del Estado los billetes, boletos, contraseñas o cualquier otro comprobante que permita participar en los eventos objeto de este impuesto.</w:t>
      </w:r>
    </w:p>
    <w:p w14:paraId="779568FC" w14:textId="77777777" w:rsidR="00D3344B" w:rsidRDefault="00D3344B">
      <w:pPr>
        <w:pStyle w:val="Estilo"/>
        <w:rPr>
          <w:rFonts w:cs="Arial"/>
        </w:rPr>
      </w:pPr>
    </w:p>
    <w:p w14:paraId="39E98023" w14:textId="77777777" w:rsidR="00D3344B" w:rsidRDefault="00143C25">
      <w:pPr>
        <w:pStyle w:val="Estilo"/>
        <w:rPr>
          <w:rFonts w:cs="Arial"/>
        </w:rPr>
      </w:pPr>
      <w:r>
        <w:rPr>
          <w:rFonts w:cs="Arial"/>
        </w:rPr>
        <w:t>En ningún caso se entenderán exentos de este impuesto los premios obtenidos.</w:t>
      </w:r>
    </w:p>
    <w:p w14:paraId="4DE58A78" w14:textId="77777777" w:rsidR="00D3344B" w:rsidRDefault="00143C25">
      <w:pPr>
        <w:pStyle w:val="Estilo"/>
        <w:rPr>
          <w:rFonts w:cs="Arial"/>
        </w:rPr>
      </w:pPr>
      <w:r>
        <w:rPr>
          <w:rFonts w:cs="Arial"/>
        </w:rPr>
        <w:t>Los contribuyentes de este impuesto o donatarias, que obtengan ingresos con fines no lucrativos y/o con fines benéficos podrán solicitar al titular de la Secretaría, la condonación parcial del mismo, quien, mediante facultades delegadas por el Gobernador, podrá decidir sobre dicha condonación.</w:t>
      </w:r>
    </w:p>
    <w:p w14:paraId="79FDE991" w14:textId="77777777" w:rsidR="00D3344B" w:rsidRDefault="00D3344B">
      <w:pPr>
        <w:pStyle w:val="Estilo"/>
        <w:rPr>
          <w:rFonts w:cs="Arial"/>
        </w:rPr>
      </w:pPr>
    </w:p>
    <w:p w14:paraId="1CF666EC" w14:textId="77777777" w:rsidR="00D3344B" w:rsidRDefault="00143C25">
      <w:pPr>
        <w:pStyle w:val="Estilo"/>
        <w:jc w:val="center"/>
        <w:rPr>
          <w:rFonts w:cs="Arial"/>
          <w:b/>
        </w:rPr>
      </w:pPr>
      <w:r>
        <w:rPr>
          <w:rFonts w:cs="Arial"/>
          <w:b/>
        </w:rPr>
        <w:t>Capítulo III</w:t>
      </w:r>
    </w:p>
    <w:p w14:paraId="33D74054" w14:textId="77777777" w:rsidR="00D3344B" w:rsidRDefault="00143C25">
      <w:pPr>
        <w:pStyle w:val="Estilo"/>
        <w:jc w:val="center"/>
        <w:rPr>
          <w:rFonts w:cs="Arial"/>
        </w:rPr>
      </w:pPr>
      <w:r>
        <w:rPr>
          <w:rFonts w:cs="Arial"/>
          <w:b/>
        </w:rPr>
        <w:t>Impuestos Sobre Diversiones y Espectáculos Públicos</w:t>
      </w:r>
    </w:p>
    <w:p w14:paraId="63CBB320" w14:textId="77777777" w:rsidR="00D3344B" w:rsidRDefault="00D3344B">
      <w:pPr>
        <w:pStyle w:val="Estilo"/>
        <w:rPr>
          <w:rFonts w:cs="Arial"/>
        </w:rPr>
      </w:pPr>
    </w:p>
    <w:p w14:paraId="18A3BFF3" w14:textId="77777777" w:rsidR="00D3344B" w:rsidRDefault="00143C25">
      <w:pPr>
        <w:pStyle w:val="Estilo"/>
        <w:rPr>
          <w:rFonts w:cs="Arial"/>
        </w:rPr>
      </w:pPr>
      <w:r>
        <w:rPr>
          <w:rFonts w:cs="Arial"/>
          <w:i/>
          <w:sz w:val="16"/>
        </w:rPr>
        <w:t>(REFORMADO, P.O. 30 DE DICIEMBRE DE 2005)</w:t>
      </w:r>
    </w:p>
    <w:p w14:paraId="5D078147" w14:textId="77777777" w:rsidR="00D3344B" w:rsidRDefault="00143C25">
      <w:pPr>
        <w:pStyle w:val="Estilo"/>
        <w:rPr>
          <w:rFonts w:cs="Arial"/>
        </w:rPr>
      </w:pPr>
      <w:r>
        <w:rPr>
          <w:rFonts w:cs="Arial"/>
          <w:b/>
        </w:rPr>
        <w:t>Artículo 105.</w:t>
      </w:r>
      <w:r>
        <w:rPr>
          <w:rFonts w:cs="Arial"/>
        </w:rPr>
        <w:t xml:space="preserve"> Es objeto de este impuesto, el ingreso que perciban las personas físicas y morales por la explotación u obtención de las funciones de circo, obras de </w:t>
      </w:r>
      <w:r>
        <w:rPr>
          <w:rFonts w:cs="Arial"/>
        </w:rPr>
        <w:lastRenderedPageBreak/>
        <w:t>teatro, eventos deportivos, culturales, juegos mecánicos y otros que fomenten la sana diversión y esparcimiento, eventos taurinos, ecuestres, bailes, audiciones musicales, así como espectáculos públicos de similar naturaleza y cualquier otro espectáculo con cuota de admisión.</w:t>
      </w:r>
    </w:p>
    <w:p w14:paraId="03F75CE2" w14:textId="77777777" w:rsidR="00D3344B" w:rsidRDefault="00D3344B">
      <w:pPr>
        <w:pStyle w:val="Estilo"/>
        <w:rPr>
          <w:rFonts w:cs="Arial"/>
        </w:rPr>
      </w:pPr>
    </w:p>
    <w:p w14:paraId="43B306A5" w14:textId="77777777" w:rsidR="00D3344B" w:rsidRDefault="00143C25">
      <w:pPr>
        <w:pStyle w:val="Estilo"/>
        <w:rPr>
          <w:rFonts w:cs="Arial"/>
        </w:rPr>
      </w:pPr>
      <w:r>
        <w:rPr>
          <w:rFonts w:cs="Arial"/>
          <w:b/>
        </w:rPr>
        <w:t>Artículo 106.</w:t>
      </w:r>
      <w:r>
        <w:rPr>
          <w:rFonts w:cs="Arial"/>
        </w:rPr>
        <w:t xml:space="preserve"> Están obligados al pago de este impuesto, las personas físicas y morales </w:t>
      </w:r>
      <w:proofErr w:type="gramStart"/>
      <w:r>
        <w:rPr>
          <w:rFonts w:cs="Arial"/>
        </w:rPr>
        <w:t>que</w:t>
      </w:r>
      <w:proofErr w:type="gramEnd"/>
      <w:r>
        <w:rPr>
          <w:rFonts w:cs="Arial"/>
        </w:rPr>
        <w:t xml:space="preserve"> en el Estado, habitual u ocasionalmente:</w:t>
      </w:r>
    </w:p>
    <w:p w14:paraId="4612B8CA" w14:textId="77777777" w:rsidR="00D3344B" w:rsidRDefault="00D3344B">
      <w:pPr>
        <w:pStyle w:val="Estilo"/>
        <w:rPr>
          <w:rFonts w:cs="Arial"/>
        </w:rPr>
      </w:pPr>
    </w:p>
    <w:p w14:paraId="5747F6D9" w14:textId="77777777" w:rsidR="00D3344B" w:rsidRDefault="00143C25">
      <w:pPr>
        <w:pStyle w:val="Estilo"/>
        <w:ind w:left="567" w:hanging="567"/>
        <w:rPr>
          <w:rFonts w:cs="Arial"/>
        </w:rPr>
      </w:pPr>
      <w:r>
        <w:rPr>
          <w:rFonts w:cs="Arial"/>
        </w:rPr>
        <w:t xml:space="preserve">I. </w:t>
      </w:r>
      <w:r>
        <w:rPr>
          <w:rFonts w:cs="Arial"/>
        </w:rPr>
        <w:tab/>
        <w:t>Organicen, administren, exploten o patrocinen diversiones o espectáculos públicos, y</w:t>
      </w:r>
    </w:p>
    <w:p w14:paraId="7ED5B806" w14:textId="77777777" w:rsidR="00D3344B" w:rsidRDefault="00D3344B">
      <w:pPr>
        <w:pStyle w:val="Estilo"/>
        <w:ind w:left="567" w:hanging="567"/>
        <w:rPr>
          <w:rFonts w:cs="Arial"/>
        </w:rPr>
      </w:pPr>
    </w:p>
    <w:p w14:paraId="6801AC2C" w14:textId="77777777" w:rsidR="00D3344B" w:rsidRDefault="00143C25">
      <w:pPr>
        <w:pStyle w:val="Estilo"/>
        <w:ind w:left="567" w:hanging="567"/>
        <w:rPr>
          <w:rFonts w:cs="Arial"/>
        </w:rPr>
      </w:pPr>
      <w:r>
        <w:rPr>
          <w:rFonts w:cs="Arial"/>
        </w:rPr>
        <w:t xml:space="preserve">II. </w:t>
      </w:r>
      <w:r>
        <w:rPr>
          <w:rFonts w:cs="Arial"/>
        </w:rPr>
        <w:tab/>
        <w:t>Enajenen o vendan boletos o cualquier instrumento que dé el derecho de asistir a diversiones o espectáculos públicos.</w:t>
      </w:r>
    </w:p>
    <w:p w14:paraId="233706B4" w14:textId="77777777" w:rsidR="00D3344B" w:rsidRDefault="00D3344B">
      <w:pPr>
        <w:pStyle w:val="Estilo"/>
        <w:rPr>
          <w:rFonts w:cs="Arial"/>
        </w:rPr>
      </w:pPr>
    </w:p>
    <w:p w14:paraId="1108DE64" w14:textId="77777777" w:rsidR="00D3344B" w:rsidRDefault="00143C25">
      <w:pPr>
        <w:pStyle w:val="Estilo"/>
        <w:rPr>
          <w:rFonts w:cs="Arial"/>
        </w:rPr>
      </w:pPr>
      <w:r>
        <w:rPr>
          <w:rFonts w:cs="Arial"/>
          <w:b/>
        </w:rPr>
        <w:t>Artículo 107.</w:t>
      </w:r>
      <w:r>
        <w:rPr>
          <w:rFonts w:cs="Arial"/>
        </w:rPr>
        <w:t xml:space="preserve"> Los contribuyentes que organicen funciones de circo, obras de teatro, eventos deportivos, culturales, juegos mecánicos y otros que fomenten la sana diversión y esparcimiento, eventos taurinos, ecuestres, bailes, audiciones musicales, así como espectáculos públicos de similar naturaleza y cualquier otro espectáculo con cuota de admisión, tendrán, independientemente de las obligaciones de carácter general previstas en este código, las siguientes:</w:t>
      </w:r>
    </w:p>
    <w:p w14:paraId="1C48623F" w14:textId="77777777" w:rsidR="00D3344B" w:rsidRDefault="00D3344B">
      <w:pPr>
        <w:pStyle w:val="Estilo"/>
        <w:rPr>
          <w:rFonts w:cs="Arial"/>
        </w:rPr>
      </w:pPr>
    </w:p>
    <w:p w14:paraId="1FEDBC0B" w14:textId="77777777" w:rsidR="00D3344B" w:rsidRDefault="00143C25">
      <w:pPr>
        <w:pStyle w:val="Estilo"/>
        <w:ind w:left="567" w:hanging="567"/>
        <w:rPr>
          <w:rFonts w:cs="Arial"/>
        </w:rPr>
      </w:pPr>
      <w:r>
        <w:rPr>
          <w:rFonts w:cs="Arial"/>
        </w:rPr>
        <w:t xml:space="preserve">I. </w:t>
      </w:r>
      <w:r>
        <w:rPr>
          <w:rFonts w:cs="Arial"/>
        </w:rPr>
        <w:tab/>
        <w:t>Dar aviso a la oficina recaudadora que corresponda, a más tardar cinco días antes al que se inicien las actividades gravadas;</w:t>
      </w:r>
    </w:p>
    <w:p w14:paraId="7E53AB76" w14:textId="77777777" w:rsidR="00D3344B" w:rsidRDefault="00D3344B">
      <w:pPr>
        <w:pStyle w:val="Estilo"/>
        <w:ind w:left="567" w:hanging="567"/>
        <w:rPr>
          <w:rFonts w:cs="Arial"/>
        </w:rPr>
      </w:pPr>
    </w:p>
    <w:p w14:paraId="6AE5DA48"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0EF3E549" w14:textId="77777777" w:rsidR="00D3344B" w:rsidRDefault="00143C25">
      <w:pPr>
        <w:pStyle w:val="Estilo"/>
        <w:ind w:left="567" w:hanging="567"/>
        <w:rPr>
          <w:rFonts w:cs="Arial"/>
        </w:rPr>
      </w:pPr>
      <w:r>
        <w:rPr>
          <w:rFonts w:cs="Arial"/>
        </w:rPr>
        <w:t xml:space="preserve">II. </w:t>
      </w:r>
      <w:r>
        <w:rPr>
          <w:rFonts w:cs="Arial"/>
        </w:rPr>
        <w:tab/>
        <w:t>Expedir boletos o comprobantes impresos, que den derecho de admisión a funciones de circo, obras de teatro, eventos deportivos, culturales, juegos mecánicos y otros que fomenten la sana diversión y esparcimiento, eventos taurinos, ecuestres, bailes, audiciones musicales, así como espectáculos públicos de similar naturaleza y cualquier otro espectáculo con cuota de admisión, en los que se exprese el nombre de la empresa, el tipo de actividad, costo del mismo, los datos de la imprenta autorizada, número de folios de boletos emitidos, la fecha de emisión, y presentarlos junto con la factura respectiva ante la Secretaría, para su autorización, cuando menos cinco días hábiles antes de que se lleve a cabo la actividad gravada. Dicha autoridad deberá proceder a sellar el boletaje.</w:t>
      </w:r>
    </w:p>
    <w:p w14:paraId="3DAFCF00" w14:textId="77777777" w:rsidR="00D3344B" w:rsidRDefault="00D3344B">
      <w:pPr>
        <w:pStyle w:val="Estilo"/>
        <w:ind w:left="567" w:hanging="567"/>
        <w:rPr>
          <w:rFonts w:cs="Arial"/>
        </w:rPr>
      </w:pPr>
    </w:p>
    <w:p w14:paraId="1CA516A8" w14:textId="77777777" w:rsidR="00D3344B" w:rsidRDefault="00143C25">
      <w:pPr>
        <w:pStyle w:val="Estilo"/>
        <w:ind w:left="567"/>
        <w:rPr>
          <w:rFonts w:cs="Arial"/>
        </w:rPr>
      </w:pPr>
      <w:r>
        <w:rPr>
          <w:rFonts w:cs="Arial"/>
        </w:rPr>
        <w:t>Será optativo para el contribuyente la venta de boletos o las entradas que den derecho de admisión del espectáculo de forma impresa o a través de medios electrónicos, en este último caso, además de los requisitos señalados para la emisión de boletos en el párrafo anterior, se deberán cumplir los requisitos siguientes:</w:t>
      </w:r>
    </w:p>
    <w:p w14:paraId="0462F4D7" w14:textId="77777777" w:rsidR="00D3344B" w:rsidRDefault="00D3344B">
      <w:pPr>
        <w:pStyle w:val="Estilo"/>
        <w:ind w:left="567" w:hanging="567"/>
        <w:rPr>
          <w:rFonts w:cs="Arial"/>
        </w:rPr>
      </w:pPr>
    </w:p>
    <w:p w14:paraId="63578C5C" w14:textId="77777777" w:rsidR="00D3344B" w:rsidRDefault="00143C25">
      <w:pPr>
        <w:pStyle w:val="Estilo"/>
        <w:ind w:left="993" w:hanging="426"/>
        <w:rPr>
          <w:rFonts w:cs="Arial"/>
        </w:rPr>
      </w:pPr>
      <w:r>
        <w:rPr>
          <w:rFonts w:cs="Arial"/>
        </w:rPr>
        <w:t xml:space="preserve">a) </w:t>
      </w:r>
      <w:r>
        <w:rPr>
          <w:rFonts w:cs="Arial"/>
        </w:rPr>
        <w:tab/>
        <w:t>Señalar la plataforma o medio digital encargada de realizar la venta;</w:t>
      </w:r>
    </w:p>
    <w:p w14:paraId="30B07E5D" w14:textId="77777777" w:rsidR="00D3344B" w:rsidRDefault="00D3344B">
      <w:pPr>
        <w:pStyle w:val="Estilo"/>
        <w:ind w:left="993" w:hanging="426"/>
        <w:rPr>
          <w:rFonts w:cs="Arial"/>
        </w:rPr>
      </w:pPr>
    </w:p>
    <w:p w14:paraId="7DEC808F" w14:textId="77777777" w:rsidR="00D3344B" w:rsidRDefault="00143C25">
      <w:pPr>
        <w:pStyle w:val="Estilo"/>
        <w:ind w:left="993" w:hanging="426"/>
        <w:rPr>
          <w:rFonts w:cs="Arial"/>
        </w:rPr>
      </w:pPr>
      <w:r>
        <w:rPr>
          <w:rFonts w:cs="Arial"/>
        </w:rPr>
        <w:t xml:space="preserve">b) </w:t>
      </w:r>
      <w:r>
        <w:rPr>
          <w:rFonts w:cs="Arial"/>
        </w:rPr>
        <w:tab/>
        <w:t>Indicar el periodo de venta;</w:t>
      </w:r>
    </w:p>
    <w:p w14:paraId="750CF8CA" w14:textId="77777777" w:rsidR="00D3344B" w:rsidRDefault="00D3344B">
      <w:pPr>
        <w:pStyle w:val="Estilo"/>
        <w:ind w:left="993" w:hanging="426"/>
        <w:rPr>
          <w:rFonts w:cs="Arial"/>
        </w:rPr>
      </w:pPr>
    </w:p>
    <w:p w14:paraId="0DB14D8E" w14:textId="77777777" w:rsidR="00D3344B" w:rsidRDefault="00143C25">
      <w:pPr>
        <w:pStyle w:val="Estilo"/>
        <w:ind w:left="993" w:hanging="426"/>
        <w:rPr>
          <w:rFonts w:cs="Arial"/>
        </w:rPr>
      </w:pPr>
      <w:r>
        <w:rPr>
          <w:rFonts w:cs="Arial"/>
        </w:rPr>
        <w:t xml:space="preserve">c) </w:t>
      </w:r>
      <w:r>
        <w:rPr>
          <w:rFonts w:cs="Arial"/>
        </w:rPr>
        <w:tab/>
        <w:t>Acompañar el comprobante fiscal digital por internet que le sea emitido por la plataforma tecnológica, aplicación informática o similar en la que se especifique el número de boletaje vendido, así como sus diferentes costos y el monto total de los ingresos percibidos por la enajenación, de acuerdo al Código de Comercio y las disposiciones fiscales del orden federal.</w:t>
      </w:r>
    </w:p>
    <w:p w14:paraId="65F8F0EA" w14:textId="77777777" w:rsidR="00D3344B" w:rsidRDefault="00D3344B">
      <w:pPr>
        <w:pStyle w:val="Estilo"/>
        <w:ind w:left="567" w:hanging="567"/>
        <w:rPr>
          <w:rFonts w:cs="Arial"/>
        </w:rPr>
      </w:pPr>
    </w:p>
    <w:p w14:paraId="1A3F20EB" w14:textId="77777777" w:rsidR="00D3344B" w:rsidRDefault="00143C25">
      <w:pPr>
        <w:pStyle w:val="Estilo"/>
        <w:ind w:left="567"/>
        <w:rPr>
          <w:rFonts w:cs="Arial"/>
        </w:rPr>
      </w:pPr>
      <w:r>
        <w:rPr>
          <w:rFonts w:cs="Arial"/>
        </w:rPr>
        <w:t>Los contribuyentes que opten por la modalidad de venta de boletos a través de medios electrónicos, deberán informar a la autoridad fiscal en el mismo término de 5 días antes a la celebración del evento.</w:t>
      </w:r>
    </w:p>
    <w:p w14:paraId="02DE9E08" w14:textId="77777777" w:rsidR="00D3344B" w:rsidRDefault="00D3344B">
      <w:pPr>
        <w:pStyle w:val="Estilo"/>
        <w:ind w:left="567" w:hanging="567"/>
        <w:rPr>
          <w:rFonts w:cs="Arial"/>
        </w:rPr>
      </w:pPr>
    </w:p>
    <w:p w14:paraId="31615766" w14:textId="77777777" w:rsidR="00D3344B" w:rsidRDefault="00143C25">
      <w:pPr>
        <w:pStyle w:val="Estilo"/>
        <w:ind w:left="567"/>
        <w:rPr>
          <w:rFonts w:cs="Arial"/>
        </w:rPr>
      </w:pPr>
      <w:r>
        <w:rPr>
          <w:rFonts w:cs="Arial"/>
        </w:rPr>
        <w:t>Sobre un mismo espectáculo, podrán combinarse ambas formas de venta, satisfaciendo los requisitos antes señalados;</w:t>
      </w:r>
    </w:p>
    <w:p w14:paraId="7E62AA43" w14:textId="77777777" w:rsidR="00D3344B" w:rsidRDefault="00D3344B">
      <w:pPr>
        <w:pStyle w:val="Estilo"/>
        <w:ind w:left="567" w:hanging="567"/>
        <w:rPr>
          <w:rFonts w:cs="Arial"/>
        </w:rPr>
      </w:pPr>
    </w:p>
    <w:p w14:paraId="2A2AC4C0" w14:textId="77777777" w:rsidR="00D3344B" w:rsidRDefault="00143C25">
      <w:pPr>
        <w:pStyle w:val="Estilo"/>
        <w:ind w:left="567" w:hanging="567"/>
        <w:rPr>
          <w:rFonts w:cs="Arial"/>
        </w:rPr>
      </w:pPr>
      <w:r>
        <w:rPr>
          <w:rFonts w:cs="Arial"/>
        </w:rPr>
        <w:t xml:space="preserve">III. </w:t>
      </w:r>
      <w:r>
        <w:rPr>
          <w:rFonts w:cs="Arial"/>
        </w:rPr>
        <w:tab/>
        <w:t>Vender boletos únicamente con autorización oficial.</w:t>
      </w:r>
    </w:p>
    <w:p w14:paraId="45CACFB1" w14:textId="77777777" w:rsidR="00D3344B" w:rsidRDefault="00D3344B">
      <w:pPr>
        <w:pStyle w:val="Estilo"/>
        <w:rPr>
          <w:rFonts w:cs="Arial"/>
        </w:rPr>
      </w:pPr>
    </w:p>
    <w:p w14:paraId="108EA041" w14:textId="77777777" w:rsidR="00D3344B" w:rsidRDefault="00143C25">
      <w:pPr>
        <w:pStyle w:val="Estilo"/>
        <w:rPr>
          <w:rFonts w:cs="Arial"/>
        </w:rPr>
      </w:pPr>
      <w:r>
        <w:rPr>
          <w:rFonts w:cs="Arial"/>
          <w:b/>
        </w:rPr>
        <w:t>Artículo 108.</w:t>
      </w:r>
      <w:r>
        <w:rPr>
          <w:rFonts w:cs="Arial"/>
        </w:rPr>
        <w:t xml:space="preserve"> La base gravable de este impuesto será el total de los ingresos en dinero que se obtengan por la celebración de cualquier actividad comprendida en el objeto de este capítulo.</w:t>
      </w:r>
    </w:p>
    <w:p w14:paraId="4AA6A71E" w14:textId="77777777" w:rsidR="00D3344B" w:rsidRDefault="00D3344B">
      <w:pPr>
        <w:pStyle w:val="Estilo"/>
        <w:rPr>
          <w:rFonts w:cs="Arial"/>
        </w:rPr>
      </w:pPr>
    </w:p>
    <w:p w14:paraId="76660B01" w14:textId="77777777" w:rsidR="00D3344B" w:rsidRDefault="00143C25">
      <w:pPr>
        <w:pStyle w:val="Estilo"/>
        <w:rPr>
          <w:rFonts w:cs="Arial"/>
        </w:rPr>
      </w:pPr>
      <w:r>
        <w:rPr>
          <w:rFonts w:cs="Arial"/>
        </w:rPr>
        <w:t>Las cantidades que se paguen por derecho a reservar localidades en las diversiones o espectáculos gravados por este código, se considerarán como sobreprecio de las entradas, causando el impuesto correspondiente.</w:t>
      </w:r>
    </w:p>
    <w:p w14:paraId="43C10ECA" w14:textId="77777777" w:rsidR="00D3344B" w:rsidRDefault="00D3344B">
      <w:pPr>
        <w:pStyle w:val="Estilo"/>
        <w:rPr>
          <w:rFonts w:cs="Arial"/>
        </w:rPr>
      </w:pPr>
    </w:p>
    <w:p w14:paraId="606124BC" w14:textId="77777777" w:rsidR="00D3344B" w:rsidRDefault="00143C25">
      <w:pPr>
        <w:pStyle w:val="Estilo"/>
        <w:rPr>
          <w:rFonts w:cs="Arial"/>
        </w:rPr>
      </w:pPr>
      <w:r>
        <w:rPr>
          <w:rFonts w:cs="Arial"/>
        </w:rPr>
        <w:t>No se causará el impuesto sobre el importe, total o parcial, de las entradas devueltas.</w:t>
      </w:r>
    </w:p>
    <w:p w14:paraId="09CB39D6" w14:textId="77777777" w:rsidR="00D3344B" w:rsidRDefault="00D3344B">
      <w:pPr>
        <w:pStyle w:val="Estilo"/>
        <w:rPr>
          <w:rFonts w:cs="Arial"/>
        </w:rPr>
      </w:pPr>
    </w:p>
    <w:p w14:paraId="54766BAE" w14:textId="77777777" w:rsidR="00D3344B" w:rsidRDefault="00143C25">
      <w:pPr>
        <w:pStyle w:val="Estilo"/>
        <w:rPr>
          <w:rFonts w:cs="Arial"/>
        </w:rPr>
      </w:pPr>
      <w:r>
        <w:rPr>
          <w:rFonts w:cs="Arial"/>
        </w:rPr>
        <w:t>Cuando los organizadores expidan pases de cortesía o cualquier otro documento que autorice la entrada al evento sin costo alguno, sobre éstos pagarán el impuesto correspondiente como si se hubiese cubierto el importe del boleto o cuota respectiva, a menos que dichos pases estén autorizados con el sello de la Secretaría. Los pases que se autoricen no podrán exceder del 3% del total de las localidades.</w:t>
      </w:r>
    </w:p>
    <w:p w14:paraId="5E0DE11A" w14:textId="77777777" w:rsidR="00D3344B" w:rsidRDefault="00D3344B">
      <w:pPr>
        <w:pStyle w:val="Estilo"/>
        <w:rPr>
          <w:rFonts w:cs="Arial"/>
        </w:rPr>
      </w:pPr>
    </w:p>
    <w:p w14:paraId="55819C0E" w14:textId="77777777" w:rsidR="00D3344B" w:rsidRDefault="00143C25">
      <w:pPr>
        <w:pStyle w:val="Estilo"/>
        <w:rPr>
          <w:rFonts w:cs="Arial"/>
        </w:rPr>
      </w:pPr>
      <w:r>
        <w:rPr>
          <w:rFonts w:cs="Arial"/>
          <w:i/>
          <w:sz w:val="16"/>
        </w:rPr>
        <w:t>(REFORMADO PRIMER PÁRRAFO, P.O. 30 DE DICIEMBRE DE 2006)</w:t>
      </w:r>
    </w:p>
    <w:p w14:paraId="684C975B" w14:textId="77777777" w:rsidR="00D3344B" w:rsidRDefault="00143C25">
      <w:pPr>
        <w:pStyle w:val="Estilo"/>
        <w:rPr>
          <w:rFonts w:cs="Arial"/>
        </w:rPr>
      </w:pPr>
      <w:r>
        <w:rPr>
          <w:rFonts w:cs="Arial"/>
          <w:b/>
        </w:rPr>
        <w:t>Artículo 109.</w:t>
      </w:r>
      <w:r>
        <w:rPr>
          <w:rFonts w:cs="Arial"/>
        </w:rPr>
        <w:t xml:space="preserve"> Este impuesto se determinará y recaudará de conformidad con la base gravable a que se refiere el artículo 108 de este Código, aplicando la tasa que corresponda, según la tarifa siguiente:</w:t>
      </w:r>
    </w:p>
    <w:p w14:paraId="5D5768D4" w14:textId="77777777" w:rsidR="00D3344B" w:rsidRDefault="00D3344B">
      <w:pPr>
        <w:pStyle w:val="Estilo"/>
        <w:rPr>
          <w:rFonts w:cs="Arial"/>
        </w:rPr>
      </w:pPr>
    </w:p>
    <w:p w14:paraId="7D5D86FF" w14:textId="77777777" w:rsidR="00D3344B" w:rsidRDefault="00143C25">
      <w:pPr>
        <w:pStyle w:val="Estilo"/>
        <w:ind w:left="567" w:hanging="567"/>
        <w:rPr>
          <w:rFonts w:cs="Arial"/>
        </w:rPr>
      </w:pPr>
      <w:r>
        <w:rPr>
          <w:rFonts w:cs="Arial"/>
        </w:rPr>
        <w:t xml:space="preserve">I. </w:t>
      </w:r>
      <w:r>
        <w:rPr>
          <w:rFonts w:cs="Arial"/>
        </w:rPr>
        <w:tab/>
        <w:t>Funciones de circo, obras de teatro, eventos deportivos, culturales, juegos mecánicos y otros que fomenten la sana diversión y esparcimiento, el cinco por ciento, y</w:t>
      </w:r>
    </w:p>
    <w:p w14:paraId="0810D9C1" w14:textId="77777777" w:rsidR="00D3344B" w:rsidRDefault="00D3344B">
      <w:pPr>
        <w:pStyle w:val="Estilo"/>
        <w:ind w:left="567" w:hanging="567"/>
        <w:rPr>
          <w:rFonts w:cs="Arial"/>
        </w:rPr>
      </w:pPr>
    </w:p>
    <w:p w14:paraId="097E70FF" w14:textId="77777777" w:rsidR="00D3344B" w:rsidRDefault="00143C25">
      <w:pPr>
        <w:pStyle w:val="Estilo"/>
        <w:ind w:left="567" w:hanging="567"/>
        <w:rPr>
          <w:rFonts w:cs="Arial"/>
        </w:rPr>
      </w:pPr>
      <w:r>
        <w:rPr>
          <w:rFonts w:cs="Arial"/>
        </w:rPr>
        <w:t xml:space="preserve">II. </w:t>
      </w:r>
      <w:r>
        <w:rPr>
          <w:rFonts w:cs="Arial"/>
        </w:rPr>
        <w:tab/>
        <w:t>Eventos taurinos, ecuestres, bailes, audiciones musicales, así como espectáculos públicos de similar naturaleza, el ocho por ciento.</w:t>
      </w:r>
    </w:p>
    <w:p w14:paraId="52C19CBC" w14:textId="77777777" w:rsidR="00D3344B" w:rsidRDefault="00D3344B">
      <w:pPr>
        <w:pStyle w:val="Estilo"/>
        <w:rPr>
          <w:rFonts w:cs="Arial"/>
        </w:rPr>
      </w:pPr>
    </w:p>
    <w:p w14:paraId="68A6B7AE" w14:textId="77777777" w:rsidR="00D3344B" w:rsidRDefault="00143C25">
      <w:pPr>
        <w:pStyle w:val="Estilo"/>
        <w:rPr>
          <w:rFonts w:cs="Arial"/>
        </w:rPr>
      </w:pPr>
      <w:r>
        <w:rPr>
          <w:rFonts w:cs="Arial"/>
          <w:b/>
        </w:rPr>
        <w:lastRenderedPageBreak/>
        <w:t>Artículo 110.</w:t>
      </w:r>
      <w:r>
        <w:rPr>
          <w:rFonts w:cs="Arial"/>
        </w:rPr>
        <w:t xml:space="preserve"> El pago de este impuesto deberá efectuarse en las instituciones de crédito autorizadas, dentro de los siguientes plazos:</w:t>
      </w:r>
    </w:p>
    <w:p w14:paraId="5EE170D1" w14:textId="77777777" w:rsidR="00D3344B" w:rsidRDefault="00D3344B">
      <w:pPr>
        <w:pStyle w:val="Estilo"/>
        <w:rPr>
          <w:rFonts w:cs="Arial"/>
        </w:rPr>
      </w:pPr>
    </w:p>
    <w:p w14:paraId="09B1DD44" w14:textId="77777777" w:rsidR="00D3344B" w:rsidRDefault="00143C25">
      <w:pPr>
        <w:pStyle w:val="Estilo"/>
        <w:ind w:left="567" w:hanging="567"/>
        <w:rPr>
          <w:rFonts w:cs="Arial"/>
        </w:rPr>
      </w:pPr>
      <w:r>
        <w:rPr>
          <w:rFonts w:cs="Arial"/>
        </w:rPr>
        <w:t xml:space="preserve">I. </w:t>
      </w:r>
      <w:r>
        <w:rPr>
          <w:rFonts w:cs="Arial"/>
        </w:rPr>
        <w:tab/>
        <w:t>Cuando la explotación de espectáculos públicos se realice permanentemente en establecimientos fijos, dentro de los primeros diecisiete días del mes siguiente al en que se hubiesen percibido los ingresos objeto del gravamen, presentando al efecto una declaración de los ingresos obtenidos, en las formas aprobadas, y</w:t>
      </w:r>
    </w:p>
    <w:p w14:paraId="07823D4B" w14:textId="77777777" w:rsidR="00D3344B" w:rsidRDefault="00D3344B">
      <w:pPr>
        <w:pStyle w:val="Estilo"/>
        <w:ind w:left="567" w:hanging="567"/>
        <w:rPr>
          <w:rFonts w:cs="Arial"/>
        </w:rPr>
      </w:pPr>
    </w:p>
    <w:p w14:paraId="2A761394" w14:textId="77777777" w:rsidR="00D3344B" w:rsidRDefault="00143C25">
      <w:pPr>
        <w:pStyle w:val="Estilo"/>
        <w:ind w:left="567" w:hanging="567"/>
        <w:rPr>
          <w:rFonts w:cs="Arial"/>
          <w:i/>
          <w:iCs/>
          <w:sz w:val="16"/>
          <w:szCs w:val="16"/>
        </w:rPr>
      </w:pPr>
      <w:r>
        <w:rPr>
          <w:rFonts w:cs="Arial"/>
          <w:i/>
          <w:iCs/>
          <w:sz w:val="16"/>
          <w:szCs w:val="16"/>
        </w:rPr>
        <w:t>(</w:t>
      </w:r>
      <w:proofErr w:type="gramStart"/>
      <w:r>
        <w:rPr>
          <w:rFonts w:cs="Arial"/>
          <w:i/>
          <w:iCs/>
          <w:sz w:val="16"/>
          <w:szCs w:val="16"/>
        </w:rPr>
        <w:t>REFORMADA,P.O.</w:t>
      </w:r>
      <w:proofErr w:type="gramEnd"/>
      <w:r>
        <w:rPr>
          <w:rFonts w:cs="Arial"/>
          <w:i/>
          <w:iCs/>
          <w:sz w:val="16"/>
          <w:szCs w:val="16"/>
        </w:rPr>
        <w:t xml:space="preserve"> 21 DE JUNIO DE 2021)</w:t>
      </w:r>
    </w:p>
    <w:p w14:paraId="0ED9EA7D" w14:textId="77777777" w:rsidR="00D3344B" w:rsidRDefault="00143C25">
      <w:pPr>
        <w:pStyle w:val="Estilo"/>
        <w:ind w:left="567" w:hanging="567"/>
        <w:rPr>
          <w:rFonts w:cs="Arial"/>
        </w:rPr>
      </w:pPr>
      <w:r>
        <w:rPr>
          <w:rFonts w:cs="Arial"/>
        </w:rPr>
        <w:t xml:space="preserve">II. </w:t>
      </w:r>
      <w:r>
        <w:rPr>
          <w:rFonts w:cs="Arial"/>
        </w:rPr>
        <w:tab/>
        <w:t xml:space="preserve">Cuando se trate de contribuyentes eventuales, deberán presentar ante la Secretaría, el boletaje correspondiente al evento o actividad a realizarse, para que se lleve a cabo su autorización previamente su venta, para lo cual habrá de otorgar un depósito equivalente al 50 por ciento del impuesto correspondiente al total del boletaje emitido, en efectivo o mediante fianza expedida por la institución legalmente autorizada, y presentarse ante la Secretaría al día hábil siguiente de la realización del evento o la actividad, con el boletaje sobrante en su caso, a fin de determinar los boletos vendidos y como consecuencia, la diferencia a cargo o a favor del contribuyente, con base al porcentaje establecido en este capítulo, debiendo enterar en ese mismo día el impuesto a cargo del que resulte. </w:t>
      </w:r>
    </w:p>
    <w:p w14:paraId="59056918" w14:textId="77777777" w:rsidR="00D3344B" w:rsidRDefault="00143C25">
      <w:pPr>
        <w:pStyle w:val="Estilo"/>
        <w:ind w:left="567" w:hanging="567"/>
        <w:rPr>
          <w:rFonts w:cs="Arial"/>
        </w:rPr>
      </w:pPr>
      <w:r>
        <w:rPr>
          <w:rFonts w:cs="Arial"/>
        </w:rPr>
        <w:t xml:space="preserve"> </w:t>
      </w:r>
    </w:p>
    <w:p w14:paraId="3F9D9396" w14:textId="77777777" w:rsidR="00D3344B" w:rsidRDefault="00143C25">
      <w:pPr>
        <w:pStyle w:val="Estilo"/>
        <w:ind w:left="567" w:hanging="567"/>
        <w:rPr>
          <w:rFonts w:cs="Arial"/>
          <w:i/>
          <w:iCs/>
          <w:sz w:val="16"/>
          <w:szCs w:val="16"/>
        </w:rPr>
      </w:pPr>
      <w:r>
        <w:rPr>
          <w:rFonts w:cs="Arial"/>
          <w:i/>
          <w:iCs/>
          <w:sz w:val="16"/>
          <w:szCs w:val="16"/>
        </w:rPr>
        <w:t>(</w:t>
      </w:r>
      <w:proofErr w:type="gramStart"/>
      <w:r>
        <w:rPr>
          <w:rFonts w:cs="Arial"/>
          <w:i/>
          <w:iCs/>
          <w:sz w:val="16"/>
          <w:szCs w:val="16"/>
        </w:rPr>
        <w:t>ADICIONADO,P.O.</w:t>
      </w:r>
      <w:proofErr w:type="gramEnd"/>
      <w:r>
        <w:rPr>
          <w:rFonts w:cs="Arial"/>
          <w:i/>
          <w:iCs/>
          <w:sz w:val="16"/>
          <w:szCs w:val="16"/>
        </w:rPr>
        <w:t xml:space="preserve"> 21 DE JUNIO DE 2021)</w:t>
      </w:r>
    </w:p>
    <w:p w14:paraId="1B33C17A" w14:textId="77777777" w:rsidR="00D3344B" w:rsidRDefault="00143C25">
      <w:pPr>
        <w:pStyle w:val="Estilo"/>
        <w:rPr>
          <w:rFonts w:cs="Arial"/>
        </w:rPr>
      </w:pPr>
      <w:r>
        <w:rPr>
          <w:rFonts w:cs="Arial"/>
        </w:rPr>
        <w:t>De lo anterior, al no realizarse el pago de este impuesto de manera puntual, la autoridad fiscal podrá, de manera discrecional, ejercer la facultad de intervenir o proceder a la clausura preventiva de la actividad o evento por un plazo de uno a cuatro días o hasta que se realice el pago.</w:t>
      </w:r>
    </w:p>
    <w:p w14:paraId="2B9232F3" w14:textId="77777777" w:rsidR="00D3344B" w:rsidRDefault="00D3344B">
      <w:pPr>
        <w:pStyle w:val="Estilo"/>
        <w:rPr>
          <w:rFonts w:cs="Arial"/>
        </w:rPr>
      </w:pPr>
    </w:p>
    <w:p w14:paraId="22B94EA6" w14:textId="77777777" w:rsidR="00D3344B" w:rsidRDefault="00143C25">
      <w:pPr>
        <w:pStyle w:val="Estilo"/>
        <w:rPr>
          <w:rFonts w:cs="Arial"/>
        </w:rPr>
      </w:pPr>
      <w:r>
        <w:rPr>
          <w:rFonts w:cs="Arial"/>
          <w:b/>
        </w:rPr>
        <w:t>Artículo 111.</w:t>
      </w:r>
      <w:r>
        <w:rPr>
          <w:rFonts w:cs="Arial"/>
        </w:rPr>
        <w:t xml:space="preserve"> El pago de este impuesto no libera de la obligación de obtener previamente los permisos o autorizaciones correspondientes.</w:t>
      </w:r>
    </w:p>
    <w:p w14:paraId="3A0AFCE3" w14:textId="77777777" w:rsidR="00D3344B" w:rsidRDefault="00D3344B">
      <w:pPr>
        <w:pStyle w:val="Estilo"/>
        <w:rPr>
          <w:rFonts w:cs="Arial"/>
        </w:rPr>
      </w:pPr>
    </w:p>
    <w:p w14:paraId="52946E59" w14:textId="77777777" w:rsidR="00D3344B" w:rsidRDefault="00143C25">
      <w:pPr>
        <w:pStyle w:val="Estilo"/>
        <w:rPr>
          <w:rFonts w:cs="Arial"/>
        </w:rPr>
      </w:pPr>
      <w:r>
        <w:rPr>
          <w:rFonts w:cs="Arial"/>
        </w:rPr>
        <w:t>Los contribuyentes eventuales no deberán iniciar el espectáculo, si no han pagado el impuesto correspondiente a algún evento anterior, en caso de que lo adeude.</w:t>
      </w:r>
    </w:p>
    <w:p w14:paraId="235A3D07" w14:textId="77777777" w:rsidR="00D3344B" w:rsidRDefault="00D3344B">
      <w:pPr>
        <w:pStyle w:val="Estilo"/>
        <w:rPr>
          <w:rFonts w:cs="Arial"/>
        </w:rPr>
      </w:pPr>
    </w:p>
    <w:p w14:paraId="57E3F036" w14:textId="77777777" w:rsidR="00D3344B" w:rsidRDefault="00143C25">
      <w:pPr>
        <w:pStyle w:val="Estilo"/>
        <w:rPr>
          <w:rFonts w:cs="Arial"/>
        </w:rPr>
      </w:pPr>
      <w:r>
        <w:rPr>
          <w:rFonts w:cs="Arial"/>
          <w:i/>
          <w:sz w:val="16"/>
        </w:rPr>
        <w:t>(REFORMADO, P.O. 29 DE NOVIEMBRE DE 2023)</w:t>
      </w:r>
    </w:p>
    <w:p w14:paraId="5E832A12" w14:textId="77777777" w:rsidR="00D3344B" w:rsidRDefault="00143C25">
      <w:pPr>
        <w:pStyle w:val="Estilo"/>
        <w:rPr>
          <w:rFonts w:cs="Arial"/>
        </w:rPr>
      </w:pPr>
      <w:r>
        <w:rPr>
          <w:rFonts w:cs="Arial"/>
          <w:b/>
        </w:rPr>
        <w:t>Artículo 112.</w:t>
      </w:r>
      <w:r>
        <w:rPr>
          <w:rFonts w:cs="Arial"/>
        </w:rPr>
        <w:t xml:space="preserve"> Son responsables solidarios del pago de este impuesto, en ese orden:</w:t>
      </w:r>
    </w:p>
    <w:p w14:paraId="68F1E84D" w14:textId="77777777" w:rsidR="00D3344B" w:rsidRDefault="00D3344B">
      <w:pPr>
        <w:pStyle w:val="Estilo"/>
        <w:rPr>
          <w:rFonts w:cs="Arial"/>
        </w:rPr>
      </w:pPr>
    </w:p>
    <w:p w14:paraId="2369C42A" w14:textId="77777777" w:rsidR="00D3344B" w:rsidRDefault="00143C25">
      <w:pPr>
        <w:pStyle w:val="Estilo"/>
        <w:ind w:left="567" w:hanging="567"/>
        <w:rPr>
          <w:rFonts w:cs="Arial"/>
        </w:rPr>
      </w:pPr>
      <w:r>
        <w:rPr>
          <w:rFonts w:cs="Arial"/>
        </w:rPr>
        <w:t>I.</w:t>
      </w:r>
      <w:r>
        <w:rPr>
          <w:rFonts w:cs="Arial"/>
        </w:rPr>
        <w:tab/>
        <w:t>Los servidores públicos municipales que, en uso de sus facultades legales, autoricen o permitan el espectáculo público sin cerciorarse que el contribuyente haya dado aviso al que</w:t>
      </w:r>
    </w:p>
    <w:p w14:paraId="2B975234" w14:textId="77777777" w:rsidR="00D3344B" w:rsidRDefault="00143C25">
      <w:pPr>
        <w:pStyle w:val="Estilo"/>
        <w:ind w:left="567" w:hanging="567"/>
        <w:rPr>
          <w:rFonts w:cs="Arial"/>
        </w:rPr>
      </w:pPr>
      <w:r>
        <w:rPr>
          <w:rFonts w:cs="Arial"/>
        </w:rPr>
        <w:t xml:space="preserve"> </w:t>
      </w:r>
    </w:p>
    <w:p w14:paraId="673971A6" w14:textId="77777777" w:rsidR="00D3344B" w:rsidRDefault="00143C25">
      <w:pPr>
        <w:pStyle w:val="Estilo"/>
        <w:ind w:left="567"/>
        <w:rPr>
          <w:rFonts w:cs="Arial"/>
        </w:rPr>
      </w:pPr>
      <w:r>
        <w:rPr>
          <w:rFonts w:cs="Arial"/>
        </w:rPr>
        <w:t>se refiere el artículo 107 de este Código, tratándose de contribuyentes eventuales que no hayan otorgado el depósito del 50% sobre el boletaje emitido;</w:t>
      </w:r>
    </w:p>
    <w:p w14:paraId="21C9E890" w14:textId="77777777" w:rsidR="00D3344B" w:rsidRDefault="00D3344B">
      <w:pPr>
        <w:pStyle w:val="Estilo"/>
        <w:ind w:left="567" w:hanging="567"/>
        <w:rPr>
          <w:rFonts w:cs="Arial"/>
        </w:rPr>
      </w:pPr>
    </w:p>
    <w:p w14:paraId="59EBAE6F" w14:textId="77777777" w:rsidR="00D3344B" w:rsidRDefault="00143C25">
      <w:pPr>
        <w:pStyle w:val="Estilo"/>
        <w:ind w:left="567" w:hanging="567"/>
        <w:rPr>
          <w:rFonts w:cs="Arial"/>
        </w:rPr>
      </w:pPr>
      <w:r>
        <w:rPr>
          <w:rFonts w:cs="Arial"/>
        </w:rPr>
        <w:t>II.</w:t>
      </w:r>
      <w:r>
        <w:rPr>
          <w:rFonts w:cs="Arial"/>
        </w:rPr>
        <w:tab/>
        <w:t>Los encargados o quienes se beneficien directamente con la organización de un espectáculo público, y</w:t>
      </w:r>
    </w:p>
    <w:p w14:paraId="418FB529" w14:textId="77777777" w:rsidR="00D3344B" w:rsidRDefault="00D3344B">
      <w:pPr>
        <w:pStyle w:val="Estilo"/>
        <w:ind w:left="567" w:hanging="567"/>
        <w:rPr>
          <w:rFonts w:cs="Arial"/>
        </w:rPr>
      </w:pPr>
    </w:p>
    <w:p w14:paraId="4125C1C2" w14:textId="77777777" w:rsidR="00D3344B" w:rsidRDefault="00143C25">
      <w:pPr>
        <w:pStyle w:val="Estilo"/>
        <w:ind w:left="567" w:hanging="567"/>
        <w:rPr>
          <w:rFonts w:cs="Arial"/>
        </w:rPr>
      </w:pPr>
      <w:r>
        <w:rPr>
          <w:rFonts w:cs="Arial"/>
        </w:rPr>
        <w:t>III.</w:t>
      </w:r>
      <w:r>
        <w:rPr>
          <w:rFonts w:cs="Arial"/>
        </w:rPr>
        <w:tab/>
        <w:t>Las personas que mediante cualquier acto o contrato presten o arrienden los inmuebles expresamente para que se lleven a cabo actividades gravadas en este Capítulo.</w:t>
      </w:r>
    </w:p>
    <w:p w14:paraId="6086FD7A" w14:textId="77777777" w:rsidR="00D3344B" w:rsidRDefault="00D3344B">
      <w:pPr>
        <w:pStyle w:val="Estilo"/>
        <w:rPr>
          <w:rFonts w:cs="Arial"/>
        </w:rPr>
      </w:pPr>
    </w:p>
    <w:p w14:paraId="35B70E88" w14:textId="77777777" w:rsidR="00D3344B" w:rsidRDefault="00143C25">
      <w:pPr>
        <w:pStyle w:val="Estilo"/>
        <w:rPr>
          <w:rFonts w:cs="Arial"/>
          <w:i/>
          <w:iCs/>
          <w:sz w:val="16"/>
          <w:szCs w:val="16"/>
        </w:rPr>
      </w:pPr>
      <w:r>
        <w:rPr>
          <w:rFonts w:cs="Arial"/>
          <w:i/>
          <w:iCs/>
          <w:sz w:val="16"/>
          <w:szCs w:val="16"/>
        </w:rPr>
        <w:t>(REFORMADA, P.O. 22 DE DICIEMBRE DE 2021)</w:t>
      </w:r>
    </w:p>
    <w:p w14:paraId="4AB54FBF" w14:textId="77777777" w:rsidR="00D3344B" w:rsidRDefault="00143C25">
      <w:pPr>
        <w:pStyle w:val="Estilo"/>
        <w:rPr>
          <w:rFonts w:cs="Arial"/>
        </w:rPr>
      </w:pPr>
      <w:r>
        <w:rPr>
          <w:rFonts w:cs="Arial"/>
          <w:b/>
        </w:rPr>
        <w:t>Artículo 113.</w:t>
      </w:r>
      <w:r>
        <w:rPr>
          <w:rFonts w:cs="Arial"/>
        </w:rPr>
        <w:t xml:space="preserve"> El Gobierno Federal, el Estado y los Municipios, están obligados al pago de este impuesto por la organización o celebración de las actividades gravadas por el mismo.</w:t>
      </w:r>
    </w:p>
    <w:p w14:paraId="28C13226" w14:textId="77777777" w:rsidR="00D3344B" w:rsidRDefault="00D3344B">
      <w:pPr>
        <w:pStyle w:val="Estilo"/>
        <w:rPr>
          <w:rFonts w:cs="Arial"/>
        </w:rPr>
      </w:pPr>
    </w:p>
    <w:p w14:paraId="16AD9487" w14:textId="77777777" w:rsidR="00D3344B" w:rsidRDefault="00143C25">
      <w:pPr>
        <w:pStyle w:val="Estilo"/>
        <w:rPr>
          <w:rFonts w:cs="Arial"/>
        </w:rPr>
      </w:pPr>
      <w:r>
        <w:rPr>
          <w:rFonts w:cs="Arial"/>
        </w:rPr>
        <w:t>Los contribuyentes de este impuesto o donatarias, que obtengan ingresos con fines no lucrativos y/o con fines benéficos podrán solicitar al titular de la Secretaría, la condonación parcial del mismo, quien, mediante facultades delegadas por el Gobernador, podrá decidir sobre dicha condonación.</w:t>
      </w:r>
    </w:p>
    <w:p w14:paraId="1C27C5C7" w14:textId="77777777" w:rsidR="00D3344B" w:rsidRDefault="00D3344B">
      <w:pPr>
        <w:pStyle w:val="Estilo"/>
        <w:rPr>
          <w:rFonts w:cs="Arial"/>
        </w:rPr>
      </w:pPr>
    </w:p>
    <w:p w14:paraId="3CDB28C1" w14:textId="77777777" w:rsidR="00D3344B" w:rsidRDefault="00D3344B">
      <w:pPr>
        <w:pStyle w:val="Estilo"/>
        <w:rPr>
          <w:rFonts w:cs="Arial"/>
        </w:rPr>
      </w:pPr>
    </w:p>
    <w:p w14:paraId="3EB73633" w14:textId="77777777" w:rsidR="00D3344B" w:rsidRDefault="00143C25">
      <w:pPr>
        <w:pStyle w:val="Estilo"/>
        <w:jc w:val="center"/>
        <w:rPr>
          <w:rFonts w:cs="Arial"/>
          <w:b/>
        </w:rPr>
      </w:pPr>
      <w:r>
        <w:rPr>
          <w:rFonts w:cs="Arial"/>
          <w:b/>
        </w:rPr>
        <w:t>Capítulo IV</w:t>
      </w:r>
    </w:p>
    <w:p w14:paraId="15A72450" w14:textId="77777777" w:rsidR="00D3344B" w:rsidRDefault="00143C25">
      <w:pPr>
        <w:pStyle w:val="Estilo"/>
        <w:jc w:val="center"/>
        <w:rPr>
          <w:rFonts w:cs="Arial"/>
          <w:b/>
        </w:rPr>
      </w:pPr>
      <w:r>
        <w:rPr>
          <w:rFonts w:cs="Arial"/>
          <w:b/>
        </w:rPr>
        <w:t>Impuesto Sobre la Prestación del Servicio de Hospedaje</w:t>
      </w:r>
    </w:p>
    <w:p w14:paraId="4828C61D" w14:textId="77777777" w:rsidR="00D3344B" w:rsidRDefault="00D3344B">
      <w:pPr>
        <w:pStyle w:val="Estilo"/>
        <w:rPr>
          <w:rFonts w:cs="Arial"/>
        </w:rPr>
      </w:pPr>
    </w:p>
    <w:p w14:paraId="5F451116" w14:textId="77777777" w:rsidR="00D3344B" w:rsidRDefault="00143C25">
      <w:pPr>
        <w:pStyle w:val="Estilo"/>
        <w:rPr>
          <w:rFonts w:cs="Arial"/>
        </w:rPr>
      </w:pPr>
      <w:r>
        <w:rPr>
          <w:rFonts w:cs="Arial"/>
        </w:rPr>
        <w:t>(REFORMADO PRIMER PÁRRAFO, P.O. 31 DE DICIEMBRE DE 2007)</w:t>
      </w:r>
    </w:p>
    <w:p w14:paraId="77AD6EED" w14:textId="77777777" w:rsidR="00D3344B" w:rsidRDefault="00143C25">
      <w:pPr>
        <w:pStyle w:val="Estilo"/>
        <w:rPr>
          <w:rFonts w:cs="Arial"/>
        </w:rPr>
      </w:pPr>
      <w:r>
        <w:rPr>
          <w:rFonts w:cs="Arial"/>
          <w:b/>
        </w:rPr>
        <w:t>Artículo 114.</w:t>
      </w:r>
      <w:r>
        <w:rPr>
          <w:rFonts w:cs="Arial"/>
        </w:rPr>
        <w:t xml:space="preserve"> Es objeto de este impuesto, el pago por la prestación de servicios de hospedaje proporcionado a través de hoteles, moteles, casas de huéspedes, albergues, </w:t>
      </w:r>
      <w:proofErr w:type="spellStart"/>
      <w:r>
        <w:rPr>
          <w:rFonts w:cs="Arial"/>
        </w:rPr>
        <w:t>ex-haciendas</w:t>
      </w:r>
      <w:proofErr w:type="spellEnd"/>
      <w:r>
        <w:rPr>
          <w:rFonts w:cs="Arial"/>
        </w:rPr>
        <w:t>, campamentos y construcciones en las que se proporcione el servicio de alojamiento, incluyendo los que presten este servicio bajo la modalidad de tiempo compartido, siempre que los bienes materia de los mismos se encuentren dentro del territorio del Estado, independientemente del lugar en donde se realice el pago.</w:t>
      </w:r>
    </w:p>
    <w:p w14:paraId="5385768D" w14:textId="77777777" w:rsidR="00D3344B" w:rsidRDefault="00D3344B">
      <w:pPr>
        <w:pStyle w:val="Estilo"/>
        <w:rPr>
          <w:rFonts w:cs="Arial"/>
        </w:rPr>
      </w:pPr>
    </w:p>
    <w:p w14:paraId="4221F430" w14:textId="77777777" w:rsidR="00D3344B" w:rsidRDefault="00143C25">
      <w:pPr>
        <w:pStyle w:val="Estilo"/>
        <w:rPr>
          <w:rFonts w:cs="Arial"/>
        </w:rPr>
      </w:pPr>
      <w:r>
        <w:rPr>
          <w:rFonts w:cs="Arial"/>
        </w:rPr>
        <w:t>Se entiende por servicios de hospedaje, el otorgamiento de albergue o alojamiento en forma temporal, a cambio de una contraprestación en dinero o en especie, sea cual fuere la denominación con la que se designe.</w:t>
      </w:r>
    </w:p>
    <w:p w14:paraId="2BA19DAC" w14:textId="77777777" w:rsidR="00D3344B" w:rsidRDefault="00D3344B">
      <w:pPr>
        <w:pStyle w:val="Estilo"/>
        <w:rPr>
          <w:rFonts w:cs="Arial"/>
        </w:rPr>
      </w:pPr>
    </w:p>
    <w:p w14:paraId="722A86DB" w14:textId="77777777" w:rsidR="00D3344B" w:rsidRDefault="00143C25">
      <w:pPr>
        <w:pStyle w:val="Estilo"/>
        <w:rPr>
          <w:rFonts w:cs="Arial"/>
        </w:rPr>
      </w:pPr>
      <w:r>
        <w:rPr>
          <w:rFonts w:cs="Arial"/>
          <w:b/>
        </w:rPr>
        <w:t>Artículo 115.</w:t>
      </w:r>
      <w:r>
        <w:rPr>
          <w:rFonts w:cs="Arial"/>
        </w:rPr>
        <w:t xml:space="preserve"> Son sujetos de este impuesto las personas físicas y morales que presten los servicios de hospedaje, quienes realicen el traslado del impuesto en forma expresa y por separado, a las personas a quienes se preste el servicio. Se entenderá por traslado del impuesto, el cobro a cargo que el contribuyente debe hacer a dichas personas.</w:t>
      </w:r>
    </w:p>
    <w:p w14:paraId="64846250" w14:textId="77777777" w:rsidR="00D3344B" w:rsidRDefault="00D3344B">
      <w:pPr>
        <w:pStyle w:val="Estilo"/>
        <w:rPr>
          <w:rFonts w:cs="Arial"/>
        </w:rPr>
      </w:pPr>
    </w:p>
    <w:p w14:paraId="45BC807D" w14:textId="77777777" w:rsidR="00D3344B" w:rsidRDefault="00143C25">
      <w:pPr>
        <w:pStyle w:val="Estilo"/>
        <w:rPr>
          <w:rFonts w:cs="Arial"/>
        </w:rPr>
      </w:pPr>
      <w:r>
        <w:rPr>
          <w:rFonts w:cs="Arial"/>
          <w:b/>
        </w:rPr>
        <w:t>Artículo 116.</w:t>
      </w:r>
      <w:r>
        <w:rPr>
          <w:rFonts w:cs="Arial"/>
        </w:rPr>
        <w:t xml:space="preserve"> Es base gravable de este impuesto, el monto total de los ingresos que perciban las personas físicas y morales por los servicios de hospedaje que presten, considerando sólo el albergue, sin incluir los alimentos y demás servicios relacionados y el impuesto al valor agregado.</w:t>
      </w:r>
    </w:p>
    <w:p w14:paraId="6B9A04B0" w14:textId="77777777" w:rsidR="00D3344B" w:rsidRDefault="00D3344B">
      <w:pPr>
        <w:pStyle w:val="Estilo"/>
        <w:rPr>
          <w:rFonts w:cs="Arial"/>
        </w:rPr>
      </w:pPr>
    </w:p>
    <w:p w14:paraId="0EB2C682" w14:textId="77777777" w:rsidR="00D3344B" w:rsidRDefault="00143C25">
      <w:pPr>
        <w:pStyle w:val="Estilo"/>
        <w:rPr>
          <w:rFonts w:cs="Arial"/>
        </w:rPr>
      </w:pPr>
      <w:r>
        <w:rPr>
          <w:rFonts w:cs="Arial"/>
        </w:rPr>
        <w:t xml:space="preserve">Cuando el servicio de hospedaje incluya servicios accesorios, tales como transporte, alimentación, uso de instalaciones y otros similares y en la documentación comprobatoria no se desglose o desagregue los montos de la </w:t>
      </w:r>
      <w:r>
        <w:rPr>
          <w:rFonts w:cs="Arial"/>
        </w:rPr>
        <w:lastRenderedPageBreak/>
        <w:t>prestación de éstos últimos, se entenderá que el valor de la contraprestación respectiva corresponde en su totalidad al servicio de hospedaje.</w:t>
      </w:r>
    </w:p>
    <w:p w14:paraId="7B76125C" w14:textId="77777777" w:rsidR="00D3344B" w:rsidRDefault="00D3344B">
      <w:pPr>
        <w:pStyle w:val="Estilo"/>
        <w:rPr>
          <w:rFonts w:cs="Arial"/>
        </w:rPr>
      </w:pPr>
    </w:p>
    <w:p w14:paraId="7BAB48E8" w14:textId="77777777" w:rsidR="00D3344B" w:rsidRDefault="00143C25">
      <w:pPr>
        <w:pStyle w:val="Estilo"/>
        <w:rPr>
          <w:rFonts w:cs="Arial"/>
        </w:rPr>
      </w:pPr>
      <w:r>
        <w:rPr>
          <w:rFonts w:cs="Arial"/>
          <w:b/>
        </w:rPr>
        <w:t>Artículo 117.</w:t>
      </w:r>
      <w:r>
        <w:rPr>
          <w:rFonts w:cs="Arial"/>
        </w:rPr>
        <w:t xml:space="preserve"> Los contribuyentes calcularán este impuesto por la prestación de servicios de hospedaje aplicando la tasa del dos por ciento a la base gravable a que alude el artículo anterior.</w:t>
      </w:r>
    </w:p>
    <w:p w14:paraId="7518E54A" w14:textId="77777777" w:rsidR="00D3344B" w:rsidRDefault="00D3344B">
      <w:pPr>
        <w:pStyle w:val="Estilo"/>
        <w:rPr>
          <w:rFonts w:cs="Arial"/>
        </w:rPr>
      </w:pPr>
    </w:p>
    <w:p w14:paraId="57212F35" w14:textId="77777777" w:rsidR="00D3344B" w:rsidRDefault="00143C25">
      <w:pPr>
        <w:pStyle w:val="Estilo"/>
        <w:rPr>
          <w:rFonts w:cs="Arial"/>
        </w:rPr>
      </w:pPr>
      <w:r>
        <w:rPr>
          <w:rFonts w:cs="Arial"/>
        </w:rPr>
        <w:t>En el caso de que los sujetos no hayan separado el impuesto, para determinar su base, se considerará que el mismo está incluido en el monto cobrado y la autoridad fiscal procederá a dividir dicho monto entre el uno punto cero dos, el resultado obtenido se restará al monto total de la operación y el resultado será el impuesto.</w:t>
      </w:r>
    </w:p>
    <w:p w14:paraId="2F1CF0AD" w14:textId="77777777" w:rsidR="00D3344B" w:rsidRDefault="00D3344B">
      <w:pPr>
        <w:pStyle w:val="Estilo"/>
        <w:rPr>
          <w:rFonts w:cs="Arial"/>
        </w:rPr>
      </w:pPr>
    </w:p>
    <w:p w14:paraId="0449F052" w14:textId="77777777" w:rsidR="00D3344B" w:rsidRDefault="00143C25">
      <w:pPr>
        <w:pStyle w:val="Estilo"/>
        <w:rPr>
          <w:rFonts w:cs="Arial"/>
        </w:rPr>
      </w:pPr>
      <w:r>
        <w:rPr>
          <w:rFonts w:cs="Arial"/>
          <w:b/>
        </w:rPr>
        <w:t>Artículo 118.</w:t>
      </w:r>
      <w:r>
        <w:rPr>
          <w:rFonts w:cs="Arial"/>
        </w:rPr>
        <w:t xml:space="preserve"> Este impuesto se causará en el momento en que ocurra el primero de cualquiera de los supuestos siguientes:</w:t>
      </w:r>
    </w:p>
    <w:p w14:paraId="23953A9B" w14:textId="77777777" w:rsidR="00D3344B" w:rsidRDefault="00D3344B">
      <w:pPr>
        <w:pStyle w:val="Estilo"/>
        <w:rPr>
          <w:rFonts w:cs="Arial"/>
        </w:rPr>
      </w:pPr>
    </w:p>
    <w:p w14:paraId="2EF6045B" w14:textId="77777777" w:rsidR="00D3344B" w:rsidRDefault="00143C25">
      <w:pPr>
        <w:pStyle w:val="Estilo"/>
        <w:ind w:left="567" w:hanging="567"/>
        <w:rPr>
          <w:rFonts w:cs="Arial"/>
        </w:rPr>
      </w:pPr>
      <w:r>
        <w:rPr>
          <w:rFonts w:cs="Arial"/>
        </w:rPr>
        <w:t xml:space="preserve">I. </w:t>
      </w:r>
      <w:r>
        <w:rPr>
          <w:rFonts w:cs="Arial"/>
        </w:rPr>
        <w:tab/>
        <w:t>Se expida el comprobante que ampare la contraprestación pactada;</w:t>
      </w:r>
    </w:p>
    <w:p w14:paraId="2F11EBCE" w14:textId="77777777" w:rsidR="00D3344B" w:rsidRDefault="00D3344B">
      <w:pPr>
        <w:pStyle w:val="Estilo"/>
        <w:ind w:left="567" w:hanging="567"/>
        <w:rPr>
          <w:rFonts w:cs="Arial"/>
        </w:rPr>
      </w:pPr>
    </w:p>
    <w:p w14:paraId="5D900205" w14:textId="77777777" w:rsidR="00D3344B" w:rsidRDefault="00143C25">
      <w:pPr>
        <w:pStyle w:val="Estilo"/>
        <w:ind w:left="567" w:hanging="567"/>
        <w:rPr>
          <w:rFonts w:cs="Arial"/>
        </w:rPr>
      </w:pPr>
      <w:r>
        <w:rPr>
          <w:rFonts w:cs="Arial"/>
        </w:rPr>
        <w:t xml:space="preserve">II. </w:t>
      </w:r>
      <w:r>
        <w:rPr>
          <w:rFonts w:cs="Arial"/>
        </w:rPr>
        <w:tab/>
        <w:t>Se preste el servicio de hospedaje, y</w:t>
      </w:r>
    </w:p>
    <w:p w14:paraId="78AA5EE4" w14:textId="77777777" w:rsidR="00D3344B" w:rsidRDefault="00D3344B">
      <w:pPr>
        <w:pStyle w:val="Estilo"/>
        <w:ind w:left="567" w:hanging="567"/>
        <w:rPr>
          <w:rFonts w:cs="Arial"/>
        </w:rPr>
      </w:pPr>
    </w:p>
    <w:p w14:paraId="3B07524E" w14:textId="77777777" w:rsidR="00D3344B" w:rsidRDefault="00143C25">
      <w:pPr>
        <w:pStyle w:val="Estilo"/>
        <w:ind w:left="567" w:hanging="567"/>
        <w:rPr>
          <w:rFonts w:cs="Arial"/>
        </w:rPr>
      </w:pPr>
      <w:r>
        <w:rPr>
          <w:rFonts w:cs="Arial"/>
        </w:rPr>
        <w:t xml:space="preserve">III. </w:t>
      </w:r>
      <w:r>
        <w:rPr>
          <w:rFonts w:cs="Arial"/>
        </w:rPr>
        <w:tab/>
        <w:t>Se cobre o sea exigible total o parcialmente la contraprestación pactada, aun cuando provenga de anticipos.</w:t>
      </w:r>
    </w:p>
    <w:p w14:paraId="22ED4F62" w14:textId="77777777" w:rsidR="00D3344B" w:rsidRDefault="00D3344B">
      <w:pPr>
        <w:pStyle w:val="Estilo"/>
        <w:rPr>
          <w:rFonts w:cs="Arial"/>
        </w:rPr>
      </w:pPr>
    </w:p>
    <w:p w14:paraId="050B1C4D" w14:textId="77777777" w:rsidR="00D3344B" w:rsidRDefault="00143C25">
      <w:pPr>
        <w:pStyle w:val="Estilo"/>
        <w:rPr>
          <w:rFonts w:cs="Arial"/>
        </w:rPr>
      </w:pPr>
      <w:r>
        <w:rPr>
          <w:rFonts w:cs="Arial"/>
          <w:b/>
        </w:rPr>
        <w:t>Artículo 119.</w:t>
      </w:r>
      <w:r>
        <w:rPr>
          <w:rFonts w:cs="Arial"/>
        </w:rPr>
        <w:t xml:space="preserve"> Este impuesto se pagará mediante declaración mensual, a más tardar el día diecisiete del mes siguiente al que se cause.</w:t>
      </w:r>
    </w:p>
    <w:p w14:paraId="16496435" w14:textId="77777777" w:rsidR="00D3344B" w:rsidRDefault="00D3344B">
      <w:pPr>
        <w:pStyle w:val="Estilo"/>
        <w:rPr>
          <w:rFonts w:cs="Arial"/>
        </w:rPr>
      </w:pPr>
    </w:p>
    <w:p w14:paraId="1895FB81" w14:textId="77777777" w:rsidR="00D3344B" w:rsidRDefault="00143C25">
      <w:pPr>
        <w:pStyle w:val="Estilo"/>
        <w:rPr>
          <w:rFonts w:cs="Arial"/>
        </w:rPr>
      </w:pPr>
      <w:r>
        <w:rPr>
          <w:rFonts w:cs="Arial"/>
        </w:rPr>
        <w:t>Los contribuyentes presentarán sus declaraciones en las formas aprobadas por la Secretaría y efectuarán el pago del impuesto en las instituciones de crédito autorizadas.</w:t>
      </w:r>
    </w:p>
    <w:p w14:paraId="4CDE4AD2" w14:textId="77777777" w:rsidR="00D3344B" w:rsidRDefault="00D3344B">
      <w:pPr>
        <w:pStyle w:val="Estilo"/>
        <w:rPr>
          <w:rFonts w:cs="Arial"/>
        </w:rPr>
      </w:pPr>
    </w:p>
    <w:p w14:paraId="06E934A8" w14:textId="77777777" w:rsidR="00D3344B" w:rsidRDefault="00143C25">
      <w:pPr>
        <w:pStyle w:val="Estilo"/>
        <w:rPr>
          <w:rFonts w:cs="Arial"/>
        </w:rPr>
      </w:pPr>
      <w:r>
        <w:rPr>
          <w:rFonts w:cs="Arial"/>
          <w:b/>
        </w:rPr>
        <w:t>Artículo 120.</w:t>
      </w:r>
      <w:r>
        <w:rPr>
          <w:rFonts w:cs="Arial"/>
        </w:rPr>
        <w:t xml:space="preserve"> No se considerarán servicios de hospedaje, el albergue o alojamiento prestados por los hospitales, clínicas, conventos, asilos, seminarios e internados y albergues o casas de beneficencia o asistencia social.</w:t>
      </w:r>
    </w:p>
    <w:p w14:paraId="3B95C6C1" w14:textId="77777777" w:rsidR="00D3344B" w:rsidRDefault="00D3344B">
      <w:pPr>
        <w:pStyle w:val="Estilo"/>
        <w:rPr>
          <w:rFonts w:cs="Arial"/>
        </w:rPr>
      </w:pPr>
    </w:p>
    <w:p w14:paraId="7BF6BD04" w14:textId="77777777" w:rsidR="00D3344B" w:rsidRDefault="00143C25">
      <w:pPr>
        <w:pStyle w:val="Estilo"/>
        <w:rPr>
          <w:rFonts w:cs="Arial"/>
        </w:rPr>
      </w:pPr>
      <w:r>
        <w:rPr>
          <w:rFonts w:cs="Arial"/>
          <w:i/>
          <w:sz w:val="16"/>
        </w:rPr>
        <w:t>(ADICIONADO, P.O. 31 DE DICIEMBRE DE 2007)</w:t>
      </w:r>
    </w:p>
    <w:p w14:paraId="43BE39AA" w14:textId="77777777" w:rsidR="00D3344B" w:rsidRDefault="00143C25">
      <w:pPr>
        <w:pStyle w:val="Estilo"/>
        <w:rPr>
          <w:rFonts w:cs="Arial"/>
        </w:rPr>
      </w:pPr>
      <w:r>
        <w:rPr>
          <w:rFonts w:cs="Arial"/>
          <w:b/>
        </w:rPr>
        <w:t>Artículo 120 A.</w:t>
      </w:r>
      <w:r>
        <w:rPr>
          <w:rFonts w:cs="Arial"/>
        </w:rPr>
        <w:t xml:space="preserve"> Para efectos del artículo 74 de este código, tratándose de hoteles, moteles, casas de huéspedes, u otros que tengan por objeto la prestación de alojamiento o albergue temporal, se multiplicará el número de habitaciones o cuartos que se encuentren destinados a la prestación de alojamiento o albergue temporal de personas a cambio de un pago, por el costo promedio diario de la tarifa establecida o precio pactado, según sea el caso, por concepto de servicio de hospedaje de los meses objeto de la revisión.</w:t>
      </w:r>
    </w:p>
    <w:p w14:paraId="73B7084B" w14:textId="77777777" w:rsidR="00D3344B" w:rsidRDefault="00D3344B">
      <w:pPr>
        <w:pStyle w:val="Estilo"/>
        <w:rPr>
          <w:rFonts w:cs="Arial"/>
        </w:rPr>
      </w:pPr>
    </w:p>
    <w:p w14:paraId="4FC627C5" w14:textId="77777777" w:rsidR="00D3344B" w:rsidRDefault="00143C25">
      <w:pPr>
        <w:pStyle w:val="Estilo"/>
        <w:rPr>
          <w:rFonts w:cs="Arial"/>
        </w:rPr>
      </w:pPr>
      <w:r>
        <w:rPr>
          <w:rFonts w:cs="Arial"/>
        </w:rPr>
        <w:t xml:space="preserve">El producto obtenido de las operaciones a que se refiere el párrafo anterior, se multiplicará por el número de días que corresponda al periodo objeto de la revisión. La cantidad resultante se multiplicará por el porcentaje de ocupación </w:t>
      </w:r>
      <w:r>
        <w:rPr>
          <w:rFonts w:cs="Arial"/>
        </w:rPr>
        <w:lastRenderedPageBreak/>
        <w:t>correspondiente a los meses objeto de la revisión, el resultado de esta operación será la base gravable estimada.</w:t>
      </w:r>
    </w:p>
    <w:p w14:paraId="7FF09A96" w14:textId="77777777" w:rsidR="00D3344B" w:rsidRDefault="00D3344B">
      <w:pPr>
        <w:pStyle w:val="Estilo"/>
        <w:rPr>
          <w:rFonts w:cs="Arial"/>
        </w:rPr>
      </w:pPr>
    </w:p>
    <w:p w14:paraId="4C676D85" w14:textId="77777777" w:rsidR="00D3344B" w:rsidRDefault="00143C25">
      <w:pPr>
        <w:pStyle w:val="Estilo"/>
        <w:rPr>
          <w:rFonts w:cs="Arial"/>
        </w:rPr>
      </w:pPr>
      <w:r>
        <w:rPr>
          <w:rFonts w:cs="Arial"/>
        </w:rPr>
        <w:t>El costo promedio diario a que se hace referencia anteriormente se determinará dividiendo la tarifa establecida o precio pactado entre dos.</w:t>
      </w:r>
    </w:p>
    <w:p w14:paraId="36E15910" w14:textId="77777777" w:rsidR="00D3344B" w:rsidRDefault="00D3344B">
      <w:pPr>
        <w:pStyle w:val="Estilo"/>
        <w:rPr>
          <w:rFonts w:cs="Arial"/>
        </w:rPr>
      </w:pPr>
    </w:p>
    <w:p w14:paraId="7E229B2B" w14:textId="77777777" w:rsidR="00D3344B" w:rsidRDefault="00143C25">
      <w:pPr>
        <w:pStyle w:val="Estilo"/>
        <w:rPr>
          <w:rFonts w:cs="Arial"/>
        </w:rPr>
      </w:pPr>
      <w:r>
        <w:rPr>
          <w:rFonts w:cs="Arial"/>
        </w:rPr>
        <w:t>Se considerará que el porcentaje de ocupación corresponderá al 50% de la ocupación total para determinar la base gravable estimada.</w:t>
      </w:r>
    </w:p>
    <w:p w14:paraId="10A7B117" w14:textId="77777777" w:rsidR="00D3344B" w:rsidRDefault="00D3344B">
      <w:pPr>
        <w:pStyle w:val="Estilo"/>
        <w:rPr>
          <w:rFonts w:cs="Arial"/>
        </w:rPr>
      </w:pPr>
    </w:p>
    <w:p w14:paraId="0C418B90" w14:textId="77777777" w:rsidR="00D3344B" w:rsidRDefault="00143C25">
      <w:pPr>
        <w:pStyle w:val="Estilo"/>
        <w:rPr>
          <w:rFonts w:cs="Arial"/>
        </w:rPr>
      </w:pPr>
      <w:r>
        <w:rPr>
          <w:rFonts w:cs="Arial"/>
        </w:rPr>
        <w:t>A la base gravable estimada conforme al procedimiento citado en este artículo, se le aplicará la tasa impositiva que corresponda.</w:t>
      </w:r>
    </w:p>
    <w:p w14:paraId="4993BC5F" w14:textId="77777777" w:rsidR="00D3344B" w:rsidRDefault="00D3344B">
      <w:pPr>
        <w:pStyle w:val="Estilo"/>
        <w:rPr>
          <w:rFonts w:cs="Arial"/>
        </w:rPr>
      </w:pPr>
    </w:p>
    <w:p w14:paraId="43AE7708" w14:textId="77777777" w:rsidR="00D3344B" w:rsidRDefault="00143C25">
      <w:pPr>
        <w:pStyle w:val="Estilo"/>
        <w:jc w:val="center"/>
        <w:rPr>
          <w:rFonts w:cs="Arial"/>
          <w:b/>
        </w:rPr>
      </w:pPr>
      <w:r>
        <w:rPr>
          <w:rFonts w:cs="Arial"/>
          <w:b/>
        </w:rPr>
        <w:t>Capítulo V</w:t>
      </w:r>
    </w:p>
    <w:p w14:paraId="171944AD" w14:textId="77777777" w:rsidR="00D3344B" w:rsidRDefault="00143C25">
      <w:pPr>
        <w:pStyle w:val="Estilo"/>
        <w:jc w:val="center"/>
        <w:rPr>
          <w:rFonts w:cs="Arial"/>
          <w:b/>
        </w:rPr>
      </w:pPr>
      <w:r>
        <w:rPr>
          <w:rFonts w:cs="Arial"/>
          <w:b/>
        </w:rPr>
        <w:t>Impuesto Sobre Ejercicio de Profesiones</w:t>
      </w:r>
    </w:p>
    <w:p w14:paraId="3F6C615C" w14:textId="77777777" w:rsidR="00D3344B" w:rsidRDefault="00D3344B">
      <w:pPr>
        <w:pStyle w:val="Estilo"/>
        <w:rPr>
          <w:rFonts w:cs="Arial"/>
        </w:rPr>
      </w:pPr>
    </w:p>
    <w:p w14:paraId="3BDFEF52" w14:textId="77777777" w:rsidR="00D3344B" w:rsidRDefault="00143C25">
      <w:pPr>
        <w:pStyle w:val="Estilo"/>
        <w:rPr>
          <w:rFonts w:cs="Arial"/>
        </w:rPr>
      </w:pPr>
      <w:r>
        <w:rPr>
          <w:rFonts w:cs="Arial"/>
          <w:i/>
          <w:sz w:val="16"/>
        </w:rPr>
        <w:t>(REFORMADO, P.O. 30 DE DICIEMBRE DE 2005)</w:t>
      </w:r>
    </w:p>
    <w:p w14:paraId="18ED0205" w14:textId="77777777" w:rsidR="00D3344B" w:rsidRDefault="00143C25">
      <w:pPr>
        <w:pStyle w:val="Estilo"/>
        <w:rPr>
          <w:rFonts w:cs="Arial"/>
        </w:rPr>
      </w:pPr>
      <w:r>
        <w:rPr>
          <w:rFonts w:cs="Arial"/>
          <w:b/>
        </w:rPr>
        <w:t>Artículo 121.</w:t>
      </w:r>
      <w:r>
        <w:rPr>
          <w:rFonts w:cs="Arial"/>
        </w:rPr>
        <w:t xml:space="preserve"> Son objeto del impuesto sobre ejercicio de profesiones, los ingresos que perciban las personas físicas por la prestación de servicios por el libre ejercicio de una profesión o actividad técnica, cultural, artística, deportiva o de otra naturaleza similar, de conformidad con las leyes respectivas, siempre que </w:t>
      </w:r>
      <w:proofErr w:type="gramStart"/>
      <w:r>
        <w:rPr>
          <w:rFonts w:cs="Arial"/>
        </w:rPr>
        <w:t>la prestación de los servicios profesionales no causen</w:t>
      </w:r>
      <w:proofErr w:type="gramEnd"/>
      <w:r>
        <w:rPr>
          <w:rFonts w:cs="Arial"/>
        </w:rPr>
        <w:t xml:space="preserve"> el impuesto al valor agregado.</w:t>
      </w:r>
    </w:p>
    <w:p w14:paraId="57733C80" w14:textId="77777777" w:rsidR="00D3344B" w:rsidRDefault="00D3344B">
      <w:pPr>
        <w:pStyle w:val="Estilo"/>
        <w:rPr>
          <w:rFonts w:cs="Arial"/>
        </w:rPr>
      </w:pPr>
    </w:p>
    <w:p w14:paraId="7AE4EDA9" w14:textId="77777777" w:rsidR="00D3344B" w:rsidRDefault="00143C25">
      <w:pPr>
        <w:pStyle w:val="Estilo"/>
        <w:rPr>
          <w:rFonts w:cs="Arial"/>
        </w:rPr>
      </w:pPr>
      <w:r>
        <w:rPr>
          <w:rFonts w:cs="Arial"/>
          <w:i/>
          <w:sz w:val="16"/>
        </w:rPr>
        <w:t>(REFORMADO, P.O. 30 DE DICIEMBRE DE 2005)</w:t>
      </w:r>
    </w:p>
    <w:p w14:paraId="3B7E7391" w14:textId="77777777" w:rsidR="00D3344B" w:rsidRDefault="00143C25">
      <w:pPr>
        <w:pStyle w:val="Estilo"/>
        <w:rPr>
          <w:rFonts w:cs="Arial"/>
        </w:rPr>
      </w:pPr>
      <w:r>
        <w:rPr>
          <w:rFonts w:cs="Arial"/>
          <w:b/>
        </w:rPr>
        <w:t>Artículo 122.</w:t>
      </w:r>
      <w:r>
        <w:rPr>
          <w:rFonts w:cs="Arial"/>
        </w:rPr>
        <w:t xml:space="preserve"> Son sujetos de este impuesto las personas físicas que perciban ingresos dentro del territorio del Estado o tengan su domicilio fiscal dentro del territorio del mismo, por alguna de las actividades señaladas en el artículo anterior. Cuando estos sujetos operen en agrupaciones profesionales, asociaciones o sociedades de carácter civil o mercantil, serán sujetos del impuesto individualmente, por la participación que les corresponda en los ingresos de la organización.</w:t>
      </w:r>
    </w:p>
    <w:p w14:paraId="7D244F39" w14:textId="77777777" w:rsidR="00D3344B" w:rsidRDefault="00D3344B">
      <w:pPr>
        <w:pStyle w:val="Estilo"/>
        <w:rPr>
          <w:rFonts w:cs="Arial"/>
        </w:rPr>
      </w:pPr>
    </w:p>
    <w:p w14:paraId="75003DD5" w14:textId="77777777" w:rsidR="00D3344B" w:rsidRDefault="00143C25">
      <w:pPr>
        <w:pStyle w:val="Estilo"/>
        <w:rPr>
          <w:rFonts w:cs="Arial"/>
        </w:rPr>
      </w:pPr>
      <w:r>
        <w:rPr>
          <w:rFonts w:cs="Arial"/>
          <w:b/>
        </w:rPr>
        <w:t>Artículo 123.</w:t>
      </w:r>
      <w:r>
        <w:rPr>
          <w:rFonts w:cs="Arial"/>
        </w:rPr>
        <w:t xml:space="preserve"> Será base de este impuesto, el monto total de los ingresos percibidos en los términos de los dos artículos anteriores.</w:t>
      </w:r>
    </w:p>
    <w:p w14:paraId="25510599" w14:textId="77777777" w:rsidR="00D3344B" w:rsidRDefault="00D3344B">
      <w:pPr>
        <w:pStyle w:val="Estilo"/>
        <w:rPr>
          <w:rFonts w:cs="Arial"/>
        </w:rPr>
      </w:pPr>
    </w:p>
    <w:p w14:paraId="305083BE" w14:textId="77777777" w:rsidR="00D3344B" w:rsidRDefault="00143C25">
      <w:pPr>
        <w:pStyle w:val="Estilo"/>
        <w:rPr>
          <w:rFonts w:cs="Arial"/>
        </w:rPr>
      </w:pPr>
      <w:r>
        <w:rPr>
          <w:rFonts w:cs="Arial"/>
          <w:b/>
        </w:rPr>
        <w:t>Artículo 124.</w:t>
      </w:r>
      <w:r>
        <w:rPr>
          <w:rFonts w:cs="Arial"/>
        </w:rPr>
        <w:t xml:space="preserve"> Este impuesto se pagará y recaudará aplicando la tasa del tres por ciento sobre el total de los ingresos por honorarios percibidos y por la prestación de servicios no considerados como actividad laboral.</w:t>
      </w:r>
    </w:p>
    <w:p w14:paraId="1BDADC9A" w14:textId="77777777" w:rsidR="00D3344B" w:rsidRDefault="00D3344B">
      <w:pPr>
        <w:pStyle w:val="Estilo"/>
        <w:rPr>
          <w:rFonts w:cs="Arial"/>
        </w:rPr>
      </w:pPr>
    </w:p>
    <w:p w14:paraId="364DCBD9" w14:textId="77777777" w:rsidR="00D3344B" w:rsidRDefault="00143C25">
      <w:pPr>
        <w:pStyle w:val="Estilo"/>
        <w:rPr>
          <w:rFonts w:cs="Arial"/>
        </w:rPr>
      </w:pPr>
      <w:r>
        <w:rPr>
          <w:rFonts w:cs="Arial"/>
          <w:b/>
        </w:rPr>
        <w:t>Artículo 125.</w:t>
      </w:r>
      <w:r>
        <w:rPr>
          <w:rFonts w:cs="Arial"/>
        </w:rPr>
        <w:t xml:space="preserve"> Los contribuyentes habituales deberán pagar este impuesto, mediante declaraciones mensuales, a más tardar el día diecisiete del mes siguiente, al periodo relativo. Los contribuyentes eventuales deberán pagar el impuesto a los treinta días hábiles siguientes al en que perciban el ingreso.</w:t>
      </w:r>
    </w:p>
    <w:p w14:paraId="61921DBF" w14:textId="77777777" w:rsidR="00D3344B" w:rsidRDefault="00D3344B">
      <w:pPr>
        <w:pStyle w:val="Estilo"/>
        <w:rPr>
          <w:rFonts w:cs="Arial"/>
        </w:rPr>
      </w:pPr>
    </w:p>
    <w:p w14:paraId="3D8C0107" w14:textId="77777777" w:rsidR="00D3344B" w:rsidRDefault="00143C25">
      <w:pPr>
        <w:pStyle w:val="Estilo"/>
        <w:rPr>
          <w:rFonts w:cs="Arial"/>
        </w:rPr>
      </w:pPr>
      <w:r>
        <w:rPr>
          <w:rFonts w:cs="Arial"/>
        </w:rPr>
        <w:t>Los contribuyentes efectuarán el pago del impuesto en las instituciones de crédito autorizadas.</w:t>
      </w:r>
    </w:p>
    <w:p w14:paraId="3F103ED0" w14:textId="77777777" w:rsidR="00D3344B" w:rsidRDefault="00D3344B">
      <w:pPr>
        <w:pStyle w:val="Estilo"/>
        <w:rPr>
          <w:rFonts w:cs="Arial"/>
        </w:rPr>
      </w:pPr>
    </w:p>
    <w:p w14:paraId="6D468029" w14:textId="77777777" w:rsidR="00D3344B" w:rsidRDefault="00143C25">
      <w:pPr>
        <w:pStyle w:val="Estilo"/>
        <w:rPr>
          <w:rFonts w:cs="Arial"/>
        </w:rPr>
      </w:pPr>
      <w:r>
        <w:rPr>
          <w:rFonts w:cs="Arial"/>
        </w:rPr>
        <w:t>La autoridad fiscal podrá determinar presuntivamente el monto de este impuesto, en los casos siguientes:</w:t>
      </w:r>
    </w:p>
    <w:p w14:paraId="44AF937D" w14:textId="77777777" w:rsidR="00D3344B" w:rsidRDefault="00D3344B">
      <w:pPr>
        <w:pStyle w:val="Estilo"/>
        <w:rPr>
          <w:rFonts w:cs="Arial"/>
        </w:rPr>
      </w:pPr>
    </w:p>
    <w:p w14:paraId="1EBA0026" w14:textId="77777777" w:rsidR="00D3344B" w:rsidRDefault="00143C25">
      <w:pPr>
        <w:pStyle w:val="Estilo"/>
        <w:ind w:left="567" w:hanging="567"/>
        <w:rPr>
          <w:rFonts w:cs="Arial"/>
        </w:rPr>
      </w:pPr>
      <w:r>
        <w:rPr>
          <w:rFonts w:cs="Arial"/>
        </w:rPr>
        <w:t xml:space="preserve">I. </w:t>
      </w:r>
      <w:r>
        <w:rPr>
          <w:rFonts w:cs="Arial"/>
        </w:rPr>
        <w:tab/>
        <w:t>Cuando del resultado del inicio de facultades de la autoridad fiscalizadora, se ponga de manifiesto que su ingreso es superior en más de un veinte por ciento al declarado, y</w:t>
      </w:r>
    </w:p>
    <w:p w14:paraId="60A46E32" w14:textId="77777777" w:rsidR="00D3344B" w:rsidRDefault="00D3344B">
      <w:pPr>
        <w:pStyle w:val="Estilo"/>
        <w:ind w:left="567" w:hanging="567"/>
        <w:rPr>
          <w:rFonts w:cs="Arial"/>
        </w:rPr>
      </w:pPr>
    </w:p>
    <w:p w14:paraId="1F245D71" w14:textId="77777777" w:rsidR="00D3344B" w:rsidRDefault="00143C25">
      <w:pPr>
        <w:pStyle w:val="Estilo"/>
        <w:ind w:left="567" w:hanging="567"/>
        <w:rPr>
          <w:rFonts w:cs="Arial"/>
        </w:rPr>
      </w:pPr>
      <w:r>
        <w:rPr>
          <w:rFonts w:cs="Arial"/>
        </w:rPr>
        <w:t xml:space="preserve">II. </w:t>
      </w:r>
      <w:r>
        <w:rPr>
          <w:rFonts w:cs="Arial"/>
        </w:rPr>
        <w:tab/>
        <w:t>Para determinar presuntivamente, se tendrán en cuenta las actividades realizadas por el contribuyente, los documentos, expedientes y sistemas en los que consten éstas o utilice para su registro, los honorarios usuales por servicios similares, la renta del local que ocupe, luz, teléfono, sueldos y honorarios pagados, gastos fijos y otros datos que puedan utilizarse.</w:t>
      </w:r>
    </w:p>
    <w:p w14:paraId="51217365" w14:textId="77777777" w:rsidR="00D3344B" w:rsidRDefault="00D3344B">
      <w:pPr>
        <w:pStyle w:val="Estilo"/>
        <w:rPr>
          <w:rFonts w:cs="Arial"/>
        </w:rPr>
      </w:pPr>
    </w:p>
    <w:p w14:paraId="0B54BE24" w14:textId="77777777" w:rsidR="00D3344B" w:rsidRDefault="00143C25">
      <w:pPr>
        <w:pStyle w:val="Estilo"/>
        <w:rPr>
          <w:rFonts w:cs="Arial"/>
        </w:rPr>
      </w:pPr>
      <w:r>
        <w:rPr>
          <w:rFonts w:cs="Arial"/>
        </w:rPr>
        <w:t>A la base gravable determinada conforme a las fracciones anteriores se aplicará la tasa del tres por ciento.</w:t>
      </w:r>
    </w:p>
    <w:p w14:paraId="4D0F1364" w14:textId="77777777" w:rsidR="00D3344B" w:rsidRDefault="00D3344B">
      <w:pPr>
        <w:pStyle w:val="Estilo"/>
        <w:rPr>
          <w:rFonts w:cs="Arial"/>
        </w:rPr>
      </w:pPr>
    </w:p>
    <w:p w14:paraId="5667B287" w14:textId="77777777" w:rsidR="00D3344B" w:rsidRDefault="00143C25">
      <w:pPr>
        <w:pStyle w:val="Estilo"/>
        <w:jc w:val="center"/>
        <w:rPr>
          <w:rFonts w:cs="Arial"/>
          <w:b/>
        </w:rPr>
      </w:pPr>
      <w:r>
        <w:rPr>
          <w:rFonts w:cs="Arial"/>
          <w:b/>
        </w:rPr>
        <w:t>Capítulo VI</w:t>
      </w:r>
    </w:p>
    <w:p w14:paraId="6338BEA8" w14:textId="77777777" w:rsidR="00D3344B" w:rsidRDefault="00143C25">
      <w:pPr>
        <w:pStyle w:val="Estilo"/>
        <w:jc w:val="center"/>
        <w:rPr>
          <w:rFonts w:cs="Arial"/>
        </w:rPr>
      </w:pPr>
      <w:r>
        <w:rPr>
          <w:rFonts w:cs="Arial"/>
          <w:b/>
        </w:rPr>
        <w:t>Impuesto Sobre Funciones Notariales y Correduría Pública</w:t>
      </w:r>
    </w:p>
    <w:p w14:paraId="12F7162A" w14:textId="77777777" w:rsidR="00D3344B" w:rsidRDefault="00D3344B">
      <w:pPr>
        <w:pStyle w:val="Estilo"/>
        <w:rPr>
          <w:rFonts w:cs="Arial"/>
        </w:rPr>
      </w:pPr>
    </w:p>
    <w:p w14:paraId="2C1A08A6" w14:textId="77777777" w:rsidR="00D3344B" w:rsidRDefault="00143C25">
      <w:pPr>
        <w:pStyle w:val="Estilo"/>
        <w:rPr>
          <w:rFonts w:cs="Arial"/>
        </w:rPr>
      </w:pPr>
      <w:r>
        <w:rPr>
          <w:rFonts w:cs="Arial"/>
          <w:b/>
        </w:rPr>
        <w:t>Artículo 126.</w:t>
      </w:r>
      <w:r>
        <w:rPr>
          <w:rFonts w:cs="Arial"/>
        </w:rPr>
        <w:t xml:space="preserve"> Es objeto de este impuesto, la prestación de servicios notariales y de correduría pública que se presten en el Estado.</w:t>
      </w:r>
    </w:p>
    <w:p w14:paraId="7DCA9567" w14:textId="77777777" w:rsidR="00D3344B" w:rsidRDefault="00D3344B">
      <w:pPr>
        <w:pStyle w:val="Estilo"/>
        <w:rPr>
          <w:rFonts w:cs="Arial"/>
        </w:rPr>
      </w:pPr>
    </w:p>
    <w:p w14:paraId="5FD28D19" w14:textId="77777777" w:rsidR="00D3344B" w:rsidRDefault="00143C25">
      <w:pPr>
        <w:pStyle w:val="Estilo"/>
        <w:rPr>
          <w:rFonts w:cs="Arial"/>
        </w:rPr>
      </w:pPr>
      <w:r>
        <w:rPr>
          <w:rFonts w:cs="Arial"/>
          <w:b/>
        </w:rPr>
        <w:t>Artículo 127.</w:t>
      </w:r>
      <w:r>
        <w:rPr>
          <w:rFonts w:cs="Arial"/>
        </w:rPr>
        <w:t xml:space="preserve"> Son sujetos de este impuesto las personas que realicen dentro del territorio del Estado, actividades de notaría o correduría públicas.</w:t>
      </w:r>
    </w:p>
    <w:p w14:paraId="2B7BDB83" w14:textId="77777777" w:rsidR="00D3344B" w:rsidRDefault="00D3344B">
      <w:pPr>
        <w:pStyle w:val="Estilo"/>
        <w:rPr>
          <w:rFonts w:cs="Arial"/>
        </w:rPr>
      </w:pPr>
    </w:p>
    <w:p w14:paraId="49A10BDA" w14:textId="77777777" w:rsidR="00D3344B" w:rsidRDefault="00143C25">
      <w:pPr>
        <w:pStyle w:val="Estilo"/>
        <w:rPr>
          <w:rFonts w:cs="Arial"/>
        </w:rPr>
      </w:pPr>
      <w:r>
        <w:rPr>
          <w:rFonts w:cs="Arial"/>
          <w:b/>
        </w:rPr>
        <w:t>Artículo 128.</w:t>
      </w:r>
      <w:r>
        <w:rPr>
          <w:rFonts w:cs="Arial"/>
        </w:rPr>
        <w:t xml:space="preserve"> Es base de este impuesto, el importe de los honorarios que perciban los sujetos del mismo, en ejercicio de sus funciones.</w:t>
      </w:r>
    </w:p>
    <w:p w14:paraId="42508D2D" w14:textId="77777777" w:rsidR="00D3344B" w:rsidRDefault="00D3344B">
      <w:pPr>
        <w:pStyle w:val="Estilo"/>
        <w:rPr>
          <w:rFonts w:cs="Arial"/>
        </w:rPr>
      </w:pPr>
    </w:p>
    <w:p w14:paraId="2744CF2A" w14:textId="77777777" w:rsidR="00D3344B" w:rsidRDefault="00143C25">
      <w:pPr>
        <w:pStyle w:val="Estilo"/>
        <w:rPr>
          <w:rFonts w:cs="Arial"/>
        </w:rPr>
      </w:pPr>
      <w:r>
        <w:rPr>
          <w:rFonts w:cs="Arial"/>
          <w:b/>
        </w:rPr>
        <w:t>Artículo 129.</w:t>
      </w:r>
      <w:r>
        <w:rPr>
          <w:rFonts w:cs="Arial"/>
        </w:rPr>
        <w:t xml:space="preserve"> Este impuesto se pagará y recaudará aplicando la tasa del tres por ciento sobre el total de los ingresos por honorarios percibidos por los notarios y corredores públicos en el Estado.</w:t>
      </w:r>
    </w:p>
    <w:p w14:paraId="15CC539B" w14:textId="77777777" w:rsidR="00D3344B" w:rsidRDefault="00D3344B">
      <w:pPr>
        <w:pStyle w:val="Estilo"/>
        <w:rPr>
          <w:rFonts w:cs="Arial"/>
        </w:rPr>
      </w:pPr>
    </w:p>
    <w:p w14:paraId="5AB01083" w14:textId="77777777" w:rsidR="00D3344B" w:rsidRDefault="00143C25">
      <w:pPr>
        <w:pStyle w:val="Estilo"/>
        <w:rPr>
          <w:rFonts w:cs="Arial"/>
        </w:rPr>
      </w:pPr>
      <w:r>
        <w:rPr>
          <w:rFonts w:cs="Arial"/>
          <w:b/>
        </w:rPr>
        <w:t>Artículo 130.</w:t>
      </w:r>
      <w:r>
        <w:rPr>
          <w:rFonts w:cs="Arial"/>
        </w:rPr>
        <w:t xml:space="preserve"> Los sujetos deberán pagar este impuesto, mediante declaraciones por mes vencido, a más tardar el día diecisiete del mes siguiente, al período correspondiente, en las instituciones de crédito autorizadas.</w:t>
      </w:r>
    </w:p>
    <w:p w14:paraId="2F765C10" w14:textId="77777777" w:rsidR="00D3344B" w:rsidRDefault="00D3344B">
      <w:pPr>
        <w:pStyle w:val="Estilo"/>
        <w:rPr>
          <w:rFonts w:cs="Arial"/>
        </w:rPr>
      </w:pPr>
    </w:p>
    <w:p w14:paraId="6AB6AFEC" w14:textId="77777777" w:rsidR="00D3344B" w:rsidRDefault="00143C25">
      <w:pPr>
        <w:pStyle w:val="Estilo"/>
        <w:rPr>
          <w:rFonts w:cs="Arial"/>
        </w:rPr>
      </w:pPr>
      <w:r>
        <w:rPr>
          <w:rFonts w:cs="Arial"/>
        </w:rPr>
        <w:t>La autoridad fiscal podrá determinar presuntivamente el monto de este impuesto, en los casos siguientes:</w:t>
      </w:r>
    </w:p>
    <w:p w14:paraId="7D87CFF7" w14:textId="77777777" w:rsidR="00D3344B" w:rsidRDefault="00D3344B">
      <w:pPr>
        <w:pStyle w:val="Estilo"/>
        <w:rPr>
          <w:rFonts w:cs="Arial"/>
        </w:rPr>
      </w:pPr>
    </w:p>
    <w:p w14:paraId="5E4231C3" w14:textId="77777777" w:rsidR="00D3344B" w:rsidRDefault="00143C25">
      <w:pPr>
        <w:pStyle w:val="Estilo"/>
        <w:ind w:left="567" w:hanging="567"/>
        <w:rPr>
          <w:rFonts w:cs="Arial"/>
        </w:rPr>
      </w:pPr>
      <w:r>
        <w:rPr>
          <w:rFonts w:cs="Arial"/>
        </w:rPr>
        <w:t xml:space="preserve">I. </w:t>
      </w:r>
      <w:r>
        <w:rPr>
          <w:rFonts w:cs="Arial"/>
        </w:rPr>
        <w:tab/>
        <w:t>Cuando del resultado del inicio de facultades de la autoridad fiscalizadora, se ponga de manifiesto que su ingreso es superior en más de un veinte por ciento al declarado, y</w:t>
      </w:r>
    </w:p>
    <w:p w14:paraId="2C7BE992" w14:textId="77777777" w:rsidR="00D3344B" w:rsidRDefault="00D3344B">
      <w:pPr>
        <w:pStyle w:val="Estilo"/>
        <w:ind w:left="567" w:hanging="567"/>
        <w:rPr>
          <w:rFonts w:cs="Arial"/>
        </w:rPr>
      </w:pPr>
    </w:p>
    <w:p w14:paraId="28BC56D0" w14:textId="77777777" w:rsidR="00D3344B" w:rsidRDefault="00143C25">
      <w:pPr>
        <w:pStyle w:val="Estilo"/>
        <w:ind w:left="567" w:hanging="567"/>
        <w:rPr>
          <w:rFonts w:cs="Arial"/>
        </w:rPr>
      </w:pPr>
      <w:r>
        <w:rPr>
          <w:rFonts w:cs="Arial"/>
          <w:i/>
          <w:sz w:val="16"/>
        </w:rPr>
        <w:tab/>
        <w:t>(REFORMADA, P.O. 30 DE DICIEMBRE DE 2005)</w:t>
      </w:r>
    </w:p>
    <w:p w14:paraId="5C5B3C0F" w14:textId="77777777" w:rsidR="00D3344B" w:rsidRDefault="00143C25">
      <w:pPr>
        <w:pStyle w:val="Estilo"/>
        <w:ind w:left="567" w:hanging="567"/>
        <w:rPr>
          <w:rFonts w:cs="Arial"/>
        </w:rPr>
      </w:pPr>
      <w:r>
        <w:rPr>
          <w:rFonts w:cs="Arial"/>
        </w:rPr>
        <w:t xml:space="preserve">II. </w:t>
      </w:r>
      <w:r>
        <w:rPr>
          <w:rFonts w:cs="Arial"/>
        </w:rPr>
        <w:tab/>
        <w:t xml:space="preserve">Para determinar presuntivamente, se tendrán en cuenta las actividades realizadas por el contribuyente, los documentos, los protocolos y apéndices relativos, y sistemas en los que consten éstas o utilice para su registro, los honorarios usuales por servicios similares, la renta del local que ocupe, luz, </w:t>
      </w:r>
      <w:r>
        <w:rPr>
          <w:rFonts w:cs="Arial"/>
        </w:rPr>
        <w:lastRenderedPageBreak/>
        <w:t>teléfono, sueldos y honorarios pagados, gastos fijos, depósitos en cuentas bancarias y otros datos que puedan utilizarse.</w:t>
      </w:r>
    </w:p>
    <w:p w14:paraId="331BE4C4" w14:textId="77777777" w:rsidR="00D3344B" w:rsidRDefault="00D3344B">
      <w:pPr>
        <w:pStyle w:val="Estilo"/>
        <w:rPr>
          <w:rFonts w:cs="Arial"/>
        </w:rPr>
      </w:pPr>
    </w:p>
    <w:p w14:paraId="5023FA76" w14:textId="77777777" w:rsidR="00D3344B" w:rsidRDefault="00143C25">
      <w:pPr>
        <w:pStyle w:val="Estilo"/>
        <w:rPr>
          <w:rFonts w:cs="Arial"/>
        </w:rPr>
      </w:pPr>
      <w:r>
        <w:rPr>
          <w:rFonts w:cs="Arial"/>
        </w:rPr>
        <w:t>A la base gravable determinada conforme a las fracciones anteriores se aplicará la tasa del tres por ciento.</w:t>
      </w:r>
    </w:p>
    <w:p w14:paraId="0F4C50BE" w14:textId="77777777" w:rsidR="00D3344B" w:rsidRDefault="00D3344B">
      <w:pPr>
        <w:pStyle w:val="Estilo"/>
        <w:rPr>
          <w:rFonts w:cs="Arial"/>
        </w:rPr>
      </w:pPr>
    </w:p>
    <w:p w14:paraId="7DC2549F" w14:textId="77777777" w:rsidR="00D3344B" w:rsidRDefault="00143C25">
      <w:pPr>
        <w:pStyle w:val="Estilo"/>
        <w:rPr>
          <w:rFonts w:cs="Arial"/>
        </w:rPr>
      </w:pPr>
      <w:r>
        <w:rPr>
          <w:rFonts w:cs="Arial"/>
          <w:i/>
          <w:sz w:val="16"/>
        </w:rPr>
        <w:t>(ADICIONADO, P.O. 30 DE DICIEMBRE DE 2005)</w:t>
      </w:r>
    </w:p>
    <w:p w14:paraId="23356288" w14:textId="77777777" w:rsidR="00D3344B" w:rsidRDefault="00143C25">
      <w:pPr>
        <w:pStyle w:val="Estilo"/>
        <w:rPr>
          <w:rFonts w:cs="Arial"/>
        </w:rPr>
      </w:pPr>
      <w:r>
        <w:rPr>
          <w:rFonts w:cs="Arial"/>
          <w:b/>
        </w:rPr>
        <w:t>Artículo 130 A.</w:t>
      </w:r>
      <w:r>
        <w:rPr>
          <w:rFonts w:cs="Arial"/>
        </w:rPr>
        <w:t xml:space="preserve"> Los sujetos de este impuesto, deberán registrar en los libros de gobierno el número de folio correspondiente al recibo de honorarios expedido por cada instrumento protocolizado.</w:t>
      </w:r>
    </w:p>
    <w:p w14:paraId="5211BE2B" w14:textId="77777777" w:rsidR="00D3344B" w:rsidRDefault="00D3344B">
      <w:pPr>
        <w:pStyle w:val="Estilo"/>
        <w:rPr>
          <w:rFonts w:cs="Arial"/>
        </w:rPr>
      </w:pPr>
    </w:p>
    <w:p w14:paraId="0DB94B65" w14:textId="77777777" w:rsidR="00D3344B" w:rsidRDefault="00143C25">
      <w:pPr>
        <w:pStyle w:val="Estilo"/>
        <w:jc w:val="center"/>
        <w:rPr>
          <w:rFonts w:cs="Arial"/>
          <w:b/>
        </w:rPr>
      </w:pPr>
      <w:r>
        <w:rPr>
          <w:rFonts w:cs="Arial"/>
          <w:b/>
        </w:rPr>
        <w:t>Capítulo VII</w:t>
      </w:r>
    </w:p>
    <w:p w14:paraId="188E1804" w14:textId="77777777" w:rsidR="00D3344B" w:rsidRDefault="00143C25">
      <w:pPr>
        <w:pStyle w:val="Estilo"/>
        <w:jc w:val="center"/>
        <w:rPr>
          <w:rFonts w:cs="Arial"/>
          <w:b/>
        </w:rPr>
      </w:pPr>
      <w:r>
        <w:rPr>
          <w:rFonts w:cs="Arial"/>
          <w:b/>
        </w:rPr>
        <w:t>Impuesto Sobre Nóminas</w:t>
      </w:r>
    </w:p>
    <w:p w14:paraId="1E3C1F62" w14:textId="77777777" w:rsidR="00D3344B" w:rsidRDefault="00D3344B">
      <w:pPr>
        <w:pStyle w:val="Estilo"/>
        <w:rPr>
          <w:rFonts w:cs="Arial"/>
        </w:rPr>
      </w:pPr>
    </w:p>
    <w:p w14:paraId="038CA27C" w14:textId="77777777" w:rsidR="00D3344B" w:rsidRDefault="00143C25">
      <w:pPr>
        <w:pStyle w:val="Estilo"/>
        <w:rPr>
          <w:rFonts w:cs="Arial"/>
        </w:rPr>
      </w:pPr>
      <w:r>
        <w:rPr>
          <w:rFonts w:cs="Arial"/>
          <w:i/>
          <w:sz w:val="16"/>
        </w:rPr>
        <w:t>N. DE E. EN RELACIÓN CON LA ENTRADA EN VIGOR DEL PRESENTE ARTÍCULO, VÉASE TRANSITORIO ÚNICO DEL DECRETO QUE MODIFICA EL CÓDIGO.</w:t>
      </w:r>
    </w:p>
    <w:p w14:paraId="45422525" w14:textId="77777777" w:rsidR="00D3344B" w:rsidRDefault="00143C25">
      <w:pPr>
        <w:pStyle w:val="Estilo"/>
        <w:rPr>
          <w:rFonts w:cs="Arial"/>
        </w:rPr>
      </w:pPr>
      <w:r>
        <w:rPr>
          <w:rFonts w:cs="Arial"/>
          <w:i/>
          <w:sz w:val="16"/>
        </w:rPr>
        <w:t>(REFORMADO, P.O. 7 DE DICIEMBRE DE 2009)</w:t>
      </w:r>
    </w:p>
    <w:p w14:paraId="1597DBD4" w14:textId="77777777" w:rsidR="00D3344B" w:rsidRDefault="00143C25">
      <w:pPr>
        <w:pStyle w:val="Estilo"/>
        <w:rPr>
          <w:rFonts w:cs="Arial"/>
        </w:rPr>
      </w:pPr>
      <w:r>
        <w:rPr>
          <w:rFonts w:cs="Arial"/>
          <w:b/>
        </w:rPr>
        <w:t>Artículo 131.</w:t>
      </w:r>
      <w:r>
        <w:rPr>
          <w:rFonts w:cs="Arial"/>
        </w:rPr>
        <w:t xml:space="preserve"> Es objeto de este impuesto, la realización de pagos en dinero o en especie por concepto de remuneraciones al trabajo personal subordinado, independientemente de la designación que se les otorgue, prestado dentro del territorio del Estado.</w:t>
      </w:r>
    </w:p>
    <w:p w14:paraId="7DD91041" w14:textId="77777777" w:rsidR="00D3344B" w:rsidRDefault="00D3344B">
      <w:pPr>
        <w:pStyle w:val="Estilo"/>
        <w:rPr>
          <w:rFonts w:cs="Arial"/>
        </w:rPr>
      </w:pPr>
    </w:p>
    <w:p w14:paraId="0B518F51" w14:textId="77777777" w:rsidR="00D3344B" w:rsidRDefault="00143C25">
      <w:pPr>
        <w:pStyle w:val="Estilo"/>
        <w:rPr>
          <w:rFonts w:cs="Arial"/>
        </w:rPr>
      </w:pPr>
      <w:r>
        <w:rPr>
          <w:rFonts w:cs="Arial"/>
          <w:b/>
        </w:rPr>
        <w:t>Artículo 132.</w:t>
      </w:r>
      <w:r>
        <w:rPr>
          <w:rFonts w:cs="Arial"/>
        </w:rPr>
        <w:t xml:space="preserve"> Son sujetos de este gravamen las personas físicas o morales que habitual o eventualmente realicen los pagos a que se refiere el artículo anterior.</w:t>
      </w:r>
    </w:p>
    <w:p w14:paraId="52F3DA16" w14:textId="77777777" w:rsidR="00D3344B" w:rsidRDefault="00D3344B">
      <w:pPr>
        <w:pStyle w:val="Estilo"/>
        <w:rPr>
          <w:rFonts w:cs="Arial"/>
        </w:rPr>
      </w:pPr>
    </w:p>
    <w:p w14:paraId="700258A7" w14:textId="77777777" w:rsidR="00D3344B" w:rsidRDefault="00143C25">
      <w:pPr>
        <w:pStyle w:val="Estilo"/>
        <w:rPr>
          <w:rFonts w:cs="Arial"/>
        </w:rPr>
      </w:pPr>
      <w:r>
        <w:rPr>
          <w:rFonts w:cs="Arial"/>
          <w:i/>
          <w:sz w:val="16"/>
        </w:rPr>
        <w:t>(ADICIONADO, P.O. 31 DE DICIEMBRE DE 2007)</w:t>
      </w:r>
    </w:p>
    <w:p w14:paraId="250FF6A1" w14:textId="77777777" w:rsidR="00D3344B" w:rsidRDefault="00143C25">
      <w:pPr>
        <w:pStyle w:val="Estilo"/>
        <w:rPr>
          <w:rFonts w:cs="Arial"/>
        </w:rPr>
      </w:pPr>
      <w:r>
        <w:rPr>
          <w:rFonts w:cs="Arial"/>
        </w:rPr>
        <w:t>También son sujetos de este impuesto las personas físicas o morales que contraten la prestación de servicios de trabajadores cuyo domicilio esté ubicado fuera del territorio del Estado, siempre que el servicio personal se preste en el interior del mismo.</w:t>
      </w:r>
    </w:p>
    <w:p w14:paraId="707550FB" w14:textId="77777777" w:rsidR="00D3344B" w:rsidRDefault="00D3344B">
      <w:pPr>
        <w:pStyle w:val="Estilo"/>
        <w:rPr>
          <w:rFonts w:cs="Arial"/>
        </w:rPr>
      </w:pPr>
    </w:p>
    <w:p w14:paraId="5FB0ACDC" w14:textId="77777777" w:rsidR="00D3344B" w:rsidRDefault="00143C25">
      <w:pPr>
        <w:pStyle w:val="Estilo"/>
        <w:rPr>
          <w:rFonts w:cs="Arial"/>
        </w:rPr>
      </w:pPr>
      <w:r>
        <w:rPr>
          <w:rFonts w:cs="Arial"/>
        </w:rPr>
        <w:t>[</w:t>
      </w:r>
      <w:r>
        <w:rPr>
          <w:rFonts w:cs="Arial"/>
          <w:i/>
          <w:sz w:val="16"/>
        </w:rPr>
        <w:t>N. DE E. EN RELACIÓN CON LA ENTRADA EN VIGOR DEL PRESENTE PÁRRAFO, VÉASE TRANSITORIO ÚNICO DEL DECRETO QUE MODIFICA EL CÓDIGO.</w:t>
      </w:r>
      <w:r>
        <w:rPr>
          <w:rFonts w:cs="Arial"/>
        </w:rPr>
        <w:t>]</w:t>
      </w:r>
    </w:p>
    <w:p w14:paraId="17E4618B" w14:textId="77777777" w:rsidR="00D3344B" w:rsidRDefault="00143C25">
      <w:pPr>
        <w:pStyle w:val="Estilo"/>
        <w:rPr>
          <w:rFonts w:cs="Arial"/>
        </w:rPr>
      </w:pPr>
      <w:r>
        <w:rPr>
          <w:rFonts w:cs="Arial"/>
          <w:i/>
          <w:sz w:val="16"/>
        </w:rPr>
        <w:t>(ADICIONADO, P.O. 7 DE DICIEMBRE DE 2009)</w:t>
      </w:r>
    </w:p>
    <w:p w14:paraId="2F7EE15F" w14:textId="77777777" w:rsidR="00D3344B" w:rsidRDefault="00143C25">
      <w:pPr>
        <w:pStyle w:val="Estilo"/>
        <w:rPr>
          <w:rFonts w:cs="Arial"/>
        </w:rPr>
      </w:pPr>
      <w:r>
        <w:rPr>
          <w:rFonts w:cs="Arial"/>
        </w:rPr>
        <w:t>Están obligadas a retener y enterar este impuesto, las personas físicas y morales que contraten la prestación de servicios personales a través de contribuyentes domiciliados fuera del territorio del Estado, cuya realización genere la prestación de trabajo personal dentro de la circunscripción territorial del Estado. La retención del impuesto se efectuará al contribuyente que preste los servicios contratados, debiendo entregarle la constancia de retención correspondiente dentro de los quince días naturales siguientes al periodo respectivo.</w:t>
      </w:r>
    </w:p>
    <w:p w14:paraId="3198C51E" w14:textId="77777777" w:rsidR="00D3344B" w:rsidRDefault="00D3344B">
      <w:pPr>
        <w:pStyle w:val="Estilo"/>
        <w:rPr>
          <w:rFonts w:cs="Arial"/>
        </w:rPr>
      </w:pPr>
    </w:p>
    <w:p w14:paraId="4CCECDF0" w14:textId="77777777" w:rsidR="00D3344B" w:rsidRDefault="00143C25">
      <w:pPr>
        <w:pStyle w:val="Estilo"/>
        <w:rPr>
          <w:rFonts w:cs="Arial"/>
        </w:rPr>
      </w:pPr>
      <w:r>
        <w:rPr>
          <w:rFonts w:cs="Arial"/>
          <w:i/>
          <w:sz w:val="16"/>
        </w:rPr>
        <w:t>(REFORMADO, P.O. 19 DE DICIEMBRE DE 2016)</w:t>
      </w:r>
    </w:p>
    <w:p w14:paraId="34BF5950" w14:textId="77777777" w:rsidR="00D3344B" w:rsidRDefault="00143C25">
      <w:pPr>
        <w:pStyle w:val="Estilo"/>
        <w:rPr>
          <w:rFonts w:cs="Arial"/>
        </w:rPr>
      </w:pPr>
      <w:r>
        <w:rPr>
          <w:rFonts w:cs="Arial"/>
        </w:rPr>
        <w:t xml:space="preserve">Cuando para la determinación de la retención del impuesto se desconozca el monto de las remuneraciones al trabajo personal realizadas por el contribuyente de que se trate, la retención deberá determinarse aplicando la tasa de 3% al valor total de las contraprestaciones efectivamente pagadas por los servicios contratados en el mes </w:t>
      </w:r>
      <w:r>
        <w:rPr>
          <w:rFonts w:cs="Arial"/>
        </w:rPr>
        <w:lastRenderedPageBreak/>
        <w:t>que corresponda, sin incluir el Impuesto al Valor Agregado e independientemente de la denominación con que se designen.</w:t>
      </w:r>
    </w:p>
    <w:p w14:paraId="2BD225D5" w14:textId="77777777" w:rsidR="00D3344B" w:rsidRDefault="00D3344B">
      <w:pPr>
        <w:pStyle w:val="Estilo"/>
        <w:rPr>
          <w:rFonts w:cs="Arial"/>
        </w:rPr>
      </w:pPr>
    </w:p>
    <w:p w14:paraId="38023911" w14:textId="77777777" w:rsidR="00D3344B" w:rsidRDefault="00143C25">
      <w:pPr>
        <w:pStyle w:val="Estilo"/>
        <w:rPr>
          <w:rFonts w:cs="Arial"/>
        </w:rPr>
      </w:pPr>
      <w:r>
        <w:rPr>
          <w:rFonts w:cs="Arial"/>
          <w:i/>
          <w:sz w:val="16"/>
        </w:rPr>
        <w:t>(REFORMADO, PRIMER PÁRRAFO, P.O. 30 DE DICIEMBRE DE 2005)</w:t>
      </w:r>
    </w:p>
    <w:p w14:paraId="48540F1A" w14:textId="77777777" w:rsidR="00D3344B" w:rsidRDefault="00143C25">
      <w:pPr>
        <w:pStyle w:val="Estilo"/>
        <w:rPr>
          <w:rFonts w:cs="Arial"/>
        </w:rPr>
      </w:pPr>
      <w:r>
        <w:rPr>
          <w:rFonts w:cs="Arial"/>
          <w:b/>
        </w:rPr>
        <w:t>Artículo 133.</w:t>
      </w:r>
      <w:r>
        <w:rPr>
          <w:rFonts w:cs="Arial"/>
        </w:rPr>
        <w:t xml:space="preserve"> Será base de este impuesto, el monto total de las remuneraciones al trabajo personal, incluyendo en este concepto los pagos o contraprestaciones al personal, directores, gerentes, administradores, comisarios, miembros de los consejos de administración o de vigilancia de las sociedades mercantiles, independientemente del nombre con el que se les designe, por concepto de sueldo normal, sueldo o salario extra, honorarios asimilables a salarios, aguinaldo, vacaciones, prima vacacional, prima dominical, sueldo o compensaciones retroactivas, sobresueldos por días festivos, premios o incentivos por puntualidad, productividad o asistencia, bonos, compensaciones, ayuda de despensa o de habitación, fondo de ahorro, vales de despensa, servicio de comedor y ayuda para transporte, comisiones, premios, gratificaciones, prima de antigüedad, cuando sea por rescisión o terminación de relaciones laborales que hubieren tenido su origen en la prestación de servicios personales subordinados y demás conceptos de naturaleza análoga, </w:t>
      </w:r>
      <w:proofErr w:type="spellStart"/>
      <w:r>
        <w:rPr>
          <w:rFonts w:cs="Arial"/>
        </w:rPr>
        <w:t>aún</w:t>
      </w:r>
      <w:proofErr w:type="spellEnd"/>
      <w:r>
        <w:rPr>
          <w:rFonts w:cs="Arial"/>
        </w:rPr>
        <w:t xml:space="preserve"> cuando se eroguen en favor de personas que realicen sus actividades fuera del Estado.</w:t>
      </w:r>
    </w:p>
    <w:p w14:paraId="5BD42EB0" w14:textId="77777777" w:rsidR="00D3344B" w:rsidRDefault="00D3344B">
      <w:pPr>
        <w:pStyle w:val="Estilo"/>
        <w:rPr>
          <w:rFonts w:cs="Arial"/>
        </w:rPr>
      </w:pPr>
    </w:p>
    <w:p w14:paraId="760FF265" w14:textId="77777777" w:rsidR="00D3344B" w:rsidRDefault="00143C25">
      <w:pPr>
        <w:pStyle w:val="Estilo"/>
        <w:rPr>
          <w:rFonts w:cs="Arial"/>
        </w:rPr>
      </w:pPr>
      <w:r>
        <w:rPr>
          <w:rFonts w:cs="Arial"/>
        </w:rPr>
        <w:t>No formarán parte de la base de este impuesto las erogaciones realizadas por las prestaciones siguientes:</w:t>
      </w:r>
    </w:p>
    <w:p w14:paraId="5CD31270" w14:textId="77777777" w:rsidR="00D3344B" w:rsidRDefault="00D3344B">
      <w:pPr>
        <w:pStyle w:val="Estilo"/>
        <w:rPr>
          <w:rFonts w:cs="Arial"/>
        </w:rPr>
      </w:pPr>
    </w:p>
    <w:p w14:paraId="2877355F" w14:textId="77777777" w:rsidR="00D3344B" w:rsidRDefault="00143C25">
      <w:pPr>
        <w:pStyle w:val="Estilo"/>
        <w:ind w:left="567" w:hanging="567"/>
        <w:rPr>
          <w:rFonts w:cs="Arial"/>
        </w:rPr>
      </w:pPr>
      <w:r>
        <w:rPr>
          <w:rFonts w:cs="Arial"/>
        </w:rPr>
        <w:t xml:space="preserve">I. </w:t>
      </w:r>
      <w:r>
        <w:rPr>
          <w:rFonts w:cs="Arial"/>
        </w:rPr>
        <w:tab/>
        <w:t>Participaciones de los trabajadores en las utilidades de las empresas;</w:t>
      </w:r>
    </w:p>
    <w:p w14:paraId="00473975" w14:textId="77777777" w:rsidR="00D3344B" w:rsidRDefault="00D3344B">
      <w:pPr>
        <w:pStyle w:val="Estilo"/>
        <w:ind w:left="567" w:hanging="567"/>
        <w:rPr>
          <w:rFonts w:cs="Arial"/>
        </w:rPr>
      </w:pPr>
    </w:p>
    <w:p w14:paraId="4773FCF8" w14:textId="77777777" w:rsidR="00D3344B" w:rsidRDefault="00143C25">
      <w:pPr>
        <w:pStyle w:val="Estilo"/>
        <w:ind w:left="567" w:hanging="567"/>
        <w:rPr>
          <w:rFonts w:cs="Arial"/>
        </w:rPr>
      </w:pPr>
      <w:r>
        <w:rPr>
          <w:rFonts w:cs="Arial"/>
        </w:rPr>
        <w:t xml:space="preserve">II. </w:t>
      </w:r>
      <w:r>
        <w:rPr>
          <w:rFonts w:cs="Arial"/>
        </w:rPr>
        <w:tab/>
        <w:t>Indemnizaciones por riesgos o enfermedades profesionales que se concedan de acuerdo con las leyes laborales y contratos respectivos;</w:t>
      </w:r>
    </w:p>
    <w:p w14:paraId="47BC8A2A" w14:textId="77777777" w:rsidR="00D3344B" w:rsidRDefault="00D3344B">
      <w:pPr>
        <w:pStyle w:val="Estilo"/>
        <w:ind w:left="567" w:hanging="567"/>
        <w:rPr>
          <w:rFonts w:cs="Arial"/>
        </w:rPr>
      </w:pPr>
    </w:p>
    <w:p w14:paraId="270D4DD8" w14:textId="77777777" w:rsidR="00D3344B" w:rsidRDefault="00143C25">
      <w:pPr>
        <w:pStyle w:val="Estilo"/>
        <w:ind w:left="567" w:hanging="567"/>
        <w:rPr>
          <w:rFonts w:cs="Arial"/>
        </w:rPr>
      </w:pPr>
      <w:r>
        <w:rPr>
          <w:rFonts w:cs="Arial"/>
          <w:i/>
          <w:sz w:val="16"/>
        </w:rPr>
        <w:tab/>
        <w:t>(REFORMADA, P.O. 30 DE DICIEMBRE DE 2005)</w:t>
      </w:r>
    </w:p>
    <w:p w14:paraId="4470101D" w14:textId="77777777" w:rsidR="00D3344B" w:rsidRDefault="00143C25">
      <w:pPr>
        <w:pStyle w:val="Estilo"/>
        <w:ind w:left="567" w:hanging="567"/>
        <w:rPr>
          <w:rFonts w:cs="Arial"/>
        </w:rPr>
      </w:pPr>
      <w:r>
        <w:rPr>
          <w:rFonts w:cs="Arial"/>
        </w:rPr>
        <w:t xml:space="preserve">III. </w:t>
      </w:r>
      <w:r>
        <w:rPr>
          <w:rFonts w:cs="Arial"/>
        </w:rPr>
        <w:tab/>
        <w:t>Pensiones y jubilaciones, en los casos de invalidez, vejez, cesantía o muerte, siempre y cuando sean otorgados por Instituciones de Seguridad Social y Pensiones Civiles del Gobierno del Estado;</w:t>
      </w:r>
    </w:p>
    <w:p w14:paraId="1A270EAA" w14:textId="77777777" w:rsidR="00D3344B" w:rsidRDefault="00D3344B">
      <w:pPr>
        <w:pStyle w:val="Estilo"/>
        <w:ind w:left="567" w:hanging="567"/>
        <w:rPr>
          <w:rFonts w:cs="Arial"/>
        </w:rPr>
      </w:pPr>
    </w:p>
    <w:p w14:paraId="676A5956" w14:textId="77777777" w:rsidR="00D3344B" w:rsidRDefault="00143C25">
      <w:pPr>
        <w:pStyle w:val="Estilo"/>
        <w:ind w:left="567"/>
        <w:rPr>
          <w:rFonts w:cs="Arial"/>
        </w:rPr>
      </w:pPr>
      <w:r>
        <w:rPr>
          <w:rFonts w:cs="Arial"/>
          <w:i/>
          <w:sz w:val="16"/>
        </w:rPr>
        <w:t>N. DE E. EN RELACIÓN CON LA ENTRADA EN VIGOR DE LA PRESENTE FRACCIÓN, VÉASE ARTÍCULO ÚNICO TRANSITORIO DEL DECRETO QUE MODIFICA EL CÓDIGO.</w:t>
      </w:r>
    </w:p>
    <w:p w14:paraId="75F22051" w14:textId="77777777" w:rsidR="00D3344B" w:rsidRDefault="00143C25">
      <w:pPr>
        <w:pStyle w:val="Estilo"/>
        <w:ind w:left="567" w:hanging="567"/>
        <w:rPr>
          <w:rFonts w:cs="Arial"/>
        </w:rPr>
      </w:pPr>
      <w:r>
        <w:rPr>
          <w:rFonts w:cs="Arial"/>
          <w:i/>
          <w:sz w:val="16"/>
        </w:rPr>
        <w:tab/>
        <w:t>(REFORMADA, P.O. 23 DE DICIEMBRE DE 2008)</w:t>
      </w:r>
    </w:p>
    <w:p w14:paraId="64CEA8BA" w14:textId="77777777" w:rsidR="00D3344B" w:rsidRDefault="00143C25">
      <w:pPr>
        <w:pStyle w:val="Estilo"/>
        <w:ind w:left="567" w:hanging="567"/>
        <w:rPr>
          <w:rFonts w:cs="Arial"/>
        </w:rPr>
      </w:pPr>
      <w:r>
        <w:rPr>
          <w:rFonts w:cs="Arial"/>
        </w:rPr>
        <w:t xml:space="preserve">IV. </w:t>
      </w:r>
      <w:r>
        <w:rPr>
          <w:rFonts w:cs="Arial"/>
        </w:rPr>
        <w:tab/>
        <w:t>Indemnizaciones por rescisión o terminación de relaciones laborales, que hubieren tenido su origen en la prestación de servicios personales subordinados, excepto el aguinaldo, las vacaciones y la prima vacacional;</w:t>
      </w:r>
    </w:p>
    <w:p w14:paraId="672BD796" w14:textId="77777777" w:rsidR="00D3344B" w:rsidRDefault="00D3344B">
      <w:pPr>
        <w:pStyle w:val="Estilo"/>
        <w:ind w:left="567" w:hanging="567"/>
        <w:rPr>
          <w:rFonts w:cs="Arial"/>
        </w:rPr>
      </w:pPr>
    </w:p>
    <w:p w14:paraId="17FA848A" w14:textId="77777777" w:rsidR="00D3344B" w:rsidRDefault="00143C25">
      <w:pPr>
        <w:pStyle w:val="Estilo"/>
        <w:ind w:left="567" w:hanging="567"/>
        <w:rPr>
          <w:rFonts w:cs="Arial"/>
        </w:rPr>
      </w:pPr>
      <w:r>
        <w:rPr>
          <w:rFonts w:cs="Arial"/>
        </w:rPr>
        <w:t xml:space="preserve">V. </w:t>
      </w:r>
      <w:r>
        <w:rPr>
          <w:rFonts w:cs="Arial"/>
        </w:rPr>
        <w:tab/>
        <w:t>Gastos funerarios;</w:t>
      </w:r>
    </w:p>
    <w:p w14:paraId="00BB5CF5" w14:textId="77777777" w:rsidR="00D3344B" w:rsidRDefault="00D3344B">
      <w:pPr>
        <w:pStyle w:val="Estilo"/>
        <w:ind w:left="567" w:hanging="567"/>
        <w:rPr>
          <w:rFonts w:cs="Arial"/>
        </w:rPr>
      </w:pPr>
    </w:p>
    <w:p w14:paraId="2EE9C6AC" w14:textId="77777777" w:rsidR="00D3344B" w:rsidRDefault="00143C25">
      <w:pPr>
        <w:pStyle w:val="Estilo"/>
        <w:ind w:left="567" w:hanging="567"/>
        <w:rPr>
          <w:rFonts w:cs="Arial"/>
        </w:rPr>
      </w:pPr>
      <w:r>
        <w:rPr>
          <w:rFonts w:cs="Arial"/>
        </w:rPr>
        <w:t xml:space="preserve">VI. </w:t>
      </w:r>
      <w:r>
        <w:rPr>
          <w:rFonts w:cs="Arial"/>
        </w:rPr>
        <w:tab/>
        <w:t>Cuotas al IMSS;</w:t>
      </w:r>
    </w:p>
    <w:p w14:paraId="597779A5" w14:textId="77777777" w:rsidR="00D3344B" w:rsidRDefault="00D3344B">
      <w:pPr>
        <w:pStyle w:val="Estilo"/>
        <w:ind w:left="567" w:hanging="567"/>
        <w:rPr>
          <w:rFonts w:cs="Arial"/>
        </w:rPr>
      </w:pPr>
    </w:p>
    <w:p w14:paraId="57828705" w14:textId="77777777" w:rsidR="00D3344B" w:rsidRDefault="00143C25">
      <w:pPr>
        <w:pStyle w:val="Estilo"/>
        <w:ind w:left="567" w:hanging="567"/>
        <w:rPr>
          <w:rFonts w:cs="Arial"/>
        </w:rPr>
      </w:pPr>
      <w:r>
        <w:rPr>
          <w:rFonts w:cs="Arial"/>
        </w:rPr>
        <w:t xml:space="preserve">VII. </w:t>
      </w:r>
      <w:r>
        <w:rPr>
          <w:rFonts w:cs="Arial"/>
        </w:rPr>
        <w:tab/>
        <w:t>Aportaciones al INFONAVIT, y</w:t>
      </w:r>
    </w:p>
    <w:p w14:paraId="4582A554" w14:textId="77777777" w:rsidR="00D3344B" w:rsidRDefault="00D3344B">
      <w:pPr>
        <w:pStyle w:val="Estilo"/>
        <w:ind w:left="567" w:hanging="567"/>
        <w:rPr>
          <w:rFonts w:cs="Arial"/>
        </w:rPr>
      </w:pPr>
    </w:p>
    <w:p w14:paraId="400D718A" w14:textId="77777777" w:rsidR="00D3344B" w:rsidRDefault="00143C25">
      <w:pPr>
        <w:pStyle w:val="Estilo"/>
        <w:ind w:left="567" w:hanging="567"/>
        <w:rPr>
          <w:rFonts w:cs="Arial"/>
        </w:rPr>
      </w:pPr>
      <w:r>
        <w:rPr>
          <w:rFonts w:cs="Arial"/>
        </w:rPr>
        <w:t xml:space="preserve">VIII. </w:t>
      </w:r>
      <w:r>
        <w:rPr>
          <w:rFonts w:cs="Arial"/>
        </w:rPr>
        <w:tab/>
        <w:t>Aportaciones al sistema de ahorro para el retiro.</w:t>
      </w:r>
    </w:p>
    <w:p w14:paraId="5EC995CB" w14:textId="77777777" w:rsidR="00D3344B" w:rsidRDefault="00D3344B">
      <w:pPr>
        <w:pStyle w:val="Estilo"/>
        <w:rPr>
          <w:rFonts w:cs="Arial"/>
        </w:rPr>
      </w:pPr>
    </w:p>
    <w:p w14:paraId="768484B4" w14:textId="77777777" w:rsidR="00D3344B" w:rsidRDefault="00143C25">
      <w:pPr>
        <w:pStyle w:val="Estilo"/>
        <w:rPr>
          <w:rFonts w:cs="Arial"/>
        </w:rPr>
      </w:pPr>
      <w:r>
        <w:rPr>
          <w:rFonts w:cs="Arial"/>
          <w:i/>
          <w:sz w:val="16"/>
        </w:rPr>
        <w:lastRenderedPageBreak/>
        <w:t>(REFORMADO, P.O. 19 DE DICIEMBRE DE 2016)</w:t>
      </w:r>
    </w:p>
    <w:p w14:paraId="54E3E62D" w14:textId="77777777" w:rsidR="00D3344B" w:rsidRDefault="00143C25">
      <w:pPr>
        <w:pStyle w:val="Estilo"/>
        <w:rPr>
          <w:rFonts w:cs="Arial"/>
        </w:rPr>
      </w:pPr>
      <w:r>
        <w:rPr>
          <w:rFonts w:cs="Arial"/>
          <w:b/>
        </w:rPr>
        <w:t>Artículo 134.</w:t>
      </w:r>
      <w:r>
        <w:rPr>
          <w:rFonts w:cs="Arial"/>
        </w:rPr>
        <w:t xml:space="preserve"> El pago de este impuesto se realizará aplicando la tasa del tres por ciento.</w:t>
      </w:r>
    </w:p>
    <w:p w14:paraId="46021EB2" w14:textId="77777777" w:rsidR="00D3344B" w:rsidRDefault="00D3344B">
      <w:pPr>
        <w:pStyle w:val="Estilo"/>
        <w:rPr>
          <w:rFonts w:cs="Arial"/>
        </w:rPr>
      </w:pPr>
    </w:p>
    <w:p w14:paraId="5A605E0A" w14:textId="77777777" w:rsidR="00D3344B" w:rsidRDefault="00143C25">
      <w:pPr>
        <w:pStyle w:val="Estilo"/>
        <w:rPr>
          <w:rFonts w:cs="Arial"/>
        </w:rPr>
      </w:pPr>
      <w:r>
        <w:rPr>
          <w:rFonts w:cs="Arial"/>
          <w:b/>
        </w:rPr>
        <w:t>Artículo 135.</w:t>
      </w:r>
      <w:r>
        <w:rPr>
          <w:rFonts w:cs="Arial"/>
        </w:rPr>
        <w:t xml:space="preserve"> A fin de incentivar la generación de empleos, el Gobernador del Estado podrá otorgar, mediante disposiciones de carácter general, las reducciones en el pago de este impuesto, que considere necesarias.</w:t>
      </w:r>
    </w:p>
    <w:p w14:paraId="3E049B7F" w14:textId="77777777" w:rsidR="00D3344B" w:rsidRDefault="00D3344B">
      <w:pPr>
        <w:pStyle w:val="Estilo"/>
        <w:rPr>
          <w:rFonts w:cs="Arial"/>
        </w:rPr>
      </w:pPr>
    </w:p>
    <w:p w14:paraId="51CE2643" w14:textId="77777777" w:rsidR="00D3344B" w:rsidRDefault="00143C25">
      <w:pPr>
        <w:pStyle w:val="Estilo"/>
        <w:rPr>
          <w:rFonts w:cs="Arial"/>
        </w:rPr>
      </w:pPr>
      <w:r>
        <w:rPr>
          <w:rFonts w:cs="Arial"/>
          <w:b/>
        </w:rPr>
        <w:t>Artículo 136.</w:t>
      </w:r>
      <w:r>
        <w:rPr>
          <w:rFonts w:cs="Arial"/>
        </w:rPr>
        <w:t xml:space="preserve"> El pago del impuesto sobre nóminas deberá efectuarse en las instituciones de crédito autorizadas, mediante declaración mensual que deberá presentarse, a más tardar el día diecisiete del mes siguiente al en que se hubiere causado el impuesto.</w:t>
      </w:r>
    </w:p>
    <w:p w14:paraId="6C9EAAFC" w14:textId="77777777" w:rsidR="00D3344B" w:rsidRDefault="00D3344B">
      <w:pPr>
        <w:pStyle w:val="Estilo"/>
        <w:rPr>
          <w:rFonts w:cs="Arial"/>
        </w:rPr>
      </w:pPr>
    </w:p>
    <w:p w14:paraId="1E126CCD" w14:textId="77777777" w:rsidR="00D3344B" w:rsidRDefault="00143C25">
      <w:pPr>
        <w:pStyle w:val="Estilo"/>
        <w:jc w:val="center"/>
        <w:rPr>
          <w:rFonts w:cs="Arial"/>
          <w:b/>
        </w:rPr>
      </w:pPr>
      <w:r>
        <w:rPr>
          <w:rFonts w:cs="Arial"/>
          <w:b/>
        </w:rPr>
        <w:t>Capítulo VIII</w:t>
      </w:r>
    </w:p>
    <w:p w14:paraId="43E4B3A3" w14:textId="77777777" w:rsidR="00D3344B" w:rsidRDefault="00143C25">
      <w:pPr>
        <w:pStyle w:val="Estilo"/>
        <w:jc w:val="center"/>
        <w:rPr>
          <w:rFonts w:cs="Arial"/>
        </w:rPr>
      </w:pPr>
      <w:r>
        <w:rPr>
          <w:rFonts w:cs="Arial"/>
          <w:b/>
        </w:rPr>
        <w:t>Impuesto Sobre Adquisición De Vehículos Automotores Usados</w:t>
      </w:r>
    </w:p>
    <w:p w14:paraId="37CC52C6" w14:textId="77777777" w:rsidR="00D3344B" w:rsidRDefault="00D3344B">
      <w:pPr>
        <w:pStyle w:val="Estilo"/>
        <w:rPr>
          <w:rFonts w:cs="Arial"/>
        </w:rPr>
      </w:pPr>
    </w:p>
    <w:p w14:paraId="3490589C" w14:textId="77777777" w:rsidR="00D3344B" w:rsidRDefault="00143C25">
      <w:pPr>
        <w:pStyle w:val="Estilo"/>
        <w:rPr>
          <w:rFonts w:cs="Arial"/>
        </w:rPr>
      </w:pPr>
      <w:r>
        <w:rPr>
          <w:rFonts w:cs="Arial"/>
          <w:b/>
        </w:rPr>
        <w:t>Artículo 137.</w:t>
      </w:r>
      <w:r>
        <w:rPr>
          <w:rFonts w:cs="Arial"/>
        </w:rPr>
        <w:t xml:space="preserve"> Es objeto de este impuesto la adquisición de vehículos automotores usados que se efectúe en el territorio del Estado, cuando dichas operaciones no causen el Impuesto al Valor Agregado.</w:t>
      </w:r>
    </w:p>
    <w:p w14:paraId="20A43AFB" w14:textId="77777777" w:rsidR="00D3344B" w:rsidRDefault="00D3344B">
      <w:pPr>
        <w:pStyle w:val="Estilo"/>
        <w:rPr>
          <w:rFonts w:cs="Arial"/>
        </w:rPr>
      </w:pPr>
    </w:p>
    <w:p w14:paraId="57776EA6" w14:textId="77777777" w:rsidR="00D3344B" w:rsidRDefault="00143C25">
      <w:pPr>
        <w:pStyle w:val="Estilo"/>
        <w:rPr>
          <w:rFonts w:cs="Arial"/>
        </w:rPr>
      </w:pPr>
      <w:r>
        <w:rPr>
          <w:rFonts w:cs="Arial"/>
        </w:rPr>
        <w:t>Para los efectos de este impuesto se considerará adquisición de vehículos:</w:t>
      </w:r>
    </w:p>
    <w:p w14:paraId="1BDCAA60" w14:textId="77777777" w:rsidR="00D3344B" w:rsidRDefault="00D3344B">
      <w:pPr>
        <w:pStyle w:val="Estilo"/>
        <w:rPr>
          <w:rFonts w:cs="Arial"/>
        </w:rPr>
      </w:pPr>
    </w:p>
    <w:p w14:paraId="7B80F711" w14:textId="77777777" w:rsidR="00D3344B" w:rsidRDefault="00143C25">
      <w:pPr>
        <w:pStyle w:val="Estilo"/>
        <w:ind w:left="567" w:hanging="567"/>
        <w:rPr>
          <w:rFonts w:cs="Arial"/>
        </w:rPr>
      </w:pPr>
      <w:r>
        <w:rPr>
          <w:rFonts w:cs="Arial"/>
        </w:rPr>
        <w:t xml:space="preserve">I. </w:t>
      </w:r>
      <w:r>
        <w:rPr>
          <w:rFonts w:cs="Arial"/>
        </w:rPr>
        <w:tab/>
        <w:t>Toda transmisión onerosa de la propiedad de vehículos automotores usados, aún en la que exista reserva de dominio;</w:t>
      </w:r>
    </w:p>
    <w:p w14:paraId="1D935159" w14:textId="77777777" w:rsidR="00D3344B" w:rsidRDefault="00D3344B">
      <w:pPr>
        <w:pStyle w:val="Estilo"/>
        <w:ind w:left="567" w:hanging="567"/>
        <w:rPr>
          <w:rFonts w:cs="Arial"/>
        </w:rPr>
      </w:pPr>
    </w:p>
    <w:p w14:paraId="37A474B6" w14:textId="77777777" w:rsidR="00D3344B" w:rsidRDefault="00143C25">
      <w:pPr>
        <w:pStyle w:val="Estilo"/>
        <w:ind w:left="567" w:hanging="567"/>
        <w:rPr>
          <w:rFonts w:cs="Arial"/>
        </w:rPr>
      </w:pPr>
      <w:r>
        <w:rPr>
          <w:rFonts w:cs="Arial"/>
        </w:rPr>
        <w:t xml:space="preserve">II. </w:t>
      </w:r>
      <w:r>
        <w:rPr>
          <w:rFonts w:cs="Arial"/>
        </w:rPr>
        <w:tab/>
        <w:t>Las adquisiciones que se realicen por donación, legado, cesión de derechos, la aportación a una sociedad o asociación y con motivo de un sorteo o rifa;</w:t>
      </w:r>
    </w:p>
    <w:p w14:paraId="3B1E387E" w14:textId="77777777" w:rsidR="00D3344B" w:rsidRDefault="00D3344B">
      <w:pPr>
        <w:pStyle w:val="Estilo"/>
        <w:ind w:left="567" w:hanging="567"/>
        <w:rPr>
          <w:rFonts w:cs="Arial"/>
        </w:rPr>
      </w:pPr>
    </w:p>
    <w:p w14:paraId="116A1377" w14:textId="77777777" w:rsidR="00D3344B" w:rsidRDefault="00143C25">
      <w:pPr>
        <w:pStyle w:val="Estilo"/>
        <w:ind w:left="567" w:hanging="567"/>
        <w:rPr>
          <w:rFonts w:cs="Arial"/>
        </w:rPr>
      </w:pPr>
      <w:r>
        <w:rPr>
          <w:rFonts w:cs="Arial"/>
        </w:rPr>
        <w:t xml:space="preserve">III. </w:t>
      </w:r>
      <w:r>
        <w:rPr>
          <w:rFonts w:cs="Arial"/>
        </w:rPr>
        <w:tab/>
        <w:t xml:space="preserve">Las adjudicaciones </w:t>
      </w:r>
      <w:proofErr w:type="spellStart"/>
      <w:r>
        <w:rPr>
          <w:rFonts w:cs="Arial"/>
        </w:rPr>
        <w:t>aún</w:t>
      </w:r>
      <w:proofErr w:type="spellEnd"/>
      <w:r>
        <w:rPr>
          <w:rFonts w:cs="Arial"/>
        </w:rPr>
        <w:t xml:space="preserve"> cuando se realicen por el acreedor y la dación en pago;</w:t>
      </w:r>
    </w:p>
    <w:p w14:paraId="2D797FF8" w14:textId="77777777" w:rsidR="00D3344B" w:rsidRDefault="00D3344B">
      <w:pPr>
        <w:pStyle w:val="Estilo"/>
        <w:ind w:left="567" w:hanging="567"/>
        <w:rPr>
          <w:rFonts w:cs="Arial"/>
        </w:rPr>
      </w:pPr>
    </w:p>
    <w:p w14:paraId="292F085D" w14:textId="77777777" w:rsidR="00D3344B" w:rsidRDefault="00143C25">
      <w:pPr>
        <w:pStyle w:val="Estilo"/>
        <w:ind w:left="567" w:hanging="567"/>
        <w:rPr>
          <w:rFonts w:cs="Arial"/>
        </w:rPr>
      </w:pPr>
      <w:r>
        <w:rPr>
          <w:rFonts w:cs="Arial"/>
        </w:rPr>
        <w:t xml:space="preserve">IV. </w:t>
      </w:r>
      <w:r>
        <w:rPr>
          <w:rFonts w:cs="Arial"/>
        </w:rPr>
        <w:tab/>
        <w:t>La permuta, en la que se considera que se realizan dos adquisiciones, y</w:t>
      </w:r>
    </w:p>
    <w:p w14:paraId="0C60A544" w14:textId="77777777" w:rsidR="00D3344B" w:rsidRDefault="00D3344B">
      <w:pPr>
        <w:pStyle w:val="Estilo"/>
        <w:ind w:left="567" w:hanging="567"/>
        <w:rPr>
          <w:rFonts w:cs="Arial"/>
        </w:rPr>
      </w:pPr>
    </w:p>
    <w:p w14:paraId="72B0CE22" w14:textId="77777777" w:rsidR="00D3344B" w:rsidRDefault="00143C25">
      <w:pPr>
        <w:pStyle w:val="Estilo"/>
        <w:ind w:left="567" w:hanging="567"/>
        <w:rPr>
          <w:rFonts w:cs="Arial"/>
        </w:rPr>
      </w:pPr>
      <w:r>
        <w:rPr>
          <w:rFonts w:cs="Arial"/>
        </w:rPr>
        <w:t xml:space="preserve">V. </w:t>
      </w:r>
      <w:r>
        <w:rPr>
          <w:rFonts w:cs="Arial"/>
        </w:rPr>
        <w:tab/>
        <w:t>Todo acto por el cual se transmita la propiedad de vehículos automotores usados, cualquiera que sea su nombre o denominación conforme a las diversas leyes.</w:t>
      </w:r>
    </w:p>
    <w:p w14:paraId="03E0E38B" w14:textId="77777777" w:rsidR="00D3344B" w:rsidRDefault="00D3344B">
      <w:pPr>
        <w:pStyle w:val="Estilo"/>
        <w:rPr>
          <w:rFonts w:cs="Arial"/>
        </w:rPr>
      </w:pPr>
    </w:p>
    <w:p w14:paraId="65860244" w14:textId="77777777" w:rsidR="00D3344B" w:rsidRDefault="00143C25">
      <w:pPr>
        <w:pStyle w:val="Estilo"/>
        <w:rPr>
          <w:rFonts w:cs="Arial"/>
        </w:rPr>
      </w:pPr>
      <w:r>
        <w:rPr>
          <w:rFonts w:cs="Arial"/>
        </w:rPr>
        <w:t>Se entiende por vehículo automotor usado cuya propiedad sea transferida por segunda o ulteriores manos.</w:t>
      </w:r>
    </w:p>
    <w:p w14:paraId="6111E270" w14:textId="77777777" w:rsidR="00D3344B" w:rsidRDefault="00D3344B">
      <w:pPr>
        <w:pStyle w:val="Estilo"/>
        <w:rPr>
          <w:rFonts w:cs="Arial"/>
        </w:rPr>
      </w:pPr>
    </w:p>
    <w:p w14:paraId="0628C692" w14:textId="77777777" w:rsidR="00D3344B" w:rsidRDefault="00143C25">
      <w:pPr>
        <w:pStyle w:val="Estilo"/>
        <w:rPr>
          <w:rFonts w:cs="Arial"/>
        </w:rPr>
      </w:pPr>
      <w:r>
        <w:rPr>
          <w:rFonts w:cs="Arial"/>
        </w:rPr>
        <w:t>Se considera que la adquisición se realizó en el Estado cuando el adquirente deba llevar a cabo los trámites de cambio de propietario o matriculación del vehículo, ante las autoridades competentes.</w:t>
      </w:r>
    </w:p>
    <w:p w14:paraId="65568762" w14:textId="77777777" w:rsidR="00D3344B" w:rsidRDefault="00D3344B">
      <w:pPr>
        <w:pStyle w:val="Estilo"/>
        <w:rPr>
          <w:rFonts w:cs="Arial"/>
        </w:rPr>
      </w:pPr>
    </w:p>
    <w:p w14:paraId="4394AB38" w14:textId="77777777" w:rsidR="00D3344B" w:rsidRDefault="00143C25">
      <w:pPr>
        <w:pStyle w:val="Estilo"/>
        <w:rPr>
          <w:rFonts w:cs="Arial"/>
        </w:rPr>
      </w:pPr>
      <w:r>
        <w:rPr>
          <w:rFonts w:cs="Arial"/>
          <w:b/>
        </w:rPr>
        <w:t>Artículo 138.</w:t>
      </w:r>
      <w:r>
        <w:rPr>
          <w:rFonts w:cs="Arial"/>
        </w:rPr>
        <w:t xml:space="preserve"> Son sujetos de este impuesto, las personas físicas o morales que adquieran vehículos automotores usados en territorio del Estado por cualquier título o causa, ya sea en forma habitual o esporádica.</w:t>
      </w:r>
    </w:p>
    <w:p w14:paraId="39795D69" w14:textId="77777777" w:rsidR="00D3344B" w:rsidRDefault="00D3344B">
      <w:pPr>
        <w:pStyle w:val="Estilo"/>
        <w:rPr>
          <w:rFonts w:cs="Arial"/>
        </w:rPr>
      </w:pPr>
    </w:p>
    <w:p w14:paraId="0001455D" w14:textId="77777777" w:rsidR="00D3344B" w:rsidRDefault="00143C25">
      <w:pPr>
        <w:pStyle w:val="Estilo"/>
        <w:rPr>
          <w:rFonts w:cs="Arial"/>
        </w:rPr>
      </w:pPr>
      <w:r>
        <w:rPr>
          <w:rFonts w:cs="Arial"/>
        </w:rPr>
        <w:t xml:space="preserve">Se considerará, salvo prueba en contrario, que la adquisición se efectuó en el Estado de Tlaxcala, en el caso de </w:t>
      </w:r>
      <w:proofErr w:type="gramStart"/>
      <w:r>
        <w:rPr>
          <w:rFonts w:cs="Arial"/>
        </w:rPr>
        <w:t>que</w:t>
      </w:r>
      <w:proofErr w:type="gramEnd"/>
      <w:r>
        <w:rPr>
          <w:rFonts w:cs="Arial"/>
        </w:rPr>
        <w:t xml:space="preserve"> al realizarse trámites ante las autoridades competentes, se observe alguno de los siguientes supuestos:</w:t>
      </w:r>
    </w:p>
    <w:p w14:paraId="4BCEA773" w14:textId="77777777" w:rsidR="00D3344B" w:rsidRDefault="00D3344B">
      <w:pPr>
        <w:pStyle w:val="Estilo"/>
        <w:rPr>
          <w:rFonts w:cs="Arial"/>
        </w:rPr>
      </w:pPr>
    </w:p>
    <w:p w14:paraId="51FAB621" w14:textId="77777777" w:rsidR="00D3344B" w:rsidRDefault="00143C25">
      <w:pPr>
        <w:pStyle w:val="Estilo"/>
        <w:ind w:left="567" w:hanging="567"/>
        <w:rPr>
          <w:rFonts w:cs="Arial"/>
        </w:rPr>
      </w:pPr>
      <w:r>
        <w:rPr>
          <w:rFonts w:cs="Arial"/>
        </w:rPr>
        <w:t xml:space="preserve">I. </w:t>
      </w:r>
      <w:r>
        <w:rPr>
          <w:rFonts w:cs="Arial"/>
        </w:rPr>
        <w:tab/>
        <w:t>Que así conste en el endoso o cesión que aparece en el documento que ampare la propiedad del vehículo en cuestión;</w:t>
      </w:r>
    </w:p>
    <w:p w14:paraId="1A29DF0A" w14:textId="77777777" w:rsidR="00D3344B" w:rsidRDefault="00D3344B">
      <w:pPr>
        <w:pStyle w:val="Estilo"/>
        <w:ind w:left="567" w:hanging="567"/>
        <w:rPr>
          <w:rFonts w:cs="Arial"/>
        </w:rPr>
      </w:pPr>
    </w:p>
    <w:p w14:paraId="535E4E4F" w14:textId="77777777" w:rsidR="00D3344B" w:rsidRDefault="00143C25">
      <w:pPr>
        <w:pStyle w:val="Estilo"/>
        <w:ind w:left="567" w:hanging="567"/>
        <w:rPr>
          <w:rFonts w:cs="Arial"/>
        </w:rPr>
      </w:pPr>
      <w:r>
        <w:rPr>
          <w:rFonts w:cs="Arial"/>
        </w:rPr>
        <w:t xml:space="preserve">II. </w:t>
      </w:r>
      <w:r>
        <w:rPr>
          <w:rFonts w:cs="Arial"/>
        </w:rPr>
        <w:tab/>
        <w:t xml:space="preserve">El endoso o cesión a que se refiere la fracción anterior, no contenga lugar de realización o indique que se </w:t>
      </w:r>
      <w:proofErr w:type="spellStart"/>
      <w:r>
        <w:rPr>
          <w:rFonts w:cs="Arial"/>
        </w:rPr>
        <w:t>llevo</w:t>
      </w:r>
      <w:proofErr w:type="spellEnd"/>
      <w:r>
        <w:rPr>
          <w:rFonts w:cs="Arial"/>
        </w:rPr>
        <w:t xml:space="preserve"> a cabo en otra entidad, siempre y cuando:</w:t>
      </w:r>
    </w:p>
    <w:p w14:paraId="63EF1812" w14:textId="77777777" w:rsidR="00D3344B" w:rsidRDefault="00D3344B">
      <w:pPr>
        <w:pStyle w:val="Estilo"/>
        <w:ind w:left="567" w:hanging="567"/>
        <w:rPr>
          <w:rFonts w:cs="Arial"/>
        </w:rPr>
      </w:pPr>
    </w:p>
    <w:p w14:paraId="667B4F8A" w14:textId="77777777" w:rsidR="00D3344B" w:rsidRDefault="00143C25">
      <w:pPr>
        <w:pStyle w:val="Estilo"/>
        <w:ind w:left="1134" w:hanging="567"/>
        <w:rPr>
          <w:rFonts w:cs="Arial"/>
        </w:rPr>
      </w:pPr>
      <w:r>
        <w:rPr>
          <w:rFonts w:cs="Arial"/>
        </w:rPr>
        <w:t xml:space="preserve">a) </w:t>
      </w:r>
      <w:r>
        <w:rPr>
          <w:rFonts w:cs="Arial"/>
        </w:rPr>
        <w:tab/>
        <w:t>El vehículo en cuestión circule con placas del Estado de Tlaxcala.</w:t>
      </w:r>
    </w:p>
    <w:p w14:paraId="23A75BA5" w14:textId="77777777" w:rsidR="00D3344B" w:rsidRDefault="00D3344B">
      <w:pPr>
        <w:pStyle w:val="Estilo"/>
        <w:ind w:left="1134" w:hanging="567"/>
        <w:rPr>
          <w:rFonts w:cs="Arial"/>
        </w:rPr>
      </w:pPr>
    </w:p>
    <w:p w14:paraId="66737BBE" w14:textId="77777777" w:rsidR="00D3344B" w:rsidRDefault="00143C25">
      <w:pPr>
        <w:pStyle w:val="Estilo"/>
        <w:ind w:left="1134" w:hanging="567"/>
        <w:rPr>
          <w:rFonts w:cs="Arial"/>
        </w:rPr>
      </w:pPr>
      <w:r>
        <w:rPr>
          <w:rFonts w:cs="Arial"/>
        </w:rPr>
        <w:t xml:space="preserve">b) </w:t>
      </w:r>
      <w:r>
        <w:rPr>
          <w:rFonts w:cs="Arial"/>
        </w:rPr>
        <w:tab/>
        <w:t>La documentación de pago de otros impuestos y derechos a que esté afecto el vehículo de que se trate, haya sido tramitada ante autoridades estatales.</w:t>
      </w:r>
    </w:p>
    <w:p w14:paraId="775F07B4" w14:textId="77777777" w:rsidR="00D3344B" w:rsidRDefault="00D3344B">
      <w:pPr>
        <w:pStyle w:val="Estilo"/>
        <w:rPr>
          <w:rFonts w:cs="Arial"/>
        </w:rPr>
      </w:pPr>
    </w:p>
    <w:p w14:paraId="13B782DF" w14:textId="77777777" w:rsidR="00D3344B" w:rsidRDefault="00143C25">
      <w:pPr>
        <w:pStyle w:val="Estilo"/>
        <w:rPr>
          <w:rFonts w:cs="Arial"/>
          <w:i/>
          <w:iCs/>
          <w:sz w:val="16"/>
          <w:szCs w:val="16"/>
        </w:rPr>
      </w:pPr>
      <w:r>
        <w:rPr>
          <w:rFonts w:cs="Arial"/>
          <w:i/>
          <w:iCs/>
          <w:sz w:val="16"/>
          <w:szCs w:val="16"/>
        </w:rPr>
        <w:t>(REFORMADO, P.O. 21 DE JUNIO DE 2021)</w:t>
      </w:r>
    </w:p>
    <w:p w14:paraId="02246FDF" w14:textId="77777777" w:rsidR="00D3344B" w:rsidRDefault="00143C25">
      <w:pPr>
        <w:ind w:left="-5"/>
        <w:rPr>
          <w:rFonts w:ascii="Arial" w:hAnsi="Arial" w:cs="Arial"/>
        </w:rPr>
      </w:pPr>
      <w:r>
        <w:rPr>
          <w:rFonts w:ascii="Arial" w:eastAsia="Times New Roman" w:hAnsi="Arial" w:cs="Arial"/>
          <w:b/>
        </w:rPr>
        <w:t xml:space="preserve">Artículo 139. </w:t>
      </w:r>
      <w:r>
        <w:rPr>
          <w:rFonts w:ascii="Arial" w:hAnsi="Arial" w:cs="Arial"/>
        </w:rPr>
        <w:t xml:space="preserve">El impuesto a pagar se determinará con base al año al que corresponda el modelo del vehículo, aplicando </w:t>
      </w:r>
      <w:r>
        <w:rPr>
          <w:rFonts w:ascii="Arial" w:eastAsia="Times New Roman" w:hAnsi="Arial" w:cs="Arial"/>
          <w:b/>
        </w:rPr>
        <w:t>la UMA</w:t>
      </w:r>
      <w:r>
        <w:rPr>
          <w:rFonts w:ascii="Arial" w:hAnsi="Arial" w:cs="Arial"/>
        </w:rPr>
        <w:t xml:space="preserve">, conforme a la siguiente tarifa:  </w:t>
      </w:r>
    </w:p>
    <w:p w14:paraId="4AE45CBB" w14:textId="77777777" w:rsidR="00D3344B" w:rsidRDefault="00143C25">
      <w:pPr>
        <w:spacing w:after="0" w:line="259" w:lineRule="auto"/>
        <w:rPr>
          <w:rFonts w:ascii="Arial" w:hAnsi="Arial" w:cs="Arial"/>
        </w:rPr>
      </w:pPr>
      <w:r>
        <w:rPr>
          <w:rFonts w:ascii="Arial" w:hAnsi="Arial" w:cs="Arial"/>
        </w:rPr>
        <w:t xml:space="preserve"> </w:t>
      </w:r>
      <w:r>
        <w:rPr>
          <w:rFonts w:ascii="Arial" w:eastAsia="Calibri" w:hAnsi="Arial" w:cs="Arial"/>
        </w:rPr>
        <w:tab/>
      </w:r>
      <w:r>
        <w:rPr>
          <w:rFonts w:ascii="Arial" w:eastAsia="Times New Roman" w:hAnsi="Arial" w:cs="Arial"/>
          <w:b/>
        </w:rPr>
        <w:t xml:space="preserve">CONCEPTO                                                  DERECHOS CAUSADO </w:t>
      </w:r>
    </w:p>
    <w:p w14:paraId="35C65DE9" w14:textId="77777777" w:rsidR="00D3344B" w:rsidRDefault="00143C25">
      <w:pPr>
        <w:spacing w:after="0" w:line="259" w:lineRule="auto"/>
        <w:ind w:left="7922"/>
        <w:rPr>
          <w:rFonts w:ascii="Arial" w:hAnsi="Arial" w:cs="Arial"/>
        </w:rPr>
      </w:pPr>
      <w:r>
        <w:rPr>
          <w:rFonts w:ascii="Arial" w:eastAsia="Times New Roman" w:hAnsi="Arial" w:cs="Arial"/>
          <w:b/>
        </w:rPr>
        <w:t xml:space="preserve"> </w:t>
      </w:r>
    </w:p>
    <w:p w14:paraId="160D744F" w14:textId="77777777" w:rsidR="00D3344B" w:rsidRDefault="00143C25">
      <w:pPr>
        <w:numPr>
          <w:ilvl w:val="0"/>
          <w:numId w:val="1"/>
        </w:numPr>
        <w:spacing w:after="3" w:line="264" w:lineRule="auto"/>
        <w:ind w:right="1369" w:hanging="286"/>
        <w:jc w:val="right"/>
        <w:rPr>
          <w:rFonts w:ascii="Arial" w:hAnsi="Arial" w:cs="Arial"/>
        </w:rPr>
      </w:pPr>
      <w:r>
        <w:rPr>
          <w:rFonts w:ascii="Arial" w:hAnsi="Arial" w:cs="Arial"/>
        </w:rPr>
        <w:t xml:space="preserve">Año modelo correspondiente al de la Ley de Ingresos </w:t>
      </w:r>
      <w:proofErr w:type="gramStart"/>
      <w:r>
        <w:rPr>
          <w:rFonts w:ascii="Arial" w:hAnsi="Arial" w:cs="Arial"/>
        </w:rPr>
        <w:t xml:space="preserve">vigente;   </w:t>
      </w:r>
      <w:proofErr w:type="gramEnd"/>
      <w:r>
        <w:rPr>
          <w:rFonts w:ascii="Arial" w:hAnsi="Arial" w:cs="Arial"/>
        </w:rPr>
        <w:t xml:space="preserve">          </w:t>
      </w:r>
      <w:r>
        <w:rPr>
          <w:rFonts w:ascii="Arial" w:eastAsia="Times New Roman" w:hAnsi="Arial" w:cs="Arial"/>
          <w:b/>
        </w:rPr>
        <w:t xml:space="preserve">11 UMA </w:t>
      </w:r>
    </w:p>
    <w:p w14:paraId="1D33CB2D" w14:textId="77777777" w:rsidR="00D3344B" w:rsidRDefault="00143C25">
      <w:pPr>
        <w:spacing w:after="0" w:line="259" w:lineRule="auto"/>
        <w:ind w:left="216"/>
        <w:rPr>
          <w:rFonts w:ascii="Arial" w:hAnsi="Arial" w:cs="Arial"/>
        </w:rPr>
      </w:pPr>
      <w:r>
        <w:rPr>
          <w:rFonts w:ascii="Arial" w:hAnsi="Arial" w:cs="Arial"/>
        </w:rPr>
        <w:t xml:space="preserve"> </w:t>
      </w:r>
    </w:p>
    <w:p w14:paraId="670633F8" w14:textId="77777777" w:rsidR="00D3344B" w:rsidRDefault="00143C25">
      <w:pPr>
        <w:numPr>
          <w:ilvl w:val="0"/>
          <w:numId w:val="1"/>
        </w:numPr>
        <w:spacing w:after="5" w:line="247" w:lineRule="auto"/>
        <w:ind w:hanging="286"/>
        <w:jc w:val="both"/>
        <w:rPr>
          <w:rFonts w:ascii="Arial" w:hAnsi="Arial" w:cs="Arial"/>
        </w:rPr>
      </w:pPr>
      <w:r>
        <w:rPr>
          <w:rFonts w:ascii="Arial" w:hAnsi="Arial" w:cs="Arial"/>
        </w:rPr>
        <w:t xml:space="preserve">Año modelo correspondiente al segundo y </w:t>
      </w:r>
      <w:proofErr w:type="gramStart"/>
      <w:r>
        <w:rPr>
          <w:rFonts w:ascii="Arial" w:hAnsi="Arial" w:cs="Arial"/>
        </w:rPr>
        <w:t>tercer ejercicios anteriores</w:t>
      </w:r>
      <w:proofErr w:type="gramEnd"/>
      <w:r>
        <w:rPr>
          <w:rFonts w:ascii="Arial" w:hAnsi="Arial" w:cs="Arial"/>
        </w:rPr>
        <w:t xml:space="preserve"> </w:t>
      </w:r>
    </w:p>
    <w:p w14:paraId="74049AE4" w14:textId="77777777" w:rsidR="00D3344B" w:rsidRDefault="00143C25">
      <w:pPr>
        <w:tabs>
          <w:tab w:val="center" w:pos="1645"/>
          <w:tab w:val="center" w:pos="7921"/>
        </w:tabs>
        <w:rPr>
          <w:rFonts w:ascii="Arial" w:hAnsi="Arial" w:cs="Arial"/>
        </w:rPr>
      </w:pPr>
      <w:r>
        <w:rPr>
          <w:rFonts w:ascii="Arial" w:eastAsia="Calibri" w:hAnsi="Arial" w:cs="Arial"/>
        </w:rPr>
        <w:tab/>
      </w:r>
      <w:r>
        <w:rPr>
          <w:rFonts w:ascii="Arial" w:hAnsi="Arial" w:cs="Arial"/>
        </w:rPr>
        <w:t xml:space="preserve">al de la Ley de Ingresos </w:t>
      </w:r>
      <w:proofErr w:type="gramStart"/>
      <w:r>
        <w:rPr>
          <w:rFonts w:ascii="Arial" w:hAnsi="Arial" w:cs="Arial"/>
        </w:rPr>
        <w:t xml:space="preserve">vigente;  </w:t>
      </w:r>
      <w:r>
        <w:rPr>
          <w:rFonts w:ascii="Arial" w:hAnsi="Arial" w:cs="Arial"/>
        </w:rPr>
        <w:tab/>
      </w:r>
      <w:proofErr w:type="gramEnd"/>
      <w:r>
        <w:rPr>
          <w:rFonts w:ascii="Arial" w:eastAsia="Times New Roman" w:hAnsi="Arial" w:cs="Arial"/>
          <w:b/>
        </w:rPr>
        <w:t xml:space="preserve">10 UMA </w:t>
      </w:r>
    </w:p>
    <w:tbl>
      <w:tblPr>
        <w:tblStyle w:val="TableGrid"/>
        <w:tblW w:w="8106" w:type="dxa"/>
        <w:tblInd w:w="216" w:type="dxa"/>
        <w:tblLayout w:type="fixed"/>
        <w:tblLook w:val="04A0" w:firstRow="1" w:lastRow="0" w:firstColumn="1" w:lastColumn="0" w:noHBand="0" w:noVBand="1"/>
      </w:tblPr>
      <w:tblGrid>
        <w:gridCol w:w="7362"/>
        <w:gridCol w:w="744"/>
      </w:tblGrid>
      <w:tr w:rsidR="00D3344B" w14:paraId="1C4D4568" w14:textId="77777777">
        <w:trPr>
          <w:trHeight w:val="248"/>
        </w:trPr>
        <w:tc>
          <w:tcPr>
            <w:tcW w:w="7361" w:type="dxa"/>
          </w:tcPr>
          <w:p w14:paraId="6FB708F2" w14:textId="77777777" w:rsidR="00D3344B" w:rsidRDefault="00143C25">
            <w:pPr>
              <w:spacing w:after="0" w:line="259" w:lineRule="auto"/>
              <w:rPr>
                <w:rFonts w:ascii="Arial" w:hAnsi="Arial" w:cs="Arial"/>
              </w:rPr>
            </w:pPr>
            <w:r>
              <w:rPr>
                <w:rFonts w:ascii="Arial" w:eastAsia="Times New Roman" w:hAnsi="Arial" w:cs="Arial"/>
                <w:b/>
              </w:rPr>
              <w:t>III.</w:t>
            </w:r>
            <w:r>
              <w:rPr>
                <w:rFonts w:ascii="Arial" w:hAnsi="Arial" w:cs="Arial"/>
              </w:rPr>
              <w:t xml:space="preserve"> Año modelo correspondiente al cuarto y quinto ejercicios anteriores </w:t>
            </w:r>
          </w:p>
        </w:tc>
        <w:tc>
          <w:tcPr>
            <w:tcW w:w="744" w:type="dxa"/>
          </w:tcPr>
          <w:p w14:paraId="5BDF3050" w14:textId="77777777" w:rsidR="00D3344B" w:rsidRDefault="00D3344B">
            <w:pPr>
              <w:spacing w:after="160" w:line="259" w:lineRule="auto"/>
              <w:rPr>
                <w:rFonts w:ascii="Arial" w:hAnsi="Arial" w:cs="Arial"/>
              </w:rPr>
            </w:pPr>
          </w:p>
        </w:tc>
      </w:tr>
      <w:tr w:rsidR="00D3344B" w14:paraId="00FD02BC" w14:textId="77777777">
        <w:trPr>
          <w:trHeight w:val="759"/>
        </w:trPr>
        <w:tc>
          <w:tcPr>
            <w:tcW w:w="7361" w:type="dxa"/>
          </w:tcPr>
          <w:p w14:paraId="5B6C602D" w14:textId="77777777" w:rsidR="00D3344B" w:rsidRDefault="00143C25">
            <w:pPr>
              <w:spacing w:after="0" w:line="259" w:lineRule="auto"/>
              <w:rPr>
                <w:rFonts w:ascii="Arial" w:hAnsi="Arial" w:cs="Arial"/>
              </w:rPr>
            </w:pPr>
            <w:r>
              <w:rPr>
                <w:rFonts w:ascii="Arial" w:hAnsi="Arial" w:cs="Arial"/>
              </w:rPr>
              <w:t xml:space="preserve">al de la Ley de Ingresos vigente;  </w:t>
            </w:r>
          </w:p>
          <w:p w14:paraId="67B27D6E" w14:textId="77777777" w:rsidR="00D3344B" w:rsidRDefault="00143C25">
            <w:pPr>
              <w:spacing w:after="0" w:line="259" w:lineRule="auto"/>
              <w:rPr>
                <w:rFonts w:ascii="Arial" w:hAnsi="Arial" w:cs="Arial"/>
              </w:rPr>
            </w:pPr>
            <w:r>
              <w:rPr>
                <w:rFonts w:ascii="Arial" w:hAnsi="Arial" w:cs="Arial"/>
              </w:rPr>
              <w:t xml:space="preserve"> </w:t>
            </w:r>
          </w:p>
          <w:p w14:paraId="4582D20E" w14:textId="77777777" w:rsidR="00D3344B" w:rsidRDefault="00143C25">
            <w:pPr>
              <w:spacing w:after="0" w:line="259" w:lineRule="auto"/>
              <w:rPr>
                <w:rFonts w:ascii="Arial" w:hAnsi="Arial" w:cs="Arial"/>
              </w:rPr>
            </w:pPr>
            <w:r>
              <w:rPr>
                <w:rFonts w:ascii="Arial" w:eastAsia="Times New Roman" w:hAnsi="Arial" w:cs="Arial"/>
                <w:b/>
              </w:rPr>
              <w:t>IV.</w:t>
            </w:r>
            <w:r>
              <w:rPr>
                <w:rFonts w:ascii="Arial" w:hAnsi="Arial" w:cs="Arial"/>
              </w:rPr>
              <w:t xml:space="preserve"> Año modelo correspondiente al sexto y séptimo ejercicios anteriores </w:t>
            </w:r>
          </w:p>
        </w:tc>
        <w:tc>
          <w:tcPr>
            <w:tcW w:w="744" w:type="dxa"/>
          </w:tcPr>
          <w:p w14:paraId="46C14EE8" w14:textId="77777777" w:rsidR="00D3344B" w:rsidRDefault="00143C25">
            <w:pPr>
              <w:spacing w:after="0" w:line="259" w:lineRule="auto"/>
              <w:rPr>
                <w:rFonts w:ascii="Arial" w:hAnsi="Arial" w:cs="Arial"/>
              </w:rPr>
            </w:pPr>
            <w:r>
              <w:rPr>
                <w:rFonts w:ascii="Arial" w:eastAsia="Times New Roman" w:hAnsi="Arial" w:cs="Arial"/>
                <w:b/>
              </w:rPr>
              <w:t xml:space="preserve">9 UMA </w:t>
            </w:r>
          </w:p>
        </w:tc>
      </w:tr>
      <w:tr w:rsidR="00D3344B" w14:paraId="151BF612" w14:textId="77777777">
        <w:trPr>
          <w:trHeight w:val="759"/>
        </w:trPr>
        <w:tc>
          <w:tcPr>
            <w:tcW w:w="7361" w:type="dxa"/>
          </w:tcPr>
          <w:p w14:paraId="055EA1B8" w14:textId="77777777" w:rsidR="00D3344B" w:rsidRDefault="00143C25">
            <w:pPr>
              <w:spacing w:after="0" w:line="259" w:lineRule="auto"/>
              <w:rPr>
                <w:rFonts w:ascii="Arial" w:hAnsi="Arial" w:cs="Arial"/>
              </w:rPr>
            </w:pPr>
            <w:r>
              <w:rPr>
                <w:rFonts w:ascii="Arial" w:hAnsi="Arial" w:cs="Arial"/>
              </w:rPr>
              <w:t xml:space="preserve">al de la Ley de Ingresos vigente;  </w:t>
            </w:r>
          </w:p>
          <w:p w14:paraId="1A6EC4E6" w14:textId="77777777" w:rsidR="00D3344B" w:rsidRDefault="00143C25">
            <w:pPr>
              <w:spacing w:after="0" w:line="259" w:lineRule="auto"/>
              <w:rPr>
                <w:rFonts w:ascii="Arial" w:hAnsi="Arial" w:cs="Arial"/>
              </w:rPr>
            </w:pPr>
            <w:r>
              <w:rPr>
                <w:rFonts w:ascii="Arial" w:hAnsi="Arial" w:cs="Arial"/>
              </w:rPr>
              <w:t xml:space="preserve"> </w:t>
            </w:r>
          </w:p>
          <w:p w14:paraId="26845B3E" w14:textId="77777777" w:rsidR="00D3344B" w:rsidRDefault="00143C25">
            <w:pPr>
              <w:spacing w:after="0" w:line="259" w:lineRule="auto"/>
              <w:rPr>
                <w:rFonts w:ascii="Arial" w:hAnsi="Arial" w:cs="Arial"/>
              </w:rPr>
            </w:pPr>
            <w:r>
              <w:rPr>
                <w:rFonts w:ascii="Arial" w:eastAsia="Times New Roman" w:hAnsi="Arial" w:cs="Arial"/>
                <w:b/>
              </w:rPr>
              <w:t>V.</w:t>
            </w:r>
            <w:r>
              <w:rPr>
                <w:rFonts w:ascii="Arial" w:hAnsi="Arial" w:cs="Arial"/>
              </w:rPr>
              <w:t xml:space="preserve"> Año modelo correspondiente al octavo y noveno ejercicios anteriores </w:t>
            </w:r>
          </w:p>
        </w:tc>
        <w:tc>
          <w:tcPr>
            <w:tcW w:w="744" w:type="dxa"/>
          </w:tcPr>
          <w:p w14:paraId="3EAD301F" w14:textId="77777777" w:rsidR="00D3344B" w:rsidRDefault="00143C25">
            <w:pPr>
              <w:spacing w:after="0" w:line="259" w:lineRule="auto"/>
              <w:rPr>
                <w:rFonts w:ascii="Arial" w:hAnsi="Arial" w:cs="Arial"/>
              </w:rPr>
            </w:pPr>
            <w:r>
              <w:rPr>
                <w:rFonts w:ascii="Arial" w:eastAsia="Times New Roman" w:hAnsi="Arial" w:cs="Arial"/>
                <w:b/>
              </w:rPr>
              <w:t xml:space="preserve">8 UMA </w:t>
            </w:r>
          </w:p>
        </w:tc>
      </w:tr>
      <w:tr w:rsidR="00D3344B" w14:paraId="33316A07" w14:textId="77777777">
        <w:trPr>
          <w:trHeight w:val="759"/>
        </w:trPr>
        <w:tc>
          <w:tcPr>
            <w:tcW w:w="7361" w:type="dxa"/>
          </w:tcPr>
          <w:p w14:paraId="6CBBDE16" w14:textId="77777777" w:rsidR="00D3344B" w:rsidRDefault="00143C25">
            <w:pPr>
              <w:spacing w:after="0" w:line="259" w:lineRule="auto"/>
              <w:rPr>
                <w:rFonts w:ascii="Arial" w:hAnsi="Arial" w:cs="Arial"/>
              </w:rPr>
            </w:pPr>
            <w:r>
              <w:rPr>
                <w:rFonts w:ascii="Arial" w:hAnsi="Arial" w:cs="Arial"/>
              </w:rPr>
              <w:t xml:space="preserve">al de la Ley de Ingresos Vigente;  </w:t>
            </w:r>
          </w:p>
          <w:p w14:paraId="7E43F21E" w14:textId="77777777" w:rsidR="00D3344B" w:rsidRDefault="00143C25">
            <w:pPr>
              <w:spacing w:after="0" w:line="259" w:lineRule="auto"/>
              <w:rPr>
                <w:rFonts w:ascii="Arial" w:hAnsi="Arial" w:cs="Arial"/>
              </w:rPr>
            </w:pPr>
            <w:r>
              <w:rPr>
                <w:rFonts w:ascii="Arial" w:hAnsi="Arial" w:cs="Arial"/>
              </w:rPr>
              <w:t xml:space="preserve"> </w:t>
            </w:r>
          </w:p>
          <w:p w14:paraId="0FAC5A1E" w14:textId="77777777" w:rsidR="00D3344B" w:rsidRDefault="00143C25">
            <w:pPr>
              <w:spacing w:after="0" w:line="259" w:lineRule="auto"/>
              <w:rPr>
                <w:rFonts w:ascii="Arial" w:hAnsi="Arial" w:cs="Arial"/>
              </w:rPr>
            </w:pPr>
            <w:r>
              <w:rPr>
                <w:rFonts w:ascii="Arial" w:eastAsia="Times New Roman" w:hAnsi="Arial" w:cs="Arial"/>
                <w:b/>
              </w:rPr>
              <w:t>VI.</w:t>
            </w:r>
            <w:r>
              <w:rPr>
                <w:rFonts w:ascii="Arial" w:hAnsi="Arial" w:cs="Arial"/>
              </w:rPr>
              <w:t xml:space="preserve"> Año modelo correspondiente décimo y onceavo ejercicios anteriores </w:t>
            </w:r>
          </w:p>
        </w:tc>
        <w:tc>
          <w:tcPr>
            <w:tcW w:w="744" w:type="dxa"/>
          </w:tcPr>
          <w:p w14:paraId="6209F60E" w14:textId="77777777" w:rsidR="00D3344B" w:rsidRDefault="00143C25">
            <w:pPr>
              <w:spacing w:after="0" w:line="259" w:lineRule="auto"/>
              <w:rPr>
                <w:rFonts w:ascii="Arial" w:hAnsi="Arial" w:cs="Arial"/>
              </w:rPr>
            </w:pPr>
            <w:r>
              <w:rPr>
                <w:rFonts w:ascii="Arial" w:eastAsia="Times New Roman" w:hAnsi="Arial" w:cs="Arial"/>
                <w:b/>
              </w:rPr>
              <w:t xml:space="preserve">7 UMA </w:t>
            </w:r>
          </w:p>
        </w:tc>
      </w:tr>
      <w:tr w:rsidR="00D3344B" w14:paraId="65597A38" w14:textId="77777777">
        <w:trPr>
          <w:trHeight w:val="758"/>
        </w:trPr>
        <w:tc>
          <w:tcPr>
            <w:tcW w:w="7361" w:type="dxa"/>
          </w:tcPr>
          <w:p w14:paraId="09BD5A73" w14:textId="77777777" w:rsidR="00D3344B" w:rsidRDefault="00143C25">
            <w:pPr>
              <w:spacing w:after="0" w:line="259" w:lineRule="auto"/>
              <w:rPr>
                <w:rFonts w:ascii="Arial" w:hAnsi="Arial" w:cs="Arial"/>
              </w:rPr>
            </w:pPr>
            <w:r>
              <w:rPr>
                <w:rFonts w:ascii="Arial" w:hAnsi="Arial" w:cs="Arial"/>
              </w:rPr>
              <w:t xml:space="preserve">al de la Ley de Ingresos vigente;  </w:t>
            </w:r>
          </w:p>
          <w:p w14:paraId="4043A154" w14:textId="77777777" w:rsidR="00D3344B" w:rsidRDefault="00143C25">
            <w:pPr>
              <w:spacing w:after="0" w:line="259" w:lineRule="auto"/>
              <w:rPr>
                <w:rFonts w:ascii="Arial" w:hAnsi="Arial" w:cs="Arial"/>
              </w:rPr>
            </w:pPr>
            <w:r>
              <w:rPr>
                <w:rFonts w:ascii="Arial" w:hAnsi="Arial" w:cs="Arial"/>
              </w:rPr>
              <w:t xml:space="preserve"> </w:t>
            </w:r>
          </w:p>
          <w:p w14:paraId="7D90EC27" w14:textId="77777777" w:rsidR="00D3344B" w:rsidRDefault="00143C25">
            <w:pPr>
              <w:spacing w:after="0" w:line="259" w:lineRule="auto"/>
              <w:rPr>
                <w:rFonts w:ascii="Arial" w:hAnsi="Arial" w:cs="Arial"/>
              </w:rPr>
            </w:pPr>
            <w:r>
              <w:rPr>
                <w:rFonts w:ascii="Arial" w:eastAsia="Times New Roman" w:hAnsi="Arial" w:cs="Arial"/>
                <w:b/>
              </w:rPr>
              <w:t>VII.</w:t>
            </w:r>
            <w:r>
              <w:rPr>
                <w:rFonts w:ascii="Arial" w:hAnsi="Arial" w:cs="Arial"/>
              </w:rPr>
              <w:t xml:space="preserve"> Año modelo correspondiente al doceavo ejercicio y anteriores al de </w:t>
            </w:r>
          </w:p>
        </w:tc>
        <w:tc>
          <w:tcPr>
            <w:tcW w:w="744" w:type="dxa"/>
          </w:tcPr>
          <w:p w14:paraId="3BC08FCD" w14:textId="77777777" w:rsidR="00D3344B" w:rsidRDefault="00143C25">
            <w:pPr>
              <w:spacing w:after="0" w:line="259" w:lineRule="auto"/>
              <w:rPr>
                <w:rFonts w:ascii="Arial" w:hAnsi="Arial" w:cs="Arial"/>
              </w:rPr>
            </w:pPr>
            <w:r>
              <w:rPr>
                <w:rFonts w:ascii="Arial" w:eastAsia="Times New Roman" w:hAnsi="Arial" w:cs="Arial"/>
                <w:b/>
              </w:rPr>
              <w:t xml:space="preserve">6 UMA </w:t>
            </w:r>
          </w:p>
        </w:tc>
      </w:tr>
      <w:tr w:rsidR="00D3344B" w14:paraId="79E4F826" w14:textId="77777777">
        <w:trPr>
          <w:trHeight w:val="315"/>
        </w:trPr>
        <w:tc>
          <w:tcPr>
            <w:tcW w:w="7361" w:type="dxa"/>
          </w:tcPr>
          <w:p w14:paraId="34B2B2E0" w14:textId="77777777" w:rsidR="00D3344B" w:rsidRDefault="00143C25">
            <w:pPr>
              <w:spacing w:after="0" w:line="259" w:lineRule="auto"/>
              <w:rPr>
                <w:rFonts w:ascii="Arial" w:hAnsi="Arial" w:cs="Arial"/>
              </w:rPr>
            </w:pPr>
            <w:r>
              <w:rPr>
                <w:rFonts w:ascii="Arial" w:hAnsi="Arial" w:cs="Arial"/>
              </w:rPr>
              <w:t xml:space="preserve">la Ley de Ingresos vigente. </w:t>
            </w:r>
          </w:p>
        </w:tc>
        <w:tc>
          <w:tcPr>
            <w:tcW w:w="744" w:type="dxa"/>
          </w:tcPr>
          <w:p w14:paraId="468510DE" w14:textId="77777777" w:rsidR="00D3344B" w:rsidRDefault="00143C25">
            <w:pPr>
              <w:spacing w:after="0" w:line="259" w:lineRule="auto"/>
              <w:rPr>
                <w:rFonts w:ascii="Arial" w:hAnsi="Arial" w:cs="Arial"/>
              </w:rPr>
            </w:pPr>
            <w:r>
              <w:rPr>
                <w:rFonts w:ascii="Arial" w:eastAsia="Times New Roman" w:hAnsi="Arial" w:cs="Arial"/>
                <w:b/>
              </w:rPr>
              <w:t xml:space="preserve">5 UMA </w:t>
            </w:r>
          </w:p>
        </w:tc>
      </w:tr>
    </w:tbl>
    <w:p w14:paraId="6010D266" w14:textId="77777777" w:rsidR="00D3344B" w:rsidRDefault="00D3344B">
      <w:pPr>
        <w:pStyle w:val="Estilo"/>
        <w:rPr>
          <w:rFonts w:cs="Arial"/>
        </w:rPr>
      </w:pPr>
    </w:p>
    <w:p w14:paraId="006471FE" w14:textId="77777777" w:rsidR="00D3344B" w:rsidRDefault="00143C25">
      <w:pPr>
        <w:pStyle w:val="Estilo"/>
        <w:rPr>
          <w:rFonts w:cs="Arial"/>
        </w:rPr>
      </w:pPr>
      <w:r>
        <w:rPr>
          <w:rFonts w:cs="Arial"/>
          <w:b/>
        </w:rPr>
        <w:t>Artículo 140.</w:t>
      </w:r>
      <w:r>
        <w:rPr>
          <w:rFonts w:cs="Arial"/>
        </w:rPr>
        <w:t xml:space="preserve"> Este impuesto, se causará cuando se dé cualquiera de los siguientes supuestos:</w:t>
      </w:r>
    </w:p>
    <w:p w14:paraId="2875D612" w14:textId="77777777" w:rsidR="00D3344B" w:rsidRDefault="00D3344B">
      <w:pPr>
        <w:pStyle w:val="Estilo"/>
        <w:rPr>
          <w:rFonts w:cs="Arial"/>
        </w:rPr>
      </w:pPr>
    </w:p>
    <w:p w14:paraId="4BA23E3E" w14:textId="77777777" w:rsidR="00D3344B" w:rsidRDefault="00143C25">
      <w:pPr>
        <w:pStyle w:val="Estilo"/>
        <w:ind w:left="567" w:hanging="567"/>
        <w:rPr>
          <w:rFonts w:cs="Arial"/>
        </w:rPr>
      </w:pPr>
      <w:r>
        <w:rPr>
          <w:rFonts w:cs="Arial"/>
        </w:rPr>
        <w:t xml:space="preserve">I. </w:t>
      </w:r>
      <w:r>
        <w:rPr>
          <w:rFonts w:cs="Arial"/>
        </w:rPr>
        <w:tab/>
        <w:t>Se entregue total o parcialmente el importe de la adquisición;</w:t>
      </w:r>
    </w:p>
    <w:p w14:paraId="2A3AA040" w14:textId="77777777" w:rsidR="00D3344B" w:rsidRDefault="00D3344B">
      <w:pPr>
        <w:pStyle w:val="Estilo"/>
        <w:ind w:left="567" w:hanging="567"/>
        <w:rPr>
          <w:rFonts w:cs="Arial"/>
        </w:rPr>
      </w:pPr>
    </w:p>
    <w:p w14:paraId="262274EB" w14:textId="77777777" w:rsidR="00D3344B" w:rsidRDefault="00143C25">
      <w:pPr>
        <w:pStyle w:val="Estilo"/>
        <w:ind w:left="567" w:hanging="567"/>
        <w:rPr>
          <w:rFonts w:cs="Arial"/>
        </w:rPr>
      </w:pPr>
      <w:r>
        <w:rPr>
          <w:rFonts w:cs="Arial"/>
        </w:rPr>
        <w:t xml:space="preserve">II. </w:t>
      </w:r>
      <w:r>
        <w:rPr>
          <w:rFonts w:cs="Arial"/>
        </w:rPr>
        <w:tab/>
        <w:t>Se entregue el vehículo al adquirente; o</w:t>
      </w:r>
    </w:p>
    <w:p w14:paraId="12EC21A8" w14:textId="77777777" w:rsidR="00D3344B" w:rsidRDefault="00D3344B">
      <w:pPr>
        <w:pStyle w:val="Estilo"/>
        <w:ind w:left="567" w:hanging="567"/>
        <w:rPr>
          <w:rFonts w:cs="Arial"/>
        </w:rPr>
      </w:pPr>
    </w:p>
    <w:p w14:paraId="07D3EC0C" w14:textId="77777777" w:rsidR="00D3344B" w:rsidRDefault="00143C25">
      <w:pPr>
        <w:pStyle w:val="Estilo"/>
        <w:ind w:left="567" w:hanging="567"/>
        <w:rPr>
          <w:rFonts w:cs="Arial"/>
        </w:rPr>
      </w:pPr>
      <w:r>
        <w:rPr>
          <w:rFonts w:cs="Arial"/>
        </w:rPr>
        <w:t xml:space="preserve">III. </w:t>
      </w:r>
      <w:r>
        <w:rPr>
          <w:rFonts w:cs="Arial"/>
        </w:rPr>
        <w:tab/>
        <w:t>Se endose la factura o documento que ampare la adquisición.</w:t>
      </w:r>
    </w:p>
    <w:p w14:paraId="68133CCF" w14:textId="77777777" w:rsidR="00D3344B" w:rsidRDefault="00D3344B">
      <w:pPr>
        <w:pStyle w:val="Estilo"/>
        <w:rPr>
          <w:rFonts w:cs="Arial"/>
        </w:rPr>
      </w:pPr>
    </w:p>
    <w:p w14:paraId="4510B0BC" w14:textId="77777777" w:rsidR="00D3344B" w:rsidRDefault="00143C25">
      <w:pPr>
        <w:pStyle w:val="Estilo"/>
        <w:rPr>
          <w:rFonts w:cs="Arial"/>
        </w:rPr>
      </w:pPr>
      <w:r>
        <w:rPr>
          <w:rFonts w:cs="Arial"/>
          <w:b/>
        </w:rPr>
        <w:t>Artículo 141.</w:t>
      </w:r>
      <w:r>
        <w:rPr>
          <w:rFonts w:cs="Arial"/>
        </w:rPr>
        <w:t xml:space="preserve"> El impuesto se pagará mediante la presentación del documento que acredite la propiedad del vehículo automotor debidamente endosado y fechado, se considera fecha de celebración de la operación la que se indique en el endoso de la factura o contrato respectivo, en las oficinas recaudadoras del Estado dentro de los treinta días siguientes a aquél en que se celebró la operación y se cubrirá utilizando las formas oficiales.</w:t>
      </w:r>
    </w:p>
    <w:p w14:paraId="2C58E67A" w14:textId="77777777" w:rsidR="00D3344B" w:rsidRDefault="00D3344B">
      <w:pPr>
        <w:pStyle w:val="Estilo"/>
        <w:rPr>
          <w:rFonts w:cs="Arial"/>
        </w:rPr>
      </w:pPr>
    </w:p>
    <w:p w14:paraId="698EA96A" w14:textId="77777777" w:rsidR="00D3344B" w:rsidRDefault="00143C25">
      <w:pPr>
        <w:pStyle w:val="Estilo"/>
        <w:rPr>
          <w:rFonts w:cs="Arial"/>
        </w:rPr>
      </w:pPr>
      <w:r>
        <w:rPr>
          <w:rFonts w:cs="Arial"/>
        </w:rPr>
        <w:t>Se considera que el impuesto se causa y debe pagarse en el Estado, cuando la adquisición del vehículo se lleve a cabo dentro de su territorio o, en su defecto, cuando el adquirente efectúe el trámite de cambio de propietario, baja o dotación de placas, o pago del impuesto sobre tenencia o uso de vehículos, en alguna de las oficinas recaudadoras de la Entidad.</w:t>
      </w:r>
    </w:p>
    <w:p w14:paraId="21063235" w14:textId="77777777" w:rsidR="00D3344B" w:rsidRDefault="00D3344B">
      <w:pPr>
        <w:pStyle w:val="Estilo"/>
        <w:rPr>
          <w:rFonts w:cs="Arial"/>
        </w:rPr>
      </w:pPr>
    </w:p>
    <w:p w14:paraId="05C0E7E9" w14:textId="77777777" w:rsidR="00D3344B" w:rsidRDefault="00143C25">
      <w:pPr>
        <w:pStyle w:val="Estilo"/>
        <w:rPr>
          <w:rFonts w:cs="Arial"/>
        </w:rPr>
      </w:pPr>
      <w:r>
        <w:rPr>
          <w:rFonts w:cs="Arial"/>
        </w:rPr>
        <w:t>La autoridad competente del control vehicular en el Estado, no recibirá para trámite solicitud de alta o baja de vehículos por cuya adquisición no se hubiese pagado el impuesto en los términos establecidos en este capítulo.</w:t>
      </w:r>
    </w:p>
    <w:p w14:paraId="548D8227" w14:textId="77777777" w:rsidR="00D3344B" w:rsidRDefault="00D3344B">
      <w:pPr>
        <w:pStyle w:val="Estilo"/>
        <w:rPr>
          <w:rFonts w:cs="Arial"/>
        </w:rPr>
      </w:pPr>
    </w:p>
    <w:p w14:paraId="53C6E7F6" w14:textId="77777777" w:rsidR="00D3344B" w:rsidRDefault="00143C25">
      <w:pPr>
        <w:pStyle w:val="Estilo"/>
        <w:rPr>
          <w:rFonts w:cs="Arial"/>
        </w:rPr>
      </w:pPr>
      <w:r>
        <w:rPr>
          <w:rFonts w:cs="Arial"/>
        </w:rPr>
        <w:t>La oficina recaudadora efectuará el cobro del impuesto expidiendo el recibo oficial respectivo, y sellará la factura o comprobante que ampare la propiedad del vehículo, para hacer constar, que el impuesto ha sido cubierto.</w:t>
      </w:r>
    </w:p>
    <w:p w14:paraId="10BDA163" w14:textId="77777777" w:rsidR="00D3344B" w:rsidRDefault="00D3344B">
      <w:pPr>
        <w:pStyle w:val="Estilo"/>
        <w:rPr>
          <w:rFonts w:cs="Arial"/>
        </w:rPr>
      </w:pPr>
    </w:p>
    <w:p w14:paraId="55E4FE59" w14:textId="77777777" w:rsidR="00D3344B" w:rsidRDefault="00143C25">
      <w:pPr>
        <w:pStyle w:val="Estilo"/>
        <w:rPr>
          <w:rFonts w:cs="Arial"/>
        </w:rPr>
      </w:pPr>
      <w:r>
        <w:rPr>
          <w:rFonts w:cs="Arial"/>
          <w:b/>
        </w:rPr>
        <w:t>Artículo 142.</w:t>
      </w:r>
      <w:r>
        <w:rPr>
          <w:rFonts w:cs="Arial"/>
        </w:rPr>
        <w:t xml:space="preserve"> Las personas físicas o morales que realicen actividades empresariales, dedicadas a la compraventa de vehículos usados, los adquirentes, comisionistas o cualquier persona que lleve a cabo las operaciones objeto de este impuesto deberán presentar un aviso dentro de los quince días naturales siguientes de celebrada la operación, en las formas oficialmente aprobadas, ante las oficinas Recaudadoras correspondientes. El aviso deberá ser firmado tanto por el vendedor, como por el comprador y contener los requisitos mínimos que permitan su identificación.</w:t>
      </w:r>
    </w:p>
    <w:p w14:paraId="4CFE7CB0" w14:textId="77777777" w:rsidR="00D3344B" w:rsidRDefault="00D3344B">
      <w:pPr>
        <w:pStyle w:val="Estilo"/>
        <w:rPr>
          <w:rFonts w:cs="Arial"/>
        </w:rPr>
      </w:pPr>
    </w:p>
    <w:p w14:paraId="5A025C67" w14:textId="77777777" w:rsidR="00D3344B" w:rsidRDefault="00143C25">
      <w:pPr>
        <w:pStyle w:val="Estilo"/>
        <w:rPr>
          <w:rFonts w:cs="Arial"/>
        </w:rPr>
      </w:pPr>
      <w:r>
        <w:rPr>
          <w:rFonts w:cs="Arial"/>
        </w:rPr>
        <w:t>La autoridad recaudadora, al tener conocimiento de operaciones objeto de este impuesto, se cerciorará de que se haya cubierto el impuesto respectivo dentro del plazo de los treinta días naturales siguientes de celebrada la operación, transcurrido dicho plazo sin que se hubiese efectuado el pago, la autoridad procederá al cobro del importe del impuesto, a través del procedimiento administrativo de ejecución.</w:t>
      </w:r>
    </w:p>
    <w:p w14:paraId="279FCDE9" w14:textId="77777777" w:rsidR="00D3344B" w:rsidRDefault="00D3344B">
      <w:pPr>
        <w:pStyle w:val="Estilo"/>
        <w:rPr>
          <w:rFonts w:cs="Arial"/>
        </w:rPr>
      </w:pPr>
    </w:p>
    <w:p w14:paraId="38AB2C1A" w14:textId="77777777" w:rsidR="00D3344B" w:rsidRDefault="00143C25">
      <w:pPr>
        <w:pStyle w:val="Estilo"/>
        <w:rPr>
          <w:rFonts w:cs="Arial"/>
        </w:rPr>
      </w:pPr>
      <w:r>
        <w:rPr>
          <w:rFonts w:cs="Arial"/>
        </w:rPr>
        <w:t xml:space="preserve">El Estado podrá celebrar convenios de colaboración con los municipios, a fin de que éstos apoyen al Estado en la ubicación y en su caso detención de los vehículos por </w:t>
      </w:r>
      <w:r>
        <w:rPr>
          <w:rFonts w:cs="Arial"/>
        </w:rPr>
        <w:lastRenderedPageBreak/>
        <w:t>los cuales se hubiese presentado aviso a que se refiere este artículo y no se hubiese cubierto oportunamente el impuesto correspondiente.</w:t>
      </w:r>
    </w:p>
    <w:p w14:paraId="19C7ADBA" w14:textId="77777777" w:rsidR="00D3344B" w:rsidRDefault="00D3344B">
      <w:pPr>
        <w:pStyle w:val="Estilo"/>
        <w:rPr>
          <w:rFonts w:cs="Arial"/>
        </w:rPr>
      </w:pPr>
    </w:p>
    <w:p w14:paraId="1C60689A" w14:textId="77777777" w:rsidR="00D3344B" w:rsidRDefault="00143C25">
      <w:pPr>
        <w:pStyle w:val="Estilo"/>
        <w:rPr>
          <w:rFonts w:cs="Arial"/>
        </w:rPr>
      </w:pPr>
      <w:r>
        <w:rPr>
          <w:rFonts w:cs="Arial"/>
        </w:rPr>
        <w:t>Las empresas dedicadas a la compraventa de vehículos automotores usados, deberán llevar un libro autorizado por la oficina recaudadora correspondiente, en el que anotarán en el acto de recibir cada vehículo las características del mismo, el nombre y domicilio del propietario anterior o el del comitente o consignante.</w:t>
      </w:r>
    </w:p>
    <w:p w14:paraId="39999FFB" w14:textId="77777777" w:rsidR="00D3344B" w:rsidRDefault="00D3344B">
      <w:pPr>
        <w:pStyle w:val="Estilo"/>
        <w:rPr>
          <w:rFonts w:cs="Arial"/>
        </w:rPr>
      </w:pPr>
    </w:p>
    <w:p w14:paraId="559B3753" w14:textId="77777777" w:rsidR="00D3344B" w:rsidRDefault="00143C25">
      <w:pPr>
        <w:pStyle w:val="Estilo"/>
        <w:rPr>
          <w:rFonts w:cs="Arial"/>
        </w:rPr>
      </w:pPr>
      <w:r>
        <w:rPr>
          <w:rFonts w:cs="Arial"/>
          <w:b/>
        </w:rPr>
        <w:t>Artículo 143.</w:t>
      </w:r>
      <w:r>
        <w:rPr>
          <w:rFonts w:cs="Arial"/>
        </w:rPr>
        <w:t xml:space="preserve"> Son responsables solidarios del pago de este impuesto:</w:t>
      </w:r>
    </w:p>
    <w:p w14:paraId="3EA64E82" w14:textId="77777777" w:rsidR="00D3344B" w:rsidRDefault="00D3344B">
      <w:pPr>
        <w:pStyle w:val="Estilo"/>
        <w:rPr>
          <w:rFonts w:cs="Arial"/>
        </w:rPr>
      </w:pPr>
    </w:p>
    <w:p w14:paraId="0D1EA586" w14:textId="77777777" w:rsidR="00D3344B" w:rsidRDefault="00143C25">
      <w:pPr>
        <w:pStyle w:val="Estilo"/>
        <w:ind w:left="567" w:hanging="567"/>
        <w:rPr>
          <w:rFonts w:cs="Arial"/>
        </w:rPr>
      </w:pPr>
      <w:r>
        <w:rPr>
          <w:rFonts w:cs="Arial"/>
        </w:rPr>
        <w:t xml:space="preserve">I. </w:t>
      </w:r>
      <w:r>
        <w:rPr>
          <w:rFonts w:cs="Arial"/>
        </w:rPr>
        <w:tab/>
        <w:t>Quienes adquieran el vehículo automotor, desde la fecha de la operación hasta el momento en que notifique a la autoridad competente el cambio de propietario;</w:t>
      </w:r>
    </w:p>
    <w:p w14:paraId="6BC0C66A" w14:textId="77777777" w:rsidR="00D3344B" w:rsidRDefault="00D3344B">
      <w:pPr>
        <w:pStyle w:val="Estilo"/>
        <w:ind w:left="567" w:hanging="567"/>
        <w:rPr>
          <w:rFonts w:cs="Arial"/>
        </w:rPr>
      </w:pPr>
    </w:p>
    <w:p w14:paraId="5D88CE50" w14:textId="77777777" w:rsidR="00D3344B" w:rsidRDefault="00143C25">
      <w:pPr>
        <w:pStyle w:val="Estilo"/>
        <w:ind w:left="567" w:hanging="567"/>
        <w:rPr>
          <w:rFonts w:cs="Arial"/>
        </w:rPr>
      </w:pPr>
      <w:r>
        <w:rPr>
          <w:rFonts w:cs="Arial"/>
        </w:rPr>
        <w:t xml:space="preserve">II. </w:t>
      </w:r>
      <w:r>
        <w:rPr>
          <w:rFonts w:cs="Arial"/>
        </w:rPr>
        <w:tab/>
        <w:t>Quienes transmitan la propiedad, cuando los adquirentes no cumplan con las obligaciones señaladas en el artículo anterior;</w:t>
      </w:r>
    </w:p>
    <w:p w14:paraId="645FAC00" w14:textId="77777777" w:rsidR="00D3344B" w:rsidRDefault="00D3344B">
      <w:pPr>
        <w:pStyle w:val="Estilo"/>
        <w:ind w:left="567" w:hanging="567"/>
        <w:rPr>
          <w:rFonts w:cs="Arial"/>
        </w:rPr>
      </w:pPr>
    </w:p>
    <w:p w14:paraId="45566D24" w14:textId="77777777" w:rsidR="00D3344B" w:rsidRDefault="00143C25">
      <w:pPr>
        <w:pStyle w:val="Estilo"/>
        <w:ind w:left="567" w:hanging="567"/>
        <w:rPr>
          <w:rFonts w:cs="Arial"/>
        </w:rPr>
      </w:pPr>
      <w:r>
        <w:rPr>
          <w:rFonts w:cs="Arial"/>
        </w:rPr>
        <w:t xml:space="preserve">III. </w:t>
      </w:r>
      <w:r>
        <w:rPr>
          <w:rFonts w:cs="Arial"/>
        </w:rPr>
        <w:tab/>
        <w:t>Los servidores públicos que en ejercicio de sus funciones autoricen el cambio de propietario de un vehículo, sin cerciorarse del pago del impuesto, y</w:t>
      </w:r>
    </w:p>
    <w:p w14:paraId="1FA5E28F" w14:textId="77777777" w:rsidR="00D3344B" w:rsidRDefault="00D3344B">
      <w:pPr>
        <w:pStyle w:val="Estilo"/>
        <w:ind w:left="567" w:hanging="567"/>
        <w:rPr>
          <w:rFonts w:cs="Arial"/>
        </w:rPr>
      </w:pPr>
    </w:p>
    <w:p w14:paraId="39F151AE" w14:textId="77777777" w:rsidR="00D3344B" w:rsidRDefault="00143C25">
      <w:pPr>
        <w:pStyle w:val="Estilo"/>
        <w:ind w:left="567" w:hanging="567"/>
        <w:rPr>
          <w:rFonts w:cs="Arial"/>
        </w:rPr>
      </w:pPr>
      <w:r>
        <w:rPr>
          <w:rFonts w:cs="Arial"/>
        </w:rPr>
        <w:t xml:space="preserve">IV. </w:t>
      </w:r>
      <w:r>
        <w:rPr>
          <w:rFonts w:cs="Arial"/>
        </w:rPr>
        <w:tab/>
        <w:t>Los consignatarios o comisionistas en cualquier operación de adquisición de vehículos automotores usados.</w:t>
      </w:r>
    </w:p>
    <w:p w14:paraId="79D74FDB" w14:textId="77777777" w:rsidR="00D3344B" w:rsidRDefault="00D3344B">
      <w:pPr>
        <w:pStyle w:val="Estilo"/>
        <w:rPr>
          <w:rFonts w:cs="Arial"/>
        </w:rPr>
      </w:pPr>
    </w:p>
    <w:p w14:paraId="541F87FB" w14:textId="77777777" w:rsidR="00D3344B" w:rsidRDefault="00143C25">
      <w:pPr>
        <w:pStyle w:val="Estilo"/>
        <w:rPr>
          <w:rFonts w:cs="Arial"/>
        </w:rPr>
      </w:pPr>
      <w:r>
        <w:rPr>
          <w:rFonts w:cs="Arial"/>
          <w:b/>
        </w:rPr>
        <w:t>Artículo 144.</w:t>
      </w:r>
      <w:r>
        <w:rPr>
          <w:rFonts w:cs="Arial"/>
        </w:rPr>
        <w:t xml:space="preserve"> Queda eximido del pago del impuesto sobre adquisición de vehículos automotores usados:</w:t>
      </w:r>
    </w:p>
    <w:p w14:paraId="58B09919" w14:textId="77777777" w:rsidR="00D3344B" w:rsidRDefault="00D3344B">
      <w:pPr>
        <w:pStyle w:val="Estilo"/>
        <w:rPr>
          <w:rFonts w:cs="Arial"/>
        </w:rPr>
      </w:pPr>
    </w:p>
    <w:p w14:paraId="09EE4A06" w14:textId="77777777" w:rsidR="00D3344B" w:rsidRDefault="00143C25">
      <w:pPr>
        <w:pStyle w:val="Estilo"/>
        <w:ind w:left="567" w:hanging="567"/>
        <w:rPr>
          <w:rFonts w:cs="Arial"/>
        </w:rPr>
      </w:pPr>
      <w:r>
        <w:rPr>
          <w:rFonts w:cs="Arial"/>
        </w:rPr>
        <w:t xml:space="preserve">I. </w:t>
      </w:r>
      <w:r>
        <w:rPr>
          <w:rFonts w:cs="Arial"/>
        </w:rPr>
        <w:tab/>
        <w:t>Las adquisiciones que realice la Federación, el Estado y los municipios, salvo sus organismos descentralizados;</w:t>
      </w:r>
    </w:p>
    <w:p w14:paraId="159A77E9" w14:textId="77777777" w:rsidR="00D3344B" w:rsidRDefault="00D3344B">
      <w:pPr>
        <w:pStyle w:val="Estilo"/>
        <w:ind w:left="567" w:hanging="567"/>
        <w:rPr>
          <w:rFonts w:cs="Arial"/>
        </w:rPr>
      </w:pPr>
    </w:p>
    <w:p w14:paraId="61F6F42B" w14:textId="77777777" w:rsidR="00D3344B" w:rsidRDefault="00143C25">
      <w:pPr>
        <w:pStyle w:val="Estilo"/>
        <w:ind w:left="567" w:hanging="567"/>
        <w:rPr>
          <w:rFonts w:cs="Arial"/>
        </w:rPr>
      </w:pPr>
      <w:r>
        <w:rPr>
          <w:rFonts w:cs="Arial"/>
        </w:rPr>
        <w:t xml:space="preserve">II. </w:t>
      </w:r>
      <w:r>
        <w:rPr>
          <w:rFonts w:cs="Arial"/>
        </w:rPr>
        <w:tab/>
        <w:t>Las adquisiciones que efectúen los distribuidores de automóviles autorizados en el Estado y los comerciantes en el ramo de vehículos, y</w:t>
      </w:r>
    </w:p>
    <w:p w14:paraId="5A01FD3F" w14:textId="77777777" w:rsidR="00D3344B" w:rsidRDefault="00D3344B">
      <w:pPr>
        <w:pStyle w:val="Estilo"/>
        <w:ind w:left="567" w:hanging="567"/>
        <w:rPr>
          <w:rFonts w:cs="Arial"/>
        </w:rPr>
      </w:pPr>
    </w:p>
    <w:p w14:paraId="195D3BBF" w14:textId="77777777" w:rsidR="00D3344B" w:rsidRDefault="00143C25">
      <w:pPr>
        <w:pStyle w:val="Estilo"/>
        <w:ind w:left="567" w:hanging="567"/>
        <w:rPr>
          <w:rFonts w:cs="Arial"/>
        </w:rPr>
      </w:pPr>
      <w:r>
        <w:rPr>
          <w:rFonts w:cs="Arial"/>
        </w:rPr>
        <w:t xml:space="preserve">III. </w:t>
      </w:r>
      <w:r>
        <w:rPr>
          <w:rFonts w:cs="Arial"/>
        </w:rPr>
        <w:tab/>
        <w:t>Las adquisiciones entre cónyuges o entre ascendientes en línea recta en primer grado.</w:t>
      </w:r>
    </w:p>
    <w:p w14:paraId="28C9CA68" w14:textId="77777777" w:rsidR="00D3344B" w:rsidRDefault="00D3344B">
      <w:pPr>
        <w:pStyle w:val="Estilo"/>
        <w:rPr>
          <w:rFonts w:cs="Arial"/>
        </w:rPr>
      </w:pPr>
    </w:p>
    <w:p w14:paraId="6066BE36" w14:textId="77777777" w:rsidR="00D3344B" w:rsidRDefault="00143C25">
      <w:pPr>
        <w:pStyle w:val="Estilo"/>
        <w:rPr>
          <w:rFonts w:cs="Arial"/>
        </w:rPr>
      </w:pPr>
      <w:r>
        <w:rPr>
          <w:rFonts w:cs="Arial"/>
          <w:b/>
        </w:rPr>
        <w:t>Artículo 145.</w:t>
      </w:r>
      <w:r>
        <w:rPr>
          <w:rFonts w:cs="Arial"/>
        </w:rPr>
        <w:t xml:space="preserve"> Las infracciones a las disposiciones relativas al impuesto sobre adquisición de vehículos automotores usados, serán sancionados de conformidad con lo previsto en este código y demás disposiciones jurídicas aplicables.</w:t>
      </w:r>
    </w:p>
    <w:p w14:paraId="609C13ED" w14:textId="77777777" w:rsidR="00D3344B" w:rsidRDefault="00D3344B">
      <w:pPr>
        <w:pStyle w:val="Estilo"/>
        <w:rPr>
          <w:rFonts w:cs="Arial"/>
        </w:rPr>
      </w:pPr>
    </w:p>
    <w:p w14:paraId="5EB56408" w14:textId="77777777" w:rsidR="00D3344B" w:rsidRDefault="00D3344B">
      <w:pPr>
        <w:pStyle w:val="Estilo"/>
        <w:rPr>
          <w:rFonts w:cs="Arial"/>
        </w:rPr>
      </w:pPr>
    </w:p>
    <w:p w14:paraId="6FCB6730" w14:textId="77777777" w:rsidR="00D3344B" w:rsidRDefault="00143C25">
      <w:pPr>
        <w:pStyle w:val="Estilo"/>
        <w:jc w:val="center"/>
        <w:rPr>
          <w:rFonts w:cs="Arial"/>
          <w:b/>
        </w:rPr>
      </w:pPr>
      <w:r>
        <w:rPr>
          <w:rFonts w:cs="Arial"/>
          <w:b/>
        </w:rPr>
        <w:t>Capítulo IX</w:t>
      </w:r>
    </w:p>
    <w:p w14:paraId="694285EF" w14:textId="77777777" w:rsidR="00D3344B" w:rsidRDefault="00143C25">
      <w:pPr>
        <w:pStyle w:val="Estilo"/>
        <w:jc w:val="center"/>
        <w:rPr>
          <w:rFonts w:cs="Arial"/>
          <w:b/>
        </w:rPr>
      </w:pPr>
      <w:r>
        <w:rPr>
          <w:rFonts w:cs="Arial"/>
          <w:b/>
        </w:rPr>
        <w:t>Derechos Estatales</w:t>
      </w:r>
    </w:p>
    <w:p w14:paraId="38191870" w14:textId="77777777" w:rsidR="00D3344B" w:rsidRDefault="00D3344B">
      <w:pPr>
        <w:pStyle w:val="Estilo"/>
        <w:jc w:val="center"/>
        <w:rPr>
          <w:rFonts w:cs="Arial"/>
          <w:b/>
        </w:rPr>
      </w:pPr>
    </w:p>
    <w:p w14:paraId="35CB48C5" w14:textId="77777777" w:rsidR="00D3344B" w:rsidRDefault="00143C25">
      <w:pPr>
        <w:pStyle w:val="Estilo"/>
        <w:jc w:val="center"/>
        <w:rPr>
          <w:rFonts w:cs="Arial"/>
          <w:b/>
        </w:rPr>
      </w:pPr>
      <w:r>
        <w:rPr>
          <w:rFonts w:cs="Arial"/>
          <w:b/>
        </w:rPr>
        <w:t>Sección Primera</w:t>
      </w:r>
    </w:p>
    <w:p w14:paraId="52B37D5D" w14:textId="77777777" w:rsidR="00D3344B" w:rsidRDefault="00143C25">
      <w:pPr>
        <w:pStyle w:val="Estilo"/>
        <w:jc w:val="center"/>
        <w:rPr>
          <w:rFonts w:cs="Arial"/>
        </w:rPr>
      </w:pPr>
      <w:r>
        <w:rPr>
          <w:rFonts w:cs="Arial"/>
          <w:b/>
        </w:rPr>
        <w:t>Derechos por los Servicios Prestados por Dependencias del Poder Ejecutivo</w:t>
      </w:r>
    </w:p>
    <w:p w14:paraId="4ADD43C8" w14:textId="77777777" w:rsidR="00D3344B" w:rsidRDefault="00D3344B">
      <w:pPr>
        <w:pStyle w:val="Estilo"/>
        <w:rPr>
          <w:rFonts w:cs="Arial"/>
        </w:rPr>
      </w:pPr>
    </w:p>
    <w:p w14:paraId="257E382F" w14:textId="77777777" w:rsidR="00D3344B" w:rsidRDefault="00143C25">
      <w:pPr>
        <w:pStyle w:val="Estilo"/>
        <w:rPr>
          <w:rFonts w:cs="Arial"/>
        </w:rPr>
      </w:pPr>
      <w:r>
        <w:rPr>
          <w:rFonts w:cs="Arial"/>
          <w:b/>
        </w:rPr>
        <w:lastRenderedPageBreak/>
        <w:t>Artículo 146.</w:t>
      </w:r>
      <w:r>
        <w:rPr>
          <w:rFonts w:cs="Arial"/>
        </w:rPr>
        <w:t xml:space="preserve"> Los servicios prestados por las dependencias del Poder Ejecutivo del Gobierno del Estado, se causarán y pagarán en los términos y cantidades que los artículos subsecuentes establecen, para cada una de las mismas.</w:t>
      </w:r>
    </w:p>
    <w:p w14:paraId="763E2575" w14:textId="77777777" w:rsidR="00D3344B" w:rsidRDefault="00D3344B">
      <w:pPr>
        <w:pStyle w:val="Estilo"/>
        <w:rPr>
          <w:rFonts w:cs="Arial"/>
        </w:rPr>
      </w:pPr>
    </w:p>
    <w:p w14:paraId="492FF729" w14:textId="77777777" w:rsidR="00D3344B" w:rsidRDefault="00143C25">
      <w:pPr>
        <w:pStyle w:val="Estilo"/>
        <w:jc w:val="center"/>
        <w:rPr>
          <w:rFonts w:cs="Arial"/>
          <w:b/>
          <w:bCs/>
        </w:rPr>
      </w:pPr>
      <w:r>
        <w:rPr>
          <w:rFonts w:cs="Arial"/>
          <w:b/>
          <w:bCs/>
        </w:rPr>
        <w:t>Subsección Primera</w:t>
      </w:r>
    </w:p>
    <w:p w14:paraId="5029AAE6" w14:textId="77777777" w:rsidR="00D3344B" w:rsidRDefault="00143C25">
      <w:pPr>
        <w:pStyle w:val="Estilo"/>
        <w:jc w:val="center"/>
        <w:rPr>
          <w:rFonts w:cs="Arial"/>
          <w:b/>
          <w:bCs/>
        </w:rPr>
      </w:pPr>
      <w:r>
        <w:rPr>
          <w:rFonts w:cs="Arial"/>
          <w:b/>
          <w:bCs/>
        </w:rPr>
        <w:t>Derechos por los Servicios Prestados por la Secretaría de Gobierno</w:t>
      </w:r>
    </w:p>
    <w:p w14:paraId="698E0C93" w14:textId="77777777" w:rsidR="00D3344B" w:rsidRDefault="00D3344B">
      <w:pPr>
        <w:pStyle w:val="Estilo"/>
        <w:rPr>
          <w:rFonts w:cs="Arial"/>
        </w:rPr>
      </w:pPr>
    </w:p>
    <w:p w14:paraId="09854723" w14:textId="77777777" w:rsidR="00D3344B" w:rsidRDefault="00143C25">
      <w:pPr>
        <w:pStyle w:val="Estilo"/>
        <w:rPr>
          <w:rFonts w:cs="Arial"/>
          <w:i/>
          <w:iCs/>
          <w:sz w:val="16"/>
          <w:szCs w:val="16"/>
        </w:rPr>
      </w:pPr>
      <w:r>
        <w:rPr>
          <w:rFonts w:cs="Arial"/>
          <w:i/>
          <w:iCs/>
          <w:sz w:val="16"/>
          <w:szCs w:val="16"/>
        </w:rPr>
        <w:t>(REFORMADO PRIMER PARRAFO, P.O. 29 DE NOVIEMBRE DE 2023)</w:t>
      </w:r>
    </w:p>
    <w:p w14:paraId="5906B420" w14:textId="77777777" w:rsidR="00D3344B" w:rsidRDefault="00143C25">
      <w:pPr>
        <w:spacing w:after="364"/>
        <w:ind w:left="-5"/>
        <w:rPr>
          <w:rFonts w:ascii="Arial" w:hAnsi="Arial" w:cs="Arial"/>
        </w:rPr>
      </w:pPr>
      <w:r>
        <w:rPr>
          <w:rFonts w:ascii="Arial" w:eastAsia="Times New Roman" w:hAnsi="Arial" w:cs="Arial"/>
          <w:b/>
        </w:rPr>
        <w:t xml:space="preserve">Artículo 147. </w:t>
      </w:r>
      <w:r>
        <w:rPr>
          <w:rFonts w:ascii="Arial" w:hAnsi="Arial" w:cs="Arial"/>
        </w:rPr>
        <w:t>Los servicios prestados por la Secretaría de Gobierno, a través de la Dirección de Notarías y Registros Públicos del Estado, que de manera específica se señalan en este artículo, causarán los derechos siguientes:</w:t>
      </w:r>
    </w:p>
    <w:p w14:paraId="7139021E" w14:textId="77777777" w:rsidR="00D3344B" w:rsidRDefault="00D3344B">
      <w:pPr>
        <w:spacing w:after="3" w:line="264" w:lineRule="auto"/>
        <w:ind w:right="669"/>
        <w:jc w:val="right"/>
        <w:rPr>
          <w:rFonts w:ascii="Arial" w:hAnsi="Arial" w:cs="Arial"/>
        </w:rPr>
      </w:pPr>
    </w:p>
    <w:tbl>
      <w:tblPr>
        <w:tblStyle w:val="TableGrid"/>
        <w:tblW w:w="9313" w:type="dxa"/>
        <w:tblInd w:w="139" w:type="dxa"/>
        <w:tblLayout w:type="fixed"/>
        <w:tblLook w:val="04A0" w:firstRow="1" w:lastRow="0" w:firstColumn="1" w:lastColumn="0" w:noHBand="0" w:noVBand="1"/>
      </w:tblPr>
      <w:tblGrid>
        <w:gridCol w:w="6667"/>
        <w:gridCol w:w="2646"/>
      </w:tblGrid>
      <w:tr w:rsidR="00D3344B" w14:paraId="0B8177B1" w14:textId="77777777">
        <w:trPr>
          <w:trHeight w:val="374"/>
        </w:trPr>
        <w:tc>
          <w:tcPr>
            <w:tcW w:w="6666" w:type="dxa"/>
          </w:tcPr>
          <w:p w14:paraId="33133894" w14:textId="77777777" w:rsidR="00D3344B" w:rsidRDefault="00143C25">
            <w:pPr>
              <w:spacing w:after="0" w:line="259" w:lineRule="auto"/>
              <w:ind w:right="353"/>
              <w:jc w:val="center"/>
              <w:rPr>
                <w:rFonts w:ascii="Arial" w:hAnsi="Arial" w:cs="Arial"/>
              </w:rPr>
            </w:pPr>
            <w:r>
              <w:rPr>
                <w:rFonts w:ascii="Arial" w:eastAsia="Times New Roman" w:hAnsi="Arial" w:cs="Arial"/>
                <w:b/>
              </w:rPr>
              <w:t xml:space="preserve">CONCEPTO </w:t>
            </w:r>
          </w:p>
        </w:tc>
        <w:tc>
          <w:tcPr>
            <w:tcW w:w="2646" w:type="dxa"/>
            <w:vAlign w:val="bottom"/>
          </w:tcPr>
          <w:p w14:paraId="036E4D07" w14:textId="77777777" w:rsidR="00D3344B" w:rsidRDefault="00143C25">
            <w:pPr>
              <w:spacing w:after="0" w:line="259" w:lineRule="auto"/>
              <w:ind w:right="56"/>
              <w:jc w:val="center"/>
              <w:rPr>
                <w:rFonts w:ascii="Arial" w:eastAsia="Times New Roman" w:hAnsi="Arial" w:cs="Arial"/>
                <w:b/>
              </w:rPr>
            </w:pPr>
            <w:r>
              <w:rPr>
                <w:rFonts w:ascii="Arial" w:eastAsia="Times New Roman" w:hAnsi="Arial" w:cs="Arial"/>
                <w:b/>
              </w:rPr>
              <w:t xml:space="preserve">DERECHOS </w:t>
            </w:r>
          </w:p>
          <w:p w14:paraId="398DAF0E" w14:textId="77777777" w:rsidR="00D3344B" w:rsidRDefault="00143C25">
            <w:pPr>
              <w:spacing w:after="0" w:line="259" w:lineRule="auto"/>
              <w:ind w:right="56"/>
              <w:jc w:val="center"/>
              <w:rPr>
                <w:rFonts w:ascii="Arial" w:hAnsi="Arial" w:cs="Arial"/>
              </w:rPr>
            </w:pPr>
            <w:r>
              <w:rPr>
                <w:rFonts w:ascii="Arial" w:eastAsia="Times New Roman" w:hAnsi="Arial" w:cs="Arial"/>
                <w:b/>
              </w:rPr>
              <w:t xml:space="preserve">CAUSADOS </w:t>
            </w:r>
          </w:p>
        </w:tc>
      </w:tr>
      <w:tr w:rsidR="00D3344B" w14:paraId="4C097AB4" w14:textId="77777777">
        <w:trPr>
          <w:trHeight w:val="2024"/>
        </w:trPr>
        <w:tc>
          <w:tcPr>
            <w:tcW w:w="6666" w:type="dxa"/>
          </w:tcPr>
          <w:p w14:paraId="00D97F58" w14:textId="77777777" w:rsidR="00D3344B" w:rsidRDefault="00143C25">
            <w:pPr>
              <w:spacing w:after="0" w:line="259" w:lineRule="auto"/>
              <w:ind w:right="354"/>
              <w:jc w:val="both"/>
              <w:rPr>
                <w:rFonts w:ascii="Arial" w:hAnsi="Arial" w:cs="Arial"/>
              </w:rPr>
            </w:pPr>
            <w:r>
              <w:rPr>
                <w:rFonts w:ascii="Arial" w:eastAsia="Times New Roman" w:hAnsi="Arial" w:cs="Arial"/>
                <w:b/>
              </w:rPr>
              <w:t>I</w:t>
            </w:r>
            <w:r>
              <w:rPr>
                <w:rFonts w:ascii="Arial" w:hAnsi="Arial" w:cs="Arial"/>
              </w:rPr>
              <w:t xml:space="preserve">. Inscripción de escrituras y documentos que contengan actos que implique traslación de dominio de bienes inmuebles, tales como compra venta, dación en pago, adjudicación por herencia, usucapión, permuta, donación, cesión de derechos y demás similares. </w:t>
            </w:r>
          </w:p>
        </w:tc>
        <w:tc>
          <w:tcPr>
            <w:tcW w:w="2646" w:type="dxa"/>
          </w:tcPr>
          <w:p w14:paraId="32F715BB" w14:textId="77777777" w:rsidR="00D3344B" w:rsidRDefault="00143C25">
            <w:pPr>
              <w:spacing w:after="1" w:line="235" w:lineRule="auto"/>
              <w:ind w:right="55"/>
              <w:jc w:val="both"/>
              <w:rPr>
                <w:rFonts w:ascii="Arial" w:hAnsi="Arial" w:cs="Arial"/>
              </w:rPr>
            </w:pPr>
            <w:r>
              <w:rPr>
                <w:rFonts w:ascii="Arial" w:hAnsi="Arial" w:cs="Arial"/>
              </w:rPr>
              <w:t xml:space="preserve">Cuando en el acto a inscribir no se determine un valor, se pagará el equivalente a </w:t>
            </w:r>
            <w:r>
              <w:rPr>
                <w:rFonts w:ascii="Arial" w:eastAsia="Times New Roman" w:hAnsi="Arial" w:cs="Arial"/>
                <w:b/>
              </w:rPr>
              <w:t xml:space="preserve">5 UMA; </w:t>
            </w:r>
            <w:r>
              <w:rPr>
                <w:rFonts w:ascii="Arial" w:hAnsi="Arial" w:cs="Arial"/>
              </w:rPr>
              <w:t xml:space="preserve">en los supuestos siguientes, considerando el valor señalado en el dictamen vigente emitido por el Instituto de Catastro: Cuando el acto a inscribir tenga un valor de hasta </w:t>
            </w:r>
            <w:r>
              <w:rPr>
                <w:rFonts w:ascii="Arial" w:eastAsia="Times New Roman" w:hAnsi="Arial" w:cs="Arial"/>
                <w:b/>
              </w:rPr>
              <w:t>5 UMA anual</w:t>
            </w:r>
            <w:r>
              <w:rPr>
                <w:rFonts w:ascii="Arial" w:hAnsi="Arial" w:cs="Arial"/>
              </w:rPr>
              <w:t xml:space="preserve">, se pagará el equivalente a </w:t>
            </w:r>
            <w:r>
              <w:rPr>
                <w:rFonts w:ascii="Arial" w:eastAsia="Times New Roman" w:hAnsi="Arial" w:cs="Arial"/>
                <w:b/>
              </w:rPr>
              <w:t>10 UMA</w:t>
            </w:r>
            <w:r>
              <w:rPr>
                <w:rFonts w:ascii="Arial" w:hAnsi="Arial" w:cs="Arial"/>
              </w:rPr>
              <w:t xml:space="preserve">; Cuando el valor del acto a inscribir sea de hasta </w:t>
            </w:r>
            <w:r>
              <w:rPr>
                <w:rFonts w:ascii="Arial" w:eastAsia="Times New Roman" w:hAnsi="Arial" w:cs="Arial"/>
                <w:b/>
              </w:rPr>
              <w:t>100 UMA anual</w:t>
            </w:r>
            <w:r>
              <w:rPr>
                <w:rFonts w:ascii="Arial" w:hAnsi="Arial" w:cs="Arial"/>
              </w:rPr>
              <w:t xml:space="preserve">, se pagará el equivalente a </w:t>
            </w:r>
            <w:r>
              <w:rPr>
                <w:rFonts w:ascii="Arial" w:eastAsia="Times New Roman" w:hAnsi="Arial" w:cs="Arial"/>
                <w:b/>
              </w:rPr>
              <w:t>15 UMA;</w:t>
            </w:r>
            <w:r>
              <w:rPr>
                <w:rFonts w:ascii="Arial" w:hAnsi="Arial" w:cs="Arial"/>
              </w:rPr>
              <w:t xml:space="preserve"> y cuando el valor del acto a inscribir sea superior a </w:t>
            </w:r>
            <w:r>
              <w:rPr>
                <w:rFonts w:ascii="Arial" w:eastAsia="Times New Roman" w:hAnsi="Arial" w:cs="Arial"/>
                <w:b/>
              </w:rPr>
              <w:t>100 UMA anual</w:t>
            </w:r>
            <w:r>
              <w:rPr>
                <w:rFonts w:ascii="Arial" w:hAnsi="Arial" w:cs="Arial"/>
              </w:rPr>
              <w:t xml:space="preserve">, se pagará el equivalente a </w:t>
            </w:r>
            <w:r>
              <w:rPr>
                <w:rFonts w:ascii="Arial" w:eastAsia="Times New Roman" w:hAnsi="Arial" w:cs="Arial"/>
                <w:b/>
              </w:rPr>
              <w:t>25 UMA.</w:t>
            </w:r>
          </w:p>
        </w:tc>
      </w:tr>
      <w:tr w:rsidR="00D3344B" w14:paraId="3E3DFD32" w14:textId="77777777">
        <w:trPr>
          <w:trHeight w:val="1097"/>
        </w:trPr>
        <w:tc>
          <w:tcPr>
            <w:tcW w:w="6666" w:type="dxa"/>
          </w:tcPr>
          <w:p w14:paraId="22B53395" w14:textId="77777777" w:rsidR="00D3344B" w:rsidRDefault="00143C25">
            <w:pPr>
              <w:spacing w:after="0" w:line="259" w:lineRule="auto"/>
              <w:jc w:val="both"/>
              <w:rPr>
                <w:rFonts w:ascii="Arial" w:hAnsi="Arial" w:cs="Arial"/>
              </w:rPr>
            </w:pPr>
            <w:r>
              <w:rPr>
                <w:rFonts w:ascii="Arial" w:hAnsi="Arial" w:cs="Arial"/>
                <w:b/>
                <w:bCs/>
              </w:rPr>
              <w:t>II.</w:t>
            </w:r>
            <w:r>
              <w:rPr>
                <w:rFonts w:ascii="Arial" w:hAnsi="Arial" w:cs="Arial"/>
              </w:rPr>
              <w:t xml:space="preserve"> Registro de hijuelas, derivadas de adjudicación por herencia, división de copropiedad, aplicación de bienes por disolución de sociedad conyugal, que no implique traslación de dominio.</w:t>
            </w:r>
          </w:p>
        </w:tc>
        <w:tc>
          <w:tcPr>
            <w:tcW w:w="2646" w:type="dxa"/>
          </w:tcPr>
          <w:p w14:paraId="1C889161" w14:textId="77777777" w:rsidR="00D3344B" w:rsidRDefault="00143C25">
            <w:pPr>
              <w:spacing w:after="0" w:line="259" w:lineRule="auto"/>
              <w:ind w:right="55"/>
              <w:rPr>
                <w:rFonts w:ascii="Arial" w:hAnsi="Arial" w:cs="Arial"/>
              </w:rPr>
            </w:pPr>
            <w:r>
              <w:rPr>
                <w:rFonts w:ascii="Arial" w:eastAsia="Times New Roman" w:hAnsi="Arial" w:cs="Arial"/>
                <w:b/>
              </w:rPr>
              <w:t xml:space="preserve">2 UMA, </w:t>
            </w:r>
            <w:r>
              <w:rPr>
                <w:rFonts w:ascii="Arial" w:hAnsi="Arial" w:cs="Arial"/>
              </w:rPr>
              <w:t>por cada uno.</w:t>
            </w:r>
          </w:p>
        </w:tc>
      </w:tr>
      <w:tr w:rsidR="00D3344B" w14:paraId="7B5038F7" w14:textId="77777777">
        <w:trPr>
          <w:trHeight w:val="832"/>
        </w:trPr>
        <w:tc>
          <w:tcPr>
            <w:tcW w:w="6666" w:type="dxa"/>
          </w:tcPr>
          <w:p w14:paraId="6B274186" w14:textId="77777777" w:rsidR="00D3344B" w:rsidRDefault="00143C25">
            <w:pPr>
              <w:spacing w:after="5" w:line="247" w:lineRule="auto"/>
              <w:ind w:right="510"/>
              <w:jc w:val="both"/>
              <w:rPr>
                <w:rFonts w:ascii="Arial" w:hAnsi="Arial" w:cs="Arial"/>
                <w:b/>
                <w:bCs/>
              </w:rPr>
            </w:pPr>
            <w:r>
              <w:rPr>
                <w:rFonts w:ascii="Arial" w:hAnsi="Arial" w:cs="Arial"/>
                <w:b/>
                <w:bCs/>
              </w:rPr>
              <w:t xml:space="preserve">III. </w:t>
            </w:r>
            <w:r>
              <w:rPr>
                <w:rFonts w:ascii="Arial" w:hAnsi="Arial" w:cs="Arial"/>
              </w:rPr>
              <w:t>Registro de capitulaciones matrimoniales, cuando se aporten bienes inmuebles.</w:t>
            </w:r>
          </w:p>
        </w:tc>
        <w:tc>
          <w:tcPr>
            <w:tcW w:w="2646" w:type="dxa"/>
          </w:tcPr>
          <w:p w14:paraId="5C09B421"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5236037A" w14:textId="77777777">
        <w:trPr>
          <w:trHeight w:val="1260"/>
        </w:trPr>
        <w:tc>
          <w:tcPr>
            <w:tcW w:w="6666" w:type="dxa"/>
          </w:tcPr>
          <w:p w14:paraId="4FA659E9" w14:textId="77777777" w:rsidR="00D3344B" w:rsidRDefault="00143C25">
            <w:pPr>
              <w:spacing w:after="5" w:line="247" w:lineRule="auto"/>
              <w:ind w:right="510"/>
              <w:jc w:val="both"/>
              <w:rPr>
                <w:rFonts w:ascii="Arial" w:hAnsi="Arial" w:cs="Arial"/>
                <w:b/>
                <w:bCs/>
              </w:rPr>
            </w:pPr>
            <w:r>
              <w:rPr>
                <w:rFonts w:ascii="Arial" w:hAnsi="Arial" w:cs="Arial"/>
                <w:b/>
                <w:bCs/>
              </w:rPr>
              <w:t xml:space="preserve">IV. </w:t>
            </w:r>
            <w:r>
              <w:rPr>
                <w:rFonts w:ascii="Arial" w:hAnsi="Arial" w:cs="Arial"/>
              </w:rPr>
              <w:t xml:space="preserve">Registro de títulos o documentos, anotaciones marginales que </w:t>
            </w:r>
            <w:proofErr w:type="gramStart"/>
            <w:r>
              <w:rPr>
                <w:rFonts w:ascii="Arial" w:hAnsi="Arial" w:cs="Arial"/>
              </w:rPr>
              <w:t xml:space="preserve">modifiquen, </w:t>
            </w:r>
            <w:r>
              <w:rPr>
                <w:rFonts w:ascii="Arial" w:eastAsia="Times New Roman" w:hAnsi="Arial" w:cs="Arial"/>
                <w:b/>
              </w:rPr>
              <w:t xml:space="preserve"> </w:t>
            </w:r>
            <w:r>
              <w:rPr>
                <w:rFonts w:ascii="Arial" w:hAnsi="Arial" w:cs="Arial"/>
              </w:rPr>
              <w:t>aclaren</w:t>
            </w:r>
            <w:proofErr w:type="gramEnd"/>
            <w:r>
              <w:rPr>
                <w:rFonts w:ascii="Arial" w:hAnsi="Arial" w:cs="Arial"/>
              </w:rPr>
              <w:t xml:space="preserve"> o sean simples consecuencias de actos por los que se pagaron con anterioridad derechos de registro y que se otorguen por los mismos interesados de la escritura y que no se transfieran derechos.</w:t>
            </w:r>
          </w:p>
        </w:tc>
        <w:tc>
          <w:tcPr>
            <w:tcW w:w="2646" w:type="dxa"/>
          </w:tcPr>
          <w:p w14:paraId="3BD414FD"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1.5 UMA</w:t>
            </w:r>
          </w:p>
        </w:tc>
      </w:tr>
      <w:tr w:rsidR="00D3344B" w14:paraId="4E8B86CB" w14:textId="77777777">
        <w:trPr>
          <w:trHeight w:val="1260"/>
        </w:trPr>
        <w:tc>
          <w:tcPr>
            <w:tcW w:w="6666" w:type="dxa"/>
          </w:tcPr>
          <w:p w14:paraId="7D3049CA" w14:textId="77777777" w:rsidR="00D3344B" w:rsidRDefault="00143C25">
            <w:pPr>
              <w:spacing w:after="5" w:line="247" w:lineRule="auto"/>
              <w:ind w:right="510"/>
              <w:jc w:val="both"/>
              <w:rPr>
                <w:rFonts w:ascii="Arial" w:hAnsi="Arial" w:cs="Arial"/>
                <w:b/>
                <w:bCs/>
              </w:rPr>
            </w:pPr>
            <w:r>
              <w:rPr>
                <w:rFonts w:ascii="Arial" w:hAnsi="Arial" w:cs="Arial"/>
                <w:b/>
                <w:bCs/>
              </w:rPr>
              <w:lastRenderedPageBreak/>
              <w:t xml:space="preserve">V. </w:t>
            </w:r>
            <w:r>
              <w:rPr>
                <w:rFonts w:ascii="Arial" w:hAnsi="Arial" w:cs="Arial"/>
              </w:rPr>
              <w:t xml:space="preserve">Registro de escrituras de erección de casa, fusión de predios y </w:t>
            </w:r>
            <w:proofErr w:type="gramStart"/>
            <w:r>
              <w:rPr>
                <w:rFonts w:ascii="Arial" w:hAnsi="Arial" w:cs="Arial"/>
              </w:rPr>
              <w:t xml:space="preserve">constitución </w:t>
            </w:r>
            <w:r>
              <w:rPr>
                <w:rFonts w:ascii="Arial" w:eastAsia="Times New Roman" w:hAnsi="Arial" w:cs="Arial"/>
                <w:b/>
              </w:rPr>
              <w:t xml:space="preserve"> </w:t>
            </w:r>
            <w:r>
              <w:rPr>
                <w:rFonts w:ascii="Arial" w:hAnsi="Arial" w:cs="Arial"/>
              </w:rPr>
              <w:t>de</w:t>
            </w:r>
            <w:proofErr w:type="gramEnd"/>
            <w:r>
              <w:rPr>
                <w:rFonts w:ascii="Arial" w:hAnsi="Arial" w:cs="Arial"/>
              </w:rPr>
              <w:t xml:space="preserve"> usufructo o servidumbre, por acto jurídico unilateral o plurilateral, por usucapión y por ley.</w:t>
            </w:r>
          </w:p>
        </w:tc>
        <w:tc>
          <w:tcPr>
            <w:tcW w:w="2646" w:type="dxa"/>
          </w:tcPr>
          <w:p w14:paraId="408BCEDB"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0CCD3C17" w14:textId="77777777">
        <w:trPr>
          <w:trHeight w:val="1260"/>
        </w:trPr>
        <w:tc>
          <w:tcPr>
            <w:tcW w:w="9312" w:type="dxa"/>
            <w:gridSpan w:val="2"/>
          </w:tcPr>
          <w:p w14:paraId="59BEEE6A" w14:textId="77777777" w:rsidR="00D3344B" w:rsidRDefault="00143C25">
            <w:pPr>
              <w:spacing w:after="0" w:line="259" w:lineRule="auto"/>
              <w:ind w:right="55"/>
              <w:jc w:val="both"/>
              <w:rPr>
                <w:rFonts w:ascii="Arial" w:eastAsia="Times New Roman" w:hAnsi="Arial" w:cs="Arial"/>
                <w:b/>
              </w:rPr>
            </w:pPr>
            <w:r>
              <w:rPr>
                <w:rFonts w:ascii="Arial" w:hAnsi="Arial" w:cs="Arial"/>
                <w:b/>
                <w:bCs/>
              </w:rPr>
              <w:t xml:space="preserve">VI. </w:t>
            </w:r>
            <w:r>
              <w:rPr>
                <w:rFonts w:ascii="Arial" w:hAnsi="Arial" w:cs="Arial"/>
              </w:rPr>
              <w:t xml:space="preserve">Asentamiento de inscripciones que fueren necesarias sobre actos, contratos, convenios o autorizaciones por los que se fraccione, lotifique, </w:t>
            </w:r>
            <w:proofErr w:type="spellStart"/>
            <w:r>
              <w:rPr>
                <w:rFonts w:ascii="Arial" w:hAnsi="Arial" w:cs="Arial"/>
              </w:rPr>
              <w:t>relotifique</w:t>
            </w:r>
            <w:proofErr w:type="spellEnd"/>
            <w:r>
              <w:rPr>
                <w:rFonts w:ascii="Arial" w:hAnsi="Arial" w:cs="Arial"/>
              </w:rPr>
              <w:t xml:space="preserve"> o subdivida un predio, incluyendo los casos de conjuntos urbanos, se constituyan o no en régimen de condominio, de acuerdo con lo siguiente:</w:t>
            </w:r>
          </w:p>
        </w:tc>
      </w:tr>
      <w:tr w:rsidR="00D3344B" w14:paraId="3DA079B3" w14:textId="77777777">
        <w:trPr>
          <w:trHeight w:val="643"/>
        </w:trPr>
        <w:tc>
          <w:tcPr>
            <w:tcW w:w="6666" w:type="dxa"/>
          </w:tcPr>
          <w:p w14:paraId="38870131" w14:textId="77777777" w:rsidR="00D3344B" w:rsidRDefault="00143C25">
            <w:pPr>
              <w:spacing w:after="5" w:line="247" w:lineRule="auto"/>
              <w:ind w:right="510"/>
              <w:jc w:val="both"/>
              <w:rPr>
                <w:rFonts w:ascii="Arial" w:hAnsi="Arial" w:cs="Arial"/>
                <w:b/>
                <w:bCs/>
              </w:rPr>
            </w:pPr>
            <w:r>
              <w:rPr>
                <w:rFonts w:ascii="Arial" w:eastAsia="Times New Roman" w:hAnsi="Arial" w:cs="Arial"/>
                <w:b/>
              </w:rPr>
              <w:t xml:space="preserve">a) </w:t>
            </w:r>
            <w:r>
              <w:rPr>
                <w:rFonts w:ascii="Arial" w:hAnsi="Arial" w:cs="Arial"/>
              </w:rPr>
              <w:t>Lote o fracción que no exceda los cien metros cuadrados, por cada uno.</w:t>
            </w:r>
          </w:p>
        </w:tc>
        <w:tc>
          <w:tcPr>
            <w:tcW w:w="2646" w:type="dxa"/>
          </w:tcPr>
          <w:p w14:paraId="2E458F8A"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398BD704" w14:textId="77777777">
        <w:trPr>
          <w:trHeight w:val="708"/>
        </w:trPr>
        <w:tc>
          <w:tcPr>
            <w:tcW w:w="6666" w:type="dxa"/>
          </w:tcPr>
          <w:p w14:paraId="50699654" w14:textId="77777777" w:rsidR="00D3344B" w:rsidRDefault="00143C25">
            <w:pPr>
              <w:spacing w:after="5" w:line="247" w:lineRule="auto"/>
              <w:ind w:right="510"/>
              <w:jc w:val="both"/>
              <w:rPr>
                <w:rFonts w:ascii="Arial" w:eastAsia="Times New Roman" w:hAnsi="Arial" w:cs="Arial"/>
                <w:b/>
              </w:rPr>
            </w:pPr>
            <w:r>
              <w:rPr>
                <w:rFonts w:ascii="Arial" w:eastAsia="Times New Roman" w:hAnsi="Arial" w:cs="Arial"/>
                <w:b/>
              </w:rPr>
              <w:t xml:space="preserve">b) </w:t>
            </w:r>
            <w:r>
              <w:rPr>
                <w:rFonts w:ascii="Arial" w:hAnsi="Arial" w:cs="Arial"/>
              </w:rPr>
              <w:t>Lote o fracción que exceda los cien metros cuadrados, por cada uno.</w:t>
            </w:r>
          </w:p>
        </w:tc>
        <w:tc>
          <w:tcPr>
            <w:tcW w:w="2646" w:type="dxa"/>
          </w:tcPr>
          <w:p w14:paraId="7DB8E73C"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4 UMA</w:t>
            </w:r>
          </w:p>
        </w:tc>
      </w:tr>
      <w:tr w:rsidR="00D3344B" w14:paraId="25AC01D4" w14:textId="77777777">
        <w:trPr>
          <w:trHeight w:val="708"/>
        </w:trPr>
        <w:tc>
          <w:tcPr>
            <w:tcW w:w="6666" w:type="dxa"/>
          </w:tcPr>
          <w:p w14:paraId="44C495C9" w14:textId="77777777" w:rsidR="00D3344B" w:rsidRDefault="00143C25">
            <w:pPr>
              <w:spacing w:after="5" w:line="247" w:lineRule="auto"/>
              <w:ind w:right="510"/>
              <w:jc w:val="both"/>
              <w:rPr>
                <w:rFonts w:ascii="Arial" w:eastAsia="Times New Roman" w:hAnsi="Arial" w:cs="Arial"/>
                <w:b/>
              </w:rPr>
            </w:pPr>
            <w:r>
              <w:rPr>
                <w:rFonts w:ascii="Arial" w:eastAsia="Times New Roman" w:hAnsi="Arial" w:cs="Arial"/>
                <w:b/>
              </w:rPr>
              <w:t>c)</w:t>
            </w:r>
            <w:r>
              <w:rPr>
                <w:rFonts w:ascii="Arial" w:hAnsi="Arial" w:cs="Arial"/>
              </w:rPr>
              <w:t xml:space="preserve"> En caso de que exista régimen en condominio, corresponderá el pago de los derechos señalados en los incisos a) y b), por cada departamento, casa, despacho o local.</w:t>
            </w:r>
          </w:p>
        </w:tc>
        <w:tc>
          <w:tcPr>
            <w:tcW w:w="2646" w:type="dxa"/>
          </w:tcPr>
          <w:p w14:paraId="44B317FC" w14:textId="77777777" w:rsidR="00D3344B" w:rsidRDefault="00D3344B">
            <w:pPr>
              <w:spacing w:after="0" w:line="259" w:lineRule="auto"/>
              <w:ind w:right="55"/>
              <w:rPr>
                <w:rFonts w:ascii="Arial" w:eastAsia="Times New Roman" w:hAnsi="Arial" w:cs="Arial"/>
                <w:b/>
              </w:rPr>
            </w:pPr>
          </w:p>
        </w:tc>
      </w:tr>
      <w:tr w:rsidR="00D3344B" w14:paraId="69BEE715" w14:textId="77777777">
        <w:trPr>
          <w:trHeight w:val="708"/>
        </w:trPr>
        <w:tc>
          <w:tcPr>
            <w:tcW w:w="6666" w:type="dxa"/>
          </w:tcPr>
          <w:p w14:paraId="52CEEF57" w14:textId="77777777" w:rsidR="00D3344B" w:rsidRDefault="00143C25">
            <w:pPr>
              <w:spacing w:after="157" w:line="240" w:lineRule="auto"/>
              <w:rPr>
                <w:rFonts w:ascii="Arial" w:hAnsi="Arial" w:cs="Arial"/>
              </w:rPr>
            </w:pPr>
            <w:r>
              <w:rPr>
                <w:rFonts w:ascii="Arial" w:eastAsia="Times New Roman" w:hAnsi="Arial" w:cs="Arial"/>
                <w:b/>
              </w:rPr>
              <w:t xml:space="preserve">VII. </w:t>
            </w:r>
            <w:r>
              <w:rPr>
                <w:rFonts w:ascii="Arial" w:hAnsi="Arial" w:cs="Arial"/>
              </w:rPr>
              <w:t xml:space="preserve">Registro de anotación marginal por libertad </w:t>
            </w:r>
            <w:proofErr w:type="spellStart"/>
            <w:r>
              <w:rPr>
                <w:rFonts w:ascii="Arial" w:hAnsi="Arial" w:cs="Arial"/>
              </w:rPr>
              <w:t>caucional</w:t>
            </w:r>
            <w:proofErr w:type="spellEnd"/>
            <w:r>
              <w:rPr>
                <w:rFonts w:ascii="Arial" w:hAnsi="Arial" w:cs="Arial"/>
              </w:rPr>
              <w:t xml:space="preserve">, solicitada por autoridad competente, en la que se garantice el otorgamiento de fianza con bien inmueble; </w:t>
            </w:r>
          </w:p>
        </w:tc>
        <w:tc>
          <w:tcPr>
            <w:tcW w:w="2646" w:type="dxa"/>
          </w:tcPr>
          <w:p w14:paraId="67C0C7D3"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17144D61" w14:textId="77777777">
        <w:trPr>
          <w:trHeight w:val="708"/>
        </w:trPr>
        <w:tc>
          <w:tcPr>
            <w:tcW w:w="6666" w:type="dxa"/>
          </w:tcPr>
          <w:p w14:paraId="5BB3ED04" w14:textId="77777777" w:rsidR="00D3344B" w:rsidRDefault="00143C25">
            <w:pPr>
              <w:spacing w:after="157" w:line="240" w:lineRule="auto"/>
              <w:jc w:val="both"/>
              <w:rPr>
                <w:rFonts w:ascii="Arial" w:eastAsia="Times New Roman" w:hAnsi="Arial" w:cs="Arial"/>
                <w:b/>
              </w:rPr>
            </w:pPr>
            <w:r>
              <w:rPr>
                <w:rFonts w:ascii="Arial" w:eastAsia="Times New Roman" w:hAnsi="Arial" w:cs="Arial"/>
                <w:b/>
              </w:rPr>
              <w:t xml:space="preserve">VIII. </w:t>
            </w:r>
            <w:r>
              <w:rPr>
                <w:rFonts w:ascii="Arial" w:hAnsi="Arial" w:cs="Arial"/>
              </w:rPr>
              <w:t>Expedición de certificados de libertad de gravámenes en general o de alguno en particular, de certificados de propiedad o de no propiedad, búsqueda de testamentos, así como la rendición de informes respecto a la inscripción o no inscripción de los diversos títulos que conforme al Código Civil puedan ser sujetos a registro.</w:t>
            </w:r>
          </w:p>
        </w:tc>
        <w:tc>
          <w:tcPr>
            <w:tcW w:w="2646" w:type="dxa"/>
          </w:tcPr>
          <w:p w14:paraId="20988ADF"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 por cada certificado.</w:t>
            </w:r>
          </w:p>
        </w:tc>
      </w:tr>
      <w:tr w:rsidR="00D3344B" w14:paraId="564108EB" w14:textId="77777777">
        <w:trPr>
          <w:trHeight w:val="708"/>
        </w:trPr>
        <w:tc>
          <w:tcPr>
            <w:tcW w:w="6666" w:type="dxa"/>
          </w:tcPr>
          <w:p w14:paraId="00E936D8" w14:textId="77777777" w:rsidR="00D3344B" w:rsidRDefault="00143C25">
            <w:pPr>
              <w:spacing w:after="157" w:line="240" w:lineRule="auto"/>
              <w:jc w:val="both"/>
              <w:rPr>
                <w:rFonts w:ascii="Arial" w:eastAsia="Times New Roman" w:hAnsi="Arial" w:cs="Arial"/>
                <w:b/>
              </w:rPr>
            </w:pPr>
            <w:r>
              <w:rPr>
                <w:rFonts w:ascii="Arial" w:eastAsia="Times New Roman" w:hAnsi="Arial" w:cs="Arial"/>
                <w:b/>
              </w:rPr>
              <w:t xml:space="preserve">IX. </w:t>
            </w:r>
            <w:r>
              <w:rPr>
                <w:rFonts w:ascii="Arial" w:hAnsi="Arial" w:cs="Arial"/>
              </w:rPr>
              <w:t xml:space="preserve">Registro de donación de inmuebles o cesión de derechos que se hagan en favor de los descendientes del donante o cedente, cuyo valor no exceda del importe de </w:t>
            </w:r>
            <w:r>
              <w:rPr>
                <w:rFonts w:ascii="Arial" w:eastAsia="Times New Roman" w:hAnsi="Arial" w:cs="Arial"/>
                <w:b/>
              </w:rPr>
              <w:t>1500 UMA.</w:t>
            </w:r>
          </w:p>
        </w:tc>
        <w:tc>
          <w:tcPr>
            <w:tcW w:w="2646" w:type="dxa"/>
          </w:tcPr>
          <w:p w14:paraId="0DE99D37"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4F4EED2C" w14:textId="77777777">
        <w:trPr>
          <w:trHeight w:val="708"/>
        </w:trPr>
        <w:tc>
          <w:tcPr>
            <w:tcW w:w="6666" w:type="dxa"/>
          </w:tcPr>
          <w:p w14:paraId="17FFFEB8" w14:textId="77777777" w:rsidR="00D3344B" w:rsidRDefault="00143C25">
            <w:pPr>
              <w:spacing w:after="157" w:line="240" w:lineRule="auto"/>
              <w:jc w:val="both"/>
              <w:rPr>
                <w:rFonts w:ascii="Arial" w:eastAsia="Times New Roman" w:hAnsi="Arial" w:cs="Arial"/>
                <w:b/>
              </w:rPr>
            </w:pPr>
            <w:r>
              <w:rPr>
                <w:rFonts w:ascii="Arial" w:hAnsi="Arial" w:cs="Arial"/>
              </w:rPr>
              <w:t xml:space="preserve">Por cada </w:t>
            </w:r>
            <w:r>
              <w:rPr>
                <w:rFonts w:ascii="Arial" w:eastAsia="Times New Roman" w:hAnsi="Arial" w:cs="Arial"/>
                <w:b/>
              </w:rPr>
              <w:t xml:space="preserve">1500 UMA </w:t>
            </w:r>
            <w:r>
              <w:rPr>
                <w:rFonts w:ascii="Arial" w:hAnsi="Arial" w:cs="Arial"/>
              </w:rPr>
              <w:t xml:space="preserve">o fracción excedente.  </w:t>
            </w:r>
          </w:p>
        </w:tc>
        <w:tc>
          <w:tcPr>
            <w:tcW w:w="2646" w:type="dxa"/>
          </w:tcPr>
          <w:p w14:paraId="52DBA4D2"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75B9F54D" w14:textId="77777777">
        <w:trPr>
          <w:trHeight w:val="708"/>
        </w:trPr>
        <w:tc>
          <w:tcPr>
            <w:tcW w:w="6666" w:type="dxa"/>
          </w:tcPr>
          <w:p w14:paraId="21ED8581" w14:textId="77777777" w:rsidR="00D3344B" w:rsidRDefault="00143C25">
            <w:pPr>
              <w:spacing w:after="157" w:line="240" w:lineRule="auto"/>
              <w:jc w:val="both"/>
              <w:rPr>
                <w:rFonts w:ascii="Arial" w:hAnsi="Arial" w:cs="Arial"/>
                <w:b/>
                <w:bCs/>
              </w:rPr>
            </w:pPr>
            <w:r>
              <w:rPr>
                <w:rFonts w:ascii="Arial" w:hAnsi="Arial" w:cs="Arial"/>
                <w:b/>
                <w:bCs/>
              </w:rPr>
              <w:t xml:space="preserve">X. </w:t>
            </w:r>
            <w:r>
              <w:rPr>
                <w:rFonts w:ascii="Arial" w:hAnsi="Arial" w:cs="Arial"/>
              </w:rPr>
              <w:t>Registro conjunto de terreno y erección de casa habitación.</w:t>
            </w:r>
          </w:p>
        </w:tc>
        <w:tc>
          <w:tcPr>
            <w:tcW w:w="2646" w:type="dxa"/>
          </w:tcPr>
          <w:p w14:paraId="30277B82"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1248BFF0" w14:textId="77777777">
        <w:trPr>
          <w:trHeight w:val="708"/>
        </w:trPr>
        <w:tc>
          <w:tcPr>
            <w:tcW w:w="6666" w:type="dxa"/>
          </w:tcPr>
          <w:p w14:paraId="7A048B52" w14:textId="77777777" w:rsidR="00D3344B" w:rsidRDefault="00143C25">
            <w:pPr>
              <w:spacing w:after="157" w:line="240" w:lineRule="auto"/>
              <w:jc w:val="both"/>
              <w:rPr>
                <w:rFonts w:ascii="Arial" w:hAnsi="Arial" w:cs="Arial"/>
                <w:b/>
                <w:bCs/>
              </w:rPr>
            </w:pPr>
            <w:r>
              <w:rPr>
                <w:rFonts w:ascii="Arial" w:hAnsi="Arial" w:cs="Arial"/>
                <w:b/>
                <w:bCs/>
              </w:rPr>
              <w:t xml:space="preserve">XI. </w:t>
            </w:r>
            <w:r>
              <w:rPr>
                <w:rFonts w:ascii="Arial" w:hAnsi="Arial" w:cs="Arial"/>
              </w:rPr>
              <w:t>Inscripción de testimonios que contengan únicamente disolución de copropiedad.</w:t>
            </w:r>
          </w:p>
        </w:tc>
        <w:tc>
          <w:tcPr>
            <w:tcW w:w="2646" w:type="dxa"/>
          </w:tcPr>
          <w:p w14:paraId="1B61CED7"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4A15870D" w14:textId="77777777">
        <w:trPr>
          <w:trHeight w:val="708"/>
        </w:trPr>
        <w:tc>
          <w:tcPr>
            <w:tcW w:w="6666" w:type="dxa"/>
          </w:tcPr>
          <w:p w14:paraId="0BF805A6" w14:textId="77777777" w:rsidR="00D3344B" w:rsidRDefault="00143C25">
            <w:pPr>
              <w:spacing w:after="157" w:line="240" w:lineRule="auto"/>
              <w:jc w:val="both"/>
              <w:rPr>
                <w:rFonts w:ascii="Arial" w:hAnsi="Arial" w:cs="Arial"/>
                <w:b/>
                <w:bCs/>
              </w:rPr>
            </w:pPr>
            <w:r>
              <w:rPr>
                <w:rFonts w:ascii="Arial" w:hAnsi="Arial" w:cs="Arial"/>
                <w:b/>
                <w:bCs/>
              </w:rPr>
              <w:t xml:space="preserve">XII. </w:t>
            </w:r>
            <w:r>
              <w:rPr>
                <w:rFonts w:ascii="Arial" w:hAnsi="Arial" w:cs="Arial"/>
              </w:rPr>
              <w:t>Inscripción de instrumentos que contengan presentación de inventarios.</w:t>
            </w:r>
          </w:p>
        </w:tc>
        <w:tc>
          <w:tcPr>
            <w:tcW w:w="2646" w:type="dxa"/>
          </w:tcPr>
          <w:p w14:paraId="44FD7244"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4CD77C66" w14:textId="77777777">
        <w:trPr>
          <w:trHeight w:val="708"/>
        </w:trPr>
        <w:tc>
          <w:tcPr>
            <w:tcW w:w="6666" w:type="dxa"/>
          </w:tcPr>
          <w:p w14:paraId="36EACA3A" w14:textId="77777777" w:rsidR="00D3344B" w:rsidRDefault="00143C25">
            <w:pPr>
              <w:spacing w:after="157" w:line="240" w:lineRule="auto"/>
              <w:jc w:val="both"/>
              <w:rPr>
                <w:rFonts w:ascii="Arial" w:hAnsi="Arial" w:cs="Arial"/>
                <w:b/>
                <w:bCs/>
              </w:rPr>
            </w:pPr>
            <w:r>
              <w:rPr>
                <w:rFonts w:ascii="Arial" w:hAnsi="Arial" w:cs="Arial"/>
                <w:b/>
                <w:bCs/>
              </w:rPr>
              <w:t xml:space="preserve">XIII. </w:t>
            </w:r>
            <w:r>
              <w:rPr>
                <w:rFonts w:ascii="Arial" w:hAnsi="Arial" w:cs="Arial"/>
              </w:rPr>
              <w:t xml:space="preserve">Registro de escrituras de créditos y constitución de hipotecas </w:t>
            </w:r>
            <w:proofErr w:type="gramStart"/>
            <w:r>
              <w:rPr>
                <w:rFonts w:ascii="Arial" w:hAnsi="Arial" w:cs="Arial"/>
              </w:rPr>
              <w:t>entre  particulares</w:t>
            </w:r>
            <w:proofErr w:type="gramEnd"/>
            <w:r>
              <w:rPr>
                <w:rFonts w:ascii="Arial" w:hAnsi="Arial" w:cs="Arial"/>
              </w:rPr>
              <w:t>.</w:t>
            </w:r>
          </w:p>
        </w:tc>
        <w:tc>
          <w:tcPr>
            <w:tcW w:w="2646" w:type="dxa"/>
          </w:tcPr>
          <w:p w14:paraId="685CD801"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67D8BFF9" w14:textId="77777777">
        <w:trPr>
          <w:trHeight w:val="708"/>
        </w:trPr>
        <w:tc>
          <w:tcPr>
            <w:tcW w:w="6666" w:type="dxa"/>
          </w:tcPr>
          <w:p w14:paraId="01CC2D53" w14:textId="77777777" w:rsidR="00D3344B" w:rsidRDefault="00143C25">
            <w:pPr>
              <w:spacing w:after="157" w:line="240" w:lineRule="auto"/>
              <w:jc w:val="both"/>
              <w:rPr>
                <w:rFonts w:ascii="Arial" w:hAnsi="Arial" w:cs="Arial"/>
                <w:b/>
                <w:bCs/>
              </w:rPr>
            </w:pPr>
            <w:r>
              <w:rPr>
                <w:rFonts w:ascii="Arial" w:hAnsi="Arial" w:cs="Arial"/>
                <w:b/>
                <w:bCs/>
              </w:rPr>
              <w:t xml:space="preserve">XIV. </w:t>
            </w:r>
            <w:r>
              <w:rPr>
                <w:rFonts w:ascii="Arial" w:eastAsia="Times New Roman" w:hAnsi="Arial" w:cs="Arial"/>
                <w:bCs/>
              </w:rPr>
              <w:t>Reconocimiento de adeudo entre particulares.</w:t>
            </w:r>
          </w:p>
        </w:tc>
        <w:tc>
          <w:tcPr>
            <w:tcW w:w="2646" w:type="dxa"/>
          </w:tcPr>
          <w:p w14:paraId="10F37B95"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1C031B3B" w14:textId="77777777">
        <w:trPr>
          <w:trHeight w:val="708"/>
        </w:trPr>
        <w:tc>
          <w:tcPr>
            <w:tcW w:w="6666" w:type="dxa"/>
          </w:tcPr>
          <w:p w14:paraId="014990D2" w14:textId="77777777" w:rsidR="00D3344B" w:rsidRDefault="00143C25">
            <w:pPr>
              <w:spacing w:after="0" w:line="235" w:lineRule="auto"/>
              <w:ind w:right="505"/>
              <w:jc w:val="both"/>
              <w:rPr>
                <w:rFonts w:ascii="Arial" w:eastAsia="Times New Roman" w:hAnsi="Arial" w:cs="Arial"/>
                <w:bCs/>
              </w:rPr>
            </w:pPr>
            <w:r>
              <w:rPr>
                <w:rFonts w:ascii="Arial" w:hAnsi="Arial" w:cs="Arial"/>
                <w:b/>
                <w:bCs/>
              </w:rPr>
              <w:lastRenderedPageBreak/>
              <w:t xml:space="preserve">XV. </w:t>
            </w:r>
            <w:r>
              <w:rPr>
                <w:rFonts w:ascii="Arial" w:eastAsia="Times New Roman" w:hAnsi="Arial" w:cs="Arial"/>
                <w:bCs/>
              </w:rPr>
              <w:t xml:space="preserve">Inscripción de créditos hipotecarios, refaccionarios y de habilitación o avío, prendario o cualquier otro tipo de crédito, otorgados por instituciones de crédito o sus auxiliares, de seguros o de fianzas u otros organismos e instituciones y contratos de reconocimiento de adeudo, así como ampliación, adición de garantías y/o sustitución de deudor. </w:t>
            </w:r>
          </w:p>
          <w:p w14:paraId="7E458833" w14:textId="77777777" w:rsidR="00D3344B" w:rsidRDefault="00D3344B">
            <w:pPr>
              <w:spacing w:after="0" w:line="235" w:lineRule="auto"/>
              <w:ind w:right="505"/>
              <w:rPr>
                <w:rFonts w:ascii="Arial" w:eastAsia="Times New Roman" w:hAnsi="Arial" w:cs="Arial"/>
                <w:bCs/>
              </w:rPr>
            </w:pPr>
          </w:p>
          <w:p w14:paraId="4C870A68" w14:textId="77777777" w:rsidR="00D3344B" w:rsidRDefault="00143C25">
            <w:pPr>
              <w:spacing w:after="0" w:line="235" w:lineRule="auto"/>
              <w:ind w:right="505"/>
              <w:jc w:val="both"/>
              <w:rPr>
                <w:rFonts w:ascii="Arial" w:hAnsi="Arial" w:cs="Arial"/>
                <w:bCs/>
              </w:rPr>
            </w:pPr>
            <w:r>
              <w:rPr>
                <w:rFonts w:ascii="Arial" w:eastAsia="Times New Roman" w:hAnsi="Arial" w:cs="Arial"/>
                <w:bCs/>
              </w:rPr>
              <w:t xml:space="preserve">Sólo se pagarán la mitad de estos derechos, tratándose de créditos hipotecarios destinados a la adquisición, construcción, reparación o ampliación de bienes inmuebles destinados a casa habitación; y, tratándose de testimonios que contengan actos jurídicos y en cuya garantía se den bienes inmuebles. </w:t>
            </w:r>
          </w:p>
          <w:p w14:paraId="73A72327" w14:textId="77777777" w:rsidR="00D3344B" w:rsidRDefault="00143C25">
            <w:pPr>
              <w:spacing w:after="0" w:line="259" w:lineRule="auto"/>
              <w:rPr>
                <w:rFonts w:ascii="Arial" w:hAnsi="Arial" w:cs="Arial"/>
                <w:bCs/>
              </w:rPr>
            </w:pPr>
            <w:r>
              <w:rPr>
                <w:rFonts w:ascii="Arial" w:eastAsia="Times New Roman" w:hAnsi="Arial" w:cs="Arial"/>
                <w:bCs/>
              </w:rPr>
              <w:t xml:space="preserve"> </w:t>
            </w:r>
          </w:p>
          <w:p w14:paraId="6DFC742B" w14:textId="77777777" w:rsidR="00D3344B" w:rsidRDefault="00143C25">
            <w:pPr>
              <w:spacing w:after="157" w:line="240" w:lineRule="auto"/>
              <w:jc w:val="both"/>
              <w:rPr>
                <w:rFonts w:ascii="Arial" w:hAnsi="Arial" w:cs="Arial"/>
                <w:b/>
                <w:bCs/>
              </w:rPr>
            </w:pPr>
            <w:r>
              <w:rPr>
                <w:rFonts w:ascii="Arial" w:eastAsia="Times New Roman" w:hAnsi="Arial" w:cs="Arial"/>
                <w:bCs/>
              </w:rPr>
              <w:t>La subrogación de créditos hipotecarios, en los supuestos previstos en los artículos 1572, 1572 Bis y 2560 párrafo tercero, todos del Código Civil para el Estado Libre y Soberano de Tlaxcala, estará exenta de pago de derechos.</w:t>
            </w:r>
          </w:p>
        </w:tc>
        <w:tc>
          <w:tcPr>
            <w:tcW w:w="2646" w:type="dxa"/>
          </w:tcPr>
          <w:p w14:paraId="09019022"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7B3AFEB6" w14:textId="77777777">
        <w:trPr>
          <w:trHeight w:val="708"/>
        </w:trPr>
        <w:tc>
          <w:tcPr>
            <w:tcW w:w="6666" w:type="dxa"/>
          </w:tcPr>
          <w:p w14:paraId="3E3866B9" w14:textId="77777777" w:rsidR="00D3344B" w:rsidRDefault="00143C25">
            <w:pPr>
              <w:spacing w:after="0" w:line="235" w:lineRule="auto"/>
              <w:ind w:right="505"/>
              <w:jc w:val="both"/>
              <w:rPr>
                <w:rFonts w:ascii="Arial" w:hAnsi="Arial" w:cs="Arial"/>
                <w:i/>
                <w:iCs/>
                <w:sz w:val="16"/>
                <w:szCs w:val="16"/>
              </w:rPr>
            </w:pPr>
            <w:r>
              <w:rPr>
                <w:rFonts w:ascii="Arial" w:hAnsi="Arial" w:cs="Arial"/>
                <w:i/>
                <w:iCs/>
                <w:sz w:val="16"/>
                <w:szCs w:val="16"/>
              </w:rPr>
              <w:t>(REFORMADA, P.O. 22 DE DICIEMBRE DE 2021)</w:t>
            </w:r>
          </w:p>
          <w:p w14:paraId="14C99B34" w14:textId="77777777" w:rsidR="00D3344B" w:rsidRDefault="00143C25">
            <w:pPr>
              <w:spacing w:after="0" w:line="235" w:lineRule="auto"/>
              <w:ind w:right="505"/>
              <w:jc w:val="both"/>
              <w:rPr>
                <w:rFonts w:ascii="Arial" w:eastAsia="Times New Roman" w:hAnsi="Arial" w:cs="Arial"/>
                <w:bCs/>
              </w:rPr>
            </w:pPr>
            <w:r>
              <w:rPr>
                <w:rFonts w:ascii="Arial" w:hAnsi="Arial" w:cs="Arial"/>
                <w:b/>
                <w:bCs/>
              </w:rPr>
              <w:t xml:space="preserve">XVI. </w:t>
            </w:r>
            <w:r>
              <w:rPr>
                <w:rFonts w:ascii="Arial" w:eastAsia="Times New Roman" w:hAnsi="Arial" w:cs="Arial"/>
                <w:bCs/>
              </w:rPr>
              <w:t>Registro de embargos, secuestros administrativos, contratos de fianzas y cédulas hipotecarias, 10 UMA</w:t>
            </w:r>
          </w:p>
          <w:p w14:paraId="1553E51F" w14:textId="77777777" w:rsidR="00D3344B" w:rsidRDefault="00143C25">
            <w:pPr>
              <w:spacing w:after="0" w:line="235" w:lineRule="auto"/>
              <w:ind w:right="505"/>
              <w:jc w:val="both"/>
              <w:rPr>
                <w:rFonts w:ascii="Arial" w:eastAsia="Times New Roman" w:hAnsi="Arial" w:cs="Arial"/>
                <w:bCs/>
              </w:rPr>
            </w:pPr>
            <w:r>
              <w:rPr>
                <w:rFonts w:ascii="Arial" w:eastAsia="Times New Roman" w:hAnsi="Arial" w:cs="Arial"/>
                <w:bCs/>
              </w:rPr>
              <w:t>por el primer bien inmueble gravado, más 5 UMA por cada bien adicional</w:t>
            </w:r>
          </w:p>
          <w:p w14:paraId="4E8997D3" w14:textId="77777777" w:rsidR="00D3344B" w:rsidRDefault="00D3344B">
            <w:pPr>
              <w:spacing w:after="0" w:line="235" w:lineRule="auto"/>
              <w:ind w:right="505"/>
              <w:jc w:val="both"/>
              <w:rPr>
                <w:rFonts w:ascii="Arial" w:hAnsi="Arial" w:cs="Arial"/>
                <w:b/>
                <w:bCs/>
              </w:rPr>
            </w:pPr>
          </w:p>
        </w:tc>
        <w:tc>
          <w:tcPr>
            <w:tcW w:w="2646" w:type="dxa"/>
          </w:tcPr>
          <w:p w14:paraId="0F925106" w14:textId="77777777" w:rsidR="00D3344B" w:rsidRDefault="00D3344B">
            <w:pPr>
              <w:spacing w:after="0" w:line="259" w:lineRule="auto"/>
              <w:ind w:right="55"/>
              <w:rPr>
                <w:rFonts w:ascii="Arial" w:eastAsia="Times New Roman" w:hAnsi="Arial" w:cs="Arial"/>
                <w:b/>
              </w:rPr>
            </w:pPr>
          </w:p>
        </w:tc>
      </w:tr>
      <w:tr w:rsidR="00D3344B" w14:paraId="5A666763" w14:textId="77777777">
        <w:trPr>
          <w:trHeight w:val="1255"/>
        </w:trPr>
        <w:tc>
          <w:tcPr>
            <w:tcW w:w="6666" w:type="dxa"/>
          </w:tcPr>
          <w:p w14:paraId="214A7A6A" w14:textId="77777777" w:rsidR="00D3344B" w:rsidRDefault="00143C25">
            <w:pPr>
              <w:spacing w:after="0" w:line="235" w:lineRule="auto"/>
              <w:ind w:right="505"/>
              <w:jc w:val="both"/>
              <w:rPr>
                <w:rFonts w:ascii="Arial" w:hAnsi="Arial" w:cs="Arial"/>
                <w:b/>
                <w:bCs/>
              </w:rPr>
            </w:pPr>
            <w:r>
              <w:rPr>
                <w:rFonts w:ascii="Arial" w:hAnsi="Arial" w:cs="Arial"/>
                <w:b/>
                <w:bCs/>
              </w:rPr>
              <w:t xml:space="preserve">XVII. </w:t>
            </w:r>
            <w:r>
              <w:rPr>
                <w:rFonts w:ascii="Arial" w:eastAsia="Times New Roman" w:hAnsi="Arial" w:cs="Arial"/>
                <w:bCs/>
              </w:rPr>
              <w:t>Cancelación de cualesquiera de los gravámenes señalados en las tres fracciones anteriores respecto de la totalidad o parte de los bienes afectados o por la cancelación de prenda.</w:t>
            </w:r>
          </w:p>
        </w:tc>
        <w:tc>
          <w:tcPr>
            <w:tcW w:w="2646" w:type="dxa"/>
          </w:tcPr>
          <w:p w14:paraId="4146F65F"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 por cada bien inmueble desgravado</w:t>
            </w:r>
          </w:p>
        </w:tc>
      </w:tr>
      <w:tr w:rsidR="00D3344B" w14:paraId="4DBB6D62" w14:textId="77777777">
        <w:trPr>
          <w:trHeight w:val="708"/>
        </w:trPr>
        <w:tc>
          <w:tcPr>
            <w:tcW w:w="6666" w:type="dxa"/>
          </w:tcPr>
          <w:p w14:paraId="259928BE" w14:textId="77777777" w:rsidR="00D3344B" w:rsidRDefault="00143C25">
            <w:pPr>
              <w:pStyle w:val="Estilo"/>
              <w:rPr>
                <w:rFonts w:cs="Arial"/>
                <w:i/>
                <w:iCs/>
                <w:sz w:val="16"/>
                <w:szCs w:val="16"/>
              </w:rPr>
            </w:pPr>
            <w:r>
              <w:rPr>
                <w:rFonts w:cs="Arial"/>
                <w:i/>
                <w:iCs/>
                <w:sz w:val="16"/>
                <w:szCs w:val="16"/>
              </w:rPr>
              <w:t>(ADICIONADA, P.O. 29 DE NOVIEMBRE DE 2023)</w:t>
            </w:r>
          </w:p>
          <w:p w14:paraId="7FBCCA73" w14:textId="77777777" w:rsidR="00D3344B" w:rsidRDefault="00143C25">
            <w:pPr>
              <w:spacing w:after="0" w:line="235" w:lineRule="auto"/>
              <w:ind w:right="505"/>
              <w:jc w:val="both"/>
              <w:rPr>
                <w:rFonts w:ascii="Arial" w:hAnsi="Arial" w:cs="Arial"/>
                <w:b/>
                <w:bCs/>
              </w:rPr>
            </w:pPr>
            <w:r>
              <w:rPr>
                <w:rFonts w:ascii="Arial" w:hAnsi="Arial" w:cs="Arial"/>
                <w:b/>
                <w:bCs/>
              </w:rPr>
              <w:t>XVII</w:t>
            </w:r>
            <w:r>
              <w:rPr>
                <w:rFonts w:ascii="Arial" w:hAnsi="Arial" w:cs="Arial"/>
                <w:b/>
                <w:bCs/>
              </w:rPr>
              <w:tab/>
              <w:t xml:space="preserve">Bis. </w:t>
            </w:r>
            <w:r>
              <w:rPr>
                <w:rFonts w:ascii="Arial" w:hAnsi="Arial" w:cs="Arial"/>
              </w:rPr>
              <w:t>Cuando se trate de la Cancelación Administrativa de un embargo</w:t>
            </w:r>
          </w:p>
        </w:tc>
        <w:tc>
          <w:tcPr>
            <w:tcW w:w="2646" w:type="dxa"/>
          </w:tcPr>
          <w:p w14:paraId="08AF9E48" w14:textId="77777777" w:rsidR="00D3344B" w:rsidRDefault="00D3344B">
            <w:pPr>
              <w:spacing w:after="0" w:line="259" w:lineRule="auto"/>
              <w:ind w:right="55"/>
              <w:rPr>
                <w:rFonts w:ascii="Arial" w:eastAsia="Times New Roman" w:hAnsi="Arial" w:cs="Arial"/>
                <w:b/>
              </w:rPr>
            </w:pPr>
          </w:p>
          <w:p w14:paraId="5457F76A" w14:textId="77777777" w:rsidR="00D3344B" w:rsidRDefault="00143C25">
            <w:pPr>
              <w:spacing w:after="0" w:line="259" w:lineRule="auto"/>
              <w:ind w:right="55"/>
              <w:rPr>
                <w:rFonts w:ascii="Arial" w:eastAsia="Times New Roman" w:hAnsi="Arial" w:cs="Arial"/>
                <w:b/>
              </w:rPr>
            </w:pPr>
            <w:r>
              <w:t xml:space="preserve">10 </w:t>
            </w:r>
            <w:r>
              <w:rPr>
                <w:spacing w:val="-5"/>
              </w:rPr>
              <w:t>UMA</w:t>
            </w:r>
          </w:p>
        </w:tc>
      </w:tr>
      <w:tr w:rsidR="00D3344B" w14:paraId="23C96D5F" w14:textId="77777777">
        <w:trPr>
          <w:trHeight w:val="708"/>
        </w:trPr>
        <w:tc>
          <w:tcPr>
            <w:tcW w:w="6666" w:type="dxa"/>
          </w:tcPr>
          <w:p w14:paraId="2A601435" w14:textId="77777777" w:rsidR="00D3344B" w:rsidRDefault="00143C25">
            <w:pPr>
              <w:spacing w:after="0" w:line="235" w:lineRule="auto"/>
              <w:ind w:right="505"/>
              <w:jc w:val="both"/>
              <w:rPr>
                <w:rFonts w:ascii="Arial" w:hAnsi="Arial" w:cs="Arial"/>
                <w:b/>
                <w:bCs/>
              </w:rPr>
            </w:pPr>
            <w:r>
              <w:rPr>
                <w:rFonts w:ascii="Arial" w:hAnsi="Arial" w:cs="Arial"/>
                <w:b/>
                <w:bCs/>
              </w:rPr>
              <w:t xml:space="preserve">XVIII. </w:t>
            </w:r>
            <w:r>
              <w:rPr>
                <w:rFonts w:ascii="Arial" w:eastAsia="Times New Roman" w:hAnsi="Arial" w:cs="Arial"/>
                <w:bCs/>
              </w:rPr>
              <w:t>Registro de contratos de arrendamiento financiero.</w:t>
            </w:r>
          </w:p>
        </w:tc>
        <w:tc>
          <w:tcPr>
            <w:tcW w:w="2646" w:type="dxa"/>
          </w:tcPr>
          <w:p w14:paraId="42F3F34B"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0F8F2B66" w14:textId="77777777">
        <w:trPr>
          <w:trHeight w:val="708"/>
        </w:trPr>
        <w:tc>
          <w:tcPr>
            <w:tcW w:w="6666" w:type="dxa"/>
          </w:tcPr>
          <w:p w14:paraId="0175A949" w14:textId="77777777" w:rsidR="00D3344B" w:rsidRDefault="00143C25">
            <w:pPr>
              <w:spacing w:after="0" w:line="235" w:lineRule="auto"/>
              <w:ind w:right="505"/>
              <w:jc w:val="both"/>
              <w:rPr>
                <w:rFonts w:ascii="Arial" w:hAnsi="Arial" w:cs="Arial"/>
                <w:b/>
                <w:bCs/>
              </w:rPr>
            </w:pPr>
            <w:r>
              <w:rPr>
                <w:rFonts w:ascii="Arial" w:hAnsi="Arial" w:cs="Arial"/>
                <w:b/>
                <w:bCs/>
              </w:rPr>
              <w:t xml:space="preserve">XIX. </w:t>
            </w:r>
            <w:r>
              <w:rPr>
                <w:rFonts w:ascii="Arial" w:eastAsia="Times New Roman" w:hAnsi="Arial" w:cs="Arial"/>
                <w:bCs/>
              </w:rPr>
              <w:t>Registro de contratos de arrendamiento de bienes inmuebles.</w:t>
            </w:r>
          </w:p>
        </w:tc>
        <w:tc>
          <w:tcPr>
            <w:tcW w:w="2646" w:type="dxa"/>
          </w:tcPr>
          <w:p w14:paraId="19EC0BD8"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641EB61F" w14:textId="77777777">
        <w:trPr>
          <w:trHeight w:val="708"/>
        </w:trPr>
        <w:tc>
          <w:tcPr>
            <w:tcW w:w="6666" w:type="dxa"/>
          </w:tcPr>
          <w:p w14:paraId="0280A370" w14:textId="77777777" w:rsidR="00D3344B" w:rsidRDefault="00143C25">
            <w:pPr>
              <w:spacing w:after="0" w:line="235" w:lineRule="auto"/>
              <w:ind w:right="505"/>
              <w:jc w:val="both"/>
              <w:rPr>
                <w:rFonts w:ascii="Arial" w:hAnsi="Arial" w:cs="Arial"/>
                <w:b/>
                <w:bCs/>
              </w:rPr>
            </w:pPr>
            <w:r>
              <w:rPr>
                <w:rFonts w:ascii="Arial" w:hAnsi="Arial" w:cs="Arial"/>
                <w:b/>
                <w:bCs/>
              </w:rPr>
              <w:t xml:space="preserve">XX. </w:t>
            </w:r>
            <w:r>
              <w:rPr>
                <w:rFonts w:ascii="Arial" w:eastAsia="Times New Roman" w:hAnsi="Arial" w:cs="Arial"/>
                <w:bCs/>
              </w:rPr>
              <w:t>Registro de testamentos públicos o privados, ya sean abiertos o cerrados.</w:t>
            </w:r>
          </w:p>
        </w:tc>
        <w:tc>
          <w:tcPr>
            <w:tcW w:w="2646" w:type="dxa"/>
          </w:tcPr>
          <w:p w14:paraId="1C0AC470"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73AAD0E8" w14:textId="77777777">
        <w:trPr>
          <w:trHeight w:val="708"/>
        </w:trPr>
        <w:tc>
          <w:tcPr>
            <w:tcW w:w="6666" w:type="dxa"/>
          </w:tcPr>
          <w:p w14:paraId="093DA9A8" w14:textId="77777777" w:rsidR="00D3344B" w:rsidRDefault="00143C25">
            <w:pPr>
              <w:spacing w:after="0" w:line="235" w:lineRule="auto"/>
              <w:ind w:right="505"/>
              <w:jc w:val="both"/>
              <w:rPr>
                <w:rFonts w:ascii="Arial" w:hAnsi="Arial" w:cs="Arial"/>
                <w:b/>
                <w:bCs/>
              </w:rPr>
            </w:pPr>
            <w:r>
              <w:rPr>
                <w:rFonts w:ascii="Arial" w:hAnsi="Arial" w:cs="Arial"/>
                <w:b/>
                <w:bCs/>
              </w:rPr>
              <w:t xml:space="preserve">XXI. </w:t>
            </w:r>
            <w:r>
              <w:rPr>
                <w:rFonts w:ascii="Arial" w:eastAsia="Times New Roman" w:hAnsi="Arial" w:cs="Arial"/>
                <w:bCs/>
              </w:rPr>
              <w:t>Registro de resoluciones judiciales y anotaciones marginales solicitadas por el juez, así como avisos preventivos solicitados por los notarios públicos.</w:t>
            </w:r>
          </w:p>
        </w:tc>
        <w:tc>
          <w:tcPr>
            <w:tcW w:w="2646" w:type="dxa"/>
          </w:tcPr>
          <w:p w14:paraId="1DA23A7F"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6EB07067" w14:textId="77777777">
        <w:trPr>
          <w:trHeight w:val="708"/>
        </w:trPr>
        <w:tc>
          <w:tcPr>
            <w:tcW w:w="6666" w:type="dxa"/>
          </w:tcPr>
          <w:p w14:paraId="7B1D4C03" w14:textId="77777777" w:rsidR="00D3344B" w:rsidRDefault="00143C25">
            <w:pPr>
              <w:spacing w:after="0" w:line="235" w:lineRule="auto"/>
              <w:ind w:right="505"/>
              <w:jc w:val="both"/>
              <w:rPr>
                <w:rFonts w:ascii="Arial" w:hAnsi="Arial" w:cs="Arial"/>
                <w:b/>
                <w:bCs/>
              </w:rPr>
            </w:pPr>
            <w:r>
              <w:rPr>
                <w:rFonts w:ascii="Arial" w:hAnsi="Arial" w:cs="Arial"/>
                <w:b/>
                <w:bCs/>
              </w:rPr>
              <w:t xml:space="preserve">XXII. </w:t>
            </w:r>
            <w:r>
              <w:rPr>
                <w:rFonts w:ascii="Arial" w:eastAsia="Times New Roman" w:hAnsi="Arial" w:cs="Arial"/>
                <w:bCs/>
              </w:rPr>
              <w:t>Inscripción de escrituras de constitución de fideicomisos; constitución de sociedades mercantiles, cesión, donación, venta de derechos o acciones.</w:t>
            </w:r>
          </w:p>
        </w:tc>
        <w:tc>
          <w:tcPr>
            <w:tcW w:w="2646" w:type="dxa"/>
          </w:tcPr>
          <w:p w14:paraId="2DFA197C"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6546720E" w14:textId="77777777">
        <w:trPr>
          <w:trHeight w:val="708"/>
        </w:trPr>
        <w:tc>
          <w:tcPr>
            <w:tcW w:w="6666" w:type="dxa"/>
          </w:tcPr>
          <w:p w14:paraId="01D50EC4" w14:textId="77777777" w:rsidR="00D3344B" w:rsidRDefault="00143C25">
            <w:pPr>
              <w:spacing w:after="0" w:line="235" w:lineRule="auto"/>
              <w:ind w:right="505"/>
              <w:jc w:val="both"/>
              <w:rPr>
                <w:rFonts w:ascii="Arial" w:hAnsi="Arial" w:cs="Arial"/>
                <w:b/>
                <w:bCs/>
              </w:rPr>
            </w:pPr>
            <w:r>
              <w:rPr>
                <w:rFonts w:ascii="Arial" w:hAnsi="Arial" w:cs="Arial"/>
                <w:b/>
                <w:bCs/>
              </w:rPr>
              <w:t xml:space="preserve">XXIII. </w:t>
            </w:r>
            <w:r>
              <w:rPr>
                <w:rFonts w:ascii="Arial" w:eastAsia="Times New Roman" w:hAnsi="Arial" w:cs="Arial"/>
                <w:bCs/>
              </w:rPr>
              <w:t>La inscripción por ampliación de capitales sociales o fideicomitidos.</w:t>
            </w:r>
          </w:p>
        </w:tc>
        <w:tc>
          <w:tcPr>
            <w:tcW w:w="2646" w:type="dxa"/>
          </w:tcPr>
          <w:p w14:paraId="65A425AE"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19C6DC6E" w14:textId="77777777">
        <w:trPr>
          <w:trHeight w:val="708"/>
        </w:trPr>
        <w:tc>
          <w:tcPr>
            <w:tcW w:w="6666" w:type="dxa"/>
          </w:tcPr>
          <w:p w14:paraId="5A927EDE" w14:textId="77777777" w:rsidR="00D3344B" w:rsidRDefault="00143C25">
            <w:pPr>
              <w:spacing w:after="0" w:line="235" w:lineRule="auto"/>
              <w:ind w:right="505"/>
              <w:jc w:val="both"/>
              <w:rPr>
                <w:rFonts w:ascii="Arial" w:hAnsi="Arial" w:cs="Arial"/>
                <w:b/>
                <w:bCs/>
              </w:rPr>
            </w:pPr>
            <w:r>
              <w:rPr>
                <w:rFonts w:ascii="Arial" w:hAnsi="Arial" w:cs="Arial"/>
                <w:b/>
                <w:bCs/>
              </w:rPr>
              <w:t xml:space="preserve">XXIV. </w:t>
            </w:r>
            <w:r>
              <w:rPr>
                <w:rFonts w:ascii="Arial" w:eastAsia="Times New Roman" w:hAnsi="Arial" w:cs="Arial"/>
                <w:bCs/>
              </w:rPr>
              <w:t xml:space="preserve">Inscripción de testimonios que contengan disminución de capital, prórroga, cambios de razón social, cambio de domicilio, disolución o liquidación de sociedades mercantiles o civiles; </w:t>
            </w:r>
            <w:r>
              <w:rPr>
                <w:rFonts w:ascii="Arial" w:eastAsia="Times New Roman" w:hAnsi="Arial" w:cs="Arial"/>
                <w:bCs/>
              </w:rPr>
              <w:lastRenderedPageBreak/>
              <w:t>aumento de capital derivado de la fusión de sociedades, por el cual fueron pagados con anterioridad derechos de registro en otra entidad Federativa.</w:t>
            </w:r>
          </w:p>
        </w:tc>
        <w:tc>
          <w:tcPr>
            <w:tcW w:w="2646" w:type="dxa"/>
          </w:tcPr>
          <w:p w14:paraId="4119E72F"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lastRenderedPageBreak/>
              <w:t>2 UMA</w:t>
            </w:r>
          </w:p>
        </w:tc>
      </w:tr>
      <w:tr w:rsidR="00D3344B" w14:paraId="26246D09" w14:textId="77777777">
        <w:trPr>
          <w:trHeight w:val="708"/>
        </w:trPr>
        <w:tc>
          <w:tcPr>
            <w:tcW w:w="6666" w:type="dxa"/>
          </w:tcPr>
          <w:p w14:paraId="7D032014" w14:textId="77777777" w:rsidR="00D3344B" w:rsidRDefault="00143C25">
            <w:pPr>
              <w:spacing w:after="0" w:line="235" w:lineRule="auto"/>
              <w:ind w:right="505"/>
              <w:jc w:val="both"/>
              <w:rPr>
                <w:rFonts w:ascii="Arial" w:hAnsi="Arial" w:cs="Arial"/>
                <w:b/>
                <w:bCs/>
              </w:rPr>
            </w:pPr>
            <w:r>
              <w:rPr>
                <w:rFonts w:ascii="Arial" w:hAnsi="Arial" w:cs="Arial"/>
                <w:b/>
                <w:bCs/>
              </w:rPr>
              <w:t xml:space="preserve">XXV. </w:t>
            </w:r>
            <w:r>
              <w:rPr>
                <w:rFonts w:ascii="Arial" w:eastAsia="Times New Roman" w:hAnsi="Arial" w:cs="Arial"/>
                <w:bCs/>
              </w:rPr>
              <w:t>Inscripción de actas de asambleas de socios, asociados o junta de administradores, así como en las que se otorguen poderes o revocación de éstos.</w:t>
            </w:r>
          </w:p>
        </w:tc>
        <w:tc>
          <w:tcPr>
            <w:tcW w:w="2646" w:type="dxa"/>
          </w:tcPr>
          <w:p w14:paraId="7BF2A156"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6E8D39C8" w14:textId="77777777">
        <w:trPr>
          <w:trHeight w:val="708"/>
        </w:trPr>
        <w:tc>
          <w:tcPr>
            <w:tcW w:w="6666" w:type="dxa"/>
          </w:tcPr>
          <w:p w14:paraId="5E77B16F" w14:textId="77777777" w:rsidR="00D3344B" w:rsidRDefault="00143C25">
            <w:pPr>
              <w:spacing w:after="0" w:line="235" w:lineRule="auto"/>
              <w:ind w:right="505"/>
              <w:jc w:val="both"/>
              <w:rPr>
                <w:rFonts w:ascii="Arial" w:hAnsi="Arial" w:cs="Arial"/>
                <w:b/>
                <w:bCs/>
              </w:rPr>
            </w:pPr>
            <w:r>
              <w:rPr>
                <w:rFonts w:ascii="Arial" w:hAnsi="Arial" w:cs="Arial"/>
                <w:b/>
                <w:bCs/>
              </w:rPr>
              <w:t xml:space="preserve">XXVI. </w:t>
            </w:r>
            <w:r>
              <w:rPr>
                <w:rFonts w:ascii="Arial" w:eastAsia="Times New Roman" w:hAnsi="Arial" w:cs="Arial"/>
                <w:bCs/>
              </w:rPr>
              <w:t>Registro de actas constitutivas de asociaciones civiles y de sociedades civiles.</w:t>
            </w:r>
          </w:p>
        </w:tc>
        <w:tc>
          <w:tcPr>
            <w:tcW w:w="2646" w:type="dxa"/>
          </w:tcPr>
          <w:p w14:paraId="30DECDE3"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6D0D8024" w14:textId="77777777">
        <w:trPr>
          <w:trHeight w:val="708"/>
        </w:trPr>
        <w:tc>
          <w:tcPr>
            <w:tcW w:w="6666" w:type="dxa"/>
          </w:tcPr>
          <w:p w14:paraId="3AEE8FF6" w14:textId="77777777" w:rsidR="00D3344B" w:rsidRDefault="00143C25">
            <w:pPr>
              <w:spacing w:after="0" w:line="259" w:lineRule="auto"/>
              <w:rPr>
                <w:rFonts w:ascii="Arial" w:hAnsi="Arial" w:cs="Arial"/>
                <w:bCs/>
              </w:rPr>
            </w:pPr>
            <w:r>
              <w:rPr>
                <w:rFonts w:ascii="Arial" w:eastAsia="Times New Roman" w:hAnsi="Arial" w:cs="Arial"/>
                <w:bCs/>
              </w:rPr>
              <w:t xml:space="preserve">Cuando las asociaciones o sociedades civiles tengan como finalidad el beneficio social sin lucro alguno. </w:t>
            </w:r>
          </w:p>
          <w:p w14:paraId="6D15B631" w14:textId="77777777" w:rsidR="00D3344B" w:rsidRDefault="00D3344B">
            <w:pPr>
              <w:spacing w:after="0" w:line="235" w:lineRule="auto"/>
              <w:ind w:right="505"/>
              <w:jc w:val="both"/>
              <w:rPr>
                <w:rFonts w:ascii="Arial" w:hAnsi="Arial" w:cs="Arial"/>
                <w:b/>
                <w:bCs/>
              </w:rPr>
            </w:pPr>
          </w:p>
        </w:tc>
        <w:tc>
          <w:tcPr>
            <w:tcW w:w="2646" w:type="dxa"/>
          </w:tcPr>
          <w:p w14:paraId="74FB703B"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1D3B2F45" w14:textId="77777777">
        <w:trPr>
          <w:trHeight w:val="708"/>
        </w:trPr>
        <w:tc>
          <w:tcPr>
            <w:tcW w:w="6666" w:type="dxa"/>
          </w:tcPr>
          <w:p w14:paraId="39F9D6E5" w14:textId="77777777" w:rsidR="00D3344B" w:rsidRDefault="00143C25">
            <w:pPr>
              <w:spacing w:after="0" w:line="235" w:lineRule="auto"/>
              <w:ind w:right="505"/>
              <w:jc w:val="both"/>
              <w:rPr>
                <w:rFonts w:ascii="Arial" w:hAnsi="Arial" w:cs="Arial"/>
                <w:b/>
                <w:bCs/>
              </w:rPr>
            </w:pPr>
            <w:r>
              <w:rPr>
                <w:rFonts w:ascii="Arial" w:hAnsi="Arial" w:cs="Arial"/>
                <w:b/>
                <w:bCs/>
              </w:rPr>
              <w:t xml:space="preserve">XXVII. </w:t>
            </w:r>
            <w:r>
              <w:rPr>
                <w:rFonts w:ascii="Arial" w:eastAsia="Times New Roman" w:hAnsi="Arial" w:cs="Arial"/>
                <w:bCs/>
              </w:rPr>
              <w:t>Registro de documentos que se relacionen con bienes muebles entre particulares.</w:t>
            </w:r>
          </w:p>
        </w:tc>
        <w:tc>
          <w:tcPr>
            <w:tcW w:w="2646" w:type="dxa"/>
          </w:tcPr>
          <w:p w14:paraId="40B5E5BC"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5 UMA</w:t>
            </w:r>
          </w:p>
        </w:tc>
      </w:tr>
      <w:tr w:rsidR="00D3344B" w14:paraId="66F4C1FE" w14:textId="77777777">
        <w:trPr>
          <w:trHeight w:val="708"/>
        </w:trPr>
        <w:tc>
          <w:tcPr>
            <w:tcW w:w="6666" w:type="dxa"/>
          </w:tcPr>
          <w:p w14:paraId="029138F8" w14:textId="77777777" w:rsidR="00D3344B" w:rsidRDefault="00143C25">
            <w:pPr>
              <w:spacing w:after="0" w:line="235" w:lineRule="auto"/>
              <w:ind w:right="505"/>
              <w:jc w:val="both"/>
              <w:rPr>
                <w:rFonts w:ascii="Arial" w:hAnsi="Arial" w:cs="Arial"/>
                <w:b/>
                <w:bCs/>
              </w:rPr>
            </w:pPr>
            <w:r>
              <w:rPr>
                <w:rFonts w:ascii="Arial" w:hAnsi="Arial" w:cs="Arial"/>
                <w:b/>
                <w:bCs/>
              </w:rPr>
              <w:t>XXVIII.</w:t>
            </w:r>
            <w:r>
              <w:rPr>
                <w:rFonts w:ascii="Arial" w:eastAsia="Times New Roman" w:hAnsi="Arial" w:cs="Arial"/>
                <w:b/>
              </w:rPr>
              <w:t xml:space="preserve"> </w:t>
            </w:r>
            <w:r>
              <w:rPr>
                <w:rFonts w:ascii="Arial" w:eastAsia="Times New Roman" w:hAnsi="Arial" w:cs="Arial"/>
                <w:bCs/>
              </w:rPr>
              <w:t>Registro de cancelación de fideicomisos, cualquiera que sea su naturaleza:</w:t>
            </w:r>
          </w:p>
        </w:tc>
        <w:tc>
          <w:tcPr>
            <w:tcW w:w="2646" w:type="dxa"/>
          </w:tcPr>
          <w:p w14:paraId="18433FD6"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6F8506E0" w14:textId="77777777">
        <w:trPr>
          <w:trHeight w:val="708"/>
        </w:trPr>
        <w:tc>
          <w:tcPr>
            <w:tcW w:w="6666" w:type="dxa"/>
          </w:tcPr>
          <w:p w14:paraId="56C32888" w14:textId="77777777" w:rsidR="00D3344B" w:rsidRDefault="00143C25">
            <w:pPr>
              <w:spacing w:after="0" w:line="235" w:lineRule="auto"/>
              <w:ind w:right="505"/>
              <w:jc w:val="both"/>
              <w:rPr>
                <w:rFonts w:ascii="Arial" w:hAnsi="Arial" w:cs="Arial"/>
                <w:bCs/>
              </w:rPr>
            </w:pPr>
            <w:r>
              <w:rPr>
                <w:rFonts w:ascii="Arial" w:eastAsia="Times New Roman" w:hAnsi="Arial" w:cs="Arial"/>
                <w:bCs/>
              </w:rPr>
              <w:t>En caso de que haya bienes inmuebles fideicomitidos:</w:t>
            </w:r>
          </w:p>
        </w:tc>
        <w:tc>
          <w:tcPr>
            <w:tcW w:w="2646" w:type="dxa"/>
          </w:tcPr>
          <w:p w14:paraId="17F6BB88"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 por cada inmueble.</w:t>
            </w:r>
          </w:p>
        </w:tc>
      </w:tr>
      <w:tr w:rsidR="00D3344B" w14:paraId="3E0726DE" w14:textId="77777777">
        <w:trPr>
          <w:trHeight w:val="708"/>
        </w:trPr>
        <w:tc>
          <w:tcPr>
            <w:tcW w:w="6666" w:type="dxa"/>
          </w:tcPr>
          <w:p w14:paraId="5D65C199" w14:textId="77777777" w:rsidR="00D3344B" w:rsidRDefault="00143C25">
            <w:pPr>
              <w:spacing w:after="0" w:line="235" w:lineRule="auto"/>
              <w:ind w:right="505"/>
              <w:jc w:val="both"/>
              <w:rPr>
                <w:rFonts w:ascii="Arial" w:eastAsia="Times New Roman" w:hAnsi="Arial" w:cs="Arial"/>
                <w:b/>
              </w:rPr>
            </w:pPr>
            <w:r>
              <w:rPr>
                <w:rFonts w:ascii="Arial" w:eastAsia="Times New Roman" w:hAnsi="Arial" w:cs="Arial"/>
                <w:b/>
              </w:rPr>
              <w:t xml:space="preserve">XXIX. </w:t>
            </w:r>
            <w:r>
              <w:rPr>
                <w:rFonts w:ascii="Arial" w:eastAsia="Times New Roman" w:hAnsi="Arial" w:cs="Arial"/>
                <w:bCs/>
              </w:rPr>
              <w:t>Registro de actas de emisión de bonos u obligaciones de sociedades mercantiles.</w:t>
            </w:r>
          </w:p>
        </w:tc>
        <w:tc>
          <w:tcPr>
            <w:tcW w:w="2646" w:type="dxa"/>
          </w:tcPr>
          <w:p w14:paraId="23C0FF19"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10 UMA</w:t>
            </w:r>
          </w:p>
        </w:tc>
      </w:tr>
      <w:tr w:rsidR="00D3344B" w14:paraId="7A4BC7AE" w14:textId="77777777">
        <w:trPr>
          <w:trHeight w:val="708"/>
        </w:trPr>
        <w:tc>
          <w:tcPr>
            <w:tcW w:w="6666" w:type="dxa"/>
          </w:tcPr>
          <w:p w14:paraId="336AE2BF" w14:textId="77777777" w:rsidR="00D3344B" w:rsidRDefault="00143C25">
            <w:pPr>
              <w:spacing w:after="0" w:line="259" w:lineRule="auto"/>
              <w:rPr>
                <w:rFonts w:ascii="Arial" w:hAnsi="Arial" w:cs="Arial"/>
              </w:rPr>
            </w:pPr>
            <w:r>
              <w:rPr>
                <w:rFonts w:ascii="Arial" w:eastAsia="Times New Roman" w:hAnsi="Arial" w:cs="Arial"/>
                <w:b/>
              </w:rPr>
              <w:t xml:space="preserve">XXX. </w:t>
            </w:r>
            <w:r>
              <w:rPr>
                <w:rFonts w:ascii="Arial" w:eastAsia="Times New Roman" w:hAnsi="Arial" w:cs="Arial"/>
                <w:bCs/>
              </w:rPr>
              <w:t>Registro de acuerdos y resoluciones de concursos mercantiles.</w:t>
            </w:r>
            <w:r>
              <w:rPr>
                <w:rFonts w:ascii="Arial" w:eastAsia="Times New Roman" w:hAnsi="Arial" w:cs="Arial"/>
                <w:b/>
              </w:rPr>
              <w:t xml:space="preserve">  </w:t>
            </w:r>
          </w:p>
          <w:p w14:paraId="268999E5" w14:textId="77777777" w:rsidR="00D3344B" w:rsidRDefault="00D3344B">
            <w:pPr>
              <w:spacing w:after="0" w:line="235" w:lineRule="auto"/>
              <w:ind w:right="505"/>
              <w:jc w:val="both"/>
              <w:rPr>
                <w:rFonts w:ascii="Arial" w:eastAsia="Times New Roman" w:hAnsi="Arial" w:cs="Arial"/>
                <w:b/>
              </w:rPr>
            </w:pPr>
          </w:p>
        </w:tc>
        <w:tc>
          <w:tcPr>
            <w:tcW w:w="2646" w:type="dxa"/>
          </w:tcPr>
          <w:p w14:paraId="07E1BE3C"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w:t>
            </w:r>
          </w:p>
        </w:tc>
      </w:tr>
      <w:tr w:rsidR="00D3344B" w14:paraId="09D3FC3F" w14:textId="77777777">
        <w:trPr>
          <w:trHeight w:val="708"/>
        </w:trPr>
        <w:tc>
          <w:tcPr>
            <w:tcW w:w="6666" w:type="dxa"/>
          </w:tcPr>
          <w:p w14:paraId="48384DC7" w14:textId="77777777" w:rsidR="00D3344B" w:rsidRDefault="00143C25">
            <w:pPr>
              <w:spacing w:after="0" w:line="259" w:lineRule="auto"/>
              <w:rPr>
                <w:rFonts w:ascii="Arial" w:eastAsia="Times New Roman" w:hAnsi="Arial" w:cs="Arial"/>
                <w:b/>
              </w:rPr>
            </w:pPr>
            <w:r>
              <w:rPr>
                <w:rFonts w:ascii="Arial" w:eastAsia="Times New Roman" w:hAnsi="Arial" w:cs="Arial"/>
                <w:b/>
              </w:rPr>
              <w:t xml:space="preserve">XXXI. </w:t>
            </w:r>
            <w:r>
              <w:rPr>
                <w:rFonts w:ascii="Arial" w:eastAsia="Times New Roman" w:hAnsi="Arial" w:cs="Arial"/>
                <w:bCs/>
              </w:rPr>
              <w:t>Registro sobre el reconocimiento y certificación de firmas y demás actos de fe pública, en los que sea necesaria la intervención del Registro Público de la Propiedad y del Comercio.</w:t>
            </w:r>
          </w:p>
        </w:tc>
        <w:tc>
          <w:tcPr>
            <w:tcW w:w="2646" w:type="dxa"/>
          </w:tcPr>
          <w:p w14:paraId="330CB6F7"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4 UMA</w:t>
            </w:r>
          </w:p>
        </w:tc>
      </w:tr>
      <w:tr w:rsidR="00D3344B" w14:paraId="72E00746" w14:textId="77777777">
        <w:trPr>
          <w:trHeight w:val="708"/>
        </w:trPr>
        <w:tc>
          <w:tcPr>
            <w:tcW w:w="6666" w:type="dxa"/>
          </w:tcPr>
          <w:p w14:paraId="2480C08D" w14:textId="77777777" w:rsidR="00D3344B" w:rsidRDefault="00143C25">
            <w:pPr>
              <w:spacing w:after="0" w:line="259" w:lineRule="auto"/>
              <w:rPr>
                <w:rFonts w:ascii="Arial" w:eastAsia="Times New Roman" w:hAnsi="Arial" w:cs="Arial"/>
                <w:b/>
              </w:rPr>
            </w:pPr>
            <w:r>
              <w:rPr>
                <w:rFonts w:ascii="Arial" w:eastAsia="Times New Roman" w:hAnsi="Arial" w:cs="Arial"/>
                <w:b/>
              </w:rPr>
              <w:t xml:space="preserve">XXXII. </w:t>
            </w:r>
            <w:r>
              <w:rPr>
                <w:rFonts w:ascii="Arial" w:eastAsia="Times New Roman" w:hAnsi="Arial" w:cs="Arial"/>
                <w:bCs/>
              </w:rPr>
              <w:t>Expedición de segundos testimonios o copias certificadas de escrituras.</w:t>
            </w:r>
          </w:p>
        </w:tc>
        <w:tc>
          <w:tcPr>
            <w:tcW w:w="2646" w:type="dxa"/>
          </w:tcPr>
          <w:p w14:paraId="7A679585"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1 UMA por foja.</w:t>
            </w:r>
          </w:p>
        </w:tc>
      </w:tr>
      <w:tr w:rsidR="00D3344B" w14:paraId="2ACB44A8" w14:textId="77777777">
        <w:trPr>
          <w:trHeight w:val="708"/>
        </w:trPr>
        <w:tc>
          <w:tcPr>
            <w:tcW w:w="6666" w:type="dxa"/>
          </w:tcPr>
          <w:p w14:paraId="1784014B" w14:textId="77777777" w:rsidR="00D3344B" w:rsidRDefault="00143C25">
            <w:pPr>
              <w:spacing w:after="0" w:line="259" w:lineRule="auto"/>
              <w:rPr>
                <w:rFonts w:ascii="Arial" w:eastAsia="Times New Roman" w:hAnsi="Arial" w:cs="Arial"/>
                <w:b/>
              </w:rPr>
            </w:pPr>
            <w:r>
              <w:rPr>
                <w:rFonts w:ascii="Arial" w:eastAsia="Times New Roman" w:hAnsi="Arial" w:cs="Arial"/>
                <w:b/>
              </w:rPr>
              <w:t xml:space="preserve">XXXIII. </w:t>
            </w:r>
            <w:r>
              <w:rPr>
                <w:rFonts w:ascii="Arial" w:eastAsia="Times New Roman" w:hAnsi="Arial" w:cs="Arial"/>
                <w:bCs/>
              </w:rPr>
              <w:t>Búsqueda de datos para la expedición de certificados de libertad de gravamen, de gravamen, certificados de inscripción en general o de alguno en particular, de propiedad, de no propiedad, de inscripción o no inscripción, búsqueda de testamentos o sobre diversos títulos que conforme al Código Civil puedan ser sujetos a registro.</w:t>
            </w:r>
          </w:p>
        </w:tc>
        <w:tc>
          <w:tcPr>
            <w:tcW w:w="2646" w:type="dxa"/>
          </w:tcPr>
          <w:p w14:paraId="3E324D46"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2 UMA por persona.</w:t>
            </w:r>
          </w:p>
        </w:tc>
      </w:tr>
      <w:tr w:rsidR="00D3344B" w14:paraId="088379DA" w14:textId="77777777">
        <w:trPr>
          <w:trHeight w:val="708"/>
        </w:trPr>
        <w:tc>
          <w:tcPr>
            <w:tcW w:w="6666" w:type="dxa"/>
          </w:tcPr>
          <w:p w14:paraId="5315ACC8" w14:textId="77777777" w:rsidR="00D3344B" w:rsidRDefault="00143C25">
            <w:pPr>
              <w:spacing w:after="0" w:line="259" w:lineRule="auto"/>
              <w:rPr>
                <w:rFonts w:ascii="Arial" w:eastAsia="Times New Roman" w:hAnsi="Arial" w:cs="Arial"/>
                <w:b/>
              </w:rPr>
            </w:pPr>
            <w:r>
              <w:rPr>
                <w:rFonts w:ascii="Arial" w:eastAsia="Times New Roman" w:hAnsi="Arial" w:cs="Arial"/>
                <w:b/>
              </w:rPr>
              <w:t xml:space="preserve">XXXIV. </w:t>
            </w:r>
            <w:r>
              <w:rPr>
                <w:rFonts w:ascii="Arial" w:eastAsia="Times New Roman" w:hAnsi="Arial" w:cs="Arial"/>
                <w:bCs/>
              </w:rPr>
              <w:t>Por las certificaciones que se realicen en el Archivo General de Notarías de una a diez fojas.</w:t>
            </w:r>
          </w:p>
        </w:tc>
        <w:tc>
          <w:tcPr>
            <w:tcW w:w="2646" w:type="dxa"/>
          </w:tcPr>
          <w:p w14:paraId="01926700" w14:textId="77777777" w:rsidR="00D3344B" w:rsidRDefault="00143C25">
            <w:pPr>
              <w:spacing w:after="0" w:line="259" w:lineRule="auto"/>
              <w:ind w:left="180"/>
              <w:rPr>
                <w:rFonts w:ascii="Arial" w:hAnsi="Arial" w:cs="Arial"/>
              </w:rPr>
            </w:pPr>
            <w:r>
              <w:rPr>
                <w:rFonts w:ascii="Arial" w:eastAsia="Times New Roman" w:hAnsi="Arial" w:cs="Arial"/>
                <w:b/>
              </w:rPr>
              <w:t xml:space="preserve">1 UMA por cada </w:t>
            </w:r>
          </w:p>
          <w:p w14:paraId="68862584" w14:textId="77777777" w:rsidR="00D3344B" w:rsidRDefault="00143C25">
            <w:pPr>
              <w:spacing w:after="0" w:line="259" w:lineRule="auto"/>
              <w:ind w:left="79"/>
              <w:rPr>
                <w:rFonts w:ascii="Arial" w:hAnsi="Arial" w:cs="Arial"/>
              </w:rPr>
            </w:pPr>
            <w:r>
              <w:rPr>
                <w:rFonts w:ascii="Arial" w:eastAsia="Times New Roman" w:hAnsi="Arial" w:cs="Arial"/>
                <w:b/>
              </w:rPr>
              <w:t xml:space="preserve">foja adicional, 0.25 </w:t>
            </w:r>
          </w:p>
          <w:p w14:paraId="7D5A33D5" w14:textId="77777777" w:rsidR="00D3344B" w:rsidRDefault="00143C25">
            <w:pPr>
              <w:spacing w:after="0" w:line="259" w:lineRule="auto"/>
              <w:ind w:right="55"/>
              <w:rPr>
                <w:rFonts w:ascii="Arial" w:eastAsia="Times New Roman" w:hAnsi="Arial" w:cs="Arial"/>
                <w:b/>
              </w:rPr>
            </w:pPr>
            <w:r>
              <w:rPr>
                <w:rFonts w:ascii="Arial" w:eastAsia="Times New Roman" w:hAnsi="Arial" w:cs="Arial"/>
                <w:b/>
              </w:rPr>
              <w:t>UMA.</w:t>
            </w:r>
          </w:p>
        </w:tc>
      </w:tr>
    </w:tbl>
    <w:p w14:paraId="36E66342" w14:textId="77777777" w:rsidR="00D3344B" w:rsidRDefault="00143C25">
      <w:pPr>
        <w:spacing w:after="0" w:line="259" w:lineRule="auto"/>
        <w:ind w:left="139"/>
        <w:rPr>
          <w:rFonts w:ascii="Arial" w:hAnsi="Arial" w:cs="Arial"/>
        </w:rPr>
      </w:pPr>
      <w:r>
        <w:rPr>
          <w:rFonts w:ascii="Arial" w:hAnsi="Arial" w:cs="Arial"/>
        </w:rPr>
        <w:t xml:space="preserve"> </w:t>
      </w:r>
    </w:p>
    <w:p w14:paraId="3F7AA442" w14:textId="77777777" w:rsidR="00D3344B" w:rsidRDefault="00143C25">
      <w:pPr>
        <w:spacing w:after="0" w:line="259" w:lineRule="auto"/>
        <w:ind w:left="139"/>
        <w:rPr>
          <w:rFonts w:ascii="Arial" w:hAnsi="Arial" w:cs="Arial"/>
        </w:rPr>
      </w:pPr>
      <w:r>
        <w:rPr>
          <w:rFonts w:ascii="Arial" w:eastAsia="Times New Roman" w:hAnsi="Arial" w:cs="Arial"/>
          <w:b/>
        </w:rPr>
        <w:t xml:space="preserve"> </w:t>
      </w:r>
    </w:p>
    <w:p w14:paraId="5EFC442D" w14:textId="77777777" w:rsidR="00D3344B" w:rsidRDefault="00143C25">
      <w:pPr>
        <w:pStyle w:val="Estilo"/>
        <w:rPr>
          <w:rFonts w:cs="Arial"/>
          <w:i/>
          <w:iCs/>
          <w:sz w:val="16"/>
          <w:szCs w:val="16"/>
        </w:rPr>
      </w:pPr>
      <w:r>
        <w:rPr>
          <w:rFonts w:cs="Arial"/>
          <w:i/>
          <w:iCs/>
          <w:sz w:val="16"/>
          <w:szCs w:val="16"/>
        </w:rPr>
        <w:t>(REFORMADO, P.O. 29 DE NOVIEMBRE DE 2023)</w:t>
      </w:r>
    </w:p>
    <w:p w14:paraId="0ED06823" w14:textId="77777777" w:rsidR="00D3344B" w:rsidRDefault="00143C25">
      <w:pPr>
        <w:pStyle w:val="Estilo"/>
        <w:rPr>
          <w:rFonts w:cs="Arial"/>
        </w:rPr>
      </w:pPr>
      <w:r>
        <w:rPr>
          <w:rFonts w:cs="Arial"/>
          <w:b/>
        </w:rPr>
        <w:t>Artículo 148.</w:t>
      </w:r>
      <w:r>
        <w:rPr>
          <w:rFonts w:cs="Arial"/>
        </w:rPr>
        <w:t xml:space="preserve"> Por el registro de los actos no previstos expresamente en el artículo anterior, así como por la transcripción de documentos en los que el valor de la operación no exceda del equivalente a 30 UMA; los interesados pagarán por cada uno, 2 UMA.</w:t>
      </w:r>
    </w:p>
    <w:p w14:paraId="6C37CEDE" w14:textId="77777777" w:rsidR="00D3344B" w:rsidRDefault="00D3344B">
      <w:pPr>
        <w:pStyle w:val="Estilo"/>
        <w:rPr>
          <w:rFonts w:cs="Arial"/>
        </w:rPr>
      </w:pPr>
    </w:p>
    <w:p w14:paraId="340817C8" w14:textId="77777777" w:rsidR="00D3344B" w:rsidRDefault="00143C25">
      <w:pPr>
        <w:pStyle w:val="Estilo"/>
        <w:rPr>
          <w:rFonts w:cs="Arial"/>
        </w:rPr>
      </w:pPr>
      <w:r>
        <w:rPr>
          <w:rFonts w:cs="Arial"/>
        </w:rPr>
        <w:lastRenderedPageBreak/>
        <w:t>Cuando los actos a que se refiere el artículo anterior, consten en testimonios notariales o documentos pasados ante la fe de notarios públicos de otra Entidad Federativa, los derechos de inscripción y registro, se pagarán 25 UMA.</w:t>
      </w:r>
    </w:p>
    <w:p w14:paraId="35851452" w14:textId="77777777" w:rsidR="00D3344B" w:rsidRDefault="00143C25">
      <w:pPr>
        <w:pStyle w:val="Estilo"/>
        <w:rPr>
          <w:rFonts w:cs="Arial"/>
        </w:rPr>
      </w:pPr>
      <w:r>
        <w:rPr>
          <w:rFonts w:cs="Arial"/>
        </w:rPr>
        <w:t>La Secretaría de Finanzas será competente para definir las inconformidades por razón del cobro de derechos determinados por la Dirección de Notarías y Registros Públicos del Estado.</w:t>
      </w:r>
    </w:p>
    <w:p w14:paraId="4D695E43" w14:textId="77777777" w:rsidR="00D3344B" w:rsidRDefault="00D3344B">
      <w:pPr>
        <w:pStyle w:val="Estilo"/>
        <w:rPr>
          <w:rFonts w:cs="Arial"/>
        </w:rPr>
      </w:pPr>
    </w:p>
    <w:p w14:paraId="5E520D53" w14:textId="77777777" w:rsidR="00D3344B" w:rsidRDefault="00143C25">
      <w:pPr>
        <w:pStyle w:val="Estilo"/>
        <w:rPr>
          <w:rFonts w:cs="Arial"/>
          <w:i/>
          <w:iCs/>
          <w:sz w:val="16"/>
          <w:szCs w:val="16"/>
        </w:rPr>
      </w:pPr>
      <w:r>
        <w:rPr>
          <w:rFonts w:cs="Arial"/>
          <w:b/>
        </w:rPr>
        <w:t>Artículo 149.</w:t>
      </w:r>
      <w:r>
        <w:rPr>
          <w:rFonts w:cs="Arial"/>
        </w:rPr>
        <w:t xml:space="preserve"> </w:t>
      </w:r>
      <w:r>
        <w:rPr>
          <w:rFonts w:cs="Arial"/>
          <w:i/>
          <w:iCs/>
          <w:sz w:val="16"/>
          <w:szCs w:val="16"/>
        </w:rPr>
        <w:t>(DEROGADO, P.O. 22 DE DICIEMBRE DE 2021)</w:t>
      </w:r>
    </w:p>
    <w:p w14:paraId="0CD612F4" w14:textId="77777777" w:rsidR="00D3344B" w:rsidRDefault="00D3344B">
      <w:pPr>
        <w:pStyle w:val="Estilo"/>
        <w:rPr>
          <w:rFonts w:cs="Arial"/>
        </w:rPr>
      </w:pPr>
    </w:p>
    <w:p w14:paraId="0BA1E067" w14:textId="77777777" w:rsidR="00D3344B" w:rsidRDefault="00143C25">
      <w:pPr>
        <w:pStyle w:val="Estilo"/>
        <w:rPr>
          <w:rFonts w:cs="Arial"/>
        </w:rPr>
      </w:pPr>
      <w:r>
        <w:rPr>
          <w:rFonts w:cs="Arial"/>
          <w:b/>
        </w:rPr>
        <w:t>Artículo 150.</w:t>
      </w:r>
      <w:r>
        <w:rPr>
          <w:rFonts w:cs="Arial"/>
        </w:rPr>
        <w:t xml:space="preserve"> Cuando las escrituras públicas o documentos de que se trate, contengan diversos contratos o actos jurídicos, se pagarán los derechos correspondientes por cada uno de estos.</w:t>
      </w:r>
    </w:p>
    <w:p w14:paraId="5C2A8703" w14:textId="77777777" w:rsidR="00D3344B" w:rsidRDefault="00D3344B">
      <w:pPr>
        <w:pStyle w:val="Estilo"/>
        <w:rPr>
          <w:rFonts w:cs="Arial"/>
        </w:rPr>
      </w:pPr>
    </w:p>
    <w:p w14:paraId="668A75C0" w14:textId="77777777" w:rsidR="00D3344B" w:rsidRDefault="00143C25">
      <w:pPr>
        <w:pStyle w:val="Estilo"/>
        <w:rPr>
          <w:rFonts w:cs="Arial"/>
        </w:rPr>
      </w:pPr>
      <w:r>
        <w:rPr>
          <w:rFonts w:cs="Arial"/>
        </w:rPr>
        <w:t>Las reinscripciones de toda clase de documentos se gravarán con las mismas cuotas que tengan fijadas las inscripciones originales; excepto cuando se trate de reestructuración de créditos, en que sólo se pagará por la diferencia entre el monto del crédito inicial y el monto del crédito reestructurado, para lo cual el contribuyente habrá de demostrar de manera fehaciente el monto del principal reestructurado.</w:t>
      </w:r>
    </w:p>
    <w:p w14:paraId="68D423A9" w14:textId="77777777" w:rsidR="00D3344B" w:rsidRDefault="00D3344B">
      <w:pPr>
        <w:pStyle w:val="Estilo"/>
        <w:rPr>
          <w:rFonts w:cs="Arial"/>
        </w:rPr>
      </w:pPr>
    </w:p>
    <w:p w14:paraId="2D68ED3A" w14:textId="77777777" w:rsidR="00D3344B" w:rsidRDefault="00143C25">
      <w:pPr>
        <w:pStyle w:val="Estilo"/>
        <w:rPr>
          <w:rFonts w:cs="Arial"/>
        </w:rPr>
      </w:pPr>
      <w:r>
        <w:rPr>
          <w:rFonts w:cs="Arial"/>
          <w:i/>
          <w:sz w:val="16"/>
        </w:rPr>
        <w:t>(REFORMADO, P.O. 21 DE JUNIO DE 2021)</w:t>
      </w:r>
    </w:p>
    <w:p w14:paraId="2D6193F3" w14:textId="77777777" w:rsidR="00D3344B" w:rsidRDefault="00143C25">
      <w:pPr>
        <w:pStyle w:val="Estilo"/>
        <w:rPr>
          <w:rFonts w:cs="Arial"/>
          <w:bCs/>
        </w:rPr>
      </w:pPr>
      <w:r>
        <w:rPr>
          <w:rFonts w:cs="Arial"/>
          <w:b/>
        </w:rPr>
        <w:t>Artículo 151.</w:t>
      </w:r>
      <w:r>
        <w:rPr>
          <w:rFonts w:cs="Arial"/>
          <w:bCs/>
        </w:rPr>
        <w:t xml:space="preserve"> Los derechos correspondientes a las funciones notariales, que deben cubrir los interesados, son los siguientes:  </w:t>
      </w:r>
    </w:p>
    <w:p w14:paraId="1375AEDE" w14:textId="77777777" w:rsidR="00D3344B" w:rsidRDefault="00143C25">
      <w:pPr>
        <w:pStyle w:val="Estilo"/>
        <w:rPr>
          <w:rFonts w:cs="Arial"/>
          <w:bCs/>
        </w:rPr>
      </w:pPr>
      <w:r>
        <w:rPr>
          <w:rFonts w:cs="Arial"/>
          <w:bCs/>
        </w:rPr>
        <w:t xml:space="preserve"> </w:t>
      </w:r>
    </w:p>
    <w:tbl>
      <w:tblPr>
        <w:tblStyle w:val="Tablaconcuadrcula"/>
        <w:tblW w:w="8828" w:type="dxa"/>
        <w:tblLayout w:type="fixed"/>
        <w:tblLook w:val="04A0" w:firstRow="1" w:lastRow="0" w:firstColumn="1" w:lastColumn="0" w:noHBand="0" w:noVBand="1"/>
      </w:tblPr>
      <w:tblGrid>
        <w:gridCol w:w="7367"/>
        <w:gridCol w:w="1461"/>
      </w:tblGrid>
      <w:tr w:rsidR="00D3344B" w14:paraId="3BCAAD53" w14:textId="77777777">
        <w:trPr>
          <w:trHeight w:val="828"/>
        </w:trPr>
        <w:tc>
          <w:tcPr>
            <w:tcW w:w="7366" w:type="dxa"/>
            <w:tcBorders>
              <w:top w:val="nil"/>
              <w:left w:val="nil"/>
              <w:bottom w:val="nil"/>
              <w:right w:val="nil"/>
            </w:tcBorders>
          </w:tcPr>
          <w:p w14:paraId="24C2291B" w14:textId="77777777" w:rsidR="00D3344B" w:rsidRDefault="00143C25">
            <w:pPr>
              <w:pStyle w:val="Estilo"/>
              <w:ind w:left="454" w:right="175" w:hanging="454"/>
              <w:rPr>
                <w:rFonts w:cs="Arial"/>
                <w:bCs/>
              </w:rPr>
            </w:pPr>
            <w:r>
              <w:rPr>
                <w:rFonts w:eastAsia="Calibri" w:cs="Arial"/>
                <w:bCs/>
              </w:rPr>
              <w:t xml:space="preserve">I. </w:t>
            </w:r>
            <w:r>
              <w:rPr>
                <w:rFonts w:eastAsia="Calibri" w:cs="Arial"/>
                <w:bCs/>
              </w:rPr>
              <w:tab/>
              <w:t>Por derecho a examen para obtener la patente de aspirante a Notario Público,</w:t>
            </w:r>
          </w:p>
        </w:tc>
        <w:tc>
          <w:tcPr>
            <w:tcW w:w="1461" w:type="dxa"/>
            <w:tcBorders>
              <w:top w:val="nil"/>
              <w:left w:val="nil"/>
              <w:bottom w:val="nil"/>
              <w:right w:val="nil"/>
            </w:tcBorders>
          </w:tcPr>
          <w:p w14:paraId="47AFBBF6" w14:textId="77777777" w:rsidR="00D3344B" w:rsidRDefault="00143C25">
            <w:pPr>
              <w:pStyle w:val="Estilo"/>
              <w:rPr>
                <w:rFonts w:cs="Arial"/>
                <w:bCs/>
              </w:rPr>
            </w:pPr>
            <w:r>
              <w:rPr>
                <w:rFonts w:eastAsia="Calibri" w:cs="Arial"/>
                <w:bCs/>
              </w:rPr>
              <w:t>300 UMA;</w:t>
            </w:r>
          </w:p>
        </w:tc>
      </w:tr>
      <w:tr w:rsidR="00D3344B" w14:paraId="05FCA5E7" w14:textId="77777777">
        <w:trPr>
          <w:trHeight w:val="828"/>
        </w:trPr>
        <w:tc>
          <w:tcPr>
            <w:tcW w:w="7366" w:type="dxa"/>
            <w:tcBorders>
              <w:top w:val="nil"/>
              <w:left w:val="nil"/>
              <w:bottom w:val="nil"/>
              <w:right w:val="nil"/>
            </w:tcBorders>
          </w:tcPr>
          <w:p w14:paraId="696824A3" w14:textId="77777777" w:rsidR="00D3344B" w:rsidRDefault="00143C25">
            <w:pPr>
              <w:pStyle w:val="Estilo"/>
              <w:ind w:left="454" w:right="175" w:hanging="454"/>
              <w:rPr>
                <w:rFonts w:cs="Arial"/>
                <w:bCs/>
              </w:rPr>
            </w:pPr>
            <w:r>
              <w:rPr>
                <w:rFonts w:eastAsia="Calibri" w:cs="Arial"/>
                <w:bCs/>
              </w:rPr>
              <w:t>II.</w:t>
            </w:r>
            <w:r>
              <w:rPr>
                <w:rFonts w:eastAsia="Calibri" w:cs="Arial"/>
                <w:bCs/>
              </w:rPr>
              <w:tab/>
              <w:t>Por la expedición de patente de aspirante al ejercicio del notariado,</w:t>
            </w:r>
          </w:p>
        </w:tc>
        <w:tc>
          <w:tcPr>
            <w:tcW w:w="1461" w:type="dxa"/>
            <w:tcBorders>
              <w:top w:val="nil"/>
              <w:left w:val="nil"/>
              <w:bottom w:val="nil"/>
              <w:right w:val="nil"/>
            </w:tcBorders>
          </w:tcPr>
          <w:p w14:paraId="5B527919" w14:textId="77777777" w:rsidR="00D3344B" w:rsidRDefault="00143C25">
            <w:pPr>
              <w:pStyle w:val="Estilo"/>
              <w:rPr>
                <w:rFonts w:cs="Arial"/>
                <w:bCs/>
              </w:rPr>
            </w:pPr>
            <w:r>
              <w:rPr>
                <w:rFonts w:eastAsia="Calibri" w:cs="Arial"/>
                <w:bCs/>
              </w:rPr>
              <w:t>600 UMA;</w:t>
            </w:r>
          </w:p>
        </w:tc>
      </w:tr>
      <w:tr w:rsidR="00D3344B" w14:paraId="6BE4A218" w14:textId="77777777">
        <w:trPr>
          <w:trHeight w:val="828"/>
        </w:trPr>
        <w:tc>
          <w:tcPr>
            <w:tcW w:w="7366" w:type="dxa"/>
            <w:tcBorders>
              <w:top w:val="nil"/>
              <w:left w:val="nil"/>
              <w:bottom w:val="nil"/>
              <w:right w:val="nil"/>
            </w:tcBorders>
          </w:tcPr>
          <w:p w14:paraId="48753F06" w14:textId="77777777" w:rsidR="00D3344B" w:rsidRDefault="00143C25">
            <w:pPr>
              <w:pStyle w:val="Estilo"/>
              <w:ind w:left="454" w:right="175" w:hanging="454"/>
              <w:rPr>
                <w:rFonts w:cs="Arial"/>
                <w:bCs/>
              </w:rPr>
            </w:pPr>
            <w:r>
              <w:rPr>
                <w:rFonts w:eastAsia="Calibri" w:cs="Arial"/>
                <w:bCs/>
              </w:rPr>
              <w:t>III.</w:t>
            </w:r>
            <w:r>
              <w:rPr>
                <w:rFonts w:eastAsia="Calibri" w:cs="Arial"/>
                <w:bCs/>
              </w:rPr>
              <w:tab/>
              <w:t>Por derechos de examen para obtener la patente de Notario Público,</w:t>
            </w:r>
          </w:p>
        </w:tc>
        <w:tc>
          <w:tcPr>
            <w:tcW w:w="1461" w:type="dxa"/>
            <w:tcBorders>
              <w:top w:val="nil"/>
              <w:left w:val="nil"/>
              <w:bottom w:val="nil"/>
              <w:right w:val="nil"/>
            </w:tcBorders>
          </w:tcPr>
          <w:p w14:paraId="54FF942F" w14:textId="77777777" w:rsidR="00D3344B" w:rsidRDefault="00143C25">
            <w:pPr>
              <w:pStyle w:val="Estilo"/>
              <w:rPr>
                <w:rFonts w:cs="Arial"/>
                <w:bCs/>
              </w:rPr>
            </w:pPr>
            <w:r>
              <w:rPr>
                <w:rFonts w:eastAsia="Calibri" w:cs="Arial"/>
                <w:bCs/>
              </w:rPr>
              <w:t>400 UMA;</w:t>
            </w:r>
          </w:p>
        </w:tc>
      </w:tr>
      <w:tr w:rsidR="00D3344B" w14:paraId="1A5BB598" w14:textId="77777777">
        <w:trPr>
          <w:trHeight w:val="828"/>
        </w:trPr>
        <w:tc>
          <w:tcPr>
            <w:tcW w:w="7366" w:type="dxa"/>
            <w:tcBorders>
              <w:top w:val="nil"/>
              <w:left w:val="nil"/>
              <w:bottom w:val="nil"/>
              <w:right w:val="nil"/>
            </w:tcBorders>
          </w:tcPr>
          <w:p w14:paraId="3D2B5673" w14:textId="77777777" w:rsidR="00D3344B" w:rsidRDefault="00143C25">
            <w:pPr>
              <w:pStyle w:val="Estilo"/>
              <w:ind w:left="454" w:right="175" w:hanging="454"/>
              <w:rPr>
                <w:rFonts w:cs="Arial"/>
                <w:bCs/>
              </w:rPr>
            </w:pPr>
            <w:r>
              <w:rPr>
                <w:rFonts w:eastAsia="Calibri" w:cs="Arial"/>
                <w:bCs/>
              </w:rPr>
              <w:t>IV.</w:t>
            </w:r>
            <w:r>
              <w:rPr>
                <w:rFonts w:eastAsia="Calibri" w:cs="Arial"/>
                <w:bCs/>
              </w:rPr>
              <w:tab/>
              <w:t>Por la expedición de patente de Notario Público,</w:t>
            </w:r>
          </w:p>
        </w:tc>
        <w:tc>
          <w:tcPr>
            <w:tcW w:w="1461" w:type="dxa"/>
            <w:tcBorders>
              <w:top w:val="nil"/>
              <w:left w:val="nil"/>
              <w:bottom w:val="nil"/>
              <w:right w:val="nil"/>
            </w:tcBorders>
          </w:tcPr>
          <w:p w14:paraId="42A04AA0" w14:textId="77777777" w:rsidR="00D3344B" w:rsidRDefault="00143C25">
            <w:pPr>
              <w:pStyle w:val="Estilo"/>
              <w:rPr>
                <w:rFonts w:cs="Arial"/>
                <w:bCs/>
              </w:rPr>
            </w:pPr>
            <w:r>
              <w:rPr>
                <w:rFonts w:eastAsia="Calibri" w:cs="Arial"/>
                <w:bCs/>
              </w:rPr>
              <w:t>1000 UMA;</w:t>
            </w:r>
          </w:p>
        </w:tc>
      </w:tr>
      <w:tr w:rsidR="00D3344B" w14:paraId="7E383068" w14:textId="77777777">
        <w:trPr>
          <w:trHeight w:val="828"/>
        </w:trPr>
        <w:tc>
          <w:tcPr>
            <w:tcW w:w="7366" w:type="dxa"/>
            <w:tcBorders>
              <w:top w:val="nil"/>
              <w:left w:val="nil"/>
              <w:bottom w:val="nil"/>
              <w:right w:val="nil"/>
            </w:tcBorders>
          </w:tcPr>
          <w:p w14:paraId="4B52370C" w14:textId="77777777" w:rsidR="00D3344B" w:rsidRDefault="00143C25">
            <w:pPr>
              <w:pStyle w:val="Estilo"/>
              <w:ind w:left="454" w:right="175" w:hanging="454"/>
              <w:rPr>
                <w:rFonts w:cs="Arial"/>
                <w:bCs/>
              </w:rPr>
            </w:pPr>
            <w:r>
              <w:rPr>
                <w:rFonts w:eastAsia="Calibri" w:cs="Arial"/>
                <w:bCs/>
              </w:rPr>
              <w:t>V.</w:t>
            </w:r>
            <w:r>
              <w:rPr>
                <w:rFonts w:eastAsia="Calibri" w:cs="Arial"/>
                <w:bCs/>
              </w:rPr>
              <w:tab/>
              <w:t>Por la autorización de cada libro del protocolo abierto o cerrado de los notarios públicos,</w:t>
            </w:r>
          </w:p>
        </w:tc>
        <w:tc>
          <w:tcPr>
            <w:tcW w:w="1461" w:type="dxa"/>
            <w:tcBorders>
              <w:top w:val="nil"/>
              <w:left w:val="nil"/>
              <w:bottom w:val="nil"/>
              <w:right w:val="nil"/>
            </w:tcBorders>
          </w:tcPr>
          <w:p w14:paraId="2C16B55B" w14:textId="77777777" w:rsidR="00D3344B" w:rsidRDefault="00143C25">
            <w:pPr>
              <w:pStyle w:val="Estilo"/>
              <w:rPr>
                <w:rFonts w:cs="Arial"/>
                <w:bCs/>
              </w:rPr>
            </w:pPr>
            <w:r>
              <w:rPr>
                <w:rFonts w:eastAsia="Calibri" w:cs="Arial"/>
                <w:bCs/>
              </w:rPr>
              <w:t>150 UMA;</w:t>
            </w:r>
          </w:p>
        </w:tc>
      </w:tr>
      <w:tr w:rsidR="00D3344B" w14:paraId="38917C56" w14:textId="77777777">
        <w:trPr>
          <w:trHeight w:val="828"/>
        </w:trPr>
        <w:tc>
          <w:tcPr>
            <w:tcW w:w="7366" w:type="dxa"/>
            <w:tcBorders>
              <w:top w:val="nil"/>
              <w:left w:val="nil"/>
              <w:bottom w:val="nil"/>
              <w:right w:val="nil"/>
            </w:tcBorders>
          </w:tcPr>
          <w:p w14:paraId="4CA60981" w14:textId="77777777" w:rsidR="00D3344B" w:rsidRDefault="00143C25">
            <w:pPr>
              <w:pStyle w:val="Estilo"/>
              <w:ind w:left="454" w:right="175" w:hanging="454"/>
              <w:rPr>
                <w:rFonts w:cs="Arial"/>
                <w:bCs/>
              </w:rPr>
            </w:pPr>
            <w:r>
              <w:rPr>
                <w:rFonts w:eastAsia="Calibri" w:cs="Arial"/>
                <w:bCs/>
              </w:rPr>
              <w:t xml:space="preserve">VI. </w:t>
            </w:r>
            <w:r>
              <w:rPr>
                <w:rFonts w:eastAsia="Calibri" w:cs="Arial"/>
                <w:bCs/>
              </w:rPr>
              <w:tab/>
              <w:t>Por la autorización de cada libro de protocolo correspondiente a los actos en los que intervenga el Gobierno del Estado, la Federación, los ayuntamientos y las entidades paraestatales,</w:t>
            </w:r>
          </w:p>
        </w:tc>
        <w:tc>
          <w:tcPr>
            <w:tcW w:w="1461" w:type="dxa"/>
            <w:tcBorders>
              <w:top w:val="nil"/>
              <w:left w:val="nil"/>
              <w:bottom w:val="nil"/>
              <w:right w:val="nil"/>
            </w:tcBorders>
          </w:tcPr>
          <w:p w14:paraId="18C7804B" w14:textId="77777777" w:rsidR="00D3344B" w:rsidRDefault="00143C25">
            <w:pPr>
              <w:pStyle w:val="Estilo"/>
              <w:rPr>
                <w:rFonts w:cs="Arial"/>
                <w:bCs/>
              </w:rPr>
            </w:pPr>
            <w:r>
              <w:rPr>
                <w:rFonts w:eastAsia="Calibri" w:cs="Arial"/>
                <w:bCs/>
              </w:rPr>
              <w:t>10 UMA, y</w:t>
            </w:r>
          </w:p>
        </w:tc>
      </w:tr>
      <w:tr w:rsidR="00D3344B" w14:paraId="24C486A5" w14:textId="77777777">
        <w:trPr>
          <w:trHeight w:val="828"/>
        </w:trPr>
        <w:tc>
          <w:tcPr>
            <w:tcW w:w="7366" w:type="dxa"/>
            <w:tcBorders>
              <w:top w:val="nil"/>
              <w:left w:val="nil"/>
              <w:bottom w:val="nil"/>
              <w:right w:val="nil"/>
            </w:tcBorders>
          </w:tcPr>
          <w:p w14:paraId="405BC6D5" w14:textId="77777777" w:rsidR="00D3344B" w:rsidRDefault="00143C25">
            <w:pPr>
              <w:pStyle w:val="Estilo"/>
              <w:ind w:left="454" w:right="175" w:hanging="454"/>
              <w:rPr>
                <w:rFonts w:cs="Arial"/>
                <w:bCs/>
              </w:rPr>
            </w:pPr>
            <w:r>
              <w:rPr>
                <w:rFonts w:eastAsia="Calibri" w:cs="Arial"/>
                <w:bCs/>
              </w:rPr>
              <w:t>VII.</w:t>
            </w:r>
            <w:r>
              <w:rPr>
                <w:rFonts w:eastAsia="Calibri" w:cs="Arial"/>
                <w:bCs/>
              </w:rPr>
              <w:tab/>
              <w:t>Por la autorización de cada libro de cotejo,</w:t>
            </w:r>
          </w:p>
        </w:tc>
        <w:tc>
          <w:tcPr>
            <w:tcW w:w="1461" w:type="dxa"/>
            <w:tcBorders>
              <w:top w:val="nil"/>
              <w:left w:val="nil"/>
              <w:bottom w:val="nil"/>
              <w:right w:val="nil"/>
            </w:tcBorders>
          </w:tcPr>
          <w:p w14:paraId="1BE7C02F" w14:textId="77777777" w:rsidR="00D3344B" w:rsidRDefault="00143C25">
            <w:pPr>
              <w:pStyle w:val="Estilo"/>
              <w:rPr>
                <w:rFonts w:cs="Arial"/>
                <w:bCs/>
              </w:rPr>
            </w:pPr>
            <w:r>
              <w:rPr>
                <w:rFonts w:eastAsia="Calibri" w:cs="Arial"/>
                <w:bCs/>
              </w:rPr>
              <w:t>60 UMA.</w:t>
            </w:r>
          </w:p>
        </w:tc>
      </w:tr>
    </w:tbl>
    <w:p w14:paraId="226E2AEE" w14:textId="77777777" w:rsidR="00D3344B" w:rsidRDefault="00D3344B">
      <w:pPr>
        <w:pStyle w:val="Estilo"/>
        <w:rPr>
          <w:rFonts w:cs="Arial"/>
          <w:bCs/>
        </w:rPr>
      </w:pPr>
    </w:p>
    <w:p w14:paraId="7771AEC5" w14:textId="77777777" w:rsidR="00D3344B" w:rsidRDefault="00D3344B">
      <w:pPr>
        <w:pStyle w:val="Estilo"/>
        <w:rPr>
          <w:rFonts w:cs="Arial"/>
        </w:rPr>
      </w:pPr>
    </w:p>
    <w:p w14:paraId="5F4AB240" w14:textId="77777777" w:rsidR="00D3344B" w:rsidRDefault="00143C25">
      <w:pPr>
        <w:pStyle w:val="Estilo"/>
        <w:rPr>
          <w:rFonts w:cs="Arial"/>
        </w:rPr>
      </w:pPr>
      <w:r>
        <w:rPr>
          <w:rFonts w:cs="Arial"/>
          <w:i/>
          <w:sz w:val="16"/>
        </w:rPr>
        <w:lastRenderedPageBreak/>
        <w:t>N. DE E. EN RELACIÓN CON LA ENTRADA EN VIGOR DEL PRESENTE ARTÍCULO, VÉASE TRANSITORIO ÚNICO DEL DECRETO QUE MODIFICA EL CÓDIGO.</w:t>
      </w:r>
    </w:p>
    <w:p w14:paraId="4FA536A9" w14:textId="77777777" w:rsidR="00D3344B" w:rsidRDefault="00143C25">
      <w:pPr>
        <w:pStyle w:val="Estilo"/>
        <w:rPr>
          <w:rFonts w:cs="Arial"/>
        </w:rPr>
      </w:pPr>
      <w:r>
        <w:rPr>
          <w:rFonts w:cs="Arial"/>
          <w:b/>
        </w:rPr>
        <w:t>Artículo 152.</w:t>
      </w:r>
      <w:r>
        <w:rPr>
          <w:rFonts w:cs="Arial"/>
        </w:rPr>
        <w:t xml:space="preserve"> </w:t>
      </w:r>
      <w:r>
        <w:rPr>
          <w:rFonts w:cs="Arial"/>
          <w:i/>
          <w:sz w:val="16"/>
        </w:rPr>
        <w:t>(DEROGADO, P.O. 7 DE DICIEMBRE DE 2009)</w:t>
      </w:r>
    </w:p>
    <w:p w14:paraId="102EE370" w14:textId="77777777" w:rsidR="00D3344B" w:rsidRDefault="00D3344B">
      <w:pPr>
        <w:pStyle w:val="Estilo"/>
        <w:rPr>
          <w:rFonts w:cs="Arial"/>
        </w:rPr>
      </w:pPr>
    </w:p>
    <w:p w14:paraId="71D804B2" w14:textId="77777777" w:rsidR="00D3344B" w:rsidRDefault="00D3344B">
      <w:pPr>
        <w:pStyle w:val="Estilo"/>
        <w:rPr>
          <w:rFonts w:cs="Arial"/>
        </w:rPr>
      </w:pPr>
    </w:p>
    <w:p w14:paraId="073905AC" w14:textId="77777777" w:rsidR="00D3344B" w:rsidRDefault="00143C25">
      <w:pPr>
        <w:pStyle w:val="Estilo"/>
        <w:jc w:val="center"/>
        <w:rPr>
          <w:rStyle w:val="markedcontent"/>
          <w:rFonts w:cs="Arial"/>
          <w:i/>
          <w:iCs/>
          <w:sz w:val="16"/>
          <w:szCs w:val="16"/>
        </w:rPr>
      </w:pPr>
      <w:r>
        <w:rPr>
          <w:rStyle w:val="markedcontent"/>
          <w:rFonts w:cs="Arial"/>
          <w:i/>
          <w:iCs/>
          <w:sz w:val="16"/>
          <w:szCs w:val="16"/>
        </w:rPr>
        <w:t>(REFORMADA DENOMINACIÓN, P.O. 22 DE DICIEMBRE DE 2021)</w:t>
      </w:r>
    </w:p>
    <w:p w14:paraId="319B4544" w14:textId="77777777" w:rsidR="00D3344B" w:rsidRDefault="00143C25">
      <w:pPr>
        <w:pStyle w:val="Estilo"/>
        <w:jc w:val="center"/>
        <w:rPr>
          <w:rFonts w:cs="Arial"/>
          <w:b/>
          <w:bCs/>
          <w:sz w:val="22"/>
        </w:rPr>
      </w:pPr>
      <w:r>
        <w:rPr>
          <w:rStyle w:val="markedcontent"/>
          <w:rFonts w:cs="Arial"/>
          <w:b/>
          <w:bCs/>
          <w:sz w:val="22"/>
        </w:rPr>
        <w:t>Subsección Segunda</w:t>
      </w:r>
      <w:r>
        <w:rPr>
          <w:b/>
          <w:bCs/>
          <w:sz w:val="22"/>
        </w:rPr>
        <w:br/>
      </w:r>
      <w:r>
        <w:rPr>
          <w:rStyle w:val="markedcontent"/>
          <w:rFonts w:cs="Arial"/>
          <w:b/>
          <w:bCs/>
          <w:sz w:val="22"/>
        </w:rPr>
        <w:t>Derechos por los Servicios Prestados por la Secretaría de Movilidad y Transporte</w:t>
      </w:r>
    </w:p>
    <w:p w14:paraId="2CBD1ADF" w14:textId="77777777" w:rsidR="00D3344B" w:rsidRDefault="00D3344B">
      <w:pPr>
        <w:pStyle w:val="Estilo"/>
        <w:rPr>
          <w:rFonts w:cs="Arial"/>
        </w:rPr>
      </w:pPr>
    </w:p>
    <w:p w14:paraId="6DBC9654"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76E012FE" w14:textId="77777777" w:rsidR="00D3344B" w:rsidRDefault="00143C25">
      <w:pPr>
        <w:pStyle w:val="Estilo"/>
        <w:rPr>
          <w:rFonts w:cs="Arial"/>
        </w:rPr>
      </w:pPr>
      <w:r>
        <w:rPr>
          <w:rFonts w:cs="Arial"/>
          <w:b/>
        </w:rPr>
        <w:t>Artículo 153.</w:t>
      </w:r>
      <w:r>
        <w:rPr>
          <w:rFonts w:cs="Arial"/>
        </w:rPr>
        <w:t xml:space="preserve"> Los servicios prestados por la Secretaría de Movilidad y Transporte del Estado, causarán los derechos siguientes:</w:t>
      </w:r>
    </w:p>
    <w:p w14:paraId="0D458B7E" w14:textId="77777777" w:rsidR="00D3344B" w:rsidRDefault="00D3344B">
      <w:pPr>
        <w:pStyle w:val="Estilo"/>
        <w:rPr>
          <w:rFonts w:cs="Arial"/>
        </w:rPr>
      </w:pPr>
    </w:p>
    <w:p w14:paraId="400525EF" w14:textId="77777777" w:rsidR="00D3344B" w:rsidRDefault="00D3344B">
      <w:pPr>
        <w:pStyle w:val="Estilo"/>
        <w:rPr>
          <w:rFonts w:cs="Arial"/>
        </w:rPr>
      </w:pPr>
    </w:p>
    <w:tbl>
      <w:tblPr>
        <w:tblW w:w="5000" w:type="pct"/>
        <w:tblLayout w:type="fixed"/>
        <w:tblCellMar>
          <w:left w:w="70" w:type="dxa"/>
          <w:right w:w="70" w:type="dxa"/>
        </w:tblCellMar>
        <w:tblLook w:val="04A0" w:firstRow="1" w:lastRow="0" w:firstColumn="1" w:lastColumn="0" w:noHBand="0" w:noVBand="1"/>
      </w:tblPr>
      <w:tblGrid>
        <w:gridCol w:w="725"/>
        <w:gridCol w:w="6355"/>
        <w:gridCol w:w="1758"/>
      </w:tblGrid>
      <w:tr w:rsidR="00D3344B" w14:paraId="33E62208" w14:textId="77777777">
        <w:trPr>
          <w:cantSplit/>
        </w:trPr>
        <w:tc>
          <w:tcPr>
            <w:tcW w:w="802" w:type="dxa"/>
          </w:tcPr>
          <w:p w14:paraId="208D0E67" w14:textId="77777777" w:rsidR="00D3344B" w:rsidRDefault="00D3344B">
            <w:pPr>
              <w:pStyle w:val="Sinespaciado"/>
              <w:widowControl w:val="0"/>
              <w:spacing w:line="276" w:lineRule="auto"/>
              <w:jc w:val="center"/>
              <w:rPr>
                <w:rFonts w:ascii="Arial" w:hAnsi="Arial" w:cs="Arial"/>
                <w:b/>
              </w:rPr>
            </w:pPr>
          </w:p>
        </w:tc>
        <w:tc>
          <w:tcPr>
            <w:tcW w:w="7195" w:type="dxa"/>
            <w:vAlign w:val="center"/>
          </w:tcPr>
          <w:p w14:paraId="5E6E5152" w14:textId="77777777" w:rsidR="00D3344B" w:rsidRDefault="00143C25">
            <w:pPr>
              <w:pStyle w:val="Sinespaciado"/>
              <w:widowControl w:val="0"/>
              <w:spacing w:line="276" w:lineRule="auto"/>
              <w:jc w:val="center"/>
              <w:rPr>
                <w:rFonts w:ascii="Arial" w:hAnsi="Arial" w:cs="Arial"/>
                <w:b/>
              </w:rPr>
            </w:pPr>
            <w:r>
              <w:rPr>
                <w:rFonts w:ascii="Arial" w:hAnsi="Arial" w:cs="Arial"/>
                <w:b/>
              </w:rPr>
              <w:t>CONCEPTO</w:t>
            </w:r>
          </w:p>
        </w:tc>
        <w:tc>
          <w:tcPr>
            <w:tcW w:w="1975" w:type="dxa"/>
            <w:vAlign w:val="center"/>
          </w:tcPr>
          <w:p w14:paraId="493290B4" w14:textId="77777777" w:rsidR="00D3344B" w:rsidRDefault="00143C25">
            <w:pPr>
              <w:pStyle w:val="Sinespaciado"/>
              <w:widowControl w:val="0"/>
              <w:spacing w:line="276" w:lineRule="auto"/>
              <w:ind w:left="213"/>
              <w:jc w:val="center"/>
              <w:rPr>
                <w:rFonts w:ascii="Arial" w:hAnsi="Arial" w:cs="Arial"/>
                <w:b/>
              </w:rPr>
            </w:pPr>
            <w:r>
              <w:rPr>
                <w:rFonts w:ascii="Arial" w:hAnsi="Arial" w:cs="Arial"/>
                <w:b/>
              </w:rPr>
              <w:t>DERECHOS CAUSADOS</w:t>
            </w:r>
          </w:p>
        </w:tc>
      </w:tr>
      <w:tr w:rsidR="00D3344B" w14:paraId="3A3658F6" w14:textId="77777777">
        <w:trPr>
          <w:cantSplit/>
        </w:trPr>
        <w:tc>
          <w:tcPr>
            <w:tcW w:w="802" w:type="dxa"/>
          </w:tcPr>
          <w:p w14:paraId="1EB4622D" w14:textId="77777777" w:rsidR="00D3344B" w:rsidRDefault="00D3344B">
            <w:pPr>
              <w:pStyle w:val="Sinespaciado"/>
              <w:widowControl w:val="0"/>
              <w:spacing w:line="276" w:lineRule="auto"/>
              <w:rPr>
                <w:rFonts w:ascii="Arial" w:hAnsi="Arial" w:cs="Arial"/>
                <w:i/>
                <w:sz w:val="16"/>
                <w:szCs w:val="16"/>
              </w:rPr>
            </w:pPr>
          </w:p>
        </w:tc>
        <w:tc>
          <w:tcPr>
            <w:tcW w:w="7195" w:type="dxa"/>
            <w:vAlign w:val="bottom"/>
          </w:tcPr>
          <w:p w14:paraId="092726F3"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(REFORMADO PRIMER PÁRRAFO, P.O. 31 DE DICIEMBRE DE 2007)</w:t>
            </w:r>
          </w:p>
        </w:tc>
        <w:tc>
          <w:tcPr>
            <w:tcW w:w="1975" w:type="dxa"/>
            <w:vAlign w:val="center"/>
          </w:tcPr>
          <w:p w14:paraId="3E0E0082" w14:textId="77777777" w:rsidR="00D3344B" w:rsidRDefault="00D3344B">
            <w:pPr>
              <w:pStyle w:val="Sinespaciado"/>
              <w:widowControl w:val="0"/>
              <w:spacing w:line="276" w:lineRule="auto"/>
              <w:ind w:left="213"/>
              <w:jc w:val="center"/>
              <w:rPr>
                <w:rFonts w:ascii="Arial" w:hAnsi="Arial" w:cs="Arial"/>
                <w:b/>
              </w:rPr>
            </w:pPr>
          </w:p>
        </w:tc>
      </w:tr>
      <w:tr w:rsidR="00D3344B" w14:paraId="0035777B" w14:textId="77777777">
        <w:trPr>
          <w:cantSplit/>
          <w:trHeight w:val="873"/>
        </w:trPr>
        <w:tc>
          <w:tcPr>
            <w:tcW w:w="802" w:type="dxa"/>
          </w:tcPr>
          <w:p w14:paraId="51FFB81F" w14:textId="77777777" w:rsidR="00D3344B" w:rsidRDefault="00143C25">
            <w:pPr>
              <w:pStyle w:val="Sinespaciado"/>
              <w:widowControl w:val="0"/>
              <w:spacing w:line="276" w:lineRule="auto"/>
              <w:rPr>
                <w:rFonts w:ascii="Arial" w:hAnsi="Arial" w:cs="Arial"/>
                <w:i/>
                <w:sz w:val="16"/>
                <w:szCs w:val="16"/>
              </w:rPr>
            </w:pPr>
            <w:r>
              <w:rPr>
                <w:rFonts w:ascii="Arial" w:hAnsi="Arial" w:cs="Arial"/>
              </w:rPr>
              <w:t>I.</w:t>
            </w:r>
          </w:p>
        </w:tc>
        <w:tc>
          <w:tcPr>
            <w:tcW w:w="9170" w:type="dxa"/>
            <w:gridSpan w:val="2"/>
          </w:tcPr>
          <w:p w14:paraId="5A476689" w14:textId="77777777" w:rsidR="00D3344B" w:rsidRDefault="00143C25">
            <w:pPr>
              <w:pStyle w:val="Sinespaciado"/>
              <w:widowControl w:val="0"/>
              <w:spacing w:line="276" w:lineRule="auto"/>
              <w:ind w:left="213"/>
              <w:jc w:val="both"/>
              <w:rPr>
                <w:rFonts w:ascii="Arial" w:hAnsi="Arial" w:cs="Arial"/>
                <w:b/>
              </w:rPr>
            </w:pPr>
            <w:proofErr w:type="spellStart"/>
            <w:r>
              <w:rPr>
                <w:rFonts w:ascii="Arial" w:hAnsi="Arial" w:cs="Arial"/>
              </w:rPr>
              <w:t>Expedición</w:t>
            </w:r>
            <w:proofErr w:type="spellEnd"/>
            <w:r>
              <w:rPr>
                <w:rFonts w:ascii="Arial" w:hAnsi="Arial" w:cs="Arial"/>
              </w:rPr>
              <w:t xml:space="preserve">, </w:t>
            </w:r>
            <w:proofErr w:type="spellStart"/>
            <w:r>
              <w:rPr>
                <w:rFonts w:ascii="Arial" w:hAnsi="Arial" w:cs="Arial"/>
              </w:rPr>
              <w:t>canje</w:t>
            </w:r>
            <w:proofErr w:type="spellEnd"/>
            <w:r>
              <w:rPr>
                <w:rFonts w:ascii="Arial" w:hAnsi="Arial" w:cs="Arial"/>
              </w:rPr>
              <w:t xml:space="preserve"> o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licencias</w:t>
            </w:r>
            <w:proofErr w:type="spellEnd"/>
            <w:r>
              <w:rPr>
                <w:rFonts w:ascii="Arial" w:hAnsi="Arial" w:cs="Arial"/>
              </w:rPr>
              <w:t xml:space="preserve"> para la </w:t>
            </w:r>
            <w:proofErr w:type="spellStart"/>
            <w:r>
              <w:rPr>
                <w:rFonts w:ascii="Arial" w:hAnsi="Arial" w:cs="Arial"/>
              </w:rPr>
              <w:t>conducción</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y </w:t>
            </w:r>
            <w:proofErr w:type="spellStart"/>
            <w:r>
              <w:rPr>
                <w:rFonts w:ascii="Arial" w:hAnsi="Arial" w:cs="Arial"/>
              </w:rPr>
              <w:t>otros</w:t>
            </w:r>
            <w:proofErr w:type="spellEnd"/>
            <w:r>
              <w:rPr>
                <w:rFonts w:ascii="Arial" w:hAnsi="Arial" w:cs="Arial"/>
              </w:rPr>
              <w:t xml:space="preserve"> </w:t>
            </w:r>
            <w:proofErr w:type="spellStart"/>
            <w:r>
              <w:rPr>
                <w:rFonts w:ascii="Arial" w:hAnsi="Arial" w:cs="Arial"/>
              </w:rPr>
              <w:t>servicios</w:t>
            </w:r>
            <w:proofErr w:type="spellEnd"/>
            <w:r>
              <w:rPr>
                <w:rFonts w:ascii="Arial" w:hAnsi="Arial" w:cs="Arial"/>
              </w:rPr>
              <w:t>:</w:t>
            </w:r>
          </w:p>
        </w:tc>
      </w:tr>
      <w:tr w:rsidR="00D3344B" w14:paraId="677C6E0B" w14:textId="77777777">
        <w:trPr>
          <w:cantSplit/>
        </w:trPr>
        <w:tc>
          <w:tcPr>
            <w:tcW w:w="802" w:type="dxa"/>
          </w:tcPr>
          <w:p w14:paraId="1E3557C4" w14:textId="77777777" w:rsidR="00D3344B" w:rsidRDefault="00D3344B">
            <w:pPr>
              <w:pStyle w:val="Sinespaciado"/>
              <w:widowControl w:val="0"/>
              <w:spacing w:line="276" w:lineRule="auto"/>
              <w:rPr>
                <w:rFonts w:ascii="Arial" w:hAnsi="Arial" w:cs="Arial"/>
              </w:rPr>
            </w:pPr>
          </w:p>
        </w:tc>
        <w:tc>
          <w:tcPr>
            <w:tcW w:w="7195" w:type="dxa"/>
            <w:vAlign w:val="bottom"/>
          </w:tcPr>
          <w:p w14:paraId="7F74C8E0" w14:textId="77777777" w:rsidR="00D3344B" w:rsidRDefault="00143C25">
            <w:pPr>
              <w:pStyle w:val="Sinespaciado"/>
              <w:widowControl w:val="0"/>
              <w:spacing w:line="276" w:lineRule="auto"/>
              <w:rPr>
                <w:rFonts w:ascii="Arial" w:hAnsi="Arial" w:cs="Arial"/>
              </w:rPr>
            </w:pPr>
            <w:r>
              <w:rPr>
                <w:rFonts w:ascii="Arial" w:hAnsi="Arial" w:cs="Arial"/>
                <w:i/>
                <w:sz w:val="16"/>
              </w:rPr>
              <w:t>(REFORMADO, P.O. 21 DE JUNIO DE 2021)</w:t>
            </w:r>
          </w:p>
        </w:tc>
        <w:tc>
          <w:tcPr>
            <w:tcW w:w="1975" w:type="dxa"/>
            <w:vAlign w:val="center"/>
          </w:tcPr>
          <w:p w14:paraId="3E4B3D53" w14:textId="77777777" w:rsidR="00D3344B" w:rsidRDefault="00D3344B">
            <w:pPr>
              <w:pStyle w:val="Sinespaciado"/>
              <w:widowControl w:val="0"/>
              <w:spacing w:line="276" w:lineRule="auto"/>
              <w:ind w:left="213"/>
              <w:jc w:val="center"/>
              <w:rPr>
                <w:rFonts w:ascii="Arial" w:hAnsi="Arial" w:cs="Arial"/>
                <w:b/>
              </w:rPr>
            </w:pPr>
          </w:p>
        </w:tc>
      </w:tr>
      <w:tr w:rsidR="00D3344B" w14:paraId="287ADBB7" w14:textId="77777777">
        <w:trPr>
          <w:cantSplit/>
          <w:trHeight w:val="1139"/>
        </w:trPr>
        <w:tc>
          <w:tcPr>
            <w:tcW w:w="802" w:type="dxa"/>
          </w:tcPr>
          <w:p w14:paraId="2B96947B" w14:textId="77777777" w:rsidR="00D3344B" w:rsidRDefault="00D3344B">
            <w:pPr>
              <w:pStyle w:val="Sinespaciado"/>
              <w:widowControl w:val="0"/>
              <w:spacing w:line="276" w:lineRule="auto"/>
              <w:rPr>
                <w:rFonts w:ascii="Arial" w:hAnsi="Arial" w:cs="Arial"/>
              </w:rPr>
            </w:pPr>
          </w:p>
        </w:tc>
        <w:tc>
          <w:tcPr>
            <w:tcW w:w="7195" w:type="dxa"/>
          </w:tcPr>
          <w:p w14:paraId="4ACB0F85"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a)</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chofer</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A, con </w:t>
            </w:r>
            <w:proofErr w:type="spellStart"/>
            <w:r>
              <w:rPr>
                <w:rFonts w:ascii="Arial" w:hAnsi="Arial" w:cs="Arial"/>
              </w:rPr>
              <w:t>vigencia</w:t>
            </w:r>
            <w:proofErr w:type="spellEnd"/>
            <w:r>
              <w:rPr>
                <w:rFonts w:ascii="Arial" w:hAnsi="Arial" w:cs="Arial"/>
              </w:rPr>
              <w:t xml:space="preserve"> de dos </w:t>
            </w:r>
            <w:proofErr w:type="spellStart"/>
            <w:r>
              <w:rPr>
                <w:rFonts w:ascii="Arial" w:hAnsi="Arial" w:cs="Arial"/>
              </w:rPr>
              <w:t>años</w:t>
            </w:r>
            <w:proofErr w:type="spellEnd"/>
            <w:r>
              <w:rPr>
                <w:rFonts w:ascii="Arial" w:hAnsi="Arial" w:cs="Arial"/>
              </w:rPr>
              <w:t xml:space="preserve">. </w:t>
            </w:r>
            <w:proofErr w:type="spellStart"/>
            <w:r>
              <w:rPr>
                <w:rFonts w:ascii="Arial" w:hAnsi="Arial" w:cs="Arial"/>
              </w:rPr>
              <w:t>Incluye</w:t>
            </w:r>
            <w:proofErr w:type="spellEnd"/>
            <w:r>
              <w:rPr>
                <w:rFonts w:ascii="Arial" w:hAnsi="Arial" w:cs="Arial"/>
              </w:rPr>
              <w:t xml:space="preserve"> </w:t>
            </w:r>
            <w:proofErr w:type="spellStart"/>
            <w:r>
              <w:rPr>
                <w:rFonts w:ascii="Arial" w:hAnsi="Arial" w:cs="Arial"/>
              </w:rPr>
              <w:t>tarjetón</w:t>
            </w:r>
            <w:proofErr w:type="spellEnd"/>
            <w:r>
              <w:rPr>
                <w:rFonts w:ascii="Arial" w:hAnsi="Arial" w:cs="Arial"/>
              </w:rPr>
              <w:t xml:space="preserve"> de </w:t>
            </w:r>
            <w:proofErr w:type="spellStart"/>
            <w:r>
              <w:rPr>
                <w:rFonts w:ascii="Arial" w:hAnsi="Arial" w:cs="Arial"/>
              </w:rPr>
              <w:t>identificación</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para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de carga.  </w:t>
            </w:r>
          </w:p>
        </w:tc>
        <w:tc>
          <w:tcPr>
            <w:tcW w:w="1975" w:type="dxa"/>
          </w:tcPr>
          <w:p w14:paraId="6B1F3D2D"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8.5 UMA </w:t>
            </w:r>
          </w:p>
        </w:tc>
      </w:tr>
      <w:tr w:rsidR="00D3344B" w14:paraId="7BFC77B6" w14:textId="77777777">
        <w:trPr>
          <w:cantSplit/>
          <w:trHeight w:val="377"/>
        </w:trPr>
        <w:tc>
          <w:tcPr>
            <w:tcW w:w="802" w:type="dxa"/>
          </w:tcPr>
          <w:p w14:paraId="0C4BB268" w14:textId="77777777" w:rsidR="00D3344B" w:rsidRDefault="00D3344B">
            <w:pPr>
              <w:pStyle w:val="Sinespaciado"/>
              <w:widowControl w:val="0"/>
              <w:spacing w:line="276" w:lineRule="auto"/>
              <w:rPr>
                <w:rFonts w:ascii="Arial" w:hAnsi="Arial" w:cs="Arial"/>
              </w:rPr>
            </w:pPr>
          </w:p>
        </w:tc>
        <w:tc>
          <w:tcPr>
            <w:tcW w:w="7195" w:type="dxa"/>
            <w:vAlign w:val="bottom"/>
          </w:tcPr>
          <w:p w14:paraId="4F07F8BA"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7FDDD334" w14:textId="77777777" w:rsidR="00D3344B" w:rsidRDefault="00D3344B">
            <w:pPr>
              <w:pStyle w:val="Sinespaciado"/>
              <w:widowControl w:val="0"/>
              <w:spacing w:line="276" w:lineRule="auto"/>
              <w:ind w:left="213"/>
              <w:rPr>
                <w:rFonts w:ascii="Arial" w:eastAsia="Times New Roman" w:hAnsi="Arial" w:cs="Arial"/>
                <w:b/>
              </w:rPr>
            </w:pPr>
          </w:p>
        </w:tc>
      </w:tr>
      <w:tr w:rsidR="00D3344B" w14:paraId="60533F69" w14:textId="77777777">
        <w:trPr>
          <w:cantSplit/>
          <w:trHeight w:val="843"/>
        </w:trPr>
        <w:tc>
          <w:tcPr>
            <w:tcW w:w="802" w:type="dxa"/>
          </w:tcPr>
          <w:p w14:paraId="1F896AD8" w14:textId="77777777" w:rsidR="00D3344B" w:rsidRDefault="00D3344B">
            <w:pPr>
              <w:pStyle w:val="Sinespaciado"/>
              <w:widowControl w:val="0"/>
              <w:spacing w:line="276" w:lineRule="auto"/>
              <w:rPr>
                <w:rFonts w:ascii="Arial" w:hAnsi="Arial" w:cs="Arial"/>
              </w:rPr>
            </w:pPr>
          </w:p>
        </w:tc>
        <w:tc>
          <w:tcPr>
            <w:tcW w:w="7195" w:type="dxa"/>
          </w:tcPr>
          <w:p w14:paraId="75D49F55" w14:textId="77777777" w:rsidR="00D3344B" w:rsidRDefault="00143C25">
            <w:pPr>
              <w:pStyle w:val="Sinespaciado"/>
              <w:widowControl w:val="0"/>
              <w:spacing w:line="276" w:lineRule="auto"/>
              <w:ind w:left="494" w:hanging="494"/>
              <w:rPr>
                <w:rFonts w:ascii="Arial" w:hAnsi="Arial" w:cs="Arial"/>
                <w:i/>
                <w:sz w:val="16"/>
                <w:szCs w:val="16"/>
              </w:rPr>
            </w:pPr>
            <w:r>
              <w:rPr>
                <w:rFonts w:ascii="Arial" w:eastAsia="Times New Roman" w:hAnsi="Arial" w:cs="Arial"/>
                <w:b/>
              </w:rPr>
              <w:t>b)</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chofer</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B, con </w:t>
            </w:r>
            <w:proofErr w:type="spellStart"/>
            <w:r>
              <w:rPr>
                <w:rFonts w:ascii="Arial" w:hAnsi="Arial" w:cs="Arial"/>
              </w:rPr>
              <w:t>vigencia</w:t>
            </w:r>
            <w:proofErr w:type="spellEnd"/>
            <w:r>
              <w:rPr>
                <w:rFonts w:ascii="Arial" w:hAnsi="Arial" w:cs="Arial"/>
              </w:rPr>
              <w:t xml:space="preserve"> de dos </w:t>
            </w:r>
            <w:proofErr w:type="spellStart"/>
            <w:r>
              <w:rPr>
                <w:rFonts w:ascii="Arial" w:hAnsi="Arial" w:cs="Arial"/>
              </w:rPr>
              <w:t>años</w:t>
            </w:r>
            <w:proofErr w:type="spellEnd"/>
            <w:r>
              <w:rPr>
                <w:rFonts w:ascii="Arial" w:hAnsi="Arial" w:cs="Arial"/>
              </w:rPr>
              <w:t xml:space="preserve">.  </w:t>
            </w:r>
          </w:p>
        </w:tc>
        <w:tc>
          <w:tcPr>
            <w:tcW w:w="1975" w:type="dxa"/>
          </w:tcPr>
          <w:p w14:paraId="78F168ED"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6.5 UMA </w:t>
            </w:r>
          </w:p>
        </w:tc>
      </w:tr>
      <w:tr w:rsidR="00D3344B" w14:paraId="3F69F10A" w14:textId="77777777">
        <w:trPr>
          <w:cantSplit/>
          <w:trHeight w:val="295"/>
        </w:trPr>
        <w:tc>
          <w:tcPr>
            <w:tcW w:w="802" w:type="dxa"/>
          </w:tcPr>
          <w:p w14:paraId="74B48DF6" w14:textId="77777777" w:rsidR="00D3344B" w:rsidRDefault="00D3344B">
            <w:pPr>
              <w:pStyle w:val="Sinespaciado"/>
              <w:widowControl w:val="0"/>
              <w:spacing w:line="276" w:lineRule="auto"/>
              <w:rPr>
                <w:rFonts w:ascii="Arial" w:hAnsi="Arial" w:cs="Arial"/>
              </w:rPr>
            </w:pPr>
          </w:p>
        </w:tc>
        <w:tc>
          <w:tcPr>
            <w:tcW w:w="7195" w:type="dxa"/>
            <w:vAlign w:val="bottom"/>
          </w:tcPr>
          <w:p w14:paraId="4DB70902"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01E16846" w14:textId="77777777" w:rsidR="00D3344B" w:rsidRDefault="00D3344B">
            <w:pPr>
              <w:pStyle w:val="Sinespaciado"/>
              <w:widowControl w:val="0"/>
              <w:spacing w:line="276" w:lineRule="auto"/>
              <w:ind w:left="213"/>
              <w:rPr>
                <w:rFonts w:ascii="Arial" w:eastAsia="Times New Roman" w:hAnsi="Arial" w:cs="Arial"/>
                <w:b/>
              </w:rPr>
            </w:pPr>
          </w:p>
        </w:tc>
      </w:tr>
      <w:tr w:rsidR="00D3344B" w14:paraId="607682CB" w14:textId="77777777">
        <w:trPr>
          <w:cantSplit/>
          <w:trHeight w:val="713"/>
        </w:trPr>
        <w:tc>
          <w:tcPr>
            <w:tcW w:w="802" w:type="dxa"/>
          </w:tcPr>
          <w:p w14:paraId="5E50DB88" w14:textId="77777777" w:rsidR="00D3344B" w:rsidRDefault="00D3344B">
            <w:pPr>
              <w:pStyle w:val="Sinespaciado"/>
              <w:widowControl w:val="0"/>
              <w:spacing w:line="276" w:lineRule="auto"/>
              <w:rPr>
                <w:rFonts w:ascii="Arial" w:hAnsi="Arial" w:cs="Arial"/>
              </w:rPr>
            </w:pPr>
          </w:p>
        </w:tc>
        <w:tc>
          <w:tcPr>
            <w:tcW w:w="7195" w:type="dxa"/>
          </w:tcPr>
          <w:p w14:paraId="5F02EB83"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c)</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chofer</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B, con </w:t>
            </w:r>
            <w:proofErr w:type="spellStart"/>
            <w:r>
              <w:rPr>
                <w:rFonts w:ascii="Arial" w:hAnsi="Arial" w:cs="Arial"/>
              </w:rPr>
              <w:t>vigencia</w:t>
            </w:r>
            <w:proofErr w:type="spellEnd"/>
            <w:r>
              <w:rPr>
                <w:rFonts w:ascii="Arial" w:hAnsi="Arial" w:cs="Arial"/>
              </w:rPr>
              <w:t xml:space="preserve"> de </w:t>
            </w:r>
            <w:proofErr w:type="spellStart"/>
            <w:r>
              <w:rPr>
                <w:rFonts w:ascii="Arial" w:hAnsi="Arial" w:cs="Arial"/>
              </w:rPr>
              <w:t>cinco</w:t>
            </w:r>
            <w:proofErr w:type="spellEnd"/>
            <w:r>
              <w:rPr>
                <w:rFonts w:ascii="Arial" w:hAnsi="Arial" w:cs="Arial"/>
              </w:rPr>
              <w:t xml:space="preserve"> </w:t>
            </w:r>
            <w:proofErr w:type="spellStart"/>
            <w:r>
              <w:rPr>
                <w:rFonts w:ascii="Arial" w:hAnsi="Arial" w:cs="Arial"/>
              </w:rPr>
              <w:t>años</w:t>
            </w:r>
            <w:proofErr w:type="spellEnd"/>
            <w:r>
              <w:rPr>
                <w:rFonts w:ascii="Arial" w:hAnsi="Arial" w:cs="Arial"/>
              </w:rPr>
              <w:t xml:space="preserve">. </w:t>
            </w:r>
          </w:p>
        </w:tc>
        <w:tc>
          <w:tcPr>
            <w:tcW w:w="1975" w:type="dxa"/>
          </w:tcPr>
          <w:p w14:paraId="0E11EB24"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15.5 UMA </w:t>
            </w:r>
          </w:p>
        </w:tc>
      </w:tr>
      <w:tr w:rsidR="00D3344B" w14:paraId="76243CF9" w14:textId="77777777">
        <w:trPr>
          <w:cantSplit/>
          <w:trHeight w:val="125"/>
        </w:trPr>
        <w:tc>
          <w:tcPr>
            <w:tcW w:w="802" w:type="dxa"/>
          </w:tcPr>
          <w:p w14:paraId="3D8480DC" w14:textId="77777777" w:rsidR="00D3344B" w:rsidRDefault="00D3344B">
            <w:pPr>
              <w:pStyle w:val="Sinespaciado"/>
              <w:widowControl w:val="0"/>
              <w:spacing w:line="276" w:lineRule="auto"/>
              <w:rPr>
                <w:rFonts w:ascii="Arial" w:hAnsi="Arial" w:cs="Arial"/>
              </w:rPr>
            </w:pPr>
          </w:p>
        </w:tc>
        <w:tc>
          <w:tcPr>
            <w:tcW w:w="7195" w:type="dxa"/>
            <w:vAlign w:val="bottom"/>
          </w:tcPr>
          <w:p w14:paraId="1F504CF8"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66A57FC9" w14:textId="77777777" w:rsidR="00D3344B" w:rsidRDefault="00D3344B">
            <w:pPr>
              <w:pStyle w:val="Sinespaciado"/>
              <w:widowControl w:val="0"/>
              <w:spacing w:line="276" w:lineRule="auto"/>
              <w:ind w:left="213"/>
              <w:rPr>
                <w:rFonts w:ascii="Arial" w:eastAsia="Times New Roman" w:hAnsi="Arial" w:cs="Arial"/>
                <w:b/>
              </w:rPr>
            </w:pPr>
          </w:p>
        </w:tc>
      </w:tr>
      <w:tr w:rsidR="00D3344B" w14:paraId="16386A68" w14:textId="77777777">
        <w:trPr>
          <w:cantSplit/>
        </w:trPr>
        <w:tc>
          <w:tcPr>
            <w:tcW w:w="802" w:type="dxa"/>
          </w:tcPr>
          <w:p w14:paraId="67441F6E" w14:textId="77777777" w:rsidR="00D3344B" w:rsidRDefault="00D3344B">
            <w:pPr>
              <w:pStyle w:val="Sinespaciado"/>
              <w:widowControl w:val="0"/>
              <w:spacing w:line="276" w:lineRule="auto"/>
              <w:rPr>
                <w:rFonts w:ascii="Arial" w:hAnsi="Arial" w:cs="Arial"/>
              </w:rPr>
            </w:pPr>
          </w:p>
        </w:tc>
        <w:tc>
          <w:tcPr>
            <w:tcW w:w="7195" w:type="dxa"/>
          </w:tcPr>
          <w:p w14:paraId="3B76AC48"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d)</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automovilista</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C, con </w:t>
            </w:r>
            <w:proofErr w:type="spellStart"/>
            <w:r>
              <w:rPr>
                <w:rFonts w:ascii="Arial" w:hAnsi="Arial" w:cs="Arial"/>
              </w:rPr>
              <w:t>vigencia</w:t>
            </w:r>
            <w:proofErr w:type="spellEnd"/>
            <w:r>
              <w:rPr>
                <w:rFonts w:ascii="Arial" w:hAnsi="Arial" w:cs="Arial"/>
              </w:rPr>
              <w:t xml:space="preserve"> de dos </w:t>
            </w:r>
            <w:proofErr w:type="spellStart"/>
            <w:r>
              <w:rPr>
                <w:rFonts w:ascii="Arial" w:hAnsi="Arial" w:cs="Arial"/>
              </w:rPr>
              <w:t>años</w:t>
            </w:r>
            <w:proofErr w:type="spellEnd"/>
            <w:r>
              <w:rPr>
                <w:rFonts w:ascii="Arial" w:hAnsi="Arial" w:cs="Arial"/>
              </w:rPr>
              <w:t xml:space="preserve">. </w:t>
            </w:r>
          </w:p>
        </w:tc>
        <w:tc>
          <w:tcPr>
            <w:tcW w:w="1975" w:type="dxa"/>
          </w:tcPr>
          <w:p w14:paraId="52BC2085"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4.5 UMA </w:t>
            </w:r>
          </w:p>
        </w:tc>
      </w:tr>
      <w:tr w:rsidR="00D3344B" w14:paraId="1622AC6D" w14:textId="77777777">
        <w:trPr>
          <w:cantSplit/>
        </w:trPr>
        <w:tc>
          <w:tcPr>
            <w:tcW w:w="802" w:type="dxa"/>
          </w:tcPr>
          <w:p w14:paraId="0D56D454" w14:textId="77777777" w:rsidR="00D3344B" w:rsidRDefault="00D3344B">
            <w:pPr>
              <w:pStyle w:val="Sinespaciado"/>
              <w:widowControl w:val="0"/>
              <w:spacing w:line="276" w:lineRule="auto"/>
              <w:rPr>
                <w:rFonts w:ascii="Arial" w:hAnsi="Arial" w:cs="Arial"/>
              </w:rPr>
            </w:pPr>
          </w:p>
        </w:tc>
        <w:tc>
          <w:tcPr>
            <w:tcW w:w="7195" w:type="dxa"/>
            <w:vAlign w:val="bottom"/>
          </w:tcPr>
          <w:p w14:paraId="571C4500"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728FEA76" w14:textId="77777777" w:rsidR="00D3344B" w:rsidRDefault="00D3344B">
            <w:pPr>
              <w:pStyle w:val="Sinespaciado"/>
              <w:widowControl w:val="0"/>
              <w:spacing w:line="276" w:lineRule="auto"/>
              <w:ind w:left="213"/>
              <w:rPr>
                <w:rFonts w:ascii="Arial" w:eastAsia="Times New Roman" w:hAnsi="Arial" w:cs="Arial"/>
                <w:b/>
              </w:rPr>
            </w:pPr>
          </w:p>
        </w:tc>
      </w:tr>
      <w:tr w:rsidR="00D3344B" w14:paraId="6B7D43B7" w14:textId="77777777">
        <w:trPr>
          <w:cantSplit/>
          <w:trHeight w:val="860"/>
        </w:trPr>
        <w:tc>
          <w:tcPr>
            <w:tcW w:w="802" w:type="dxa"/>
          </w:tcPr>
          <w:p w14:paraId="4B3D994E" w14:textId="77777777" w:rsidR="00D3344B" w:rsidRDefault="00D3344B">
            <w:pPr>
              <w:pStyle w:val="Sinespaciado"/>
              <w:widowControl w:val="0"/>
              <w:spacing w:line="276" w:lineRule="auto"/>
              <w:rPr>
                <w:rFonts w:ascii="Arial" w:hAnsi="Arial" w:cs="Arial"/>
              </w:rPr>
            </w:pPr>
          </w:p>
        </w:tc>
        <w:tc>
          <w:tcPr>
            <w:tcW w:w="7195" w:type="dxa"/>
          </w:tcPr>
          <w:p w14:paraId="152F18A9"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e)</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automovilista</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C, con </w:t>
            </w:r>
            <w:proofErr w:type="spellStart"/>
            <w:r>
              <w:rPr>
                <w:rFonts w:ascii="Arial" w:hAnsi="Arial" w:cs="Arial"/>
              </w:rPr>
              <w:t>vigencia</w:t>
            </w:r>
            <w:proofErr w:type="spellEnd"/>
            <w:r>
              <w:rPr>
                <w:rFonts w:ascii="Arial" w:hAnsi="Arial" w:cs="Arial"/>
              </w:rPr>
              <w:t xml:space="preserve"> de </w:t>
            </w:r>
            <w:proofErr w:type="spellStart"/>
            <w:r>
              <w:rPr>
                <w:rFonts w:ascii="Arial" w:hAnsi="Arial" w:cs="Arial"/>
              </w:rPr>
              <w:t>cinco</w:t>
            </w:r>
            <w:proofErr w:type="spellEnd"/>
            <w:r>
              <w:rPr>
                <w:rFonts w:ascii="Arial" w:hAnsi="Arial" w:cs="Arial"/>
              </w:rPr>
              <w:t xml:space="preserve"> </w:t>
            </w:r>
            <w:proofErr w:type="spellStart"/>
            <w:r>
              <w:rPr>
                <w:rFonts w:ascii="Arial" w:hAnsi="Arial" w:cs="Arial"/>
              </w:rPr>
              <w:t>años</w:t>
            </w:r>
            <w:proofErr w:type="spellEnd"/>
            <w:r>
              <w:rPr>
                <w:rFonts w:ascii="Arial" w:hAnsi="Arial" w:cs="Arial"/>
              </w:rPr>
              <w:t xml:space="preserve">. </w:t>
            </w:r>
          </w:p>
        </w:tc>
        <w:tc>
          <w:tcPr>
            <w:tcW w:w="1975" w:type="dxa"/>
          </w:tcPr>
          <w:p w14:paraId="4AD1BE45"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12.5 UMA </w:t>
            </w:r>
          </w:p>
        </w:tc>
      </w:tr>
      <w:tr w:rsidR="00D3344B" w14:paraId="2F5BC018" w14:textId="77777777">
        <w:trPr>
          <w:cantSplit/>
          <w:trHeight w:val="273"/>
        </w:trPr>
        <w:tc>
          <w:tcPr>
            <w:tcW w:w="802" w:type="dxa"/>
          </w:tcPr>
          <w:p w14:paraId="3F9BBDD7" w14:textId="77777777" w:rsidR="00D3344B" w:rsidRDefault="00D3344B">
            <w:pPr>
              <w:pStyle w:val="Sinespaciado"/>
              <w:widowControl w:val="0"/>
              <w:spacing w:line="276" w:lineRule="auto"/>
              <w:rPr>
                <w:rFonts w:ascii="Arial" w:hAnsi="Arial" w:cs="Arial"/>
              </w:rPr>
            </w:pPr>
          </w:p>
        </w:tc>
        <w:tc>
          <w:tcPr>
            <w:tcW w:w="7195" w:type="dxa"/>
            <w:vAlign w:val="bottom"/>
          </w:tcPr>
          <w:p w14:paraId="54CEAC68"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17B900AE" w14:textId="77777777" w:rsidR="00D3344B" w:rsidRDefault="00D3344B">
            <w:pPr>
              <w:pStyle w:val="Sinespaciado"/>
              <w:widowControl w:val="0"/>
              <w:spacing w:line="276" w:lineRule="auto"/>
              <w:ind w:left="213"/>
              <w:rPr>
                <w:rFonts w:ascii="Arial" w:eastAsia="Times New Roman" w:hAnsi="Arial" w:cs="Arial"/>
                <w:b/>
              </w:rPr>
            </w:pPr>
          </w:p>
        </w:tc>
      </w:tr>
      <w:tr w:rsidR="00D3344B" w14:paraId="1DEB2BC9" w14:textId="77777777">
        <w:trPr>
          <w:cantSplit/>
          <w:trHeight w:val="858"/>
        </w:trPr>
        <w:tc>
          <w:tcPr>
            <w:tcW w:w="802" w:type="dxa"/>
          </w:tcPr>
          <w:p w14:paraId="6DE52AFD" w14:textId="77777777" w:rsidR="00D3344B" w:rsidRDefault="00D3344B">
            <w:pPr>
              <w:pStyle w:val="Sinespaciado"/>
              <w:widowControl w:val="0"/>
              <w:spacing w:line="276" w:lineRule="auto"/>
              <w:rPr>
                <w:rFonts w:ascii="Arial" w:hAnsi="Arial" w:cs="Arial"/>
              </w:rPr>
            </w:pPr>
          </w:p>
        </w:tc>
        <w:tc>
          <w:tcPr>
            <w:tcW w:w="7195" w:type="dxa"/>
          </w:tcPr>
          <w:p w14:paraId="0BAF16B0"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f)</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motociclista</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D, con </w:t>
            </w:r>
            <w:proofErr w:type="spellStart"/>
            <w:r>
              <w:rPr>
                <w:rFonts w:ascii="Arial" w:hAnsi="Arial" w:cs="Arial"/>
              </w:rPr>
              <w:t>vigencia</w:t>
            </w:r>
            <w:proofErr w:type="spellEnd"/>
            <w:r>
              <w:rPr>
                <w:rFonts w:ascii="Arial" w:hAnsi="Arial" w:cs="Arial"/>
              </w:rPr>
              <w:t xml:space="preserve"> de dos </w:t>
            </w:r>
            <w:proofErr w:type="spellStart"/>
            <w:r>
              <w:rPr>
                <w:rFonts w:ascii="Arial" w:hAnsi="Arial" w:cs="Arial"/>
              </w:rPr>
              <w:t>años</w:t>
            </w:r>
            <w:proofErr w:type="spellEnd"/>
            <w:r>
              <w:rPr>
                <w:rFonts w:ascii="Arial" w:hAnsi="Arial" w:cs="Arial"/>
              </w:rPr>
              <w:t xml:space="preserve">. </w:t>
            </w:r>
          </w:p>
        </w:tc>
        <w:tc>
          <w:tcPr>
            <w:tcW w:w="1975" w:type="dxa"/>
          </w:tcPr>
          <w:p w14:paraId="57060B45"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2.5 UMA </w:t>
            </w:r>
          </w:p>
        </w:tc>
      </w:tr>
      <w:tr w:rsidR="00D3344B" w14:paraId="720E7DCE" w14:textId="77777777">
        <w:trPr>
          <w:cantSplit/>
          <w:trHeight w:val="260"/>
        </w:trPr>
        <w:tc>
          <w:tcPr>
            <w:tcW w:w="802" w:type="dxa"/>
          </w:tcPr>
          <w:p w14:paraId="61FB9010" w14:textId="77777777" w:rsidR="00D3344B" w:rsidRDefault="00D3344B">
            <w:pPr>
              <w:pStyle w:val="Sinespaciado"/>
              <w:widowControl w:val="0"/>
              <w:spacing w:line="276" w:lineRule="auto"/>
              <w:rPr>
                <w:rFonts w:ascii="Arial" w:hAnsi="Arial" w:cs="Arial"/>
              </w:rPr>
            </w:pPr>
          </w:p>
        </w:tc>
        <w:tc>
          <w:tcPr>
            <w:tcW w:w="7195" w:type="dxa"/>
            <w:vAlign w:val="bottom"/>
          </w:tcPr>
          <w:p w14:paraId="0AD2B20C"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tc>
        <w:tc>
          <w:tcPr>
            <w:tcW w:w="1975" w:type="dxa"/>
          </w:tcPr>
          <w:p w14:paraId="50052FFB" w14:textId="77777777" w:rsidR="00D3344B" w:rsidRDefault="00D3344B">
            <w:pPr>
              <w:pStyle w:val="Sinespaciado"/>
              <w:widowControl w:val="0"/>
              <w:spacing w:line="276" w:lineRule="auto"/>
              <w:ind w:left="213"/>
              <w:rPr>
                <w:rFonts w:ascii="Arial" w:eastAsia="Times New Roman" w:hAnsi="Arial" w:cs="Arial"/>
                <w:b/>
              </w:rPr>
            </w:pPr>
          </w:p>
        </w:tc>
      </w:tr>
      <w:tr w:rsidR="00D3344B" w14:paraId="2158B058" w14:textId="77777777">
        <w:trPr>
          <w:cantSplit/>
          <w:trHeight w:val="685"/>
        </w:trPr>
        <w:tc>
          <w:tcPr>
            <w:tcW w:w="802" w:type="dxa"/>
          </w:tcPr>
          <w:p w14:paraId="30FD4EEF" w14:textId="77777777" w:rsidR="00D3344B" w:rsidRDefault="00D3344B">
            <w:pPr>
              <w:pStyle w:val="Sinespaciado"/>
              <w:widowControl w:val="0"/>
              <w:spacing w:line="276" w:lineRule="auto"/>
              <w:rPr>
                <w:rFonts w:ascii="Arial" w:hAnsi="Arial" w:cs="Arial"/>
              </w:rPr>
            </w:pPr>
          </w:p>
        </w:tc>
        <w:tc>
          <w:tcPr>
            <w:tcW w:w="7195" w:type="dxa"/>
          </w:tcPr>
          <w:p w14:paraId="00C9ED7C"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g)</w:t>
            </w:r>
            <w:r>
              <w:rPr>
                <w:rFonts w:ascii="Arial" w:hAnsi="Arial" w:cs="Arial"/>
              </w:rPr>
              <w:t xml:space="preserve"> </w:t>
            </w:r>
            <w:proofErr w:type="spellStart"/>
            <w:r>
              <w:rPr>
                <w:rFonts w:ascii="Arial" w:hAnsi="Arial" w:cs="Arial"/>
              </w:rPr>
              <w:t>Licencia</w:t>
            </w:r>
            <w:proofErr w:type="spellEnd"/>
            <w:r>
              <w:rPr>
                <w:rFonts w:ascii="Arial" w:hAnsi="Arial" w:cs="Arial"/>
              </w:rPr>
              <w:t xml:space="preserve"> de </w:t>
            </w:r>
            <w:proofErr w:type="spellStart"/>
            <w:r>
              <w:rPr>
                <w:rFonts w:ascii="Arial" w:hAnsi="Arial" w:cs="Arial"/>
              </w:rPr>
              <w:t>motociclista</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D, con </w:t>
            </w:r>
            <w:proofErr w:type="spellStart"/>
            <w:r>
              <w:rPr>
                <w:rFonts w:ascii="Arial" w:hAnsi="Arial" w:cs="Arial"/>
              </w:rPr>
              <w:t>vigencia</w:t>
            </w:r>
            <w:proofErr w:type="spellEnd"/>
            <w:r>
              <w:rPr>
                <w:rFonts w:ascii="Arial" w:hAnsi="Arial" w:cs="Arial"/>
              </w:rPr>
              <w:t xml:space="preserve"> de </w:t>
            </w:r>
            <w:proofErr w:type="spellStart"/>
            <w:r>
              <w:rPr>
                <w:rFonts w:ascii="Arial" w:hAnsi="Arial" w:cs="Arial"/>
              </w:rPr>
              <w:t>cinco</w:t>
            </w:r>
            <w:proofErr w:type="spellEnd"/>
            <w:r>
              <w:rPr>
                <w:rFonts w:ascii="Arial" w:hAnsi="Arial" w:cs="Arial"/>
              </w:rPr>
              <w:t xml:space="preserve"> </w:t>
            </w:r>
            <w:proofErr w:type="spellStart"/>
            <w:r>
              <w:rPr>
                <w:rFonts w:ascii="Arial" w:hAnsi="Arial" w:cs="Arial"/>
              </w:rPr>
              <w:t>años</w:t>
            </w:r>
            <w:proofErr w:type="spellEnd"/>
            <w:r>
              <w:rPr>
                <w:rFonts w:ascii="Arial" w:hAnsi="Arial" w:cs="Arial"/>
              </w:rPr>
              <w:t xml:space="preserve">. </w:t>
            </w:r>
          </w:p>
        </w:tc>
        <w:tc>
          <w:tcPr>
            <w:tcW w:w="1975" w:type="dxa"/>
          </w:tcPr>
          <w:p w14:paraId="5DA86C89" w14:textId="77777777" w:rsidR="00D3344B" w:rsidRDefault="00143C25">
            <w:pPr>
              <w:pStyle w:val="Sinespaciado"/>
              <w:widowControl w:val="0"/>
              <w:spacing w:line="276" w:lineRule="auto"/>
              <w:ind w:left="213"/>
              <w:rPr>
                <w:rFonts w:ascii="Arial" w:hAnsi="Arial" w:cs="Arial"/>
              </w:rPr>
            </w:pPr>
            <w:r>
              <w:rPr>
                <w:rFonts w:ascii="Arial" w:eastAsia="Times New Roman" w:hAnsi="Arial" w:cs="Arial"/>
                <w:b/>
              </w:rPr>
              <w:t xml:space="preserve">9.5 UMA </w:t>
            </w:r>
          </w:p>
        </w:tc>
      </w:tr>
      <w:tr w:rsidR="00D3344B" w14:paraId="14450055" w14:textId="77777777">
        <w:trPr>
          <w:cantSplit/>
          <w:trHeight w:val="439"/>
        </w:trPr>
        <w:tc>
          <w:tcPr>
            <w:tcW w:w="802" w:type="dxa"/>
          </w:tcPr>
          <w:p w14:paraId="6271E679" w14:textId="77777777" w:rsidR="00D3344B" w:rsidRDefault="00D3344B">
            <w:pPr>
              <w:pStyle w:val="Sinespaciado"/>
              <w:widowControl w:val="0"/>
              <w:spacing w:line="276" w:lineRule="auto"/>
              <w:rPr>
                <w:rFonts w:ascii="Arial" w:hAnsi="Arial" w:cs="Arial"/>
              </w:rPr>
            </w:pPr>
          </w:p>
        </w:tc>
        <w:tc>
          <w:tcPr>
            <w:tcW w:w="7195" w:type="dxa"/>
            <w:vAlign w:val="bottom"/>
          </w:tcPr>
          <w:p w14:paraId="46A3AD3D" w14:textId="77777777" w:rsidR="00D3344B" w:rsidRDefault="00143C25">
            <w:pPr>
              <w:pStyle w:val="Sinespaciado"/>
              <w:widowControl w:val="0"/>
              <w:spacing w:line="276" w:lineRule="auto"/>
              <w:rPr>
                <w:rFonts w:ascii="Arial" w:hAnsi="Arial" w:cs="Arial"/>
              </w:rPr>
            </w:pPr>
            <w:r>
              <w:rPr>
                <w:rFonts w:ascii="Arial" w:hAnsi="Arial" w:cs="Arial"/>
                <w:i/>
                <w:sz w:val="16"/>
              </w:rPr>
              <w:t>(REFORMADO, P.O. 21 DE JUNIO DE 2021)</w:t>
            </w:r>
          </w:p>
        </w:tc>
        <w:tc>
          <w:tcPr>
            <w:tcW w:w="1975" w:type="dxa"/>
          </w:tcPr>
          <w:p w14:paraId="1039CB9D" w14:textId="77777777" w:rsidR="00D3344B" w:rsidRDefault="00D3344B">
            <w:pPr>
              <w:pStyle w:val="Sinespaciado"/>
              <w:widowControl w:val="0"/>
              <w:spacing w:line="276" w:lineRule="auto"/>
              <w:ind w:left="213"/>
              <w:jc w:val="both"/>
              <w:rPr>
                <w:rFonts w:ascii="Arial" w:hAnsi="Arial" w:cs="Arial"/>
              </w:rPr>
            </w:pPr>
          </w:p>
        </w:tc>
      </w:tr>
      <w:tr w:rsidR="00D3344B" w14:paraId="0214463B" w14:textId="77777777">
        <w:trPr>
          <w:cantSplit/>
          <w:trHeight w:val="692"/>
        </w:trPr>
        <w:tc>
          <w:tcPr>
            <w:tcW w:w="802" w:type="dxa"/>
          </w:tcPr>
          <w:p w14:paraId="362A7C7E" w14:textId="77777777" w:rsidR="00D3344B" w:rsidRDefault="00D3344B">
            <w:pPr>
              <w:pStyle w:val="Sinespaciado"/>
              <w:widowControl w:val="0"/>
              <w:spacing w:line="276" w:lineRule="auto"/>
              <w:rPr>
                <w:rFonts w:ascii="Arial" w:hAnsi="Arial" w:cs="Arial"/>
              </w:rPr>
            </w:pPr>
          </w:p>
        </w:tc>
        <w:tc>
          <w:tcPr>
            <w:tcW w:w="7195" w:type="dxa"/>
          </w:tcPr>
          <w:p w14:paraId="16F6CFC8" w14:textId="77777777" w:rsidR="00D3344B" w:rsidRDefault="00143C25">
            <w:pPr>
              <w:pStyle w:val="Sinespaciado"/>
              <w:widowControl w:val="0"/>
              <w:spacing w:line="276" w:lineRule="auto"/>
              <w:ind w:left="213" w:hanging="213"/>
              <w:jc w:val="both"/>
              <w:rPr>
                <w:rFonts w:ascii="Arial" w:hAnsi="Arial" w:cs="Arial"/>
              </w:rPr>
            </w:pPr>
            <w:r>
              <w:rPr>
                <w:rFonts w:ascii="Arial" w:eastAsia="Times New Roman" w:hAnsi="Arial" w:cs="Arial"/>
                <w:b/>
              </w:rPr>
              <w:t xml:space="preserve">h) </w:t>
            </w:r>
            <w:proofErr w:type="spellStart"/>
            <w:r>
              <w:rPr>
                <w:rFonts w:ascii="Arial" w:hAnsi="Arial" w:cs="Arial"/>
              </w:rPr>
              <w:t>Expedición</w:t>
            </w:r>
            <w:proofErr w:type="spellEnd"/>
            <w:r>
              <w:rPr>
                <w:rFonts w:ascii="Arial" w:hAnsi="Arial" w:cs="Arial"/>
              </w:rPr>
              <w:t xml:space="preserve">, </w:t>
            </w:r>
            <w:proofErr w:type="spellStart"/>
            <w:r>
              <w:rPr>
                <w:rFonts w:ascii="Arial" w:hAnsi="Arial" w:cs="Arial"/>
              </w:rPr>
              <w:t>canje</w:t>
            </w:r>
            <w:proofErr w:type="spellEnd"/>
            <w:r>
              <w:rPr>
                <w:rFonts w:ascii="Arial" w:hAnsi="Arial" w:cs="Arial"/>
              </w:rPr>
              <w:t xml:space="preserve"> o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para </w:t>
            </w:r>
            <w:proofErr w:type="spellStart"/>
            <w:r>
              <w:rPr>
                <w:rFonts w:ascii="Arial" w:hAnsi="Arial" w:cs="Arial"/>
              </w:rPr>
              <w:t>conducción</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w:t>
            </w:r>
          </w:p>
        </w:tc>
        <w:tc>
          <w:tcPr>
            <w:tcW w:w="1975" w:type="dxa"/>
          </w:tcPr>
          <w:p w14:paraId="158DF59D" w14:textId="77777777" w:rsidR="00D3344B" w:rsidRDefault="00D3344B">
            <w:pPr>
              <w:pStyle w:val="Sinespaciado"/>
              <w:widowControl w:val="0"/>
              <w:spacing w:line="276" w:lineRule="auto"/>
              <w:ind w:left="213"/>
              <w:rPr>
                <w:rFonts w:ascii="Arial" w:hAnsi="Arial" w:cs="Arial"/>
              </w:rPr>
            </w:pPr>
          </w:p>
        </w:tc>
      </w:tr>
      <w:tr w:rsidR="00D3344B" w14:paraId="27F55FDD" w14:textId="77777777">
        <w:trPr>
          <w:cantSplit/>
          <w:trHeight w:val="855"/>
        </w:trPr>
        <w:tc>
          <w:tcPr>
            <w:tcW w:w="802" w:type="dxa"/>
          </w:tcPr>
          <w:p w14:paraId="5ED6EFC4" w14:textId="77777777" w:rsidR="00D3344B" w:rsidRDefault="00D3344B">
            <w:pPr>
              <w:pStyle w:val="Sinespaciado"/>
              <w:widowControl w:val="0"/>
              <w:spacing w:line="276" w:lineRule="auto"/>
              <w:rPr>
                <w:rFonts w:ascii="Arial" w:hAnsi="Arial" w:cs="Arial"/>
              </w:rPr>
            </w:pPr>
          </w:p>
        </w:tc>
        <w:tc>
          <w:tcPr>
            <w:tcW w:w="7195" w:type="dxa"/>
          </w:tcPr>
          <w:p w14:paraId="76B92418" w14:textId="77777777" w:rsidR="00D3344B" w:rsidRDefault="00143C25">
            <w:pPr>
              <w:pStyle w:val="Sinespaciado"/>
              <w:widowControl w:val="0"/>
              <w:spacing w:line="276" w:lineRule="auto"/>
              <w:ind w:left="213"/>
              <w:jc w:val="both"/>
              <w:rPr>
                <w:rFonts w:ascii="Arial" w:hAnsi="Arial" w:cs="Arial"/>
                <w:i/>
                <w:sz w:val="16"/>
              </w:rPr>
            </w:pPr>
            <w:proofErr w:type="spellStart"/>
            <w:r>
              <w:rPr>
                <w:rFonts w:ascii="Arial" w:hAnsi="Arial" w:cs="Arial"/>
              </w:rPr>
              <w:t>particulares</w:t>
            </w:r>
            <w:proofErr w:type="spellEnd"/>
            <w:r>
              <w:rPr>
                <w:rFonts w:ascii="Arial" w:hAnsi="Arial" w:cs="Arial"/>
              </w:rPr>
              <w:t xml:space="preserve"> para </w:t>
            </w:r>
            <w:proofErr w:type="spellStart"/>
            <w:r>
              <w:rPr>
                <w:rFonts w:ascii="Arial" w:hAnsi="Arial" w:cs="Arial"/>
              </w:rPr>
              <w:t>menores</w:t>
            </w:r>
            <w:proofErr w:type="spellEnd"/>
            <w:r>
              <w:rPr>
                <w:rFonts w:ascii="Arial" w:hAnsi="Arial" w:cs="Arial"/>
              </w:rPr>
              <w:t xml:space="preserve"> de </w:t>
            </w:r>
            <w:proofErr w:type="spellStart"/>
            <w:r>
              <w:rPr>
                <w:rFonts w:ascii="Arial" w:hAnsi="Arial" w:cs="Arial"/>
              </w:rPr>
              <w:t>edad</w:t>
            </w:r>
            <w:proofErr w:type="spellEnd"/>
            <w:r>
              <w:rPr>
                <w:rFonts w:ascii="Arial" w:hAnsi="Arial" w:cs="Arial"/>
              </w:rPr>
              <w:t xml:space="preserve"> </w:t>
            </w:r>
            <w:proofErr w:type="spellStart"/>
            <w:r>
              <w:rPr>
                <w:rFonts w:ascii="Arial" w:hAnsi="Arial" w:cs="Arial"/>
              </w:rPr>
              <w:t>comprendidos</w:t>
            </w:r>
            <w:proofErr w:type="spellEnd"/>
            <w:r>
              <w:rPr>
                <w:rFonts w:ascii="Arial" w:hAnsi="Arial" w:cs="Arial"/>
              </w:rPr>
              <w:t xml:space="preserve"> entre 15 a 17 </w:t>
            </w:r>
            <w:proofErr w:type="spellStart"/>
            <w:r>
              <w:rPr>
                <w:rFonts w:ascii="Arial" w:hAnsi="Arial" w:cs="Arial"/>
              </w:rPr>
              <w:t>años</w:t>
            </w:r>
            <w:proofErr w:type="spellEnd"/>
            <w:r>
              <w:rPr>
                <w:rFonts w:ascii="Arial" w:hAnsi="Arial" w:cs="Arial"/>
              </w:rPr>
              <w:t xml:space="preserve"> 11 meses, con </w:t>
            </w:r>
            <w:proofErr w:type="spellStart"/>
            <w:r>
              <w:rPr>
                <w:rFonts w:ascii="Arial" w:hAnsi="Arial" w:cs="Arial"/>
              </w:rPr>
              <w:t>vigencia</w:t>
            </w:r>
            <w:proofErr w:type="spellEnd"/>
            <w:r>
              <w:rPr>
                <w:rFonts w:ascii="Arial" w:hAnsi="Arial" w:cs="Arial"/>
              </w:rPr>
              <w:t xml:space="preserve"> de dos </w:t>
            </w:r>
            <w:proofErr w:type="spellStart"/>
            <w:r>
              <w:rPr>
                <w:rFonts w:ascii="Arial" w:hAnsi="Arial" w:cs="Arial"/>
              </w:rPr>
              <w:t>años</w:t>
            </w:r>
            <w:proofErr w:type="spellEnd"/>
            <w:r>
              <w:rPr>
                <w:rFonts w:ascii="Arial" w:hAnsi="Arial" w:cs="Arial"/>
              </w:rPr>
              <w:t xml:space="preserve">.  </w:t>
            </w:r>
          </w:p>
        </w:tc>
        <w:tc>
          <w:tcPr>
            <w:tcW w:w="1975" w:type="dxa"/>
          </w:tcPr>
          <w:p w14:paraId="37AAA128" w14:textId="77777777" w:rsidR="00D3344B" w:rsidRDefault="00143C25">
            <w:pPr>
              <w:pStyle w:val="Sinespaciado"/>
              <w:widowControl w:val="0"/>
              <w:spacing w:line="276" w:lineRule="auto"/>
              <w:ind w:left="180"/>
              <w:rPr>
                <w:rFonts w:ascii="Arial" w:hAnsi="Arial" w:cs="Arial"/>
              </w:rPr>
            </w:pPr>
            <w:r>
              <w:rPr>
                <w:rFonts w:ascii="Arial" w:eastAsia="Times New Roman" w:hAnsi="Arial" w:cs="Arial"/>
                <w:b/>
              </w:rPr>
              <w:t xml:space="preserve">20.5 UMA </w:t>
            </w:r>
          </w:p>
        </w:tc>
      </w:tr>
      <w:tr w:rsidR="00D3344B" w14:paraId="43AC58DB" w14:textId="77777777">
        <w:trPr>
          <w:cantSplit/>
          <w:trHeight w:val="700"/>
        </w:trPr>
        <w:tc>
          <w:tcPr>
            <w:tcW w:w="802" w:type="dxa"/>
          </w:tcPr>
          <w:p w14:paraId="0B6B5D15" w14:textId="77777777" w:rsidR="00D3344B" w:rsidRDefault="00D3344B">
            <w:pPr>
              <w:pStyle w:val="Sinespaciado"/>
              <w:widowControl w:val="0"/>
              <w:spacing w:line="276" w:lineRule="auto"/>
              <w:rPr>
                <w:rFonts w:ascii="Arial" w:hAnsi="Arial" w:cs="Arial"/>
              </w:rPr>
            </w:pPr>
          </w:p>
        </w:tc>
        <w:tc>
          <w:tcPr>
            <w:tcW w:w="7195" w:type="dxa"/>
            <w:vAlign w:val="bottom"/>
          </w:tcPr>
          <w:p w14:paraId="30DEA028" w14:textId="77777777" w:rsidR="00D3344B" w:rsidRDefault="00143C25">
            <w:pPr>
              <w:widowControl w:val="0"/>
              <w:spacing w:after="280" w:line="259" w:lineRule="auto"/>
              <w:ind w:left="213"/>
              <w:rPr>
                <w:rFonts w:ascii="Arial" w:hAnsi="Arial" w:cs="Arial"/>
              </w:rPr>
            </w:pPr>
            <w:r>
              <w:rPr>
                <w:rFonts w:ascii="Arial" w:hAnsi="Arial" w:cs="Arial"/>
              </w:rPr>
              <w:t xml:space="preserve">El permiso podrá ampliarse hasta por un año más, en cuyo caso se pagará. </w:t>
            </w:r>
          </w:p>
          <w:p w14:paraId="67B2FAD7" w14:textId="77777777" w:rsidR="00D3344B" w:rsidRDefault="00143C25">
            <w:pPr>
              <w:pStyle w:val="Sinespaciado"/>
              <w:widowControl w:val="0"/>
              <w:spacing w:line="276" w:lineRule="auto"/>
              <w:ind w:left="494"/>
              <w:jc w:val="both"/>
              <w:rPr>
                <w:rFonts w:ascii="Arial" w:hAnsi="Arial" w:cs="Arial"/>
              </w:rPr>
            </w:pPr>
            <w:r>
              <w:rPr>
                <w:rFonts w:ascii="Arial" w:eastAsia="Times New Roman" w:hAnsi="Arial" w:cs="Arial"/>
                <w:b/>
              </w:rPr>
              <w:t xml:space="preserve"> </w:t>
            </w:r>
          </w:p>
        </w:tc>
        <w:tc>
          <w:tcPr>
            <w:tcW w:w="1975" w:type="dxa"/>
          </w:tcPr>
          <w:p w14:paraId="584E01EA" w14:textId="77777777" w:rsidR="00D3344B" w:rsidRDefault="00143C25">
            <w:pPr>
              <w:pStyle w:val="Sinespaciado"/>
              <w:widowControl w:val="0"/>
              <w:spacing w:line="276" w:lineRule="auto"/>
              <w:ind w:left="180"/>
              <w:rPr>
                <w:rFonts w:ascii="Arial" w:hAnsi="Arial" w:cs="Arial"/>
              </w:rPr>
            </w:pPr>
            <w:r>
              <w:rPr>
                <w:rFonts w:ascii="Arial" w:eastAsia="Times New Roman" w:hAnsi="Arial" w:cs="Arial"/>
                <w:b/>
              </w:rPr>
              <w:t xml:space="preserve">10.5 UMA </w:t>
            </w:r>
          </w:p>
        </w:tc>
      </w:tr>
      <w:tr w:rsidR="00D3344B" w14:paraId="51223E9F" w14:textId="77777777">
        <w:trPr>
          <w:cantSplit/>
          <w:trHeight w:val="262"/>
        </w:trPr>
        <w:tc>
          <w:tcPr>
            <w:tcW w:w="802" w:type="dxa"/>
          </w:tcPr>
          <w:p w14:paraId="45D9A426" w14:textId="77777777" w:rsidR="00D3344B" w:rsidRDefault="00D3344B">
            <w:pPr>
              <w:pStyle w:val="Sinespaciado"/>
              <w:widowControl w:val="0"/>
              <w:spacing w:line="276" w:lineRule="auto"/>
              <w:rPr>
                <w:rFonts w:ascii="Arial" w:hAnsi="Arial" w:cs="Arial"/>
              </w:rPr>
            </w:pPr>
          </w:p>
        </w:tc>
        <w:tc>
          <w:tcPr>
            <w:tcW w:w="7195" w:type="dxa"/>
            <w:vAlign w:val="bottom"/>
          </w:tcPr>
          <w:p w14:paraId="497B106F" w14:textId="77777777" w:rsidR="00D3344B" w:rsidRDefault="00143C25">
            <w:pPr>
              <w:pStyle w:val="Sinespaciado"/>
              <w:widowControl w:val="0"/>
              <w:spacing w:line="276" w:lineRule="auto"/>
              <w:ind w:left="494"/>
              <w:rPr>
                <w:rFonts w:ascii="Arial" w:hAnsi="Arial" w:cs="Arial"/>
              </w:rPr>
            </w:pPr>
            <w:r>
              <w:rPr>
                <w:rFonts w:ascii="Arial" w:hAnsi="Arial" w:cs="Arial"/>
                <w:i/>
                <w:sz w:val="16"/>
              </w:rPr>
              <w:t>(REFORMADO PRIMER PÁRRAFO, P.O. 29 DE DICIEMBRE DE 2010)</w:t>
            </w:r>
          </w:p>
        </w:tc>
        <w:tc>
          <w:tcPr>
            <w:tcW w:w="1975" w:type="dxa"/>
          </w:tcPr>
          <w:p w14:paraId="113248DF" w14:textId="77777777" w:rsidR="00D3344B" w:rsidRDefault="00D3344B">
            <w:pPr>
              <w:pStyle w:val="Sinespaciado"/>
              <w:widowControl w:val="0"/>
              <w:spacing w:line="276" w:lineRule="auto"/>
              <w:ind w:left="180"/>
              <w:rPr>
                <w:rFonts w:ascii="Arial" w:hAnsi="Arial" w:cs="Arial"/>
              </w:rPr>
            </w:pPr>
          </w:p>
        </w:tc>
      </w:tr>
      <w:tr w:rsidR="00D3344B" w14:paraId="35D3D001" w14:textId="77777777">
        <w:trPr>
          <w:cantSplit/>
          <w:trHeight w:val="1119"/>
        </w:trPr>
        <w:tc>
          <w:tcPr>
            <w:tcW w:w="802" w:type="dxa"/>
          </w:tcPr>
          <w:p w14:paraId="29C928AA" w14:textId="77777777" w:rsidR="00D3344B" w:rsidRDefault="00D3344B">
            <w:pPr>
              <w:pStyle w:val="Sinespaciado"/>
              <w:widowControl w:val="0"/>
              <w:spacing w:line="276" w:lineRule="auto"/>
              <w:rPr>
                <w:rFonts w:ascii="Arial" w:hAnsi="Arial" w:cs="Arial"/>
              </w:rPr>
            </w:pPr>
          </w:p>
        </w:tc>
        <w:tc>
          <w:tcPr>
            <w:tcW w:w="7195" w:type="dxa"/>
          </w:tcPr>
          <w:p w14:paraId="2529BF80" w14:textId="77777777" w:rsidR="00D3344B" w:rsidRDefault="00143C25">
            <w:pPr>
              <w:pStyle w:val="Sinespaciado"/>
              <w:widowControl w:val="0"/>
              <w:spacing w:line="276" w:lineRule="auto"/>
              <w:ind w:left="494" w:hanging="494"/>
              <w:jc w:val="both"/>
              <w:rPr>
                <w:rFonts w:ascii="Arial" w:hAnsi="Arial" w:cs="Arial"/>
              </w:rPr>
            </w:pPr>
            <w:proofErr w:type="spellStart"/>
            <w:r>
              <w:rPr>
                <w:rFonts w:ascii="Arial" w:hAnsi="Arial" w:cs="Arial"/>
              </w:rPr>
              <w:t>i</w:t>
            </w:r>
            <w:proofErr w:type="spellEnd"/>
            <w:r>
              <w:rPr>
                <w:rFonts w:ascii="Arial" w:hAnsi="Arial" w:cs="Arial"/>
              </w:rPr>
              <w:t xml:space="preserve">)    La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licencias</w:t>
            </w:r>
            <w:proofErr w:type="spellEnd"/>
            <w:r>
              <w:rPr>
                <w:rFonts w:ascii="Arial" w:hAnsi="Arial" w:cs="Arial"/>
              </w:rPr>
              <w:t xml:space="preserve"> o </w:t>
            </w:r>
            <w:proofErr w:type="spellStart"/>
            <w:r>
              <w:rPr>
                <w:rFonts w:ascii="Arial" w:hAnsi="Arial" w:cs="Arial"/>
              </w:rPr>
              <w:t>permisos</w:t>
            </w:r>
            <w:proofErr w:type="spellEnd"/>
            <w:r>
              <w:rPr>
                <w:rFonts w:ascii="Arial" w:hAnsi="Arial" w:cs="Arial"/>
              </w:rPr>
              <w:t xml:space="preserve"> para </w:t>
            </w:r>
            <w:proofErr w:type="spellStart"/>
            <w:r>
              <w:rPr>
                <w:rFonts w:ascii="Arial" w:hAnsi="Arial" w:cs="Arial"/>
              </w:rPr>
              <w:t>conducción</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particulares</w:t>
            </w:r>
            <w:proofErr w:type="spellEnd"/>
            <w:r>
              <w:rPr>
                <w:rFonts w:ascii="Arial" w:hAnsi="Arial" w:cs="Arial"/>
              </w:rPr>
              <w:t xml:space="preserve"> para </w:t>
            </w:r>
            <w:proofErr w:type="spellStart"/>
            <w:r>
              <w:rPr>
                <w:rFonts w:ascii="Arial" w:hAnsi="Arial" w:cs="Arial"/>
              </w:rPr>
              <w:t>menores</w:t>
            </w:r>
            <w:proofErr w:type="spellEnd"/>
            <w:r>
              <w:rPr>
                <w:rFonts w:ascii="Arial" w:hAnsi="Arial" w:cs="Arial"/>
              </w:rPr>
              <w:t xml:space="preserve"> de </w:t>
            </w:r>
            <w:proofErr w:type="spellStart"/>
            <w:r>
              <w:rPr>
                <w:rFonts w:ascii="Arial" w:hAnsi="Arial" w:cs="Arial"/>
              </w:rPr>
              <w:t>edad</w:t>
            </w:r>
            <w:proofErr w:type="spellEnd"/>
            <w:r>
              <w:rPr>
                <w:rFonts w:ascii="Arial" w:hAnsi="Arial" w:cs="Arial"/>
              </w:rPr>
              <w:t xml:space="preserve">, se </w:t>
            </w:r>
            <w:proofErr w:type="spellStart"/>
            <w:r>
              <w:rPr>
                <w:rFonts w:ascii="Arial" w:hAnsi="Arial" w:cs="Arial"/>
              </w:rPr>
              <w:t>cobrará</w:t>
            </w:r>
            <w:proofErr w:type="spellEnd"/>
            <w:r>
              <w:rPr>
                <w:rFonts w:ascii="Arial" w:hAnsi="Arial" w:cs="Arial"/>
              </w:rPr>
              <w:t xml:space="preserve"> de </w:t>
            </w:r>
            <w:proofErr w:type="spellStart"/>
            <w:r>
              <w:rPr>
                <w:rFonts w:ascii="Arial" w:hAnsi="Arial" w:cs="Arial"/>
              </w:rPr>
              <w:t>acuerdo</w:t>
            </w:r>
            <w:proofErr w:type="spellEnd"/>
            <w:r>
              <w:rPr>
                <w:rFonts w:ascii="Arial" w:hAnsi="Arial" w:cs="Arial"/>
              </w:rPr>
              <w:t xml:space="preserve"> con lo </w:t>
            </w:r>
            <w:proofErr w:type="spellStart"/>
            <w:r>
              <w:rPr>
                <w:rFonts w:ascii="Arial" w:hAnsi="Arial" w:cs="Arial"/>
              </w:rPr>
              <w:t>siguiente</w:t>
            </w:r>
            <w:proofErr w:type="spellEnd"/>
            <w:r>
              <w:rPr>
                <w:rFonts w:ascii="Arial" w:hAnsi="Arial" w:cs="Arial"/>
              </w:rPr>
              <w:t>:</w:t>
            </w:r>
          </w:p>
        </w:tc>
        <w:tc>
          <w:tcPr>
            <w:tcW w:w="1975" w:type="dxa"/>
          </w:tcPr>
          <w:p w14:paraId="4DA45EC0" w14:textId="77777777" w:rsidR="00D3344B" w:rsidRDefault="00D3344B">
            <w:pPr>
              <w:pStyle w:val="Sinespaciado"/>
              <w:widowControl w:val="0"/>
              <w:spacing w:line="276" w:lineRule="auto"/>
              <w:ind w:left="180"/>
              <w:rPr>
                <w:rFonts w:ascii="Arial" w:hAnsi="Arial" w:cs="Arial"/>
              </w:rPr>
            </w:pPr>
          </w:p>
        </w:tc>
      </w:tr>
      <w:tr w:rsidR="00D3344B" w14:paraId="0096FEA1" w14:textId="77777777">
        <w:trPr>
          <w:cantSplit/>
          <w:trHeight w:val="2424"/>
        </w:trPr>
        <w:tc>
          <w:tcPr>
            <w:tcW w:w="802" w:type="dxa"/>
          </w:tcPr>
          <w:p w14:paraId="19DF918E" w14:textId="77777777" w:rsidR="00D3344B" w:rsidRDefault="00D3344B">
            <w:pPr>
              <w:pStyle w:val="Sinespaciado"/>
              <w:widowControl w:val="0"/>
              <w:spacing w:line="276" w:lineRule="auto"/>
              <w:rPr>
                <w:rFonts w:ascii="Arial" w:hAnsi="Arial" w:cs="Arial"/>
              </w:rPr>
            </w:pPr>
          </w:p>
        </w:tc>
        <w:tc>
          <w:tcPr>
            <w:tcW w:w="7195" w:type="dxa"/>
          </w:tcPr>
          <w:p w14:paraId="30DFAA3C"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rPr>
              <w:t xml:space="preserve">1.   </w:t>
            </w:r>
            <w:proofErr w:type="spellStart"/>
            <w:r>
              <w:rPr>
                <w:rFonts w:ascii="Arial" w:hAnsi="Arial" w:cs="Arial"/>
              </w:rPr>
              <w:t>Cuando</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tiempo</w:t>
            </w:r>
            <w:proofErr w:type="spellEnd"/>
            <w:r>
              <w:rPr>
                <w:rFonts w:ascii="Arial" w:hAnsi="Arial" w:cs="Arial"/>
              </w:rPr>
              <w:t xml:space="preserve"> </w:t>
            </w:r>
            <w:proofErr w:type="spellStart"/>
            <w:r>
              <w:rPr>
                <w:rFonts w:ascii="Arial" w:hAnsi="Arial" w:cs="Arial"/>
              </w:rPr>
              <w:t>transcurrido</w:t>
            </w:r>
            <w:proofErr w:type="spellEnd"/>
            <w:r>
              <w:rPr>
                <w:rFonts w:ascii="Arial" w:hAnsi="Arial" w:cs="Arial"/>
              </w:rPr>
              <w:t xml:space="preserve"> a </w:t>
            </w:r>
            <w:proofErr w:type="spellStart"/>
            <w:r>
              <w:rPr>
                <w:rFonts w:ascii="Arial" w:hAnsi="Arial" w:cs="Arial"/>
              </w:rPr>
              <w:t>partir</w:t>
            </w:r>
            <w:proofErr w:type="spellEnd"/>
            <w:r>
              <w:rPr>
                <w:rFonts w:ascii="Arial" w:hAnsi="Arial" w:cs="Arial"/>
              </w:rPr>
              <w:t xml:space="preserve"> de la </w:t>
            </w:r>
            <w:proofErr w:type="spellStart"/>
            <w:r>
              <w:rPr>
                <w:rFonts w:ascii="Arial" w:hAnsi="Arial" w:cs="Arial"/>
              </w:rPr>
              <w:t>fecha</w:t>
            </w:r>
            <w:proofErr w:type="spellEnd"/>
            <w:r>
              <w:rPr>
                <w:rFonts w:ascii="Arial" w:hAnsi="Arial" w:cs="Arial"/>
              </w:rPr>
              <w:t xml:space="preserve"> de </w:t>
            </w:r>
            <w:proofErr w:type="spellStart"/>
            <w:r>
              <w:rPr>
                <w:rFonts w:ascii="Arial" w:hAnsi="Arial" w:cs="Arial"/>
              </w:rPr>
              <w:t>expedición</w:t>
            </w:r>
            <w:proofErr w:type="spellEnd"/>
            <w:r>
              <w:rPr>
                <w:rFonts w:ascii="Arial" w:hAnsi="Arial" w:cs="Arial"/>
              </w:rPr>
              <w:t xml:space="preserve">, sea inferior a la </w:t>
            </w:r>
            <w:proofErr w:type="spellStart"/>
            <w:r>
              <w:rPr>
                <w:rFonts w:ascii="Arial" w:hAnsi="Arial" w:cs="Arial"/>
              </w:rPr>
              <w:t>mitad</w:t>
            </w:r>
            <w:proofErr w:type="spellEnd"/>
            <w:r>
              <w:rPr>
                <w:rFonts w:ascii="Arial" w:hAnsi="Arial" w:cs="Arial"/>
              </w:rPr>
              <w:t xml:space="preserve"> de la </w:t>
            </w:r>
            <w:proofErr w:type="spellStart"/>
            <w:r>
              <w:rPr>
                <w:rFonts w:ascii="Arial" w:hAnsi="Arial" w:cs="Arial"/>
              </w:rPr>
              <w:t>vigencia</w:t>
            </w:r>
            <w:proofErr w:type="spellEnd"/>
            <w:r>
              <w:rPr>
                <w:rFonts w:ascii="Arial" w:hAnsi="Arial" w:cs="Arial"/>
              </w:rPr>
              <w:t xml:space="preserve"> de la </w:t>
            </w:r>
            <w:proofErr w:type="spellStart"/>
            <w:r>
              <w:rPr>
                <w:rFonts w:ascii="Arial" w:hAnsi="Arial" w:cs="Arial"/>
              </w:rPr>
              <w:t>misma</w:t>
            </w:r>
            <w:proofErr w:type="spellEnd"/>
            <w:r>
              <w:rPr>
                <w:rFonts w:ascii="Arial" w:hAnsi="Arial" w:cs="Arial"/>
              </w:rPr>
              <w:t>.</w:t>
            </w:r>
          </w:p>
          <w:p w14:paraId="0F929BBD" w14:textId="77777777" w:rsidR="00D3344B" w:rsidRDefault="00D3344B">
            <w:pPr>
              <w:pStyle w:val="Sinespaciado"/>
              <w:widowControl w:val="0"/>
              <w:spacing w:line="276" w:lineRule="auto"/>
              <w:ind w:left="778" w:hanging="284"/>
              <w:jc w:val="both"/>
              <w:rPr>
                <w:rFonts w:ascii="Arial" w:hAnsi="Arial" w:cs="Arial"/>
              </w:rPr>
            </w:pPr>
          </w:p>
          <w:p w14:paraId="066D5045"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rPr>
              <w:t xml:space="preserve">2.   </w:t>
            </w:r>
            <w:proofErr w:type="spellStart"/>
            <w:r>
              <w:rPr>
                <w:rFonts w:ascii="Arial" w:hAnsi="Arial" w:cs="Arial"/>
              </w:rPr>
              <w:t>Cuando</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tiempo</w:t>
            </w:r>
            <w:proofErr w:type="spellEnd"/>
            <w:r>
              <w:rPr>
                <w:rFonts w:ascii="Arial" w:hAnsi="Arial" w:cs="Arial"/>
              </w:rPr>
              <w:t xml:space="preserve"> </w:t>
            </w:r>
            <w:proofErr w:type="spellStart"/>
            <w:r>
              <w:rPr>
                <w:rFonts w:ascii="Arial" w:hAnsi="Arial" w:cs="Arial"/>
              </w:rPr>
              <w:t>transcurrido</w:t>
            </w:r>
            <w:proofErr w:type="spellEnd"/>
            <w:r>
              <w:rPr>
                <w:rFonts w:ascii="Arial" w:hAnsi="Arial" w:cs="Arial"/>
              </w:rPr>
              <w:t xml:space="preserve"> a </w:t>
            </w:r>
            <w:proofErr w:type="spellStart"/>
            <w:r>
              <w:rPr>
                <w:rFonts w:ascii="Arial" w:hAnsi="Arial" w:cs="Arial"/>
              </w:rPr>
              <w:t>partir</w:t>
            </w:r>
            <w:proofErr w:type="spellEnd"/>
            <w:r>
              <w:rPr>
                <w:rFonts w:ascii="Arial" w:hAnsi="Arial" w:cs="Arial"/>
              </w:rPr>
              <w:t xml:space="preserve"> de la </w:t>
            </w:r>
            <w:proofErr w:type="spellStart"/>
            <w:r>
              <w:rPr>
                <w:rFonts w:ascii="Arial" w:hAnsi="Arial" w:cs="Arial"/>
              </w:rPr>
              <w:t>fecha</w:t>
            </w:r>
            <w:proofErr w:type="spellEnd"/>
            <w:r>
              <w:rPr>
                <w:rFonts w:ascii="Arial" w:hAnsi="Arial" w:cs="Arial"/>
              </w:rPr>
              <w:t xml:space="preserve"> de </w:t>
            </w:r>
            <w:proofErr w:type="spellStart"/>
            <w:r>
              <w:rPr>
                <w:rFonts w:ascii="Arial" w:hAnsi="Arial" w:cs="Arial"/>
              </w:rPr>
              <w:t>expedición</w:t>
            </w:r>
            <w:proofErr w:type="spellEnd"/>
            <w:r>
              <w:rPr>
                <w:rFonts w:ascii="Arial" w:hAnsi="Arial" w:cs="Arial"/>
              </w:rPr>
              <w:t xml:space="preserve">, sea superior a la </w:t>
            </w:r>
            <w:proofErr w:type="spellStart"/>
            <w:r>
              <w:rPr>
                <w:rFonts w:ascii="Arial" w:hAnsi="Arial" w:cs="Arial"/>
              </w:rPr>
              <w:t>mitad</w:t>
            </w:r>
            <w:proofErr w:type="spellEnd"/>
            <w:r>
              <w:rPr>
                <w:rFonts w:ascii="Arial" w:hAnsi="Arial" w:cs="Arial"/>
              </w:rPr>
              <w:t xml:space="preserve"> de la </w:t>
            </w:r>
            <w:proofErr w:type="spellStart"/>
            <w:r>
              <w:rPr>
                <w:rFonts w:ascii="Arial" w:hAnsi="Arial" w:cs="Arial"/>
              </w:rPr>
              <w:t>vigencia</w:t>
            </w:r>
            <w:proofErr w:type="spellEnd"/>
            <w:r>
              <w:rPr>
                <w:rFonts w:ascii="Arial" w:hAnsi="Arial" w:cs="Arial"/>
              </w:rPr>
              <w:t xml:space="preserve"> de la </w:t>
            </w:r>
            <w:proofErr w:type="spellStart"/>
            <w:r>
              <w:rPr>
                <w:rFonts w:ascii="Arial" w:hAnsi="Arial" w:cs="Arial"/>
              </w:rPr>
              <w:t>misma</w:t>
            </w:r>
            <w:proofErr w:type="spellEnd"/>
            <w:r>
              <w:rPr>
                <w:rFonts w:ascii="Arial" w:hAnsi="Arial" w:cs="Arial"/>
              </w:rPr>
              <w:t>.</w:t>
            </w:r>
          </w:p>
        </w:tc>
        <w:tc>
          <w:tcPr>
            <w:tcW w:w="1975" w:type="dxa"/>
          </w:tcPr>
          <w:p w14:paraId="2AAD19CB"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El 50 % del </w:t>
            </w:r>
            <w:proofErr w:type="spellStart"/>
            <w:r>
              <w:rPr>
                <w:rFonts w:ascii="Arial" w:hAnsi="Arial" w:cs="Arial"/>
              </w:rPr>
              <w:t>costo</w:t>
            </w:r>
            <w:proofErr w:type="spellEnd"/>
            <w:r>
              <w:rPr>
                <w:rFonts w:ascii="Arial" w:hAnsi="Arial" w:cs="Arial"/>
              </w:rPr>
              <w:t xml:space="preserve"> de la </w:t>
            </w:r>
            <w:proofErr w:type="spellStart"/>
            <w:r>
              <w:rPr>
                <w:rFonts w:ascii="Arial" w:hAnsi="Arial" w:cs="Arial"/>
              </w:rPr>
              <w:t>licencia</w:t>
            </w:r>
            <w:proofErr w:type="spellEnd"/>
            <w:r>
              <w:rPr>
                <w:rFonts w:ascii="Arial" w:hAnsi="Arial" w:cs="Arial"/>
              </w:rPr>
              <w:t>.</w:t>
            </w:r>
          </w:p>
          <w:p w14:paraId="4DC35976" w14:textId="77777777" w:rsidR="00D3344B" w:rsidRDefault="00D3344B">
            <w:pPr>
              <w:pStyle w:val="Sinespaciado"/>
              <w:widowControl w:val="0"/>
              <w:spacing w:line="276" w:lineRule="auto"/>
              <w:ind w:left="213"/>
              <w:rPr>
                <w:rFonts w:ascii="Arial" w:hAnsi="Arial" w:cs="Arial"/>
              </w:rPr>
            </w:pPr>
          </w:p>
          <w:p w14:paraId="5A4BE01A" w14:textId="77777777" w:rsidR="00D3344B" w:rsidRDefault="00D3344B">
            <w:pPr>
              <w:pStyle w:val="Sinespaciado"/>
              <w:widowControl w:val="0"/>
              <w:spacing w:line="276" w:lineRule="auto"/>
              <w:ind w:left="213"/>
              <w:rPr>
                <w:rFonts w:ascii="Arial" w:hAnsi="Arial" w:cs="Arial"/>
              </w:rPr>
            </w:pPr>
          </w:p>
          <w:p w14:paraId="2BE1364A"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El 25% del </w:t>
            </w:r>
            <w:proofErr w:type="spellStart"/>
            <w:r>
              <w:rPr>
                <w:rFonts w:ascii="Arial" w:hAnsi="Arial" w:cs="Arial"/>
              </w:rPr>
              <w:t>costo</w:t>
            </w:r>
            <w:proofErr w:type="spellEnd"/>
            <w:r>
              <w:rPr>
                <w:rFonts w:ascii="Arial" w:hAnsi="Arial" w:cs="Arial"/>
              </w:rPr>
              <w:t xml:space="preserve"> de la </w:t>
            </w:r>
            <w:proofErr w:type="spellStart"/>
            <w:r>
              <w:rPr>
                <w:rFonts w:ascii="Arial" w:hAnsi="Arial" w:cs="Arial"/>
              </w:rPr>
              <w:t>licencia</w:t>
            </w:r>
            <w:proofErr w:type="spellEnd"/>
            <w:r>
              <w:rPr>
                <w:rFonts w:ascii="Arial" w:hAnsi="Arial" w:cs="Arial"/>
              </w:rPr>
              <w:t>.</w:t>
            </w:r>
          </w:p>
          <w:p w14:paraId="79EC7D7C" w14:textId="77777777" w:rsidR="00D3344B" w:rsidRDefault="00D3344B">
            <w:pPr>
              <w:pStyle w:val="Sinespaciado"/>
              <w:widowControl w:val="0"/>
              <w:spacing w:line="276" w:lineRule="auto"/>
              <w:ind w:left="213"/>
              <w:rPr>
                <w:rFonts w:ascii="Arial" w:hAnsi="Arial" w:cs="Arial"/>
                <w:b/>
              </w:rPr>
            </w:pPr>
          </w:p>
        </w:tc>
      </w:tr>
      <w:tr w:rsidR="00D3344B" w14:paraId="2D70EE22" w14:textId="77777777">
        <w:trPr>
          <w:cantSplit/>
          <w:trHeight w:val="992"/>
        </w:trPr>
        <w:tc>
          <w:tcPr>
            <w:tcW w:w="802" w:type="dxa"/>
          </w:tcPr>
          <w:p w14:paraId="3BB30E47" w14:textId="77777777" w:rsidR="00D3344B" w:rsidRDefault="00D3344B">
            <w:pPr>
              <w:pStyle w:val="Sinespaciado"/>
              <w:widowControl w:val="0"/>
              <w:spacing w:line="276" w:lineRule="auto"/>
              <w:rPr>
                <w:rFonts w:ascii="Arial" w:hAnsi="Arial" w:cs="Arial"/>
              </w:rPr>
            </w:pPr>
          </w:p>
        </w:tc>
        <w:tc>
          <w:tcPr>
            <w:tcW w:w="7195" w:type="dxa"/>
          </w:tcPr>
          <w:p w14:paraId="5F377E94" w14:textId="77777777" w:rsidR="00D3344B" w:rsidRDefault="00143C25">
            <w:pPr>
              <w:pStyle w:val="Sinespaciado"/>
              <w:widowControl w:val="0"/>
              <w:jc w:val="both"/>
              <w:rPr>
                <w:rFonts w:ascii="Arial" w:hAnsi="Arial" w:cs="Arial"/>
              </w:rPr>
            </w:pPr>
            <w:r>
              <w:rPr>
                <w:rFonts w:ascii="Arial" w:hAnsi="Arial" w:cs="Arial"/>
                <w:i/>
                <w:sz w:val="16"/>
              </w:rPr>
              <w:t>(REFORMADO, P.O. 21 DE JUNIO DE 2021)</w:t>
            </w:r>
          </w:p>
          <w:p w14:paraId="6EFFCF53" w14:textId="77777777" w:rsidR="00D3344B" w:rsidRDefault="00143C25">
            <w:pPr>
              <w:pStyle w:val="Sinespaciado"/>
              <w:widowControl w:val="0"/>
              <w:jc w:val="both"/>
              <w:rPr>
                <w:rFonts w:ascii="Arial" w:hAnsi="Arial" w:cs="Arial"/>
                <w:i/>
                <w:sz w:val="16"/>
                <w:szCs w:val="16"/>
              </w:rPr>
            </w:pPr>
            <w:r>
              <w:rPr>
                <w:rFonts w:ascii="Arial" w:hAnsi="Arial" w:cs="Arial"/>
                <w:bCs/>
                <w:lang w:val="es-ES"/>
              </w:rPr>
              <w:t>j) Reposición del tarjetón de licencia de conducir de transporte público de pasajeros.</w:t>
            </w:r>
          </w:p>
        </w:tc>
        <w:tc>
          <w:tcPr>
            <w:tcW w:w="1975" w:type="dxa"/>
          </w:tcPr>
          <w:p w14:paraId="66C1A201"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2.5 UMA</w:t>
            </w:r>
          </w:p>
        </w:tc>
      </w:tr>
      <w:tr w:rsidR="00D3344B" w14:paraId="1A01748E" w14:textId="77777777">
        <w:trPr>
          <w:cantSplit/>
          <w:trHeight w:val="1205"/>
        </w:trPr>
        <w:tc>
          <w:tcPr>
            <w:tcW w:w="802" w:type="dxa"/>
          </w:tcPr>
          <w:p w14:paraId="606C6C29" w14:textId="77777777" w:rsidR="00D3344B" w:rsidRDefault="00143C25">
            <w:pPr>
              <w:pStyle w:val="Sinespaciado"/>
              <w:widowControl w:val="0"/>
              <w:spacing w:line="276" w:lineRule="auto"/>
              <w:rPr>
                <w:rFonts w:ascii="Arial" w:hAnsi="Arial" w:cs="Arial"/>
              </w:rPr>
            </w:pPr>
            <w:r>
              <w:rPr>
                <w:rFonts w:ascii="Arial" w:hAnsi="Arial" w:cs="Arial"/>
              </w:rPr>
              <w:t>II.</w:t>
            </w:r>
          </w:p>
        </w:tc>
        <w:tc>
          <w:tcPr>
            <w:tcW w:w="9170" w:type="dxa"/>
            <w:gridSpan w:val="2"/>
          </w:tcPr>
          <w:p w14:paraId="3A7E4A9E" w14:textId="77777777" w:rsidR="00D3344B" w:rsidRDefault="00143C25">
            <w:pPr>
              <w:pStyle w:val="Sinespaciado"/>
              <w:widowControl w:val="0"/>
              <w:spacing w:line="276" w:lineRule="auto"/>
              <w:ind w:left="213"/>
              <w:jc w:val="both"/>
              <w:rPr>
                <w:rFonts w:ascii="Arial" w:hAnsi="Arial" w:cs="Arial"/>
                <w:b/>
              </w:rPr>
            </w:pPr>
            <w:proofErr w:type="spellStart"/>
            <w:r>
              <w:rPr>
                <w:rFonts w:ascii="Arial" w:hAnsi="Arial" w:cs="Arial"/>
              </w:rPr>
              <w:t>Otorgamiento</w:t>
            </w:r>
            <w:proofErr w:type="spellEnd"/>
            <w:r>
              <w:rPr>
                <w:rFonts w:ascii="Arial" w:hAnsi="Arial" w:cs="Arial"/>
              </w:rPr>
              <w:t xml:space="preserve"> de </w:t>
            </w:r>
            <w:proofErr w:type="spellStart"/>
            <w:r>
              <w:rPr>
                <w:rFonts w:ascii="Arial" w:hAnsi="Arial" w:cs="Arial"/>
              </w:rPr>
              <w:t>concesión</w:t>
            </w:r>
            <w:proofErr w:type="spellEnd"/>
            <w:r>
              <w:rPr>
                <w:rFonts w:ascii="Arial" w:hAnsi="Arial" w:cs="Arial"/>
              </w:rPr>
              <w:t xml:space="preserve"> para la </w:t>
            </w:r>
            <w:proofErr w:type="spellStart"/>
            <w:r>
              <w:rPr>
                <w:rFonts w:ascii="Arial" w:hAnsi="Arial" w:cs="Arial"/>
              </w:rPr>
              <w:t>prestación</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alta</w:t>
            </w:r>
            <w:proofErr w:type="spellEnd"/>
            <w:r>
              <w:rPr>
                <w:rFonts w:ascii="Arial" w:hAnsi="Arial" w:cs="Arial"/>
              </w:rPr>
              <w:t xml:space="preserve"> al </w:t>
            </w:r>
            <w:proofErr w:type="spellStart"/>
            <w:r>
              <w:rPr>
                <w:rFonts w:ascii="Arial" w:hAnsi="Arial" w:cs="Arial"/>
              </w:rPr>
              <w:t>Registro</w:t>
            </w:r>
            <w:proofErr w:type="spellEnd"/>
            <w:r>
              <w:rPr>
                <w:rFonts w:ascii="Arial" w:hAnsi="Arial" w:cs="Arial"/>
              </w:rPr>
              <w:t xml:space="preserve"> Vehicular </w:t>
            </w:r>
            <w:proofErr w:type="spellStart"/>
            <w:r>
              <w:rPr>
                <w:rFonts w:ascii="Arial" w:hAnsi="Arial" w:cs="Arial"/>
              </w:rPr>
              <w:t>Estatal</w:t>
            </w:r>
            <w:proofErr w:type="spellEnd"/>
            <w:r>
              <w:rPr>
                <w:rFonts w:ascii="Arial" w:hAnsi="Arial" w:cs="Arial"/>
              </w:rPr>
              <w:t xml:space="preserve">, </w:t>
            </w:r>
            <w:proofErr w:type="spellStart"/>
            <w:r>
              <w:rPr>
                <w:rFonts w:ascii="Arial" w:hAnsi="Arial" w:cs="Arial"/>
              </w:rPr>
              <w:t>asignación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w:t>
            </w:r>
            <w:proofErr w:type="spellStart"/>
            <w:r>
              <w:rPr>
                <w:rFonts w:ascii="Arial" w:hAnsi="Arial" w:cs="Arial"/>
              </w:rPr>
              <w:t>tarjetón</w:t>
            </w:r>
            <w:proofErr w:type="spellEnd"/>
            <w:r>
              <w:rPr>
                <w:rFonts w:ascii="Arial" w:hAnsi="Arial" w:cs="Arial"/>
              </w:rPr>
              <w:t xml:space="preserve"> de sitio o </w:t>
            </w:r>
            <w:proofErr w:type="spellStart"/>
            <w:r>
              <w:rPr>
                <w:rFonts w:ascii="Arial" w:hAnsi="Arial" w:cs="Arial"/>
              </w:rPr>
              <w:t>ruta</w:t>
            </w:r>
            <w:proofErr w:type="spellEnd"/>
            <w:r>
              <w:rPr>
                <w:rFonts w:ascii="Arial" w:hAnsi="Arial" w:cs="Arial"/>
              </w:rPr>
              <w:t xml:space="preserve"> y </w:t>
            </w:r>
            <w:proofErr w:type="spellStart"/>
            <w:r>
              <w:rPr>
                <w:rFonts w:ascii="Arial" w:hAnsi="Arial" w:cs="Arial"/>
              </w:rPr>
              <w:t>engomado</w:t>
            </w:r>
            <w:proofErr w:type="spellEnd"/>
            <w:r>
              <w:rPr>
                <w:rFonts w:ascii="Arial" w:hAnsi="Arial" w:cs="Arial"/>
              </w:rPr>
              <w:t xml:space="preserve">, de la </w:t>
            </w:r>
            <w:proofErr w:type="spellStart"/>
            <w:r>
              <w:rPr>
                <w:rFonts w:ascii="Arial" w:hAnsi="Arial" w:cs="Arial"/>
              </w:rPr>
              <w:t>manera</w:t>
            </w:r>
            <w:proofErr w:type="spellEnd"/>
            <w:r>
              <w:rPr>
                <w:rFonts w:ascii="Arial" w:hAnsi="Arial" w:cs="Arial"/>
              </w:rPr>
              <w:t xml:space="preserve"> </w:t>
            </w:r>
            <w:proofErr w:type="spellStart"/>
            <w:r>
              <w:rPr>
                <w:rFonts w:ascii="Arial" w:hAnsi="Arial" w:cs="Arial"/>
              </w:rPr>
              <w:t>siguiente</w:t>
            </w:r>
            <w:proofErr w:type="spellEnd"/>
            <w:r>
              <w:rPr>
                <w:rFonts w:ascii="Arial" w:hAnsi="Arial" w:cs="Arial"/>
              </w:rPr>
              <w:t>:</w:t>
            </w:r>
          </w:p>
        </w:tc>
      </w:tr>
      <w:tr w:rsidR="00D3344B" w14:paraId="3D6BF644" w14:textId="77777777">
        <w:trPr>
          <w:cantSplit/>
          <w:trHeight w:val="726"/>
        </w:trPr>
        <w:tc>
          <w:tcPr>
            <w:tcW w:w="802" w:type="dxa"/>
          </w:tcPr>
          <w:p w14:paraId="44E1274E" w14:textId="77777777" w:rsidR="00D3344B" w:rsidRDefault="00D3344B">
            <w:pPr>
              <w:pStyle w:val="Sinespaciado"/>
              <w:widowControl w:val="0"/>
              <w:spacing w:line="276" w:lineRule="auto"/>
              <w:rPr>
                <w:rFonts w:ascii="Arial" w:hAnsi="Arial" w:cs="Arial"/>
              </w:rPr>
            </w:pPr>
          </w:p>
        </w:tc>
        <w:tc>
          <w:tcPr>
            <w:tcW w:w="7195" w:type="dxa"/>
          </w:tcPr>
          <w:p w14:paraId="0CADAC43" w14:textId="77777777" w:rsidR="00D3344B" w:rsidRDefault="00143C25">
            <w:pPr>
              <w:widowControl w:val="0"/>
              <w:spacing w:after="0" w:line="259" w:lineRule="auto"/>
              <w:rPr>
                <w:rFonts w:ascii="Arial" w:eastAsia="Times New Roman" w:hAnsi="Arial" w:cs="Arial"/>
                <w:b/>
              </w:rPr>
            </w:pPr>
            <w:r>
              <w:rPr>
                <w:rFonts w:ascii="Arial" w:hAnsi="Arial" w:cs="Arial"/>
                <w:i/>
                <w:sz w:val="16"/>
              </w:rPr>
              <w:t>(REFORMADO, P.O. 21 DE JUNIO DE 2021)</w:t>
            </w:r>
          </w:p>
          <w:p w14:paraId="7DB64068" w14:textId="77777777" w:rsidR="00D3344B" w:rsidRDefault="00143C25">
            <w:pPr>
              <w:widowControl w:val="0"/>
              <w:spacing w:after="0" w:line="259" w:lineRule="auto"/>
              <w:rPr>
                <w:rFonts w:ascii="Arial" w:hAnsi="Arial" w:cs="Arial"/>
              </w:rPr>
            </w:pPr>
            <w:r>
              <w:rPr>
                <w:rFonts w:ascii="Arial" w:eastAsia="Times New Roman" w:hAnsi="Arial" w:cs="Arial"/>
                <w:b/>
              </w:rPr>
              <w:t>a)</w:t>
            </w:r>
            <w:r>
              <w:rPr>
                <w:rFonts w:ascii="Arial" w:hAnsi="Arial" w:cs="Arial"/>
              </w:rPr>
              <w:t xml:space="preserve"> Vehículos automotores de hasta catorce pasajeros. </w:t>
            </w:r>
          </w:p>
          <w:p w14:paraId="53D1CD37" w14:textId="77777777" w:rsidR="00D3344B" w:rsidRDefault="00143C25">
            <w:pPr>
              <w:pStyle w:val="Sinespaciado"/>
              <w:widowControl w:val="0"/>
              <w:spacing w:line="276" w:lineRule="auto"/>
              <w:ind w:left="352" w:hanging="352"/>
              <w:rPr>
                <w:rFonts w:ascii="Arial" w:hAnsi="Arial" w:cs="Arial"/>
              </w:rPr>
            </w:pPr>
            <w:r>
              <w:rPr>
                <w:rFonts w:ascii="Arial" w:hAnsi="Arial" w:cs="Arial"/>
              </w:rPr>
              <w:t xml:space="preserve"> </w:t>
            </w:r>
          </w:p>
        </w:tc>
        <w:tc>
          <w:tcPr>
            <w:tcW w:w="1975" w:type="dxa"/>
          </w:tcPr>
          <w:p w14:paraId="32BAA580"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382 UMA </w:t>
            </w:r>
          </w:p>
        </w:tc>
      </w:tr>
      <w:tr w:rsidR="00D3344B" w14:paraId="0DDB0B27" w14:textId="77777777">
        <w:trPr>
          <w:cantSplit/>
          <w:trHeight w:val="848"/>
        </w:trPr>
        <w:tc>
          <w:tcPr>
            <w:tcW w:w="802" w:type="dxa"/>
          </w:tcPr>
          <w:p w14:paraId="71D37594" w14:textId="77777777" w:rsidR="00D3344B" w:rsidRDefault="00D3344B">
            <w:pPr>
              <w:pStyle w:val="Sinespaciado"/>
              <w:widowControl w:val="0"/>
              <w:spacing w:line="276" w:lineRule="auto"/>
              <w:rPr>
                <w:rFonts w:ascii="Arial" w:hAnsi="Arial" w:cs="Arial"/>
              </w:rPr>
            </w:pPr>
          </w:p>
        </w:tc>
        <w:tc>
          <w:tcPr>
            <w:tcW w:w="7195" w:type="dxa"/>
          </w:tcPr>
          <w:p w14:paraId="585297AA" w14:textId="77777777" w:rsidR="00D3344B" w:rsidRDefault="00143C25">
            <w:pPr>
              <w:widowControl w:val="0"/>
              <w:spacing w:after="0" w:line="259" w:lineRule="auto"/>
              <w:rPr>
                <w:rFonts w:ascii="Arial" w:eastAsia="Times New Roman" w:hAnsi="Arial" w:cs="Arial"/>
                <w:b/>
              </w:rPr>
            </w:pPr>
            <w:r>
              <w:rPr>
                <w:rFonts w:ascii="Arial" w:hAnsi="Arial" w:cs="Arial"/>
                <w:i/>
                <w:sz w:val="16"/>
              </w:rPr>
              <w:t>(REFORMADO, P.O. 21 DE JUNIO DE 2021)</w:t>
            </w:r>
          </w:p>
          <w:p w14:paraId="739139FC" w14:textId="77777777" w:rsidR="00D3344B" w:rsidRDefault="00143C25">
            <w:pPr>
              <w:widowControl w:val="0"/>
              <w:spacing w:after="0" w:line="259" w:lineRule="auto"/>
              <w:rPr>
                <w:rFonts w:ascii="Arial" w:hAnsi="Arial" w:cs="Arial"/>
              </w:rPr>
            </w:pPr>
            <w:r>
              <w:rPr>
                <w:rFonts w:ascii="Arial" w:eastAsia="Times New Roman" w:hAnsi="Arial" w:cs="Arial"/>
                <w:b/>
              </w:rPr>
              <w:t>b)</w:t>
            </w:r>
            <w:r>
              <w:rPr>
                <w:rFonts w:ascii="Arial" w:hAnsi="Arial" w:cs="Arial"/>
              </w:rPr>
              <w:t xml:space="preserve"> Vehículos automotores de quince hasta veinticinco pasajeros.  </w:t>
            </w:r>
          </w:p>
          <w:p w14:paraId="256A6199" w14:textId="77777777" w:rsidR="00D3344B" w:rsidRDefault="00143C25">
            <w:pPr>
              <w:pStyle w:val="Sinespaciado"/>
              <w:widowControl w:val="0"/>
              <w:spacing w:line="276" w:lineRule="auto"/>
              <w:ind w:left="352" w:hanging="352"/>
              <w:rPr>
                <w:rFonts w:ascii="Arial" w:hAnsi="Arial" w:cs="Arial"/>
              </w:rPr>
            </w:pPr>
            <w:r>
              <w:rPr>
                <w:rFonts w:ascii="Arial" w:hAnsi="Arial" w:cs="Arial"/>
              </w:rPr>
              <w:t xml:space="preserve"> </w:t>
            </w:r>
          </w:p>
        </w:tc>
        <w:tc>
          <w:tcPr>
            <w:tcW w:w="1975" w:type="dxa"/>
          </w:tcPr>
          <w:p w14:paraId="7D2EF788"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402 UMA </w:t>
            </w:r>
          </w:p>
        </w:tc>
      </w:tr>
      <w:tr w:rsidR="00D3344B" w14:paraId="47267174" w14:textId="77777777">
        <w:trPr>
          <w:cantSplit/>
          <w:trHeight w:val="786"/>
        </w:trPr>
        <w:tc>
          <w:tcPr>
            <w:tcW w:w="802" w:type="dxa"/>
          </w:tcPr>
          <w:p w14:paraId="27479CA1" w14:textId="77777777" w:rsidR="00D3344B" w:rsidRDefault="00D3344B">
            <w:pPr>
              <w:pStyle w:val="Sinespaciado"/>
              <w:widowControl w:val="0"/>
              <w:spacing w:line="276" w:lineRule="auto"/>
              <w:rPr>
                <w:rFonts w:ascii="Arial" w:hAnsi="Arial" w:cs="Arial"/>
              </w:rPr>
            </w:pPr>
          </w:p>
        </w:tc>
        <w:tc>
          <w:tcPr>
            <w:tcW w:w="7195" w:type="dxa"/>
          </w:tcPr>
          <w:p w14:paraId="01508E94" w14:textId="77777777" w:rsidR="00D3344B" w:rsidRDefault="00143C25">
            <w:pPr>
              <w:widowControl w:val="0"/>
              <w:spacing w:after="0" w:line="259" w:lineRule="auto"/>
              <w:rPr>
                <w:rFonts w:ascii="Arial" w:eastAsia="Times New Roman" w:hAnsi="Arial" w:cs="Arial"/>
                <w:b/>
              </w:rPr>
            </w:pPr>
            <w:r>
              <w:rPr>
                <w:rFonts w:ascii="Arial" w:hAnsi="Arial" w:cs="Arial"/>
                <w:i/>
                <w:sz w:val="16"/>
              </w:rPr>
              <w:t>(REFORMADO, P.O. 21 DE JUNIO DE 2021)</w:t>
            </w:r>
          </w:p>
          <w:p w14:paraId="0A7A7F30" w14:textId="77777777" w:rsidR="00D3344B" w:rsidRDefault="00143C25">
            <w:pPr>
              <w:widowControl w:val="0"/>
              <w:spacing w:after="0" w:line="259" w:lineRule="auto"/>
              <w:rPr>
                <w:rFonts w:ascii="Arial" w:hAnsi="Arial" w:cs="Arial"/>
              </w:rPr>
            </w:pPr>
            <w:r>
              <w:rPr>
                <w:rFonts w:ascii="Arial" w:eastAsia="Times New Roman" w:hAnsi="Arial" w:cs="Arial"/>
                <w:b/>
              </w:rPr>
              <w:t>c)</w:t>
            </w:r>
            <w:r>
              <w:rPr>
                <w:rFonts w:ascii="Arial" w:hAnsi="Arial" w:cs="Arial"/>
              </w:rPr>
              <w:t xml:space="preserve"> Vehículos automotores de veintiséis pasajeros en adelante. </w:t>
            </w:r>
          </w:p>
          <w:p w14:paraId="186E097E" w14:textId="77777777" w:rsidR="00D3344B" w:rsidRDefault="00143C25">
            <w:pPr>
              <w:pStyle w:val="Sinespaciado"/>
              <w:widowControl w:val="0"/>
              <w:spacing w:line="276" w:lineRule="auto"/>
              <w:ind w:left="352" w:hanging="352"/>
              <w:rPr>
                <w:rFonts w:ascii="Arial" w:hAnsi="Arial" w:cs="Arial"/>
              </w:rPr>
            </w:pPr>
            <w:r>
              <w:rPr>
                <w:rFonts w:ascii="Arial" w:hAnsi="Arial" w:cs="Arial"/>
              </w:rPr>
              <w:t xml:space="preserve"> </w:t>
            </w:r>
          </w:p>
        </w:tc>
        <w:tc>
          <w:tcPr>
            <w:tcW w:w="1975" w:type="dxa"/>
          </w:tcPr>
          <w:p w14:paraId="506ED677"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422 UMA </w:t>
            </w:r>
          </w:p>
        </w:tc>
      </w:tr>
      <w:tr w:rsidR="00D3344B" w14:paraId="30520503" w14:textId="77777777">
        <w:trPr>
          <w:cantSplit/>
          <w:trHeight w:val="646"/>
        </w:trPr>
        <w:tc>
          <w:tcPr>
            <w:tcW w:w="802" w:type="dxa"/>
          </w:tcPr>
          <w:p w14:paraId="28DB459C" w14:textId="77777777" w:rsidR="00D3344B" w:rsidRDefault="00D3344B">
            <w:pPr>
              <w:pStyle w:val="Sinespaciado"/>
              <w:widowControl w:val="0"/>
              <w:spacing w:line="276" w:lineRule="auto"/>
              <w:rPr>
                <w:rFonts w:ascii="Arial" w:hAnsi="Arial" w:cs="Arial"/>
              </w:rPr>
            </w:pPr>
          </w:p>
        </w:tc>
        <w:tc>
          <w:tcPr>
            <w:tcW w:w="7195" w:type="dxa"/>
          </w:tcPr>
          <w:p w14:paraId="7F0A3CAC" w14:textId="77777777" w:rsidR="00D3344B" w:rsidRDefault="00143C25">
            <w:pPr>
              <w:pStyle w:val="Sinespaciado"/>
              <w:widowControl w:val="0"/>
              <w:spacing w:line="276" w:lineRule="auto"/>
              <w:ind w:left="352" w:hanging="352"/>
              <w:rPr>
                <w:rFonts w:ascii="Arial" w:eastAsia="Times New Roman" w:hAnsi="Arial" w:cs="Arial"/>
                <w:b/>
              </w:rPr>
            </w:pPr>
            <w:r>
              <w:rPr>
                <w:rFonts w:ascii="Arial" w:hAnsi="Arial" w:cs="Arial"/>
                <w:i/>
                <w:sz w:val="16"/>
              </w:rPr>
              <w:t>(REFORMADO, P.O. 21 DE JUNIO DE 2021)</w:t>
            </w:r>
          </w:p>
          <w:p w14:paraId="46C68BDE" w14:textId="77777777" w:rsidR="00D3344B" w:rsidRDefault="00143C25">
            <w:pPr>
              <w:pStyle w:val="Sinespaciado"/>
              <w:widowControl w:val="0"/>
              <w:spacing w:line="276" w:lineRule="auto"/>
              <w:ind w:left="352" w:hanging="352"/>
              <w:rPr>
                <w:rFonts w:ascii="Arial" w:hAnsi="Arial" w:cs="Arial"/>
              </w:rPr>
            </w:pPr>
            <w:r>
              <w:rPr>
                <w:rFonts w:ascii="Arial" w:eastAsia="Times New Roman" w:hAnsi="Arial" w:cs="Arial"/>
                <w:b/>
              </w:rPr>
              <w:t>d)</w:t>
            </w:r>
            <w:r>
              <w:rPr>
                <w:rFonts w:ascii="Arial" w:hAnsi="Arial" w:cs="Arial"/>
              </w:rPr>
              <w:t xml:space="preserve"> </w:t>
            </w:r>
            <w:proofErr w:type="spellStart"/>
            <w:r>
              <w:rPr>
                <w:rFonts w:ascii="Arial" w:hAnsi="Arial" w:cs="Arial"/>
              </w:rPr>
              <w:t>Camiones</w:t>
            </w:r>
            <w:proofErr w:type="spellEnd"/>
            <w:r>
              <w:rPr>
                <w:rFonts w:ascii="Arial" w:hAnsi="Arial" w:cs="Arial"/>
              </w:rPr>
              <w:t xml:space="preserve"> </w:t>
            </w:r>
            <w:proofErr w:type="spellStart"/>
            <w:r>
              <w:rPr>
                <w:rFonts w:ascii="Arial" w:hAnsi="Arial" w:cs="Arial"/>
              </w:rPr>
              <w:t>materialistas</w:t>
            </w:r>
            <w:proofErr w:type="spellEnd"/>
            <w:r>
              <w:rPr>
                <w:rFonts w:ascii="Arial" w:hAnsi="Arial" w:cs="Arial"/>
              </w:rPr>
              <w:t xml:space="preserve"> y de carga </w:t>
            </w:r>
            <w:proofErr w:type="spellStart"/>
            <w:r>
              <w:rPr>
                <w:rFonts w:ascii="Arial" w:hAnsi="Arial" w:cs="Arial"/>
              </w:rPr>
              <w:t>en</w:t>
            </w:r>
            <w:proofErr w:type="spellEnd"/>
            <w:r>
              <w:rPr>
                <w:rFonts w:ascii="Arial" w:hAnsi="Arial" w:cs="Arial"/>
              </w:rPr>
              <w:t xml:space="preserve"> general. </w:t>
            </w:r>
          </w:p>
        </w:tc>
        <w:tc>
          <w:tcPr>
            <w:tcW w:w="1975" w:type="dxa"/>
          </w:tcPr>
          <w:p w14:paraId="49F0A761" w14:textId="77777777" w:rsidR="00D3344B" w:rsidRDefault="00143C25">
            <w:pPr>
              <w:pStyle w:val="Sinespaciado"/>
              <w:widowControl w:val="0"/>
              <w:spacing w:line="276" w:lineRule="auto"/>
              <w:ind w:left="213"/>
              <w:rPr>
                <w:rFonts w:ascii="Arial" w:hAnsi="Arial" w:cs="Arial"/>
              </w:rPr>
            </w:pPr>
            <w:r>
              <w:rPr>
                <w:rFonts w:ascii="Arial" w:eastAsia="Times New Roman" w:hAnsi="Arial" w:cs="Arial"/>
                <w:b/>
              </w:rPr>
              <w:t xml:space="preserve">77 UMA </w:t>
            </w:r>
          </w:p>
        </w:tc>
      </w:tr>
      <w:tr w:rsidR="00D3344B" w14:paraId="48EC0DD7" w14:textId="77777777">
        <w:trPr>
          <w:cantSplit/>
          <w:trHeight w:val="712"/>
        </w:trPr>
        <w:tc>
          <w:tcPr>
            <w:tcW w:w="802" w:type="dxa"/>
          </w:tcPr>
          <w:p w14:paraId="55971696" w14:textId="77777777" w:rsidR="00D3344B" w:rsidRDefault="00D3344B">
            <w:pPr>
              <w:pStyle w:val="Sinespaciado"/>
              <w:widowControl w:val="0"/>
              <w:spacing w:line="276" w:lineRule="auto"/>
              <w:rPr>
                <w:rFonts w:ascii="Arial" w:hAnsi="Arial" w:cs="Arial"/>
              </w:rPr>
            </w:pPr>
          </w:p>
        </w:tc>
        <w:tc>
          <w:tcPr>
            <w:tcW w:w="7195" w:type="dxa"/>
          </w:tcPr>
          <w:p w14:paraId="204A51CF" w14:textId="77777777" w:rsidR="00D3344B" w:rsidRDefault="00143C25">
            <w:pPr>
              <w:pStyle w:val="Sinespaciado"/>
              <w:widowControl w:val="0"/>
              <w:spacing w:line="276" w:lineRule="auto"/>
              <w:ind w:left="352" w:hanging="352"/>
              <w:rPr>
                <w:rFonts w:ascii="Arial" w:eastAsia="Times New Roman" w:hAnsi="Arial" w:cs="Arial"/>
                <w:b/>
              </w:rPr>
            </w:pPr>
            <w:r>
              <w:rPr>
                <w:rFonts w:ascii="Arial" w:hAnsi="Arial" w:cs="Arial"/>
                <w:i/>
                <w:sz w:val="16"/>
              </w:rPr>
              <w:t>(REFORMADO, P.O. 21 DE JUNIO DE 2021)</w:t>
            </w:r>
          </w:p>
          <w:p w14:paraId="5E313974" w14:textId="77777777" w:rsidR="00D3344B" w:rsidRDefault="00143C25">
            <w:pPr>
              <w:pStyle w:val="Sinespaciado"/>
              <w:widowControl w:val="0"/>
              <w:spacing w:line="276" w:lineRule="auto"/>
              <w:ind w:left="352" w:hanging="352"/>
              <w:rPr>
                <w:rFonts w:ascii="Arial" w:hAnsi="Arial" w:cs="Arial"/>
              </w:rPr>
            </w:pPr>
            <w:r>
              <w:rPr>
                <w:rFonts w:ascii="Arial" w:eastAsia="Times New Roman" w:hAnsi="Arial" w:cs="Arial"/>
                <w:b/>
              </w:rPr>
              <w:t>e)</w:t>
            </w:r>
            <w:r>
              <w:rPr>
                <w:rFonts w:ascii="Arial" w:hAnsi="Arial" w:cs="Arial"/>
              </w:rPr>
              <w:t xml:space="preserve"> </w:t>
            </w:r>
            <w:proofErr w:type="spellStart"/>
            <w:r>
              <w:rPr>
                <w:rFonts w:ascii="Arial" w:hAnsi="Arial" w:cs="Arial"/>
              </w:rPr>
              <w:t>Grúas</w:t>
            </w:r>
            <w:proofErr w:type="spellEnd"/>
            <w:r>
              <w:rPr>
                <w:rFonts w:ascii="Arial" w:hAnsi="Arial" w:cs="Arial"/>
              </w:rPr>
              <w:t xml:space="preserve"> para arrastre y </w:t>
            </w:r>
            <w:proofErr w:type="spellStart"/>
            <w:r>
              <w:rPr>
                <w:rFonts w:ascii="Arial" w:hAnsi="Arial" w:cs="Arial"/>
              </w:rPr>
              <w:t>salvamento</w:t>
            </w:r>
            <w:proofErr w:type="spellEnd"/>
            <w:r>
              <w:rPr>
                <w:rFonts w:ascii="Arial" w:hAnsi="Arial" w:cs="Arial"/>
              </w:rPr>
              <w:t xml:space="preserve">. </w:t>
            </w:r>
          </w:p>
        </w:tc>
        <w:tc>
          <w:tcPr>
            <w:tcW w:w="1975" w:type="dxa"/>
          </w:tcPr>
          <w:p w14:paraId="21760D61"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182 UMA </w:t>
            </w:r>
          </w:p>
        </w:tc>
      </w:tr>
      <w:tr w:rsidR="00D3344B" w14:paraId="29836EEB" w14:textId="77777777">
        <w:trPr>
          <w:cantSplit/>
          <w:trHeight w:val="418"/>
        </w:trPr>
        <w:tc>
          <w:tcPr>
            <w:tcW w:w="802" w:type="dxa"/>
          </w:tcPr>
          <w:p w14:paraId="22DBD583" w14:textId="77777777" w:rsidR="00D3344B" w:rsidRDefault="00D3344B">
            <w:pPr>
              <w:pStyle w:val="Sinespaciado"/>
              <w:widowControl w:val="0"/>
              <w:spacing w:line="276" w:lineRule="auto"/>
              <w:rPr>
                <w:rFonts w:ascii="Arial" w:hAnsi="Arial" w:cs="Arial"/>
              </w:rPr>
            </w:pPr>
          </w:p>
        </w:tc>
        <w:tc>
          <w:tcPr>
            <w:tcW w:w="7195" w:type="dxa"/>
          </w:tcPr>
          <w:p w14:paraId="669AC559" w14:textId="77777777" w:rsidR="00D3344B" w:rsidRDefault="00143C25">
            <w:pPr>
              <w:pStyle w:val="Sinespaciado"/>
              <w:widowControl w:val="0"/>
              <w:spacing w:line="276" w:lineRule="auto"/>
              <w:ind w:left="352" w:hanging="352"/>
              <w:jc w:val="both"/>
              <w:rPr>
                <w:rFonts w:ascii="Arial" w:hAnsi="Arial" w:cs="Arial"/>
              </w:rPr>
            </w:pPr>
            <w:proofErr w:type="gramStart"/>
            <w:r>
              <w:rPr>
                <w:rFonts w:ascii="Arial" w:hAnsi="Arial" w:cs="Arial"/>
              </w:rPr>
              <w:t xml:space="preserve">f)  </w:t>
            </w:r>
            <w:r>
              <w:rPr>
                <w:rFonts w:ascii="Arial" w:hAnsi="Arial" w:cs="Arial"/>
                <w:i/>
                <w:sz w:val="16"/>
                <w:szCs w:val="16"/>
              </w:rPr>
              <w:t>(</w:t>
            </w:r>
            <w:proofErr w:type="gramEnd"/>
            <w:r>
              <w:rPr>
                <w:rFonts w:ascii="Arial" w:hAnsi="Arial" w:cs="Arial"/>
                <w:i/>
                <w:sz w:val="16"/>
                <w:szCs w:val="16"/>
              </w:rPr>
              <w:t>DEROGADO, P.O. 30 DE DICIEMBRE DE 2006)</w:t>
            </w:r>
          </w:p>
        </w:tc>
        <w:tc>
          <w:tcPr>
            <w:tcW w:w="1975" w:type="dxa"/>
            <w:vAlign w:val="center"/>
          </w:tcPr>
          <w:p w14:paraId="5A91E177" w14:textId="77777777" w:rsidR="00D3344B" w:rsidRDefault="00D3344B">
            <w:pPr>
              <w:pStyle w:val="Sinespaciado"/>
              <w:widowControl w:val="0"/>
              <w:spacing w:line="276" w:lineRule="auto"/>
              <w:ind w:left="213"/>
              <w:jc w:val="center"/>
              <w:rPr>
                <w:rFonts w:ascii="Arial" w:hAnsi="Arial" w:cs="Arial"/>
                <w:b/>
              </w:rPr>
            </w:pPr>
          </w:p>
        </w:tc>
      </w:tr>
      <w:tr w:rsidR="00D3344B" w14:paraId="1C3ABF6B" w14:textId="77777777">
        <w:trPr>
          <w:cantSplit/>
          <w:trHeight w:val="418"/>
        </w:trPr>
        <w:tc>
          <w:tcPr>
            <w:tcW w:w="802" w:type="dxa"/>
          </w:tcPr>
          <w:p w14:paraId="3242FB4C" w14:textId="77777777" w:rsidR="00D3344B" w:rsidRDefault="00D3344B">
            <w:pPr>
              <w:pStyle w:val="Sinespaciado"/>
              <w:widowControl w:val="0"/>
              <w:spacing w:line="276" w:lineRule="auto"/>
              <w:rPr>
                <w:rFonts w:ascii="Arial" w:hAnsi="Arial" w:cs="Arial"/>
              </w:rPr>
            </w:pPr>
          </w:p>
        </w:tc>
        <w:tc>
          <w:tcPr>
            <w:tcW w:w="7195" w:type="dxa"/>
            <w:vAlign w:val="bottom"/>
          </w:tcPr>
          <w:p w14:paraId="4EAF68DA" w14:textId="77777777" w:rsidR="00D3344B" w:rsidRDefault="00143C25">
            <w:pPr>
              <w:pStyle w:val="Sinespaciado"/>
              <w:widowControl w:val="0"/>
              <w:spacing w:line="276" w:lineRule="auto"/>
              <w:ind w:left="352" w:hanging="352"/>
              <w:rPr>
                <w:rFonts w:ascii="Arial" w:hAnsi="Arial" w:cs="Arial"/>
              </w:rPr>
            </w:pPr>
            <w:r>
              <w:rPr>
                <w:rFonts w:ascii="Arial" w:hAnsi="Arial" w:cs="Arial"/>
                <w:i/>
                <w:sz w:val="16"/>
              </w:rPr>
              <w:t>(REFORMADA, P.O. 30 DE DICIEMBRE DE 2005)</w:t>
            </w:r>
          </w:p>
        </w:tc>
        <w:tc>
          <w:tcPr>
            <w:tcW w:w="1975" w:type="dxa"/>
            <w:vAlign w:val="center"/>
          </w:tcPr>
          <w:p w14:paraId="3A564FA8" w14:textId="77777777" w:rsidR="00D3344B" w:rsidRDefault="00D3344B">
            <w:pPr>
              <w:pStyle w:val="Sinespaciado"/>
              <w:widowControl w:val="0"/>
              <w:spacing w:line="276" w:lineRule="auto"/>
              <w:ind w:left="213"/>
              <w:jc w:val="center"/>
              <w:rPr>
                <w:rFonts w:ascii="Arial" w:hAnsi="Arial" w:cs="Arial"/>
                <w:b/>
              </w:rPr>
            </w:pPr>
          </w:p>
        </w:tc>
      </w:tr>
      <w:tr w:rsidR="00D3344B" w14:paraId="5F6543F5" w14:textId="77777777">
        <w:trPr>
          <w:cantSplit/>
          <w:trHeight w:val="855"/>
        </w:trPr>
        <w:tc>
          <w:tcPr>
            <w:tcW w:w="802" w:type="dxa"/>
          </w:tcPr>
          <w:p w14:paraId="14CE281E" w14:textId="77777777" w:rsidR="00D3344B" w:rsidRDefault="00143C25">
            <w:pPr>
              <w:pStyle w:val="Sinespaciado"/>
              <w:widowControl w:val="0"/>
              <w:spacing w:line="276" w:lineRule="auto"/>
              <w:rPr>
                <w:rFonts w:ascii="Arial" w:hAnsi="Arial" w:cs="Arial"/>
              </w:rPr>
            </w:pPr>
            <w:r>
              <w:rPr>
                <w:rFonts w:ascii="Arial" w:hAnsi="Arial" w:cs="Arial"/>
              </w:rPr>
              <w:t>III.</w:t>
            </w:r>
          </w:p>
        </w:tc>
        <w:tc>
          <w:tcPr>
            <w:tcW w:w="9170" w:type="dxa"/>
            <w:gridSpan w:val="2"/>
          </w:tcPr>
          <w:p w14:paraId="43E5BBDF" w14:textId="77777777" w:rsidR="00D3344B" w:rsidRDefault="00143C25">
            <w:pPr>
              <w:pStyle w:val="Sinespaciado"/>
              <w:widowControl w:val="0"/>
              <w:spacing w:line="276" w:lineRule="auto"/>
              <w:ind w:left="213"/>
              <w:rPr>
                <w:rFonts w:ascii="Arial" w:hAnsi="Arial" w:cs="Arial"/>
                <w:b/>
              </w:rPr>
            </w:pPr>
            <w:proofErr w:type="spellStart"/>
            <w:r>
              <w:rPr>
                <w:rFonts w:ascii="Arial" w:hAnsi="Arial" w:cs="Arial"/>
              </w:rPr>
              <w:t>Refrendo</w:t>
            </w:r>
            <w:proofErr w:type="spellEnd"/>
            <w:r>
              <w:rPr>
                <w:rFonts w:ascii="Arial" w:hAnsi="Arial" w:cs="Arial"/>
              </w:rPr>
              <w:t xml:space="preserve"> </w:t>
            </w:r>
            <w:proofErr w:type="spellStart"/>
            <w:r>
              <w:rPr>
                <w:rFonts w:ascii="Arial" w:hAnsi="Arial" w:cs="Arial"/>
              </w:rPr>
              <w:t>Anual</w:t>
            </w:r>
            <w:proofErr w:type="spellEnd"/>
            <w:r>
              <w:rPr>
                <w:rFonts w:ascii="Arial" w:hAnsi="Arial" w:cs="Arial"/>
              </w:rPr>
              <w:t xml:space="preserve"> de </w:t>
            </w:r>
            <w:proofErr w:type="spellStart"/>
            <w:r>
              <w:rPr>
                <w:rFonts w:ascii="Arial" w:hAnsi="Arial" w:cs="Arial"/>
              </w:rPr>
              <w:t>Concesiones</w:t>
            </w:r>
            <w:proofErr w:type="spellEnd"/>
            <w:r>
              <w:rPr>
                <w:rFonts w:ascii="Arial" w:hAnsi="Arial" w:cs="Arial"/>
              </w:rPr>
              <w:t xml:space="preserve">, con base </w:t>
            </w:r>
            <w:proofErr w:type="spellStart"/>
            <w:r>
              <w:rPr>
                <w:rFonts w:ascii="Arial" w:hAnsi="Arial" w:cs="Arial"/>
              </w:rPr>
              <w:t>en</w:t>
            </w:r>
            <w:proofErr w:type="spellEnd"/>
            <w:r>
              <w:rPr>
                <w:rFonts w:ascii="Arial" w:hAnsi="Arial" w:cs="Arial"/>
              </w:rPr>
              <w:t xml:space="preserve"> lo </w:t>
            </w:r>
            <w:proofErr w:type="spellStart"/>
            <w:r>
              <w:rPr>
                <w:rFonts w:ascii="Arial" w:hAnsi="Arial" w:cs="Arial"/>
              </w:rPr>
              <w:t>siguiente</w:t>
            </w:r>
            <w:proofErr w:type="spellEnd"/>
            <w:r>
              <w:rPr>
                <w:rFonts w:ascii="Arial" w:hAnsi="Arial" w:cs="Arial"/>
              </w:rPr>
              <w:t>:</w:t>
            </w:r>
          </w:p>
        </w:tc>
      </w:tr>
      <w:tr w:rsidR="00D3344B" w14:paraId="662F55C9" w14:textId="77777777">
        <w:trPr>
          <w:cantSplit/>
          <w:trHeight w:val="711"/>
        </w:trPr>
        <w:tc>
          <w:tcPr>
            <w:tcW w:w="802" w:type="dxa"/>
          </w:tcPr>
          <w:p w14:paraId="4AED0810" w14:textId="77777777" w:rsidR="00D3344B" w:rsidRDefault="00D3344B">
            <w:pPr>
              <w:pStyle w:val="Sinespaciado"/>
              <w:widowControl w:val="0"/>
              <w:spacing w:line="276" w:lineRule="auto"/>
              <w:rPr>
                <w:rFonts w:ascii="Arial" w:hAnsi="Arial" w:cs="Arial"/>
              </w:rPr>
            </w:pPr>
          </w:p>
        </w:tc>
        <w:tc>
          <w:tcPr>
            <w:tcW w:w="7195" w:type="dxa"/>
          </w:tcPr>
          <w:p w14:paraId="025B2389"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7D6EEA73"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a)</w:t>
            </w:r>
            <w:r>
              <w:rPr>
                <w:rFonts w:ascii="Arial" w:hAnsi="Arial" w:cs="Arial"/>
              </w:rPr>
              <w:t xml:space="preserv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hasta </w:t>
            </w:r>
            <w:proofErr w:type="spellStart"/>
            <w:r>
              <w:rPr>
                <w:rFonts w:ascii="Arial" w:hAnsi="Arial" w:cs="Arial"/>
              </w:rPr>
              <w:t>catorce</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w:t>
            </w:r>
            <w:r>
              <w:rPr>
                <w:rFonts w:ascii="Arial" w:eastAsia="Times New Roman" w:hAnsi="Arial" w:cs="Arial"/>
                <w:b/>
              </w:rPr>
              <w:t xml:space="preserve"> </w:t>
            </w:r>
          </w:p>
        </w:tc>
        <w:tc>
          <w:tcPr>
            <w:tcW w:w="1975" w:type="dxa"/>
          </w:tcPr>
          <w:p w14:paraId="23253A03"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25.5 UMA </w:t>
            </w:r>
          </w:p>
        </w:tc>
      </w:tr>
      <w:tr w:rsidR="00D3344B" w14:paraId="33FB7C7F" w14:textId="77777777">
        <w:trPr>
          <w:cantSplit/>
          <w:trHeight w:val="721"/>
        </w:trPr>
        <w:tc>
          <w:tcPr>
            <w:tcW w:w="802" w:type="dxa"/>
          </w:tcPr>
          <w:p w14:paraId="40FAF1E9" w14:textId="77777777" w:rsidR="00D3344B" w:rsidRDefault="00D3344B">
            <w:pPr>
              <w:pStyle w:val="Sinespaciado"/>
              <w:widowControl w:val="0"/>
              <w:spacing w:line="276" w:lineRule="auto"/>
              <w:rPr>
                <w:rFonts w:ascii="Arial" w:hAnsi="Arial" w:cs="Arial"/>
              </w:rPr>
            </w:pPr>
          </w:p>
        </w:tc>
        <w:tc>
          <w:tcPr>
            <w:tcW w:w="7195" w:type="dxa"/>
          </w:tcPr>
          <w:p w14:paraId="761F5514"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2B0FCD83"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b)</w:t>
            </w:r>
            <w:r>
              <w:rPr>
                <w:rFonts w:ascii="Arial" w:hAnsi="Arial" w:cs="Arial"/>
              </w:rPr>
              <w:t xml:space="preserv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quince hasta </w:t>
            </w:r>
            <w:proofErr w:type="spellStart"/>
            <w:r>
              <w:rPr>
                <w:rFonts w:ascii="Arial" w:hAnsi="Arial" w:cs="Arial"/>
              </w:rPr>
              <w:t>veinticinco</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
        </w:tc>
        <w:tc>
          <w:tcPr>
            <w:tcW w:w="1975" w:type="dxa"/>
          </w:tcPr>
          <w:p w14:paraId="184BEE23"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27.5 UMA </w:t>
            </w:r>
          </w:p>
        </w:tc>
      </w:tr>
      <w:tr w:rsidR="00D3344B" w14:paraId="042E3A2B" w14:textId="77777777">
        <w:trPr>
          <w:cantSplit/>
          <w:trHeight w:val="845"/>
        </w:trPr>
        <w:tc>
          <w:tcPr>
            <w:tcW w:w="802" w:type="dxa"/>
          </w:tcPr>
          <w:p w14:paraId="51E3EE6D" w14:textId="77777777" w:rsidR="00D3344B" w:rsidRDefault="00D3344B">
            <w:pPr>
              <w:pStyle w:val="Sinespaciado"/>
              <w:widowControl w:val="0"/>
              <w:spacing w:line="276" w:lineRule="auto"/>
              <w:rPr>
                <w:rFonts w:ascii="Arial" w:hAnsi="Arial" w:cs="Arial"/>
              </w:rPr>
            </w:pPr>
          </w:p>
        </w:tc>
        <w:tc>
          <w:tcPr>
            <w:tcW w:w="7195" w:type="dxa"/>
          </w:tcPr>
          <w:p w14:paraId="303EA0B8"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6DA87381"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c)</w:t>
            </w:r>
            <w:r>
              <w:rPr>
                <w:rFonts w:ascii="Arial" w:hAnsi="Arial" w:cs="Arial"/>
              </w:rPr>
              <w:t xml:space="preserv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w:t>
            </w:r>
            <w:proofErr w:type="spellStart"/>
            <w:r>
              <w:rPr>
                <w:rFonts w:ascii="Arial" w:hAnsi="Arial" w:cs="Arial"/>
              </w:rPr>
              <w:t>veintiséis</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adelante</w:t>
            </w:r>
            <w:proofErr w:type="spellEnd"/>
            <w:r>
              <w:rPr>
                <w:rFonts w:ascii="Arial" w:hAnsi="Arial" w:cs="Arial"/>
              </w:rPr>
              <w:t xml:space="preserve">. </w:t>
            </w:r>
          </w:p>
        </w:tc>
        <w:tc>
          <w:tcPr>
            <w:tcW w:w="1975" w:type="dxa"/>
          </w:tcPr>
          <w:p w14:paraId="726412B2"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29.5 UMA </w:t>
            </w:r>
          </w:p>
        </w:tc>
      </w:tr>
      <w:tr w:rsidR="00D3344B" w14:paraId="2A17D36F" w14:textId="77777777">
        <w:trPr>
          <w:cantSplit/>
          <w:trHeight w:val="715"/>
        </w:trPr>
        <w:tc>
          <w:tcPr>
            <w:tcW w:w="802" w:type="dxa"/>
          </w:tcPr>
          <w:p w14:paraId="7C7A2EB4" w14:textId="77777777" w:rsidR="00D3344B" w:rsidRDefault="00D3344B">
            <w:pPr>
              <w:pStyle w:val="Sinespaciado"/>
              <w:widowControl w:val="0"/>
              <w:spacing w:line="276" w:lineRule="auto"/>
              <w:rPr>
                <w:rFonts w:ascii="Arial" w:hAnsi="Arial" w:cs="Arial"/>
              </w:rPr>
            </w:pPr>
          </w:p>
        </w:tc>
        <w:tc>
          <w:tcPr>
            <w:tcW w:w="7195" w:type="dxa"/>
          </w:tcPr>
          <w:p w14:paraId="765E9A3C"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264FF0E6"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d)</w:t>
            </w:r>
            <w:r>
              <w:rPr>
                <w:rFonts w:ascii="Arial" w:hAnsi="Arial" w:cs="Arial"/>
              </w:rPr>
              <w:t xml:space="preserve"> </w:t>
            </w:r>
            <w:proofErr w:type="spellStart"/>
            <w:r>
              <w:rPr>
                <w:rFonts w:ascii="Arial" w:hAnsi="Arial" w:cs="Arial"/>
              </w:rPr>
              <w:t>Camiones</w:t>
            </w:r>
            <w:proofErr w:type="spellEnd"/>
            <w:r>
              <w:rPr>
                <w:rFonts w:ascii="Arial" w:hAnsi="Arial" w:cs="Arial"/>
              </w:rPr>
              <w:t xml:space="preserve"> </w:t>
            </w:r>
            <w:proofErr w:type="spellStart"/>
            <w:r>
              <w:rPr>
                <w:rFonts w:ascii="Arial" w:hAnsi="Arial" w:cs="Arial"/>
              </w:rPr>
              <w:t>materialistas</w:t>
            </w:r>
            <w:proofErr w:type="spellEnd"/>
            <w:r>
              <w:rPr>
                <w:rFonts w:ascii="Arial" w:hAnsi="Arial" w:cs="Arial"/>
              </w:rPr>
              <w:t xml:space="preserve"> y de carga </w:t>
            </w:r>
            <w:proofErr w:type="spellStart"/>
            <w:r>
              <w:rPr>
                <w:rFonts w:ascii="Arial" w:hAnsi="Arial" w:cs="Arial"/>
              </w:rPr>
              <w:t>en</w:t>
            </w:r>
            <w:proofErr w:type="spellEnd"/>
            <w:r>
              <w:rPr>
                <w:rFonts w:ascii="Arial" w:hAnsi="Arial" w:cs="Arial"/>
              </w:rPr>
              <w:t xml:space="preserve"> general.  </w:t>
            </w:r>
          </w:p>
        </w:tc>
        <w:tc>
          <w:tcPr>
            <w:tcW w:w="1975" w:type="dxa"/>
          </w:tcPr>
          <w:p w14:paraId="63D98031"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6.5 UMA </w:t>
            </w:r>
          </w:p>
        </w:tc>
      </w:tr>
      <w:tr w:rsidR="00D3344B" w14:paraId="583B26EC" w14:textId="77777777">
        <w:trPr>
          <w:cantSplit/>
          <w:trHeight w:val="697"/>
        </w:trPr>
        <w:tc>
          <w:tcPr>
            <w:tcW w:w="802" w:type="dxa"/>
          </w:tcPr>
          <w:p w14:paraId="6F1717EC" w14:textId="77777777" w:rsidR="00D3344B" w:rsidRDefault="00D3344B">
            <w:pPr>
              <w:pStyle w:val="Sinespaciado"/>
              <w:widowControl w:val="0"/>
              <w:spacing w:line="276" w:lineRule="auto"/>
              <w:rPr>
                <w:rFonts w:ascii="Arial" w:hAnsi="Arial" w:cs="Arial"/>
              </w:rPr>
            </w:pPr>
          </w:p>
        </w:tc>
        <w:tc>
          <w:tcPr>
            <w:tcW w:w="7195" w:type="dxa"/>
          </w:tcPr>
          <w:p w14:paraId="63FDA754"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15091F41" w14:textId="77777777" w:rsidR="00D3344B" w:rsidRDefault="00143C25">
            <w:pPr>
              <w:pStyle w:val="Sinespaciado"/>
              <w:widowControl w:val="0"/>
              <w:spacing w:line="276" w:lineRule="auto"/>
              <w:ind w:left="494" w:hanging="494"/>
              <w:rPr>
                <w:rFonts w:ascii="Arial" w:hAnsi="Arial" w:cs="Arial"/>
              </w:rPr>
            </w:pPr>
            <w:r>
              <w:rPr>
                <w:rFonts w:ascii="Arial" w:eastAsia="Times New Roman" w:hAnsi="Arial" w:cs="Arial"/>
                <w:b/>
              </w:rPr>
              <w:t>e)</w:t>
            </w:r>
            <w:r>
              <w:rPr>
                <w:rFonts w:ascii="Arial" w:hAnsi="Arial" w:cs="Arial"/>
              </w:rPr>
              <w:t xml:space="preserve"> </w:t>
            </w:r>
            <w:proofErr w:type="spellStart"/>
            <w:r>
              <w:rPr>
                <w:rFonts w:ascii="Arial" w:hAnsi="Arial" w:cs="Arial"/>
              </w:rPr>
              <w:t>Grúas</w:t>
            </w:r>
            <w:proofErr w:type="spellEnd"/>
            <w:r>
              <w:rPr>
                <w:rFonts w:ascii="Arial" w:hAnsi="Arial" w:cs="Arial"/>
              </w:rPr>
              <w:t xml:space="preserve"> para arrastre y </w:t>
            </w:r>
            <w:proofErr w:type="spellStart"/>
            <w:r>
              <w:rPr>
                <w:rFonts w:ascii="Arial" w:hAnsi="Arial" w:cs="Arial"/>
              </w:rPr>
              <w:t>salvamento</w:t>
            </w:r>
            <w:proofErr w:type="spellEnd"/>
            <w:r>
              <w:rPr>
                <w:rFonts w:ascii="Arial" w:hAnsi="Arial" w:cs="Arial"/>
              </w:rPr>
              <w:t xml:space="preserve">. </w:t>
            </w:r>
          </w:p>
        </w:tc>
        <w:tc>
          <w:tcPr>
            <w:tcW w:w="1975" w:type="dxa"/>
          </w:tcPr>
          <w:p w14:paraId="1A00BD02" w14:textId="77777777" w:rsidR="00D3344B" w:rsidRDefault="00143C25">
            <w:pPr>
              <w:widowControl w:val="0"/>
              <w:spacing w:after="138" w:line="259" w:lineRule="auto"/>
              <w:rPr>
                <w:rFonts w:ascii="Arial" w:hAnsi="Arial" w:cs="Arial"/>
              </w:rPr>
            </w:pPr>
            <w:r>
              <w:rPr>
                <w:rFonts w:ascii="Arial" w:eastAsia="Times New Roman" w:hAnsi="Arial" w:cs="Arial"/>
                <w:b/>
              </w:rPr>
              <w:t xml:space="preserve">15.5 UMA </w:t>
            </w:r>
          </w:p>
          <w:p w14:paraId="295FB8A4" w14:textId="77777777" w:rsidR="00D3344B" w:rsidRDefault="00143C25">
            <w:pPr>
              <w:pStyle w:val="Sinespaciado"/>
              <w:widowControl w:val="0"/>
              <w:spacing w:line="276" w:lineRule="auto"/>
              <w:ind w:left="213"/>
              <w:rPr>
                <w:rFonts w:ascii="Arial" w:hAnsi="Arial" w:cs="Arial"/>
                <w:b/>
              </w:rPr>
            </w:pPr>
            <w:r>
              <w:rPr>
                <w:rFonts w:ascii="Arial" w:eastAsia="Times New Roman" w:hAnsi="Arial" w:cs="Arial"/>
                <w:b/>
              </w:rPr>
              <w:t xml:space="preserve"> </w:t>
            </w:r>
          </w:p>
        </w:tc>
      </w:tr>
      <w:tr w:rsidR="00D3344B" w14:paraId="62D560B0" w14:textId="77777777">
        <w:trPr>
          <w:cantSplit/>
          <w:trHeight w:val="580"/>
        </w:trPr>
        <w:tc>
          <w:tcPr>
            <w:tcW w:w="802" w:type="dxa"/>
          </w:tcPr>
          <w:p w14:paraId="7051002D" w14:textId="77777777" w:rsidR="00D3344B" w:rsidRDefault="00D3344B">
            <w:pPr>
              <w:pStyle w:val="Sinespaciado"/>
              <w:widowControl w:val="0"/>
              <w:spacing w:line="276" w:lineRule="auto"/>
              <w:rPr>
                <w:rFonts w:ascii="Arial" w:hAnsi="Arial" w:cs="Arial"/>
              </w:rPr>
            </w:pPr>
          </w:p>
        </w:tc>
        <w:tc>
          <w:tcPr>
            <w:tcW w:w="7195" w:type="dxa"/>
          </w:tcPr>
          <w:p w14:paraId="6E80B362"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f)  </w:t>
            </w:r>
            <w:proofErr w:type="gramStart"/>
            <w:r>
              <w:rPr>
                <w:rFonts w:ascii="Arial" w:hAnsi="Arial" w:cs="Arial"/>
              </w:rPr>
              <w:t xml:space="preserve">   </w:t>
            </w:r>
            <w:r>
              <w:rPr>
                <w:rFonts w:ascii="Arial" w:hAnsi="Arial" w:cs="Arial"/>
                <w:i/>
                <w:sz w:val="16"/>
                <w:szCs w:val="16"/>
              </w:rPr>
              <w:t>(</w:t>
            </w:r>
            <w:proofErr w:type="gramEnd"/>
            <w:r>
              <w:rPr>
                <w:rFonts w:ascii="Arial" w:hAnsi="Arial" w:cs="Arial"/>
                <w:i/>
                <w:sz w:val="16"/>
                <w:szCs w:val="16"/>
              </w:rPr>
              <w:t>DEROGADO, P.O. 30 DE DICIEMBRE DE 2006)</w:t>
            </w:r>
          </w:p>
        </w:tc>
        <w:tc>
          <w:tcPr>
            <w:tcW w:w="1975" w:type="dxa"/>
          </w:tcPr>
          <w:p w14:paraId="5A6EAC50" w14:textId="77777777" w:rsidR="00D3344B" w:rsidRDefault="00D3344B">
            <w:pPr>
              <w:pStyle w:val="Sinespaciado"/>
              <w:widowControl w:val="0"/>
              <w:spacing w:line="276" w:lineRule="auto"/>
              <w:ind w:left="213"/>
              <w:rPr>
                <w:rFonts w:ascii="Arial" w:hAnsi="Arial" w:cs="Arial"/>
                <w:b/>
              </w:rPr>
            </w:pPr>
          </w:p>
        </w:tc>
      </w:tr>
      <w:tr w:rsidR="00D3344B" w14:paraId="60D2BA2E" w14:textId="77777777">
        <w:trPr>
          <w:cantSplit/>
          <w:trHeight w:val="586"/>
        </w:trPr>
        <w:tc>
          <w:tcPr>
            <w:tcW w:w="802" w:type="dxa"/>
          </w:tcPr>
          <w:p w14:paraId="2EEB21CC" w14:textId="77777777" w:rsidR="00D3344B" w:rsidRDefault="00D3344B">
            <w:pPr>
              <w:pStyle w:val="Sinespaciado"/>
              <w:widowControl w:val="0"/>
              <w:spacing w:line="276" w:lineRule="auto"/>
              <w:rPr>
                <w:rFonts w:ascii="Arial" w:hAnsi="Arial" w:cs="Arial"/>
              </w:rPr>
            </w:pPr>
          </w:p>
        </w:tc>
        <w:tc>
          <w:tcPr>
            <w:tcW w:w="7195" w:type="dxa"/>
            <w:vAlign w:val="bottom"/>
          </w:tcPr>
          <w:p w14:paraId="0D7C4B21"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(REFORMADO PRIMER PÁRRAFO, P.O. 21 DE JUNIO DE 2021)</w:t>
            </w:r>
          </w:p>
        </w:tc>
        <w:tc>
          <w:tcPr>
            <w:tcW w:w="1975" w:type="dxa"/>
          </w:tcPr>
          <w:p w14:paraId="745AF76B" w14:textId="77777777" w:rsidR="00D3344B" w:rsidRDefault="00D3344B">
            <w:pPr>
              <w:pStyle w:val="Sinespaciado"/>
              <w:widowControl w:val="0"/>
              <w:spacing w:line="276" w:lineRule="auto"/>
              <w:ind w:left="213"/>
              <w:rPr>
                <w:rFonts w:ascii="Arial" w:hAnsi="Arial" w:cs="Arial"/>
                <w:b/>
              </w:rPr>
            </w:pPr>
          </w:p>
        </w:tc>
      </w:tr>
      <w:tr w:rsidR="00D3344B" w14:paraId="65874AB4" w14:textId="77777777">
        <w:trPr>
          <w:cantSplit/>
          <w:trHeight w:val="586"/>
        </w:trPr>
        <w:tc>
          <w:tcPr>
            <w:tcW w:w="802" w:type="dxa"/>
          </w:tcPr>
          <w:p w14:paraId="0F3D6FB9" w14:textId="77777777" w:rsidR="00D3344B" w:rsidRDefault="00D3344B">
            <w:pPr>
              <w:pStyle w:val="Sinespaciado"/>
              <w:widowControl w:val="0"/>
              <w:spacing w:line="276" w:lineRule="auto"/>
              <w:rPr>
                <w:rFonts w:ascii="Arial" w:hAnsi="Arial" w:cs="Arial"/>
              </w:rPr>
            </w:pPr>
          </w:p>
        </w:tc>
        <w:tc>
          <w:tcPr>
            <w:tcW w:w="7195" w:type="dxa"/>
            <w:vAlign w:val="bottom"/>
          </w:tcPr>
          <w:p w14:paraId="42F3CD18" w14:textId="77777777" w:rsidR="00D3344B" w:rsidRDefault="00143C25">
            <w:pPr>
              <w:pStyle w:val="Sinespaciado"/>
              <w:widowControl w:val="0"/>
              <w:ind w:left="494" w:hanging="494"/>
              <w:jc w:val="both"/>
              <w:rPr>
                <w:rFonts w:ascii="Arial" w:hAnsi="Arial" w:cs="Arial"/>
                <w:i/>
                <w:sz w:val="16"/>
                <w:szCs w:val="16"/>
              </w:rPr>
            </w:pPr>
            <w:r>
              <w:rPr>
                <w:rFonts w:ascii="Arial" w:hAnsi="Arial" w:cs="Arial"/>
              </w:rPr>
              <w:t xml:space="preserve">g) Los </w:t>
            </w:r>
            <w:proofErr w:type="spellStart"/>
            <w:r>
              <w:rPr>
                <w:rFonts w:ascii="Arial" w:hAnsi="Arial" w:cs="Arial"/>
              </w:rPr>
              <w:t>contribuyentes</w:t>
            </w:r>
            <w:proofErr w:type="spellEnd"/>
            <w:r>
              <w:rPr>
                <w:rFonts w:ascii="Arial" w:hAnsi="Arial" w:cs="Arial"/>
              </w:rPr>
              <w:t xml:space="preserve"> que </w:t>
            </w:r>
            <w:proofErr w:type="spellStart"/>
            <w:r>
              <w:rPr>
                <w:rFonts w:ascii="Arial" w:hAnsi="Arial" w:cs="Arial"/>
              </w:rPr>
              <w:t>tengan</w:t>
            </w:r>
            <w:proofErr w:type="spellEnd"/>
            <w:r>
              <w:rPr>
                <w:rFonts w:ascii="Arial" w:hAnsi="Arial" w:cs="Arial"/>
              </w:rPr>
              <w:t xml:space="preserve"> </w:t>
            </w:r>
            <w:proofErr w:type="spellStart"/>
            <w:r>
              <w:rPr>
                <w:rFonts w:ascii="Arial" w:hAnsi="Arial" w:cs="Arial"/>
              </w:rPr>
              <w:t>adeudos</w:t>
            </w:r>
            <w:proofErr w:type="spellEnd"/>
            <w:r>
              <w:rPr>
                <w:rFonts w:ascii="Arial" w:hAnsi="Arial" w:cs="Arial"/>
              </w:rPr>
              <w:t xml:space="preserve"> por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refrendo</w:t>
            </w:r>
            <w:proofErr w:type="spellEnd"/>
            <w:r>
              <w:rPr>
                <w:rFonts w:ascii="Arial" w:hAnsi="Arial" w:cs="Arial"/>
              </w:rPr>
              <w:t xml:space="preserve"> </w:t>
            </w:r>
            <w:proofErr w:type="spellStart"/>
            <w:r>
              <w:rPr>
                <w:rFonts w:ascii="Arial" w:hAnsi="Arial" w:cs="Arial"/>
              </w:rPr>
              <w:t>anual</w:t>
            </w:r>
            <w:proofErr w:type="spellEnd"/>
            <w:r>
              <w:rPr>
                <w:rFonts w:ascii="Arial" w:hAnsi="Arial" w:cs="Arial"/>
              </w:rPr>
              <w:t xml:space="preserve"> de la </w:t>
            </w:r>
            <w:proofErr w:type="spellStart"/>
            <w:r>
              <w:rPr>
                <w:rFonts w:ascii="Arial" w:hAnsi="Arial" w:cs="Arial"/>
              </w:rPr>
              <w:t>concesión</w:t>
            </w:r>
            <w:proofErr w:type="spellEnd"/>
            <w:r>
              <w:rPr>
                <w:rFonts w:ascii="Arial" w:hAnsi="Arial" w:cs="Arial"/>
              </w:rPr>
              <w:t xml:space="preserve">, </w:t>
            </w:r>
            <w:proofErr w:type="spellStart"/>
            <w:r>
              <w:rPr>
                <w:rFonts w:ascii="Arial" w:hAnsi="Arial" w:cs="Arial"/>
              </w:rPr>
              <w:t>correspondiente</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ejercicios</w:t>
            </w:r>
            <w:proofErr w:type="spellEnd"/>
            <w:r>
              <w:rPr>
                <w:rFonts w:ascii="Arial" w:hAnsi="Arial" w:cs="Arial"/>
              </w:rPr>
              <w:t xml:space="preserve"> </w:t>
            </w:r>
            <w:proofErr w:type="spellStart"/>
            <w:r>
              <w:rPr>
                <w:rFonts w:ascii="Arial" w:hAnsi="Arial" w:cs="Arial"/>
              </w:rPr>
              <w:t>anteriores</w:t>
            </w:r>
            <w:proofErr w:type="spellEnd"/>
            <w:r>
              <w:rPr>
                <w:rFonts w:ascii="Arial" w:hAnsi="Arial" w:cs="Arial"/>
              </w:rPr>
              <w:t xml:space="preserve"> a la Ley de </w:t>
            </w:r>
            <w:proofErr w:type="spellStart"/>
            <w:r>
              <w:rPr>
                <w:rFonts w:ascii="Arial" w:hAnsi="Arial" w:cs="Arial"/>
              </w:rPr>
              <w:t>Ingresos</w:t>
            </w:r>
            <w:proofErr w:type="spellEnd"/>
            <w:r>
              <w:rPr>
                <w:rFonts w:ascii="Arial" w:hAnsi="Arial" w:cs="Arial"/>
              </w:rPr>
              <w:t xml:space="preserve"> </w:t>
            </w:r>
            <w:proofErr w:type="spellStart"/>
            <w:r>
              <w:rPr>
                <w:rFonts w:ascii="Arial" w:hAnsi="Arial" w:cs="Arial"/>
              </w:rPr>
              <w:t>vigente</w:t>
            </w:r>
            <w:proofErr w:type="spellEnd"/>
            <w:r>
              <w:rPr>
                <w:rFonts w:ascii="Arial" w:hAnsi="Arial" w:cs="Arial"/>
              </w:rPr>
              <w:t xml:space="preserve">, </w:t>
            </w:r>
            <w:proofErr w:type="spellStart"/>
            <w:r>
              <w:rPr>
                <w:rFonts w:ascii="Arial" w:hAnsi="Arial" w:cs="Arial"/>
              </w:rPr>
              <w:t>pagarán</w:t>
            </w:r>
            <w:proofErr w:type="spellEnd"/>
            <w:r>
              <w:rPr>
                <w:rFonts w:ascii="Arial" w:hAnsi="Arial" w:cs="Arial"/>
              </w:rPr>
              <w:t xml:space="preserve"> los derechos que se </w:t>
            </w:r>
            <w:proofErr w:type="spellStart"/>
            <w:r>
              <w:rPr>
                <w:rFonts w:ascii="Arial" w:hAnsi="Arial" w:cs="Arial"/>
              </w:rPr>
              <w:t>establecen</w:t>
            </w:r>
            <w:proofErr w:type="spellEnd"/>
            <w:r>
              <w:rPr>
                <w:rFonts w:ascii="Arial" w:hAnsi="Arial" w:cs="Arial"/>
              </w:rPr>
              <w:t xml:space="preserve"> a </w:t>
            </w:r>
            <w:proofErr w:type="spellStart"/>
            <w:r>
              <w:rPr>
                <w:rFonts w:ascii="Arial" w:hAnsi="Arial" w:cs="Arial"/>
              </w:rPr>
              <w:t>continuación</w:t>
            </w:r>
            <w:proofErr w:type="spellEnd"/>
            <w:r>
              <w:rPr>
                <w:rFonts w:ascii="Arial" w:hAnsi="Arial" w:cs="Arial"/>
              </w:rPr>
              <w:t xml:space="preserve">, por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omitido</w:t>
            </w:r>
            <w:proofErr w:type="spellEnd"/>
            <w:r>
              <w:rPr>
                <w:rFonts w:ascii="Arial" w:hAnsi="Arial" w:cs="Arial"/>
              </w:rPr>
              <w:t>.</w:t>
            </w:r>
          </w:p>
        </w:tc>
        <w:tc>
          <w:tcPr>
            <w:tcW w:w="1975" w:type="dxa"/>
          </w:tcPr>
          <w:p w14:paraId="1E0FF719" w14:textId="77777777" w:rsidR="00D3344B" w:rsidRDefault="00D3344B">
            <w:pPr>
              <w:pStyle w:val="Sinespaciado"/>
              <w:widowControl w:val="0"/>
              <w:spacing w:line="276" w:lineRule="auto"/>
              <w:ind w:left="213"/>
              <w:rPr>
                <w:rFonts w:ascii="Arial" w:hAnsi="Arial" w:cs="Arial"/>
                <w:b/>
              </w:rPr>
            </w:pPr>
          </w:p>
        </w:tc>
      </w:tr>
      <w:tr w:rsidR="00D3344B" w14:paraId="6A8BD0FF" w14:textId="77777777">
        <w:trPr>
          <w:cantSplit/>
          <w:trHeight w:val="577"/>
        </w:trPr>
        <w:tc>
          <w:tcPr>
            <w:tcW w:w="802" w:type="dxa"/>
          </w:tcPr>
          <w:p w14:paraId="1249C651" w14:textId="77777777" w:rsidR="00D3344B" w:rsidRDefault="00D3344B">
            <w:pPr>
              <w:pStyle w:val="Sinespaciado"/>
              <w:widowControl w:val="0"/>
              <w:spacing w:line="276" w:lineRule="auto"/>
              <w:rPr>
                <w:rFonts w:ascii="Arial" w:hAnsi="Arial" w:cs="Arial"/>
              </w:rPr>
            </w:pPr>
          </w:p>
        </w:tc>
        <w:tc>
          <w:tcPr>
            <w:tcW w:w="7195" w:type="dxa"/>
          </w:tcPr>
          <w:p w14:paraId="3349CC9F"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313BB645"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1.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hasta </w:t>
            </w:r>
            <w:proofErr w:type="spellStart"/>
            <w:r>
              <w:rPr>
                <w:rFonts w:ascii="Arial" w:hAnsi="Arial" w:cs="Arial"/>
              </w:rPr>
              <w:t>catorce</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
        </w:tc>
        <w:tc>
          <w:tcPr>
            <w:tcW w:w="1975" w:type="dxa"/>
          </w:tcPr>
          <w:p w14:paraId="5ACC4BFB"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38 UMA </w:t>
            </w:r>
          </w:p>
        </w:tc>
      </w:tr>
      <w:tr w:rsidR="00D3344B" w14:paraId="2841F6E1" w14:textId="77777777">
        <w:trPr>
          <w:cantSplit/>
          <w:trHeight w:val="854"/>
        </w:trPr>
        <w:tc>
          <w:tcPr>
            <w:tcW w:w="802" w:type="dxa"/>
          </w:tcPr>
          <w:p w14:paraId="10DDA74C" w14:textId="77777777" w:rsidR="00D3344B" w:rsidRDefault="00D3344B">
            <w:pPr>
              <w:pStyle w:val="Sinespaciado"/>
              <w:widowControl w:val="0"/>
              <w:spacing w:line="276" w:lineRule="auto"/>
              <w:rPr>
                <w:rFonts w:ascii="Arial" w:hAnsi="Arial" w:cs="Arial"/>
              </w:rPr>
            </w:pPr>
          </w:p>
        </w:tc>
        <w:tc>
          <w:tcPr>
            <w:tcW w:w="7195" w:type="dxa"/>
          </w:tcPr>
          <w:p w14:paraId="2267CE3A"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035F42B8"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2.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quince hasta </w:t>
            </w:r>
            <w:proofErr w:type="spellStart"/>
            <w:r>
              <w:rPr>
                <w:rFonts w:ascii="Arial" w:hAnsi="Arial" w:cs="Arial"/>
              </w:rPr>
              <w:t>veinticinco</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
        </w:tc>
        <w:tc>
          <w:tcPr>
            <w:tcW w:w="1975" w:type="dxa"/>
          </w:tcPr>
          <w:p w14:paraId="788F306E"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41 UMA </w:t>
            </w:r>
          </w:p>
        </w:tc>
      </w:tr>
      <w:tr w:rsidR="00D3344B" w14:paraId="38BF7E3F" w14:textId="77777777">
        <w:trPr>
          <w:cantSplit/>
          <w:trHeight w:val="838"/>
        </w:trPr>
        <w:tc>
          <w:tcPr>
            <w:tcW w:w="802" w:type="dxa"/>
          </w:tcPr>
          <w:p w14:paraId="05A8E697" w14:textId="77777777" w:rsidR="00D3344B" w:rsidRDefault="00D3344B">
            <w:pPr>
              <w:pStyle w:val="Sinespaciado"/>
              <w:widowControl w:val="0"/>
              <w:spacing w:line="276" w:lineRule="auto"/>
              <w:rPr>
                <w:rFonts w:ascii="Arial" w:hAnsi="Arial" w:cs="Arial"/>
              </w:rPr>
            </w:pPr>
          </w:p>
        </w:tc>
        <w:tc>
          <w:tcPr>
            <w:tcW w:w="7195" w:type="dxa"/>
          </w:tcPr>
          <w:p w14:paraId="3BA2E1F5"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72C34932"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3. </w:t>
            </w:r>
            <w:proofErr w:type="spellStart"/>
            <w:r>
              <w:rPr>
                <w:rFonts w:ascii="Arial" w:hAnsi="Arial" w:cs="Arial"/>
              </w:rPr>
              <w:t>Vehículos</w:t>
            </w:r>
            <w:proofErr w:type="spellEnd"/>
            <w:r>
              <w:rPr>
                <w:rFonts w:ascii="Arial" w:hAnsi="Arial" w:cs="Arial"/>
              </w:rPr>
              <w:t xml:space="preserve"> auto </w:t>
            </w:r>
            <w:proofErr w:type="spellStart"/>
            <w:r>
              <w:rPr>
                <w:rFonts w:ascii="Arial" w:hAnsi="Arial" w:cs="Arial"/>
              </w:rPr>
              <w:t>motores</w:t>
            </w:r>
            <w:proofErr w:type="spellEnd"/>
            <w:r>
              <w:rPr>
                <w:rFonts w:ascii="Arial" w:hAnsi="Arial" w:cs="Arial"/>
              </w:rPr>
              <w:t xml:space="preserve"> de </w:t>
            </w:r>
            <w:proofErr w:type="spellStart"/>
            <w:r>
              <w:rPr>
                <w:rFonts w:ascii="Arial" w:hAnsi="Arial" w:cs="Arial"/>
              </w:rPr>
              <w:t>veintiséis</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adelante</w:t>
            </w:r>
            <w:proofErr w:type="spellEnd"/>
            <w:r>
              <w:rPr>
                <w:rFonts w:ascii="Arial" w:hAnsi="Arial" w:cs="Arial"/>
              </w:rPr>
              <w:t xml:space="preserve">. </w:t>
            </w:r>
          </w:p>
        </w:tc>
        <w:tc>
          <w:tcPr>
            <w:tcW w:w="1975" w:type="dxa"/>
          </w:tcPr>
          <w:p w14:paraId="48DBF129"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44 UMA </w:t>
            </w:r>
          </w:p>
        </w:tc>
      </w:tr>
      <w:tr w:rsidR="00D3344B" w14:paraId="5F2F56E4" w14:textId="77777777">
        <w:trPr>
          <w:cantSplit/>
          <w:trHeight w:val="851"/>
        </w:trPr>
        <w:tc>
          <w:tcPr>
            <w:tcW w:w="802" w:type="dxa"/>
          </w:tcPr>
          <w:p w14:paraId="255B1440" w14:textId="77777777" w:rsidR="00D3344B" w:rsidRDefault="00D3344B">
            <w:pPr>
              <w:pStyle w:val="Sinespaciado"/>
              <w:widowControl w:val="0"/>
              <w:spacing w:line="276" w:lineRule="auto"/>
              <w:rPr>
                <w:rFonts w:ascii="Arial" w:hAnsi="Arial" w:cs="Arial"/>
              </w:rPr>
            </w:pPr>
          </w:p>
        </w:tc>
        <w:tc>
          <w:tcPr>
            <w:tcW w:w="7195" w:type="dxa"/>
          </w:tcPr>
          <w:p w14:paraId="32249B2A"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416171C6"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4. </w:t>
            </w:r>
            <w:proofErr w:type="spellStart"/>
            <w:r>
              <w:rPr>
                <w:rFonts w:ascii="Arial" w:hAnsi="Arial" w:cs="Arial"/>
              </w:rPr>
              <w:t>Camiones</w:t>
            </w:r>
            <w:proofErr w:type="spellEnd"/>
            <w:r>
              <w:rPr>
                <w:rFonts w:ascii="Arial" w:hAnsi="Arial" w:cs="Arial"/>
              </w:rPr>
              <w:t xml:space="preserve"> </w:t>
            </w:r>
            <w:proofErr w:type="spellStart"/>
            <w:r>
              <w:rPr>
                <w:rFonts w:ascii="Arial" w:hAnsi="Arial" w:cs="Arial"/>
              </w:rPr>
              <w:t>materialistas</w:t>
            </w:r>
            <w:proofErr w:type="spellEnd"/>
            <w:r>
              <w:rPr>
                <w:rFonts w:ascii="Arial" w:hAnsi="Arial" w:cs="Arial"/>
              </w:rPr>
              <w:t xml:space="preserve"> y de carga </w:t>
            </w:r>
            <w:proofErr w:type="spellStart"/>
            <w:r>
              <w:rPr>
                <w:rFonts w:ascii="Arial" w:hAnsi="Arial" w:cs="Arial"/>
              </w:rPr>
              <w:t>en</w:t>
            </w:r>
            <w:proofErr w:type="spellEnd"/>
            <w:r>
              <w:rPr>
                <w:rFonts w:ascii="Arial" w:hAnsi="Arial" w:cs="Arial"/>
              </w:rPr>
              <w:t xml:space="preserve"> general.  </w:t>
            </w:r>
          </w:p>
        </w:tc>
        <w:tc>
          <w:tcPr>
            <w:tcW w:w="1975" w:type="dxa"/>
          </w:tcPr>
          <w:p w14:paraId="525698C3"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9.5 UMA </w:t>
            </w:r>
          </w:p>
        </w:tc>
      </w:tr>
      <w:tr w:rsidR="00D3344B" w14:paraId="405C79FE" w14:textId="77777777">
        <w:trPr>
          <w:cantSplit/>
          <w:trHeight w:val="850"/>
        </w:trPr>
        <w:tc>
          <w:tcPr>
            <w:tcW w:w="802" w:type="dxa"/>
          </w:tcPr>
          <w:p w14:paraId="362551CE" w14:textId="77777777" w:rsidR="00D3344B" w:rsidRDefault="00D3344B">
            <w:pPr>
              <w:pStyle w:val="Sinespaciado"/>
              <w:widowControl w:val="0"/>
              <w:spacing w:line="276" w:lineRule="auto"/>
              <w:rPr>
                <w:rFonts w:ascii="Arial" w:hAnsi="Arial" w:cs="Arial"/>
              </w:rPr>
            </w:pPr>
          </w:p>
        </w:tc>
        <w:tc>
          <w:tcPr>
            <w:tcW w:w="7195" w:type="dxa"/>
          </w:tcPr>
          <w:p w14:paraId="50C011AB" w14:textId="77777777" w:rsidR="00D3344B" w:rsidRDefault="00143C25">
            <w:pPr>
              <w:pStyle w:val="Sinespaciado"/>
              <w:widowControl w:val="0"/>
              <w:spacing w:line="276" w:lineRule="auto"/>
              <w:ind w:left="494" w:hanging="494"/>
              <w:rPr>
                <w:rFonts w:ascii="Arial" w:eastAsia="Times New Roman" w:hAnsi="Arial" w:cs="Arial"/>
                <w:b/>
              </w:rPr>
            </w:pPr>
            <w:r>
              <w:rPr>
                <w:rFonts w:ascii="Arial" w:hAnsi="Arial" w:cs="Arial"/>
                <w:i/>
                <w:sz w:val="16"/>
              </w:rPr>
              <w:t>(REFORMADO, P.O. 21 DE JUNIO DE 2021)</w:t>
            </w:r>
          </w:p>
          <w:p w14:paraId="7372B20C"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5. </w:t>
            </w:r>
            <w:proofErr w:type="spellStart"/>
            <w:r>
              <w:rPr>
                <w:rFonts w:ascii="Arial" w:hAnsi="Arial" w:cs="Arial"/>
              </w:rPr>
              <w:t>Grúas</w:t>
            </w:r>
            <w:proofErr w:type="spellEnd"/>
            <w:r>
              <w:rPr>
                <w:rFonts w:ascii="Arial" w:hAnsi="Arial" w:cs="Arial"/>
              </w:rPr>
              <w:t xml:space="preserve"> para arrastre y </w:t>
            </w:r>
            <w:proofErr w:type="spellStart"/>
            <w:r>
              <w:rPr>
                <w:rFonts w:ascii="Arial" w:hAnsi="Arial" w:cs="Arial"/>
              </w:rPr>
              <w:t>salvamento</w:t>
            </w:r>
            <w:proofErr w:type="spellEnd"/>
            <w:r>
              <w:rPr>
                <w:rFonts w:ascii="Arial" w:hAnsi="Arial" w:cs="Arial"/>
              </w:rPr>
              <w:t xml:space="preserve">.  </w:t>
            </w:r>
          </w:p>
        </w:tc>
        <w:tc>
          <w:tcPr>
            <w:tcW w:w="1975" w:type="dxa"/>
          </w:tcPr>
          <w:p w14:paraId="122569E7"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23 UMA </w:t>
            </w:r>
          </w:p>
        </w:tc>
      </w:tr>
      <w:tr w:rsidR="00D3344B" w14:paraId="14BBFBDF" w14:textId="77777777">
        <w:trPr>
          <w:cantSplit/>
          <w:trHeight w:val="586"/>
        </w:trPr>
        <w:tc>
          <w:tcPr>
            <w:tcW w:w="802" w:type="dxa"/>
          </w:tcPr>
          <w:p w14:paraId="36C0CC28" w14:textId="77777777" w:rsidR="00D3344B" w:rsidRDefault="00D3344B">
            <w:pPr>
              <w:pStyle w:val="Sinespaciado"/>
              <w:widowControl w:val="0"/>
              <w:spacing w:line="276" w:lineRule="auto"/>
              <w:rPr>
                <w:rFonts w:ascii="Arial" w:hAnsi="Arial" w:cs="Arial"/>
              </w:rPr>
            </w:pPr>
          </w:p>
        </w:tc>
        <w:tc>
          <w:tcPr>
            <w:tcW w:w="7195" w:type="dxa"/>
          </w:tcPr>
          <w:p w14:paraId="1D64EDEE" w14:textId="77777777" w:rsidR="00D3344B" w:rsidRDefault="00143C25">
            <w:pPr>
              <w:pStyle w:val="Sinespaciado"/>
              <w:widowControl w:val="0"/>
              <w:spacing w:line="276" w:lineRule="auto"/>
              <w:ind w:left="919" w:hanging="425"/>
              <w:rPr>
                <w:rFonts w:ascii="Arial" w:hAnsi="Arial" w:cs="Arial"/>
              </w:rPr>
            </w:pPr>
            <w:r>
              <w:rPr>
                <w:rFonts w:ascii="Arial" w:hAnsi="Arial" w:cs="Arial"/>
              </w:rPr>
              <w:t xml:space="preserve">6  </w:t>
            </w:r>
            <w:proofErr w:type="gramStart"/>
            <w:r>
              <w:rPr>
                <w:rFonts w:ascii="Arial" w:hAnsi="Arial" w:cs="Arial"/>
              </w:rPr>
              <w:t xml:space="preserve">   </w:t>
            </w:r>
            <w:r>
              <w:rPr>
                <w:rFonts w:ascii="Arial" w:hAnsi="Arial" w:cs="Arial"/>
                <w:i/>
                <w:sz w:val="16"/>
                <w:szCs w:val="16"/>
              </w:rPr>
              <w:t>(</w:t>
            </w:r>
            <w:proofErr w:type="gramEnd"/>
            <w:r>
              <w:rPr>
                <w:rFonts w:ascii="Arial" w:hAnsi="Arial" w:cs="Arial"/>
                <w:i/>
                <w:sz w:val="16"/>
                <w:szCs w:val="16"/>
              </w:rPr>
              <w:t>DEROGADO, P.O. 30 DE DICIEMBRE DE 2006)</w:t>
            </w:r>
          </w:p>
        </w:tc>
        <w:tc>
          <w:tcPr>
            <w:tcW w:w="1975" w:type="dxa"/>
          </w:tcPr>
          <w:p w14:paraId="44087D4E" w14:textId="77777777" w:rsidR="00D3344B" w:rsidRDefault="00D3344B">
            <w:pPr>
              <w:pStyle w:val="Sinespaciado"/>
              <w:widowControl w:val="0"/>
              <w:spacing w:line="276" w:lineRule="auto"/>
              <w:ind w:left="213"/>
              <w:rPr>
                <w:rFonts w:ascii="Arial" w:hAnsi="Arial" w:cs="Arial"/>
                <w:b/>
              </w:rPr>
            </w:pPr>
          </w:p>
        </w:tc>
      </w:tr>
      <w:tr w:rsidR="00D3344B" w14:paraId="19DD72D1" w14:textId="77777777">
        <w:trPr>
          <w:cantSplit/>
          <w:trHeight w:val="586"/>
        </w:trPr>
        <w:tc>
          <w:tcPr>
            <w:tcW w:w="802" w:type="dxa"/>
          </w:tcPr>
          <w:p w14:paraId="0ABA4805" w14:textId="77777777" w:rsidR="00D3344B" w:rsidRDefault="00D3344B">
            <w:pPr>
              <w:pStyle w:val="Sinespaciado"/>
              <w:widowControl w:val="0"/>
              <w:spacing w:line="276" w:lineRule="auto"/>
              <w:rPr>
                <w:rFonts w:ascii="Arial" w:hAnsi="Arial" w:cs="Arial"/>
              </w:rPr>
            </w:pPr>
          </w:p>
        </w:tc>
        <w:tc>
          <w:tcPr>
            <w:tcW w:w="7195" w:type="dxa"/>
          </w:tcPr>
          <w:p w14:paraId="2769AF86" w14:textId="77777777" w:rsidR="00D3344B" w:rsidRDefault="00143C25">
            <w:pPr>
              <w:pStyle w:val="Sinespaciado"/>
              <w:widowControl w:val="0"/>
              <w:spacing w:line="276" w:lineRule="auto"/>
              <w:rPr>
                <w:rFonts w:ascii="Arial" w:hAnsi="Arial" w:cs="Arial"/>
              </w:rPr>
            </w:pPr>
            <w:r>
              <w:rPr>
                <w:rFonts w:ascii="Arial" w:hAnsi="Arial" w:cs="Arial"/>
                <w:i/>
                <w:sz w:val="16"/>
              </w:rPr>
              <w:t>(ADICIONADO, P.O. 31 DE DICIEMBRE DE 2007)</w:t>
            </w:r>
          </w:p>
          <w:p w14:paraId="1C7F7B01"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caso</w:t>
            </w:r>
            <w:proofErr w:type="spellEnd"/>
            <w:r>
              <w:rPr>
                <w:rFonts w:ascii="Arial" w:hAnsi="Arial" w:cs="Arial"/>
              </w:rPr>
              <w:t xml:space="preserve"> los </w:t>
            </w:r>
            <w:proofErr w:type="spellStart"/>
            <w:r>
              <w:rPr>
                <w:rFonts w:ascii="Arial" w:hAnsi="Arial" w:cs="Arial"/>
              </w:rPr>
              <w:t>contribuyentes</w:t>
            </w:r>
            <w:proofErr w:type="spellEnd"/>
            <w:r>
              <w:rPr>
                <w:rFonts w:ascii="Arial" w:hAnsi="Arial" w:cs="Arial"/>
              </w:rPr>
              <w:t xml:space="preserve"> no </w:t>
            </w:r>
            <w:proofErr w:type="spellStart"/>
            <w:r>
              <w:rPr>
                <w:rFonts w:ascii="Arial" w:hAnsi="Arial" w:cs="Arial"/>
              </w:rPr>
              <w:t>estarán</w:t>
            </w:r>
            <w:proofErr w:type="spellEnd"/>
            <w:r>
              <w:rPr>
                <w:rFonts w:ascii="Arial" w:hAnsi="Arial" w:cs="Arial"/>
              </w:rPr>
              <w:t xml:space="preserve"> </w:t>
            </w:r>
            <w:proofErr w:type="spellStart"/>
            <w:r>
              <w:rPr>
                <w:rFonts w:ascii="Arial" w:hAnsi="Arial" w:cs="Arial"/>
              </w:rPr>
              <w:t>obligados</w:t>
            </w:r>
            <w:proofErr w:type="spellEnd"/>
            <w:r>
              <w:rPr>
                <w:rFonts w:ascii="Arial" w:hAnsi="Arial" w:cs="Arial"/>
              </w:rPr>
              <w:t xml:space="preserve"> al </w:t>
            </w:r>
            <w:proofErr w:type="spellStart"/>
            <w:r>
              <w:rPr>
                <w:rFonts w:ascii="Arial" w:hAnsi="Arial" w:cs="Arial"/>
              </w:rPr>
              <w:t>pago</w:t>
            </w:r>
            <w:proofErr w:type="spellEnd"/>
            <w:r>
              <w:rPr>
                <w:rFonts w:ascii="Arial" w:hAnsi="Arial" w:cs="Arial"/>
              </w:rPr>
              <w:t xml:space="preserve"> de los </w:t>
            </w:r>
            <w:proofErr w:type="spellStart"/>
            <w:r>
              <w:rPr>
                <w:rFonts w:ascii="Arial" w:hAnsi="Arial" w:cs="Arial"/>
              </w:rPr>
              <w:t>accesorios</w:t>
            </w:r>
            <w:proofErr w:type="spellEnd"/>
            <w:r>
              <w:rPr>
                <w:rFonts w:ascii="Arial" w:hAnsi="Arial" w:cs="Arial"/>
              </w:rPr>
              <w:t xml:space="preserve"> que </w:t>
            </w:r>
            <w:proofErr w:type="spellStart"/>
            <w:r>
              <w:rPr>
                <w:rFonts w:ascii="Arial" w:hAnsi="Arial" w:cs="Arial"/>
              </w:rPr>
              <w:t>señale</w:t>
            </w:r>
            <w:proofErr w:type="spellEnd"/>
            <w:r>
              <w:rPr>
                <w:rFonts w:ascii="Arial" w:hAnsi="Arial" w:cs="Arial"/>
              </w:rPr>
              <w:t xml:space="preserve"> la Ley de </w:t>
            </w:r>
            <w:proofErr w:type="spellStart"/>
            <w:r>
              <w:rPr>
                <w:rFonts w:ascii="Arial" w:hAnsi="Arial" w:cs="Arial"/>
              </w:rPr>
              <w:t>Ingresos</w:t>
            </w:r>
            <w:proofErr w:type="spellEnd"/>
            <w:r>
              <w:rPr>
                <w:rFonts w:ascii="Arial" w:hAnsi="Arial" w:cs="Arial"/>
              </w:rPr>
              <w:t xml:space="preserve"> </w:t>
            </w:r>
            <w:proofErr w:type="spellStart"/>
            <w:r>
              <w:rPr>
                <w:rFonts w:ascii="Arial" w:hAnsi="Arial" w:cs="Arial"/>
              </w:rPr>
              <w:t>correspondiente</w:t>
            </w:r>
            <w:proofErr w:type="spellEnd"/>
            <w:r>
              <w:rPr>
                <w:rFonts w:ascii="Arial" w:hAnsi="Arial" w:cs="Arial"/>
              </w:rPr>
              <w:t xml:space="preserve">, por la </w:t>
            </w:r>
            <w:proofErr w:type="spellStart"/>
            <w:r>
              <w:rPr>
                <w:rFonts w:ascii="Arial" w:hAnsi="Arial" w:cs="Arial"/>
              </w:rPr>
              <w:t>omisión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pago</w:t>
            </w:r>
            <w:proofErr w:type="spellEnd"/>
            <w:r>
              <w:rPr>
                <w:rFonts w:ascii="Arial" w:hAnsi="Arial" w:cs="Arial"/>
              </w:rPr>
              <w:t xml:space="preserve"> de </w:t>
            </w:r>
            <w:proofErr w:type="spellStart"/>
            <w:r>
              <w:rPr>
                <w:rFonts w:ascii="Arial" w:hAnsi="Arial" w:cs="Arial"/>
              </w:rPr>
              <w:t>contribuciones</w:t>
            </w:r>
            <w:proofErr w:type="spellEnd"/>
            <w:r>
              <w:rPr>
                <w:rFonts w:ascii="Arial" w:hAnsi="Arial" w:cs="Arial"/>
              </w:rPr>
              <w:t>.</w:t>
            </w:r>
          </w:p>
        </w:tc>
        <w:tc>
          <w:tcPr>
            <w:tcW w:w="1975" w:type="dxa"/>
          </w:tcPr>
          <w:p w14:paraId="619E883D" w14:textId="77777777" w:rsidR="00D3344B" w:rsidRDefault="00D3344B">
            <w:pPr>
              <w:pStyle w:val="Sinespaciado"/>
              <w:widowControl w:val="0"/>
              <w:spacing w:line="276" w:lineRule="auto"/>
              <w:ind w:left="213"/>
              <w:rPr>
                <w:rFonts w:ascii="Arial" w:hAnsi="Arial" w:cs="Arial"/>
                <w:b/>
              </w:rPr>
            </w:pPr>
          </w:p>
        </w:tc>
      </w:tr>
      <w:tr w:rsidR="00D3344B" w14:paraId="168A1402" w14:textId="77777777">
        <w:trPr>
          <w:cantSplit/>
          <w:trHeight w:val="1300"/>
        </w:trPr>
        <w:tc>
          <w:tcPr>
            <w:tcW w:w="802" w:type="dxa"/>
          </w:tcPr>
          <w:p w14:paraId="5F8A698E" w14:textId="77777777" w:rsidR="00D3344B" w:rsidRDefault="00D3344B">
            <w:pPr>
              <w:pStyle w:val="Sinespaciado"/>
              <w:widowControl w:val="0"/>
              <w:spacing w:line="276" w:lineRule="auto"/>
              <w:rPr>
                <w:rFonts w:ascii="Arial" w:hAnsi="Arial" w:cs="Arial"/>
              </w:rPr>
            </w:pPr>
          </w:p>
        </w:tc>
        <w:tc>
          <w:tcPr>
            <w:tcW w:w="7195" w:type="dxa"/>
            <w:vAlign w:val="bottom"/>
          </w:tcPr>
          <w:p w14:paraId="5C005E2D" w14:textId="77777777" w:rsidR="00D3344B" w:rsidRDefault="00143C25">
            <w:pPr>
              <w:pStyle w:val="Sinespaciado"/>
              <w:widowControl w:val="0"/>
              <w:spacing w:line="276" w:lineRule="auto"/>
              <w:jc w:val="both"/>
              <w:rPr>
                <w:rFonts w:ascii="Arial" w:hAnsi="Arial" w:cs="Arial"/>
                <w:i/>
                <w:sz w:val="16"/>
              </w:rPr>
            </w:pPr>
            <w:r>
              <w:rPr>
                <w:rFonts w:ascii="Arial" w:hAnsi="Arial" w:cs="Arial"/>
                <w:i/>
                <w:sz w:val="16"/>
              </w:rPr>
              <w:t>N. DE E. EN RELACIÓN CON LA ENTRADA EN VIGOR DE LA PRESENTE FRACCIÓN, VÉASE ARTÍCULO ÚNICO TRANSITORIO DEL DECRETO QUE MODIFICA ESTE ORDENAMIENTO.</w:t>
            </w:r>
          </w:p>
          <w:p w14:paraId="1529CC47" w14:textId="77777777" w:rsidR="00D3344B" w:rsidRDefault="00143C25">
            <w:pPr>
              <w:pStyle w:val="Sinespaciado"/>
              <w:widowControl w:val="0"/>
              <w:spacing w:line="276" w:lineRule="auto"/>
              <w:jc w:val="both"/>
              <w:rPr>
                <w:rFonts w:ascii="Arial" w:hAnsi="Arial" w:cs="Arial"/>
                <w:i/>
                <w:sz w:val="16"/>
                <w:szCs w:val="16"/>
              </w:rPr>
            </w:pPr>
            <w:r>
              <w:rPr>
                <w:rFonts w:ascii="Arial" w:hAnsi="Arial" w:cs="Arial"/>
                <w:i/>
                <w:sz w:val="16"/>
                <w:szCs w:val="16"/>
              </w:rPr>
              <w:t>(REFORMADO [N. DE E. REPUBLICADO] PRIMER PÁRRAFO, P.O. 23 DE DICIEMBRE DE 2011)</w:t>
            </w:r>
          </w:p>
        </w:tc>
        <w:tc>
          <w:tcPr>
            <w:tcW w:w="1975" w:type="dxa"/>
          </w:tcPr>
          <w:p w14:paraId="7F8E70CB" w14:textId="77777777" w:rsidR="00D3344B" w:rsidRDefault="00D3344B">
            <w:pPr>
              <w:pStyle w:val="Sinespaciado"/>
              <w:widowControl w:val="0"/>
              <w:spacing w:line="276" w:lineRule="auto"/>
              <w:ind w:left="213"/>
              <w:rPr>
                <w:rFonts w:ascii="Arial" w:hAnsi="Arial" w:cs="Arial"/>
                <w:b/>
              </w:rPr>
            </w:pPr>
          </w:p>
        </w:tc>
      </w:tr>
      <w:tr w:rsidR="00D3344B" w14:paraId="2AABD3BF" w14:textId="77777777">
        <w:trPr>
          <w:cantSplit/>
          <w:trHeight w:val="1091"/>
        </w:trPr>
        <w:tc>
          <w:tcPr>
            <w:tcW w:w="802" w:type="dxa"/>
          </w:tcPr>
          <w:p w14:paraId="4A2E58BB" w14:textId="77777777" w:rsidR="00D3344B" w:rsidRDefault="00143C25">
            <w:pPr>
              <w:pStyle w:val="Sinespaciado"/>
              <w:widowControl w:val="0"/>
              <w:spacing w:line="276" w:lineRule="auto"/>
              <w:rPr>
                <w:rFonts w:ascii="Arial" w:hAnsi="Arial" w:cs="Arial"/>
              </w:rPr>
            </w:pPr>
            <w:r>
              <w:rPr>
                <w:rFonts w:ascii="Arial" w:hAnsi="Arial" w:cs="Arial"/>
              </w:rPr>
              <w:t>IV.</w:t>
            </w:r>
          </w:p>
        </w:tc>
        <w:tc>
          <w:tcPr>
            <w:tcW w:w="9170" w:type="dxa"/>
            <w:gridSpan w:val="2"/>
          </w:tcPr>
          <w:p w14:paraId="6F0EED20" w14:textId="77777777" w:rsidR="00D3344B" w:rsidRDefault="00143C25">
            <w:pPr>
              <w:pStyle w:val="Sinespaciado"/>
              <w:widowControl w:val="0"/>
              <w:spacing w:line="276" w:lineRule="auto"/>
              <w:ind w:left="213"/>
              <w:jc w:val="both"/>
              <w:rPr>
                <w:rFonts w:ascii="Arial" w:hAnsi="Arial" w:cs="Arial"/>
                <w:b/>
              </w:rPr>
            </w:pPr>
            <w:proofErr w:type="spellStart"/>
            <w:r>
              <w:rPr>
                <w:rFonts w:ascii="Arial" w:hAnsi="Arial" w:cs="Arial"/>
              </w:rPr>
              <w:t>Reexpedición</w:t>
            </w:r>
            <w:proofErr w:type="spellEnd"/>
            <w:r>
              <w:rPr>
                <w:rFonts w:ascii="Arial" w:hAnsi="Arial" w:cs="Arial"/>
              </w:rPr>
              <w:t xml:space="preserve"> de la </w:t>
            </w:r>
            <w:proofErr w:type="spellStart"/>
            <w:r>
              <w:rPr>
                <w:rFonts w:ascii="Arial" w:hAnsi="Arial" w:cs="Arial"/>
              </w:rPr>
              <w:t>concesión</w:t>
            </w:r>
            <w:proofErr w:type="spellEnd"/>
            <w:r>
              <w:rPr>
                <w:rFonts w:ascii="Arial" w:hAnsi="Arial" w:cs="Arial"/>
              </w:rPr>
              <w:t xml:space="preserve"> para la </w:t>
            </w:r>
            <w:proofErr w:type="spellStart"/>
            <w:r>
              <w:rPr>
                <w:rFonts w:ascii="Arial" w:hAnsi="Arial" w:cs="Arial"/>
              </w:rPr>
              <w:t>prestación</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alta</w:t>
            </w:r>
            <w:proofErr w:type="spellEnd"/>
            <w:r>
              <w:rPr>
                <w:rFonts w:ascii="Arial" w:hAnsi="Arial" w:cs="Arial"/>
              </w:rPr>
              <w:t xml:space="preserve"> al </w:t>
            </w:r>
            <w:proofErr w:type="spellStart"/>
            <w:r>
              <w:rPr>
                <w:rFonts w:ascii="Arial" w:hAnsi="Arial" w:cs="Arial"/>
              </w:rPr>
              <w:t>Registro</w:t>
            </w:r>
            <w:proofErr w:type="spellEnd"/>
            <w:r>
              <w:rPr>
                <w:rFonts w:ascii="Arial" w:hAnsi="Arial" w:cs="Arial"/>
              </w:rPr>
              <w:t xml:space="preserve"> Vehicular </w:t>
            </w:r>
            <w:proofErr w:type="spellStart"/>
            <w:r>
              <w:rPr>
                <w:rFonts w:ascii="Arial" w:hAnsi="Arial" w:cs="Arial"/>
              </w:rPr>
              <w:t>Estatal</w:t>
            </w:r>
            <w:proofErr w:type="spellEnd"/>
            <w:r>
              <w:rPr>
                <w:rFonts w:ascii="Arial" w:hAnsi="Arial" w:cs="Arial"/>
              </w:rPr>
              <w:t xml:space="preserve">,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y </w:t>
            </w:r>
            <w:proofErr w:type="spellStart"/>
            <w:r>
              <w:rPr>
                <w:rFonts w:ascii="Arial" w:hAnsi="Arial" w:cs="Arial"/>
              </w:rPr>
              <w:t>tarjetón</w:t>
            </w:r>
            <w:proofErr w:type="spellEnd"/>
            <w:r>
              <w:rPr>
                <w:rFonts w:ascii="Arial" w:hAnsi="Arial" w:cs="Arial"/>
              </w:rPr>
              <w:t xml:space="preserve"> de sitio o </w:t>
            </w:r>
            <w:proofErr w:type="spellStart"/>
            <w:r>
              <w:rPr>
                <w:rFonts w:ascii="Arial" w:hAnsi="Arial" w:cs="Arial"/>
              </w:rPr>
              <w:t>ruta</w:t>
            </w:r>
            <w:proofErr w:type="spellEnd"/>
            <w:r>
              <w:rPr>
                <w:rFonts w:ascii="Arial" w:hAnsi="Arial" w:cs="Arial"/>
              </w:rPr>
              <w:t>:</w:t>
            </w:r>
          </w:p>
        </w:tc>
      </w:tr>
      <w:tr w:rsidR="00D3344B" w14:paraId="2047EBDA" w14:textId="77777777">
        <w:trPr>
          <w:cantSplit/>
          <w:trHeight w:val="969"/>
        </w:trPr>
        <w:tc>
          <w:tcPr>
            <w:tcW w:w="802" w:type="dxa"/>
          </w:tcPr>
          <w:p w14:paraId="1CE70840" w14:textId="77777777" w:rsidR="00D3344B" w:rsidRDefault="00D3344B">
            <w:pPr>
              <w:pStyle w:val="Sinespaciado"/>
              <w:widowControl w:val="0"/>
              <w:spacing w:line="276" w:lineRule="auto"/>
              <w:rPr>
                <w:rFonts w:ascii="Arial" w:hAnsi="Arial" w:cs="Arial"/>
              </w:rPr>
            </w:pPr>
          </w:p>
        </w:tc>
        <w:tc>
          <w:tcPr>
            <w:tcW w:w="7195" w:type="dxa"/>
            <w:vAlign w:val="bottom"/>
          </w:tcPr>
          <w:p w14:paraId="66344C20" w14:textId="77777777" w:rsidR="00D3344B" w:rsidRDefault="00143C25">
            <w:pPr>
              <w:pStyle w:val="Sinespaciado"/>
              <w:widowControl w:val="0"/>
              <w:spacing w:line="276" w:lineRule="auto"/>
              <w:jc w:val="both"/>
              <w:rPr>
                <w:rFonts w:ascii="Arial" w:hAnsi="Arial" w:cs="Arial"/>
                <w:i/>
                <w:sz w:val="16"/>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tc>
        <w:tc>
          <w:tcPr>
            <w:tcW w:w="1975" w:type="dxa"/>
          </w:tcPr>
          <w:p w14:paraId="7F594F66" w14:textId="77777777" w:rsidR="00D3344B" w:rsidRDefault="00D3344B">
            <w:pPr>
              <w:pStyle w:val="Sinespaciado"/>
              <w:widowControl w:val="0"/>
              <w:spacing w:line="276" w:lineRule="auto"/>
              <w:ind w:left="213"/>
              <w:jc w:val="both"/>
              <w:rPr>
                <w:rFonts w:ascii="Arial" w:hAnsi="Arial" w:cs="Arial"/>
                <w:i/>
                <w:sz w:val="16"/>
                <w:szCs w:val="16"/>
              </w:rPr>
            </w:pPr>
          </w:p>
        </w:tc>
      </w:tr>
      <w:tr w:rsidR="00D3344B" w14:paraId="1F3FA7C7" w14:textId="77777777">
        <w:trPr>
          <w:cantSplit/>
          <w:trHeight w:val="1300"/>
        </w:trPr>
        <w:tc>
          <w:tcPr>
            <w:tcW w:w="802" w:type="dxa"/>
          </w:tcPr>
          <w:p w14:paraId="022FBDFA" w14:textId="77777777" w:rsidR="00D3344B" w:rsidRDefault="00D3344B">
            <w:pPr>
              <w:pStyle w:val="Sinespaciado"/>
              <w:widowControl w:val="0"/>
              <w:spacing w:line="276" w:lineRule="auto"/>
              <w:rPr>
                <w:rFonts w:ascii="Arial" w:hAnsi="Arial" w:cs="Arial"/>
              </w:rPr>
            </w:pPr>
          </w:p>
        </w:tc>
        <w:tc>
          <w:tcPr>
            <w:tcW w:w="7195" w:type="dxa"/>
          </w:tcPr>
          <w:p w14:paraId="7C97C0A3" w14:textId="77777777" w:rsidR="00D3344B" w:rsidRDefault="00143C25">
            <w:pPr>
              <w:pStyle w:val="Sinespaciado"/>
              <w:widowControl w:val="0"/>
              <w:spacing w:line="276" w:lineRule="auto"/>
              <w:ind w:left="494" w:hanging="494"/>
              <w:jc w:val="both"/>
              <w:rPr>
                <w:rFonts w:ascii="Arial" w:hAnsi="Arial" w:cs="Arial"/>
                <w:i/>
                <w:sz w:val="16"/>
              </w:rPr>
            </w:pPr>
            <w:r>
              <w:rPr>
                <w:rFonts w:ascii="Arial" w:hAnsi="Arial" w:cs="Arial"/>
              </w:rPr>
              <w:t xml:space="preserve">a)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hasta </w:t>
            </w:r>
            <w:proofErr w:type="spellStart"/>
            <w:r>
              <w:rPr>
                <w:rFonts w:ascii="Arial" w:hAnsi="Arial" w:cs="Arial"/>
              </w:rPr>
              <w:t>catorce</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
        </w:tc>
        <w:tc>
          <w:tcPr>
            <w:tcW w:w="1975" w:type="dxa"/>
          </w:tcPr>
          <w:p w14:paraId="64C61C7C" w14:textId="77777777" w:rsidR="00D3344B" w:rsidRDefault="00143C25">
            <w:pPr>
              <w:pStyle w:val="Sinespaciado"/>
              <w:widowControl w:val="0"/>
              <w:spacing w:line="276" w:lineRule="auto"/>
              <w:ind w:left="213"/>
              <w:rPr>
                <w:rFonts w:ascii="Arial" w:hAnsi="Arial" w:cs="Arial"/>
                <w:b/>
              </w:rPr>
            </w:pPr>
            <w:r>
              <w:rPr>
                <w:rFonts w:ascii="Arial" w:hAnsi="Arial" w:cs="Arial"/>
              </w:rPr>
              <w:t xml:space="preserve">382 UMA </w:t>
            </w:r>
          </w:p>
        </w:tc>
      </w:tr>
      <w:tr w:rsidR="00D3344B" w14:paraId="0EFC0111" w14:textId="77777777">
        <w:trPr>
          <w:cantSplit/>
          <w:trHeight w:val="1300"/>
        </w:trPr>
        <w:tc>
          <w:tcPr>
            <w:tcW w:w="802" w:type="dxa"/>
          </w:tcPr>
          <w:p w14:paraId="681431E4" w14:textId="77777777" w:rsidR="00D3344B" w:rsidRDefault="00D3344B">
            <w:pPr>
              <w:pStyle w:val="Sinespaciado"/>
              <w:widowControl w:val="0"/>
              <w:spacing w:line="276" w:lineRule="auto"/>
              <w:rPr>
                <w:rFonts w:ascii="Arial" w:hAnsi="Arial" w:cs="Arial"/>
              </w:rPr>
            </w:pPr>
          </w:p>
        </w:tc>
        <w:tc>
          <w:tcPr>
            <w:tcW w:w="7195" w:type="dxa"/>
          </w:tcPr>
          <w:p w14:paraId="69CAE54C" w14:textId="77777777" w:rsidR="00D3344B" w:rsidRDefault="00143C25">
            <w:pPr>
              <w:pStyle w:val="Sinespaciado"/>
              <w:widowControl w:val="0"/>
              <w:spacing w:line="276" w:lineRule="auto"/>
              <w:jc w:val="both"/>
              <w:rPr>
                <w:rFonts w:ascii="Arial" w:hAnsi="Arial" w:cs="Arial"/>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p w14:paraId="27CB7CE9" w14:textId="77777777" w:rsidR="00D3344B" w:rsidRDefault="00143C25">
            <w:pPr>
              <w:pStyle w:val="Sinespaciado"/>
              <w:widowControl w:val="0"/>
              <w:spacing w:line="276" w:lineRule="auto"/>
              <w:jc w:val="both"/>
              <w:rPr>
                <w:rFonts w:ascii="Arial" w:hAnsi="Arial" w:cs="Arial"/>
                <w:i/>
                <w:sz w:val="16"/>
                <w:szCs w:val="16"/>
              </w:rPr>
            </w:pPr>
            <w:r>
              <w:rPr>
                <w:rFonts w:ascii="Arial" w:hAnsi="Arial" w:cs="Arial"/>
              </w:rPr>
              <w:t xml:space="preserve">b)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quince hasta </w:t>
            </w:r>
            <w:proofErr w:type="spellStart"/>
            <w:r>
              <w:rPr>
                <w:rFonts w:ascii="Arial" w:hAnsi="Arial" w:cs="Arial"/>
              </w:rPr>
              <w:t>veinticinco</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
        </w:tc>
        <w:tc>
          <w:tcPr>
            <w:tcW w:w="1975" w:type="dxa"/>
          </w:tcPr>
          <w:p w14:paraId="4483CA7D" w14:textId="77777777" w:rsidR="00D3344B" w:rsidRDefault="00143C25">
            <w:pPr>
              <w:pStyle w:val="Sinespaciado"/>
              <w:widowControl w:val="0"/>
              <w:spacing w:line="276" w:lineRule="auto"/>
              <w:ind w:left="213"/>
              <w:rPr>
                <w:rFonts w:ascii="Arial" w:hAnsi="Arial" w:cs="Arial"/>
                <w:b/>
              </w:rPr>
            </w:pPr>
            <w:r>
              <w:rPr>
                <w:rFonts w:ascii="Arial" w:hAnsi="Arial" w:cs="Arial"/>
              </w:rPr>
              <w:t xml:space="preserve">402 UMA </w:t>
            </w:r>
          </w:p>
        </w:tc>
      </w:tr>
      <w:tr w:rsidR="00D3344B" w14:paraId="20071827" w14:textId="77777777">
        <w:trPr>
          <w:cantSplit/>
          <w:trHeight w:val="979"/>
        </w:trPr>
        <w:tc>
          <w:tcPr>
            <w:tcW w:w="802" w:type="dxa"/>
          </w:tcPr>
          <w:p w14:paraId="74C1B2FA" w14:textId="77777777" w:rsidR="00D3344B" w:rsidRDefault="00D3344B">
            <w:pPr>
              <w:pStyle w:val="Sinespaciado"/>
              <w:widowControl w:val="0"/>
              <w:spacing w:line="276" w:lineRule="auto"/>
              <w:rPr>
                <w:rFonts w:ascii="Arial" w:hAnsi="Arial" w:cs="Arial"/>
              </w:rPr>
            </w:pPr>
          </w:p>
        </w:tc>
        <w:tc>
          <w:tcPr>
            <w:tcW w:w="7195" w:type="dxa"/>
          </w:tcPr>
          <w:p w14:paraId="45FC1DCD"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p w14:paraId="74101A69"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rPr>
              <w:t xml:space="preserve">c)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w:t>
            </w:r>
            <w:proofErr w:type="spellStart"/>
            <w:r>
              <w:rPr>
                <w:rFonts w:ascii="Arial" w:hAnsi="Arial" w:cs="Arial"/>
              </w:rPr>
              <w:t>veintiséis</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adelante</w:t>
            </w:r>
            <w:proofErr w:type="spellEnd"/>
            <w:r>
              <w:rPr>
                <w:rFonts w:ascii="Arial" w:hAnsi="Arial" w:cs="Arial"/>
              </w:rPr>
              <w:t xml:space="preserve">.  </w:t>
            </w:r>
          </w:p>
        </w:tc>
        <w:tc>
          <w:tcPr>
            <w:tcW w:w="1975" w:type="dxa"/>
          </w:tcPr>
          <w:p w14:paraId="28D21F4A" w14:textId="77777777" w:rsidR="00D3344B" w:rsidRDefault="00143C25">
            <w:pPr>
              <w:pStyle w:val="Sinespaciado"/>
              <w:widowControl w:val="0"/>
              <w:spacing w:line="276" w:lineRule="auto"/>
              <w:ind w:left="213"/>
              <w:jc w:val="both"/>
              <w:rPr>
                <w:rFonts w:ascii="Arial" w:hAnsi="Arial" w:cs="Arial"/>
                <w:i/>
                <w:sz w:val="16"/>
                <w:szCs w:val="16"/>
              </w:rPr>
            </w:pPr>
            <w:r>
              <w:rPr>
                <w:rFonts w:ascii="Arial" w:hAnsi="Arial" w:cs="Arial"/>
              </w:rPr>
              <w:t xml:space="preserve">422 UMA </w:t>
            </w:r>
          </w:p>
        </w:tc>
      </w:tr>
      <w:tr w:rsidR="00D3344B" w14:paraId="5BC085B4" w14:textId="77777777">
        <w:trPr>
          <w:cantSplit/>
          <w:trHeight w:val="1300"/>
        </w:trPr>
        <w:tc>
          <w:tcPr>
            <w:tcW w:w="802" w:type="dxa"/>
          </w:tcPr>
          <w:p w14:paraId="4B364178" w14:textId="77777777" w:rsidR="00D3344B" w:rsidRDefault="00D3344B">
            <w:pPr>
              <w:pStyle w:val="Sinespaciado"/>
              <w:widowControl w:val="0"/>
              <w:spacing w:line="276" w:lineRule="auto"/>
              <w:rPr>
                <w:rFonts w:ascii="Arial" w:hAnsi="Arial" w:cs="Arial"/>
              </w:rPr>
            </w:pPr>
          </w:p>
        </w:tc>
        <w:tc>
          <w:tcPr>
            <w:tcW w:w="7195" w:type="dxa"/>
          </w:tcPr>
          <w:p w14:paraId="7B7A865C" w14:textId="77777777" w:rsidR="00D3344B" w:rsidRDefault="00143C25">
            <w:pPr>
              <w:pStyle w:val="Sinespaciado"/>
              <w:widowControl w:val="0"/>
              <w:spacing w:line="276" w:lineRule="auto"/>
              <w:ind w:left="494" w:hanging="494"/>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p w14:paraId="26817B99"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d) </w:t>
            </w:r>
            <w:proofErr w:type="spellStart"/>
            <w:r>
              <w:rPr>
                <w:rFonts w:ascii="Arial" w:hAnsi="Arial" w:cs="Arial"/>
              </w:rPr>
              <w:t>Camiones</w:t>
            </w:r>
            <w:proofErr w:type="spellEnd"/>
            <w:r>
              <w:rPr>
                <w:rFonts w:ascii="Arial" w:hAnsi="Arial" w:cs="Arial"/>
              </w:rPr>
              <w:t xml:space="preserve"> </w:t>
            </w:r>
            <w:proofErr w:type="spellStart"/>
            <w:r>
              <w:rPr>
                <w:rFonts w:ascii="Arial" w:hAnsi="Arial" w:cs="Arial"/>
              </w:rPr>
              <w:t>materialistas</w:t>
            </w:r>
            <w:proofErr w:type="spellEnd"/>
            <w:r>
              <w:rPr>
                <w:rFonts w:ascii="Arial" w:hAnsi="Arial" w:cs="Arial"/>
              </w:rPr>
              <w:t xml:space="preserve"> y de carga </w:t>
            </w:r>
            <w:proofErr w:type="spellStart"/>
            <w:r>
              <w:rPr>
                <w:rFonts w:ascii="Arial" w:hAnsi="Arial" w:cs="Arial"/>
              </w:rPr>
              <w:t>en</w:t>
            </w:r>
            <w:proofErr w:type="spellEnd"/>
            <w:r>
              <w:rPr>
                <w:rFonts w:ascii="Arial" w:hAnsi="Arial" w:cs="Arial"/>
              </w:rPr>
              <w:t xml:space="preserve"> general. </w:t>
            </w:r>
          </w:p>
        </w:tc>
        <w:tc>
          <w:tcPr>
            <w:tcW w:w="1975" w:type="dxa"/>
          </w:tcPr>
          <w:p w14:paraId="506F5FF1" w14:textId="77777777" w:rsidR="00D3344B" w:rsidRDefault="00143C25">
            <w:pPr>
              <w:pStyle w:val="Sinespaciado"/>
              <w:widowControl w:val="0"/>
              <w:spacing w:line="276" w:lineRule="auto"/>
              <w:ind w:left="213"/>
              <w:rPr>
                <w:rFonts w:ascii="Arial" w:hAnsi="Arial" w:cs="Arial"/>
                <w:i/>
                <w:sz w:val="16"/>
                <w:szCs w:val="16"/>
              </w:rPr>
            </w:pPr>
            <w:r>
              <w:rPr>
                <w:rFonts w:ascii="Arial" w:hAnsi="Arial" w:cs="Arial"/>
              </w:rPr>
              <w:t xml:space="preserve">77 UMA </w:t>
            </w:r>
          </w:p>
        </w:tc>
      </w:tr>
      <w:tr w:rsidR="00D3344B" w14:paraId="70B82A74" w14:textId="77777777">
        <w:trPr>
          <w:cantSplit/>
          <w:trHeight w:val="866"/>
        </w:trPr>
        <w:tc>
          <w:tcPr>
            <w:tcW w:w="802" w:type="dxa"/>
          </w:tcPr>
          <w:p w14:paraId="03D62C7A" w14:textId="77777777" w:rsidR="00D3344B" w:rsidRDefault="00D3344B">
            <w:pPr>
              <w:pStyle w:val="Sinespaciado"/>
              <w:widowControl w:val="0"/>
              <w:spacing w:line="276" w:lineRule="auto"/>
              <w:rPr>
                <w:rFonts w:ascii="Arial" w:hAnsi="Arial" w:cs="Arial"/>
              </w:rPr>
            </w:pPr>
          </w:p>
        </w:tc>
        <w:tc>
          <w:tcPr>
            <w:tcW w:w="7195" w:type="dxa"/>
          </w:tcPr>
          <w:p w14:paraId="4A74EEE1"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p w14:paraId="02FD0E2D"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e) </w:t>
            </w:r>
            <w:proofErr w:type="spellStart"/>
            <w:r>
              <w:rPr>
                <w:rFonts w:ascii="Arial" w:hAnsi="Arial" w:cs="Arial"/>
              </w:rPr>
              <w:t>Grúas</w:t>
            </w:r>
            <w:proofErr w:type="spellEnd"/>
            <w:r>
              <w:rPr>
                <w:rFonts w:ascii="Arial" w:hAnsi="Arial" w:cs="Arial"/>
              </w:rPr>
              <w:t xml:space="preserve"> para arrastre y </w:t>
            </w:r>
            <w:proofErr w:type="spellStart"/>
            <w:r>
              <w:rPr>
                <w:rFonts w:ascii="Arial" w:hAnsi="Arial" w:cs="Arial"/>
              </w:rPr>
              <w:t>salvamento</w:t>
            </w:r>
            <w:proofErr w:type="spellEnd"/>
            <w:r>
              <w:rPr>
                <w:rFonts w:ascii="Arial" w:hAnsi="Arial" w:cs="Arial"/>
              </w:rPr>
              <w:t xml:space="preserve">. </w:t>
            </w:r>
          </w:p>
        </w:tc>
        <w:tc>
          <w:tcPr>
            <w:tcW w:w="1975" w:type="dxa"/>
          </w:tcPr>
          <w:p w14:paraId="41157F0F" w14:textId="77777777" w:rsidR="00D3344B" w:rsidRDefault="00143C25">
            <w:pPr>
              <w:pStyle w:val="Sinespaciado"/>
              <w:widowControl w:val="0"/>
              <w:spacing w:line="276" w:lineRule="auto"/>
              <w:ind w:left="213"/>
              <w:jc w:val="both"/>
              <w:rPr>
                <w:rFonts w:ascii="Arial" w:hAnsi="Arial" w:cs="Arial"/>
              </w:rPr>
            </w:pPr>
            <w:r>
              <w:rPr>
                <w:rFonts w:ascii="Arial" w:hAnsi="Arial" w:cs="Arial"/>
              </w:rPr>
              <w:t xml:space="preserve">182 UMA </w:t>
            </w:r>
          </w:p>
        </w:tc>
      </w:tr>
      <w:tr w:rsidR="00D3344B" w14:paraId="1E81AB6F" w14:textId="77777777">
        <w:trPr>
          <w:cantSplit/>
          <w:trHeight w:val="1300"/>
        </w:trPr>
        <w:tc>
          <w:tcPr>
            <w:tcW w:w="802" w:type="dxa"/>
          </w:tcPr>
          <w:p w14:paraId="6441AA56" w14:textId="77777777" w:rsidR="00D3344B" w:rsidRDefault="00D3344B">
            <w:pPr>
              <w:pStyle w:val="Sinespaciado"/>
              <w:widowControl w:val="0"/>
              <w:spacing w:line="276" w:lineRule="auto"/>
              <w:rPr>
                <w:rFonts w:ascii="Arial" w:hAnsi="Arial" w:cs="Arial"/>
              </w:rPr>
            </w:pPr>
          </w:p>
        </w:tc>
        <w:tc>
          <w:tcPr>
            <w:tcW w:w="7195" w:type="dxa"/>
          </w:tcPr>
          <w:p w14:paraId="46308B5F"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f)</w:t>
            </w:r>
            <w:proofErr w:type="gramStart"/>
            <w:r>
              <w:rPr>
                <w:rFonts w:ascii="Arial" w:hAnsi="Arial" w:cs="Arial"/>
              </w:rPr>
              <w:t xml:space="preserve">   </w:t>
            </w:r>
            <w:r>
              <w:rPr>
                <w:rFonts w:ascii="Arial" w:hAnsi="Arial" w:cs="Arial"/>
                <w:i/>
                <w:sz w:val="16"/>
                <w:szCs w:val="16"/>
              </w:rPr>
              <w:t>(</w:t>
            </w:r>
            <w:proofErr w:type="gramEnd"/>
            <w:r>
              <w:rPr>
                <w:rFonts w:ascii="Arial" w:hAnsi="Arial" w:cs="Arial"/>
                <w:i/>
                <w:sz w:val="16"/>
                <w:szCs w:val="16"/>
              </w:rPr>
              <w:t>DEROGADO, P.O. 30 DE DICIEMBRE DE 2006) (REPUBLICADO, P.O. 31 DE DICIEMBRE DE 2007)</w:t>
            </w:r>
          </w:p>
        </w:tc>
        <w:tc>
          <w:tcPr>
            <w:tcW w:w="1975" w:type="dxa"/>
          </w:tcPr>
          <w:p w14:paraId="4F5F8517" w14:textId="77777777" w:rsidR="00D3344B" w:rsidRDefault="00D3344B">
            <w:pPr>
              <w:pStyle w:val="Sinespaciado"/>
              <w:widowControl w:val="0"/>
              <w:spacing w:line="276" w:lineRule="auto"/>
              <w:ind w:left="213"/>
              <w:jc w:val="both"/>
              <w:rPr>
                <w:rFonts w:ascii="Arial" w:hAnsi="Arial" w:cs="Arial"/>
              </w:rPr>
            </w:pPr>
          </w:p>
        </w:tc>
      </w:tr>
      <w:tr w:rsidR="00D3344B" w14:paraId="09077A80" w14:textId="77777777">
        <w:trPr>
          <w:cantSplit/>
          <w:trHeight w:val="1300"/>
        </w:trPr>
        <w:tc>
          <w:tcPr>
            <w:tcW w:w="802" w:type="dxa"/>
          </w:tcPr>
          <w:p w14:paraId="6F9A8043" w14:textId="77777777" w:rsidR="00D3344B" w:rsidRDefault="00D3344B">
            <w:pPr>
              <w:pStyle w:val="Sinespaciado"/>
              <w:widowControl w:val="0"/>
              <w:spacing w:line="276" w:lineRule="auto"/>
              <w:rPr>
                <w:rFonts w:ascii="Arial" w:hAnsi="Arial" w:cs="Arial"/>
              </w:rPr>
            </w:pPr>
          </w:p>
        </w:tc>
        <w:tc>
          <w:tcPr>
            <w:tcW w:w="7195" w:type="dxa"/>
          </w:tcPr>
          <w:p w14:paraId="15377A5C"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caso</w:t>
            </w:r>
            <w:proofErr w:type="spellEnd"/>
            <w:r>
              <w:rPr>
                <w:rFonts w:ascii="Arial" w:hAnsi="Arial" w:cs="Arial"/>
              </w:rPr>
              <w:t xml:space="preserve"> los </w:t>
            </w:r>
            <w:proofErr w:type="spellStart"/>
            <w:r>
              <w:rPr>
                <w:rFonts w:ascii="Arial" w:hAnsi="Arial" w:cs="Arial"/>
              </w:rPr>
              <w:t>contribuyentes</w:t>
            </w:r>
            <w:proofErr w:type="spellEnd"/>
            <w:r>
              <w:rPr>
                <w:rFonts w:ascii="Arial" w:hAnsi="Arial" w:cs="Arial"/>
              </w:rPr>
              <w:t xml:space="preserve"> no </w:t>
            </w:r>
            <w:proofErr w:type="spellStart"/>
            <w:r>
              <w:rPr>
                <w:rFonts w:ascii="Arial" w:hAnsi="Arial" w:cs="Arial"/>
              </w:rPr>
              <w:t>estarán</w:t>
            </w:r>
            <w:proofErr w:type="spellEnd"/>
            <w:r>
              <w:rPr>
                <w:rFonts w:ascii="Arial" w:hAnsi="Arial" w:cs="Arial"/>
              </w:rPr>
              <w:t xml:space="preserve"> </w:t>
            </w:r>
            <w:proofErr w:type="spellStart"/>
            <w:r>
              <w:rPr>
                <w:rFonts w:ascii="Arial" w:hAnsi="Arial" w:cs="Arial"/>
              </w:rPr>
              <w:t>obligados</w:t>
            </w:r>
            <w:proofErr w:type="spellEnd"/>
            <w:r>
              <w:rPr>
                <w:rFonts w:ascii="Arial" w:hAnsi="Arial" w:cs="Arial"/>
              </w:rPr>
              <w:t xml:space="preserve"> al </w:t>
            </w:r>
            <w:proofErr w:type="spellStart"/>
            <w:r>
              <w:rPr>
                <w:rFonts w:ascii="Arial" w:hAnsi="Arial" w:cs="Arial"/>
              </w:rPr>
              <w:t>pago</w:t>
            </w:r>
            <w:proofErr w:type="spellEnd"/>
            <w:r>
              <w:rPr>
                <w:rFonts w:ascii="Arial" w:hAnsi="Arial" w:cs="Arial"/>
              </w:rPr>
              <w:t xml:space="preserve"> de los derechos y sus </w:t>
            </w:r>
            <w:proofErr w:type="spellStart"/>
            <w:r>
              <w:rPr>
                <w:rFonts w:ascii="Arial" w:hAnsi="Arial" w:cs="Arial"/>
              </w:rPr>
              <w:t>accesorios</w:t>
            </w:r>
            <w:proofErr w:type="spellEnd"/>
            <w:r>
              <w:rPr>
                <w:rFonts w:ascii="Arial" w:hAnsi="Arial" w:cs="Arial"/>
              </w:rPr>
              <w:t xml:space="preserve">, que </w:t>
            </w:r>
            <w:proofErr w:type="spellStart"/>
            <w:r>
              <w:rPr>
                <w:rFonts w:ascii="Arial" w:hAnsi="Arial" w:cs="Arial"/>
              </w:rPr>
              <w:t>señale</w:t>
            </w:r>
            <w:proofErr w:type="spellEnd"/>
            <w:r>
              <w:rPr>
                <w:rFonts w:ascii="Arial" w:hAnsi="Arial" w:cs="Arial"/>
              </w:rPr>
              <w:t xml:space="preserve"> la Ley de </w:t>
            </w:r>
            <w:proofErr w:type="spellStart"/>
            <w:r>
              <w:rPr>
                <w:rFonts w:ascii="Arial" w:hAnsi="Arial" w:cs="Arial"/>
              </w:rPr>
              <w:t>Ingresos</w:t>
            </w:r>
            <w:proofErr w:type="spellEnd"/>
            <w:r>
              <w:rPr>
                <w:rFonts w:ascii="Arial" w:hAnsi="Arial" w:cs="Arial"/>
              </w:rPr>
              <w:t xml:space="preserve"> </w:t>
            </w:r>
            <w:proofErr w:type="spellStart"/>
            <w:r>
              <w:rPr>
                <w:rFonts w:ascii="Arial" w:hAnsi="Arial" w:cs="Arial"/>
              </w:rPr>
              <w:t>correspondiente</w:t>
            </w:r>
            <w:proofErr w:type="spellEnd"/>
            <w:r>
              <w:rPr>
                <w:rFonts w:ascii="Arial" w:hAnsi="Arial" w:cs="Arial"/>
              </w:rPr>
              <w:t xml:space="preserve">, por la </w:t>
            </w:r>
            <w:proofErr w:type="spellStart"/>
            <w:r>
              <w:rPr>
                <w:rFonts w:ascii="Arial" w:hAnsi="Arial" w:cs="Arial"/>
              </w:rPr>
              <w:t>omisión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pago</w:t>
            </w:r>
            <w:proofErr w:type="spellEnd"/>
            <w:r>
              <w:rPr>
                <w:rFonts w:ascii="Arial" w:hAnsi="Arial" w:cs="Arial"/>
              </w:rPr>
              <w:t xml:space="preserve"> de </w:t>
            </w:r>
            <w:proofErr w:type="spellStart"/>
            <w:r>
              <w:rPr>
                <w:rFonts w:ascii="Arial" w:hAnsi="Arial" w:cs="Arial"/>
              </w:rPr>
              <w:t>contribuciones</w:t>
            </w:r>
            <w:proofErr w:type="spellEnd"/>
            <w:r>
              <w:rPr>
                <w:rFonts w:ascii="Arial" w:hAnsi="Arial" w:cs="Arial"/>
              </w:rPr>
              <w:t>.</w:t>
            </w:r>
          </w:p>
        </w:tc>
        <w:tc>
          <w:tcPr>
            <w:tcW w:w="1975" w:type="dxa"/>
          </w:tcPr>
          <w:p w14:paraId="0C5DE42E" w14:textId="77777777" w:rsidR="00D3344B" w:rsidRDefault="00D3344B">
            <w:pPr>
              <w:pStyle w:val="Sinespaciado"/>
              <w:widowControl w:val="0"/>
              <w:spacing w:line="276" w:lineRule="auto"/>
              <w:ind w:left="213"/>
              <w:jc w:val="both"/>
              <w:rPr>
                <w:rFonts w:ascii="Arial" w:hAnsi="Arial" w:cs="Arial"/>
              </w:rPr>
            </w:pPr>
          </w:p>
        </w:tc>
      </w:tr>
      <w:tr w:rsidR="00D3344B" w14:paraId="3157AF44" w14:textId="77777777">
        <w:trPr>
          <w:cantSplit/>
          <w:trHeight w:val="929"/>
        </w:trPr>
        <w:tc>
          <w:tcPr>
            <w:tcW w:w="802" w:type="dxa"/>
          </w:tcPr>
          <w:p w14:paraId="7EF34668" w14:textId="77777777" w:rsidR="00D3344B" w:rsidRDefault="00143C25">
            <w:pPr>
              <w:pStyle w:val="Sinespaciado"/>
              <w:widowControl w:val="0"/>
              <w:spacing w:line="276" w:lineRule="auto"/>
              <w:rPr>
                <w:rFonts w:ascii="Arial" w:hAnsi="Arial" w:cs="Arial"/>
              </w:rPr>
            </w:pPr>
            <w:r>
              <w:rPr>
                <w:rFonts w:ascii="Arial" w:hAnsi="Arial" w:cs="Arial"/>
              </w:rPr>
              <w:t>V.</w:t>
            </w:r>
          </w:p>
        </w:tc>
        <w:tc>
          <w:tcPr>
            <w:tcW w:w="9170" w:type="dxa"/>
            <w:gridSpan w:val="2"/>
          </w:tcPr>
          <w:p w14:paraId="55E0EFAD" w14:textId="77777777" w:rsidR="00D3344B" w:rsidRDefault="00143C25">
            <w:pPr>
              <w:pStyle w:val="Sinespaciado"/>
              <w:widowControl w:val="0"/>
              <w:spacing w:line="276" w:lineRule="auto"/>
              <w:ind w:left="213"/>
              <w:jc w:val="both"/>
              <w:rPr>
                <w:rFonts w:ascii="Arial" w:hAnsi="Arial" w:cs="Arial"/>
              </w:rPr>
            </w:pPr>
            <w:proofErr w:type="spellStart"/>
            <w:r>
              <w:rPr>
                <w:rFonts w:ascii="Arial" w:hAnsi="Arial" w:cs="Arial"/>
              </w:rPr>
              <w:t>Traslado</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w:t>
            </w:r>
          </w:p>
        </w:tc>
      </w:tr>
      <w:tr w:rsidR="00D3344B" w14:paraId="2AA0E1A8" w14:textId="77777777">
        <w:trPr>
          <w:cantSplit/>
          <w:trHeight w:val="324"/>
        </w:trPr>
        <w:tc>
          <w:tcPr>
            <w:tcW w:w="802" w:type="dxa"/>
          </w:tcPr>
          <w:p w14:paraId="0BEBA15E" w14:textId="77777777" w:rsidR="00D3344B" w:rsidRDefault="00D3344B">
            <w:pPr>
              <w:pStyle w:val="Sinespaciado"/>
              <w:widowControl w:val="0"/>
              <w:spacing w:line="276" w:lineRule="auto"/>
              <w:rPr>
                <w:rFonts w:ascii="Arial" w:hAnsi="Arial" w:cs="Arial"/>
              </w:rPr>
            </w:pPr>
          </w:p>
        </w:tc>
        <w:tc>
          <w:tcPr>
            <w:tcW w:w="7195" w:type="dxa"/>
            <w:vAlign w:val="bottom"/>
          </w:tcPr>
          <w:p w14:paraId="699A4892"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211 DE JUNIO DE 2021)</w:t>
            </w:r>
          </w:p>
        </w:tc>
        <w:tc>
          <w:tcPr>
            <w:tcW w:w="1975" w:type="dxa"/>
          </w:tcPr>
          <w:p w14:paraId="5EDEF66F" w14:textId="77777777" w:rsidR="00D3344B" w:rsidRDefault="00D3344B">
            <w:pPr>
              <w:pStyle w:val="Sinespaciado"/>
              <w:widowControl w:val="0"/>
              <w:spacing w:line="276" w:lineRule="auto"/>
              <w:ind w:left="213"/>
              <w:jc w:val="both"/>
              <w:rPr>
                <w:rFonts w:ascii="Arial" w:hAnsi="Arial" w:cs="Arial"/>
              </w:rPr>
            </w:pPr>
          </w:p>
        </w:tc>
      </w:tr>
      <w:tr w:rsidR="00D3344B" w14:paraId="068451C3" w14:textId="77777777">
        <w:trPr>
          <w:cantSplit/>
          <w:trHeight w:val="805"/>
        </w:trPr>
        <w:tc>
          <w:tcPr>
            <w:tcW w:w="802" w:type="dxa"/>
          </w:tcPr>
          <w:p w14:paraId="78FDC1FE" w14:textId="77777777" w:rsidR="00D3344B" w:rsidRDefault="00D3344B">
            <w:pPr>
              <w:pStyle w:val="Sinespaciado"/>
              <w:widowControl w:val="0"/>
              <w:spacing w:line="276" w:lineRule="auto"/>
              <w:rPr>
                <w:rFonts w:ascii="Arial" w:hAnsi="Arial" w:cs="Arial"/>
              </w:rPr>
            </w:pPr>
          </w:p>
        </w:tc>
        <w:tc>
          <w:tcPr>
            <w:tcW w:w="7195" w:type="dxa"/>
          </w:tcPr>
          <w:p w14:paraId="3A0836EB" w14:textId="77777777" w:rsidR="00D3344B" w:rsidRDefault="00143C25">
            <w:pPr>
              <w:pStyle w:val="Sinespaciado"/>
              <w:widowControl w:val="0"/>
              <w:spacing w:line="276" w:lineRule="auto"/>
              <w:ind w:left="494" w:hanging="494"/>
              <w:rPr>
                <w:rFonts w:ascii="Arial" w:hAnsi="Arial" w:cs="Arial"/>
                <w:i/>
                <w:sz w:val="16"/>
              </w:rPr>
            </w:pPr>
            <w:r>
              <w:rPr>
                <w:rFonts w:ascii="Arial" w:hAnsi="Arial" w:cs="Arial"/>
              </w:rPr>
              <w:t xml:space="preserve">a) Por </w:t>
            </w:r>
            <w:proofErr w:type="spellStart"/>
            <w:r>
              <w:rPr>
                <w:rFonts w:ascii="Arial" w:hAnsi="Arial" w:cs="Arial"/>
              </w:rPr>
              <w:t>cambio</w:t>
            </w:r>
            <w:proofErr w:type="spellEnd"/>
            <w:r>
              <w:rPr>
                <w:rFonts w:ascii="Arial" w:hAnsi="Arial" w:cs="Arial"/>
              </w:rPr>
              <w:t xml:space="preserve"> de </w:t>
            </w:r>
            <w:proofErr w:type="spellStart"/>
            <w:r>
              <w:rPr>
                <w:rFonts w:ascii="Arial" w:hAnsi="Arial" w:cs="Arial"/>
              </w:rPr>
              <w:t>vehículo</w:t>
            </w:r>
            <w:proofErr w:type="spellEnd"/>
            <w:r>
              <w:rPr>
                <w:rFonts w:ascii="Arial" w:hAnsi="Arial" w:cs="Arial"/>
              </w:rPr>
              <w:t xml:space="preserve"> </w:t>
            </w:r>
            <w:proofErr w:type="spellStart"/>
            <w:r>
              <w:rPr>
                <w:rFonts w:ascii="Arial" w:hAnsi="Arial" w:cs="Arial"/>
              </w:rPr>
              <w:t>automotor</w:t>
            </w:r>
            <w:proofErr w:type="spellEnd"/>
            <w:r>
              <w:rPr>
                <w:rFonts w:ascii="Arial" w:hAnsi="Arial" w:cs="Arial"/>
              </w:rPr>
              <w:t xml:space="preserve">, de la </w:t>
            </w:r>
            <w:proofErr w:type="spellStart"/>
            <w:r>
              <w:rPr>
                <w:rFonts w:ascii="Arial" w:hAnsi="Arial" w:cs="Arial"/>
              </w:rPr>
              <w:t>misma</w:t>
            </w:r>
            <w:proofErr w:type="spellEnd"/>
            <w:r>
              <w:rPr>
                <w:rFonts w:ascii="Arial" w:hAnsi="Arial" w:cs="Arial"/>
              </w:rPr>
              <w:t xml:space="preserve"> </w:t>
            </w:r>
            <w:proofErr w:type="spellStart"/>
            <w:r>
              <w:rPr>
                <w:rFonts w:ascii="Arial" w:hAnsi="Arial" w:cs="Arial"/>
              </w:rPr>
              <w:t>capacidad</w:t>
            </w:r>
            <w:proofErr w:type="spellEnd"/>
            <w:r>
              <w:rPr>
                <w:rFonts w:ascii="Arial" w:hAnsi="Arial" w:cs="Arial"/>
              </w:rPr>
              <w:t xml:space="preserve"> y </w:t>
            </w:r>
            <w:proofErr w:type="spellStart"/>
            <w:r>
              <w:rPr>
                <w:rFonts w:ascii="Arial" w:hAnsi="Arial" w:cs="Arial"/>
              </w:rPr>
              <w:t>alta</w:t>
            </w:r>
            <w:proofErr w:type="spellEnd"/>
            <w:r>
              <w:rPr>
                <w:rFonts w:ascii="Arial" w:hAnsi="Arial" w:cs="Arial"/>
              </w:rPr>
              <w:t xml:space="preserve"> al </w:t>
            </w:r>
            <w:proofErr w:type="spellStart"/>
            <w:r>
              <w:rPr>
                <w:rFonts w:ascii="Arial" w:hAnsi="Arial" w:cs="Arial"/>
              </w:rPr>
              <w:t>registro</w:t>
            </w:r>
            <w:proofErr w:type="spellEnd"/>
            <w:r>
              <w:rPr>
                <w:rFonts w:ascii="Arial" w:hAnsi="Arial" w:cs="Arial"/>
              </w:rPr>
              <w:t xml:space="preserve"> vehicular.</w:t>
            </w:r>
          </w:p>
        </w:tc>
        <w:tc>
          <w:tcPr>
            <w:tcW w:w="1975" w:type="dxa"/>
          </w:tcPr>
          <w:p w14:paraId="682FA2C5" w14:textId="77777777" w:rsidR="00D3344B" w:rsidRDefault="00143C25">
            <w:pPr>
              <w:pStyle w:val="Sinespaciado"/>
              <w:widowControl w:val="0"/>
              <w:spacing w:line="276" w:lineRule="auto"/>
              <w:ind w:left="213"/>
              <w:jc w:val="both"/>
              <w:rPr>
                <w:rFonts w:ascii="Arial" w:hAnsi="Arial" w:cs="Arial"/>
              </w:rPr>
            </w:pPr>
            <w:r>
              <w:rPr>
                <w:rFonts w:ascii="Arial" w:hAnsi="Arial" w:cs="Arial"/>
              </w:rPr>
              <w:t>3 UMA</w:t>
            </w:r>
          </w:p>
        </w:tc>
      </w:tr>
      <w:tr w:rsidR="00D3344B" w14:paraId="30916F9B" w14:textId="77777777">
        <w:trPr>
          <w:cantSplit/>
          <w:trHeight w:val="433"/>
        </w:trPr>
        <w:tc>
          <w:tcPr>
            <w:tcW w:w="802" w:type="dxa"/>
          </w:tcPr>
          <w:p w14:paraId="1D41526D" w14:textId="77777777" w:rsidR="00D3344B" w:rsidRDefault="00D3344B">
            <w:pPr>
              <w:pStyle w:val="Sinespaciado"/>
              <w:widowControl w:val="0"/>
              <w:spacing w:line="276" w:lineRule="auto"/>
              <w:rPr>
                <w:rFonts w:ascii="Arial" w:hAnsi="Arial" w:cs="Arial"/>
              </w:rPr>
            </w:pPr>
          </w:p>
        </w:tc>
        <w:tc>
          <w:tcPr>
            <w:tcW w:w="7195" w:type="dxa"/>
          </w:tcPr>
          <w:p w14:paraId="6E03D5FE"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b) </w:t>
            </w:r>
            <w:proofErr w:type="gramStart"/>
            <w:r>
              <w:rPr>
                <w:rFonts w:ascii="Arial" w:hAnsi="Arial" w:cs="Arial"/>
              </w:rPr>
              <w:t xml:space="preserve">   </w:t>
            </w:r>
            <w:r>
              <w:rPr>
                <w:rFonts w:ascii="Arial" w:hAnsi="Arial" w:cs="Arial"/>
                <w:i/>
                <w:sz w:val="16"/>
                <w:szCs w:val="16"/>
              </w:rPr>
              <w:t>(</w:t>
            </w:r>
            <w:proofErr w:type="gramEnd"/>
            <w:r>
              <w:rPr>
                <w:rFonts w:ascii="Arial" w:hAnsi="Arial" w:cs="Arial"/>
                <w:i/>
                <w:sz w:val="16"/>
                <w:szCs w:val="16"/>
              </w:rPr>
              <w:t>DEROGADO, P.O. 31 DE DICIEMBRE DE 2007)</w:t>
            </w:r>
          </w:p>
        </w:tc>
        <w:tc>
          <w:tcPr>
            <w:tcW w:w="1975" w:type="dxa"/>
          </w:tcPr>
          <w:p w14:paraId="24356C88" w14:textId="77777777" w:rsidR="00D3344B" w:rsidRDefault="00D3344B">
            <w:pPr>
              <w:pStyle w:val="Sinespaciado"/>
              <w:widowControl w:val="0"/>
              <w:spacing w:line="276" w:lineRule="auto"/>
              <w:ind w:left="213"/>
              <w:jc w:val="both"/>
              <w:rPr>
                <w:rFonts w:ascii="Arial" w:hAnsi="Arial" w:cs="Arial"/>
              </w:rPr>
            </w:pPr>
          </w:p>
        </w:tc>
      </w:tr>
      <w:tr w:rsidR="00D3344B" w14:paraId="195B327F" w14:textId="77777777">
        <w:trPr>
          <w:cantSplit/>
          <w:trHeight w:val="324"/>
        </w:trPr>
        <w:tc>
          <w:tcPr>
            <w:tcW w:w="802" w:type="dxa"/>
          </w:tcPr>
          <w:p w14:paraId="56734AC0" w14:textId="77777777" w:rsidR="00D3344B" w:rsidRDefault="00D3344B">
            <w:pPr>
              <w:pStyle w:val="Sinespaciado"/>
              <w:widowControl w:val="0"/>
              <w:spacing w:line="276" w:lineRule="auto"/>
              <w:rPr>
                <w:rFonts w:ascii="Arial" w:hAnsi="Arial" w:cs="Arial"/>
              </w:rPr>
            </w:pPr>
          </w:p>
        </w:tc>
        <w:tc>
          <w:tcPr>
            <w:tcW w:w="7195" w:type="dxa"/>
            <w:vAlign w:val="bottom"/>
          </w:tcPr>
          <w:p w14:paraId="20077F7E" w14:textId="77777777" w:rsidR="00D3344B" w:rsidRDefault="00143C25">
            <w:pPr>
              <w:pStyle w:val="Sinespaciado"/>
              <w:widowControl w:val="0"/>
              <w:spacing w:line="276" w:lineRule="auto"/>
              <w:ind w:left="494" w:hanging="494"/>
              <w:rPr>
                <w:rFonts w:ascii="Arial" w:hAnsi="Arial" w:cs="Arial"/>
                <w:i/>
                <w:sz w:val="16"/>
                <w:szCs w:val="16"/>
              </w:rPr>
            </w:pPr>
            <w:r>
              <w:rPr>
                <w:rFonts w:ascii="Arial" w:hAnsi="Arial" w:cs="Arial"/>
                <w:i/>
                <w:sz w:val="16"/>
                <w:szCs w:val="16"/>
              </w:rPr>
              <w:t>(REFORMADO PRIMER PÁRRAFO, P.O. 21 DE JUNIO DE 2021)</w:t>
            </w:r>
          </w:p>
        </w:tc>
        <w:tc>
          <w:tcPr>
            <w:tcW w:w="1975" w:type="dxa"/>
          </w:tcPr>
          <w:p w14:paraId="5AB2D326" w14:textId="77777777" w:rsidR="00D3344B" w:rsidRDefault="00D3344B">
            <w:pPr>
              <w:pStyle w:val="Sinespaciado"/>
              <w:widowControl w:val="0"/>
              <w:spacing w:line="276" w:lineRule="auto"/>
              <w:ind w:left="213"/>
              <w:jc w:val="both"/>
              <w:rPr>
                <w:rFonts w:ascii="Arial" w:hAnsi="Arial" w:cs="Arial"/>
              </w:rPr>
            </w:pPr>
          </w:p>
        </w:tc>
      </w:tr>
      <w:tr w:rsidR="00D3344B" w14:paraId="17075BAB" w14:textId="77777777">
        <w:trPr>
          <w:cantSplit/>
          <w:trHeight w:val="1366"/>
        </w:trPr>
        <w:tc>
          <w:tcPr>
            <w:tcW w:w="802" w:type="dxa"/>
          </w:tcPr>
          <w:p w14:paraId="5AACF5DF" w14:textId="77777777" w:rsidR="00D3344B" w:rsidRDefault="00D3344B">
            <w:pPr>
              <w:pStyle w:val="Sinespaciado"/>
              <w:widowControl w:val="0"/>
              <w:spacing w:line="276" w:lineRule="auto"/>
              <w:rPr>
                <w:rFonts w:ascii="Arial" w:hAnsi="Arial" w:cs="Arial"/>
              </w:rPr>
            </w:pPr>
          </w:p>
        </w:tc>
        <w:tc>
          <w:tcPr>
            <w:tcW w:w="7195" w:type="dxa"/>
          </w:tcPr>
          <w:p w14:paraId="38614DA5" w14:textId="77777777" w:rsidR="00D3344B" w:rsidRDefault="00143C25">
            <w:pPr>
              <w:pStyle w:val="Sinespaciado"/>
              <w:widowControl w:val="0"/>
              <w:ind w:left="494" w:hanging="494"/>
              <w:jc w:val="both"/>
              <w:rPr>
                <w:rFonts w:ascii="Arial" w:hAnsi="Arial" w:cs="Arial"/>
              </w:rPr>
            </w:pPr>
            <w:r>
              <w:rPr>
                <w:rFonts w:ascii="Arial" w:hAnsi="Arial" w:cs="Arial"/>
              </w:rPr>
              <w:t>c)</w:t>
            </w:r>
            <w:r>
              <w:rPr>
                <w:rFonts w:ascii="Arial" w:hAnsi="Arial" w:cs="Arial"/>
              </w:rPr>
              <w:tab/>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caso</w:t>
            </w:r>
            <w:proofErr w:type="spellEnd"/>
            <w:r>
              <w:rPr>
                <w:rFonts w:ascii="Arial" w:hAnsi="Arial" w:cs="Arial"/>
              </w:rPr>
              <w:t xml:space="preserve"> de no </w:t>
            </w:r>
            <w:proofErr w:type="spellStart"/>
            <w:r>
              <w:rPr>
                <w:rFonts w:ascii="Arial" w:hAnsi="Arial" w:cs="Arial"/>
              </w:rPr>
              <w:t>presentar</w:t>
            </w:r>
            <w:proofErr w:type="spellEnd"/>
            <w:r>
              <w:rPr>
                <w:rFonts w:ascii="Arial" w:hAnsi="Arial" w:cs="Arial"/>
              </w:rPr>
              <w:t xml:space="preserv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o</w:t>
            </w:r>
            <w:proofErr w:type="spellEnd"/>
            <w:r>
              <w:rPr>
                <w:rFonts w:ascii="Arial" w:hAnsi="Arial" w:cs="Arial"/>
              </w:rPr>
              <w:t xml:space="preserve"> la </w:t>
            </w:r>
            <w:proofErr w:type="spellStart"/>
            <w:r>
              <w:rPr>
                <w:rFonts w:ascii="Arial" w:hAnsi="Arial" w:cs="Arial"/>
              </w:rPr>
              <w:t>baja</w:t>
            </w:r>
            <w:proofErr w:type="spellEnd"/>
            <w:r>
              <w:rPr>
                <w:rFonts w:ascii="Arial" w:hAnsi="Arial" w:cs="Arial"/>
              </w:rPr>
              <w:t xml:space="preserve"> </w:t>
            </w:r>
            <w:proofErr w:type="spellStart"/>
            <w:r>
              <w:rPr>
                <w:rFonts w:ascii="Arial" w:hAnsi="Arial" w:cs="Arial"/>
              </w:rPr>
              <w:t>correspondiente</w:t>
            </w:r>
            <w:proofErr w:type="spellEnd"/>
            <w:r>
              <w:rPr>
                <w:rFonts w:ascii="Arial" w:hAnsi="Arial" w:cs="Arial"/>
              </w:rPr>
              <w:t xml:space="preserve">, </w:t>
            </w:r>
            <w:proofErr w:type="spellStart"/>
            <w:r>
              <w:rPr>
                <w:rFonts w:ascii="Arial" w:hAnsi="Arial" w:cs="Arial"/>
              </w:rPr>
              <w:t>deberá</w:t>
            </w:r>
            <w:proofErr w:type="spellEnd"/>
            <w:r>
              <w:rPr>
                <w:rFonts w:ascii="Arial" w:hAnsi="Arial" w:cs="Arial"/>
              </w:rPr>
              <w:t xml:space="preserve"> </w:t>
            </w:r>
            <w:proofErr w:type="spellStart"/>
            <w:r>
              <w:rPr>
                <w:rFonts w:ascii="Arial" w:hAnsi="Arial" w:cs="Arial"/>
              </w:rPr>
              <w:t>pagar</w:t>
            </w:r>
            <w:proofErr w:type="spellEnd"/>
            <w:r>
              <w:rPr>
                <w:rFonts w:ascii="Arial" w:hAnsi="Arial" w:cs="Arial"/>
              </w:rPr>
              <w:t xml:space="preserve"> los derechos que se </w:t>
            </w:r>
            <w:proofErr w:type="spellStart"/>
            <w:r>
              <w:rPr>
                <w:rFonts w:ascii="Arial" w:hAnsi="Arial" w:cs="Arial"/>
              </w:rPr>
              <w:t>señalan</w:t>
            </w:r>
            <w:proofErr w:type="spellEnd"/>
            <w:r>
              <w:rPr>
                <w:rFonts w:ascii="Arial" w:hAnsi="Arial" w:cs="Arial"/>
              </w:rPr>
              <w:t xml:space="preserve"> por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omitido</w:t>
            </w:r>
            <w:proofErr w:type="spellEnd"/>
            <w:r>
              <w:rPr>
                <w:rFonts w:ascii="Arial" w:hAnsi="Arial" w:cs="Arial"/>
              </w:rPr>
              <w:t xml:space="preserve"> de </w:t>
            </w:r>
            <w:proofErr w:type="spellStart"/>
            <w:r>
              <w:rPr>
                <w:rFonts w:ascii="Arial" w:hAnsi="Arial" w:cs="Arial"/>
              </w:rPr>
              <w:t>refrendo</w:t>
            </w:r>
            <w:proofErr w:type="spellEnd"/>
            <w:r>
              <w:rPr>
                <w:rFonts w:ascii="Arial" w:hAnsi="Arial" w:cs="Arial"/>
              </w:rPr>
              <w:t xml:space="preserve"> para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servicio</w:t>
            </w:r>
            <w:proofErr w:type="spellEnd"/>
            <w:r>
              <w:rPr>
                <w:rFonts w:ascii="Arial" w:hAnsi="Arial" w:cs="Arial"/>
              </w:rPr>
              <w:t xml:space="preserve"> privado, </w:t>
            </w:r>
            <w:proofErr w:type="spellStart"/>
            <w:r>
              <w:rPr>
                <w:rFonts w:ascii="Arial" w:hAnsi="Arial" w:cs="Arial"/>
              </w:rPr>
              <w:t>dependiendo</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tipo</w:t>
            </w:r>
            <w:proofErr w:type="spellEnd"/>
            <w:r>
              <w:rPr>
                <w:rFonts w:ascii="Arial" w:hAnsi="Arial" w:cs="Arial"/>
              </w:rPr>
              <w:t xml:space="preserve"> y </w:t>
            </w:r>
            <w:proofErr w:type="spellStart"/>
            <w:r>
              <w:rPr>
                <w:rFonts w:ascii="Arial" w:hAnsi="Arial" w:cs="Arial"/>
              </w:rPr>
              <w:t>modelo</w:t>
            </w:r>
            <w:proofErr w:type="spellEnd"/>
            <w:r>
              <w:rPr>
                <w:rFonts w:ascii="Arial" w:hAnsi="Arial" w:cs="Arial"/>
              </w:rPr>
              <w:t xml:space="preserve"> de </w:t>
            </w:r>
            <w:proofErr w:type="spellStart"/>
            <w:r>
              <w:rPr>
                <w:rFonts w:ascii="Arial" w:hAnsi="Arial" w:cs="Arial"/>
              </w:rPr>
              <w:t>vehículo</w:t>
            </w:r>
            <w:proofErr w:type="spellEnd"/>
            <w:r>
              <w:rPr>
                <w:rFonts w:ascii="Arial" w:hAnsi="Arial" w:cs="Arial"/>
              </w:rPr>
              <w:t>:</w:t>
            </w:r>
          </w:p>
        </w:tc>
        <w:tc>
          <w:tcPr>
            <w:tcW w:w="1975" w:type="dxa"/>
          </w:tcPr>
          <w:p w14:paraId="07EC806C" w14:textId="77777777" w:rsidR="00D3344B" w:rsidRDefault="00D3344B">
            <w:pPr>
              <w:pStyle w:val="Sinespaciado"/>
              <w:widowControl w:val="0"/>
              <w:spacing w:line="276" w:lineRule="auto"/>
              <w:ind w:left="213"/>
              <w:jc w:val="both"/>
              <w:rPr>
                <w:rFonts w:ascii="Arial" w:hAnsi="Arial" w:cs="Arial"/>
              </w:rPr>
            </w:pPr>
          </w:p>
        </w:tc>
      </w:tr>
      <w:tr w:rsidR="00D3344B" w14:paraId="53D76E4A" w14:textId="77777777">
        <w:trPr>
          <w:cantSplit/>
          <w:trHeight w:val="705"/>
        </w:trPr>
        <w:tc>
          <w:tcPr>
            <w:tcW w:w="802" w:type="dxa"/>
          </w:tcPr>
          <w:p w14:paraId="10547DF3" w14:textId="77777777" w:rsidR="00D3344B" w:rsidRDefault="00D3344B">
            <w:pPr>
              <w:pStyle w:val="Sinespaciado"/>
              <w:widowControl w:val="0"/>
              <w:spacing w:line="276" w:lineRule="auto"/>
              <w:rPr>
                <w:rFonts w:ascii="Arial" w:hAnsi="Arial" w:cs="Arial"/>
              </w:rPr>
            </w:pPr>
          </w:p>
        </w:tc>
        <w:tc>
          <w:tcPr>
            <w:tcW w:w="7195" w:type="dxa"/>
          </w:tcPr>
          <w:p w14:paraId="14708A0E" w14:textId="77777777" w:rsidR="00D3344B" w:rsidRDefault="00143C25">
            <w:pPr>
              <w:pStyle w:val="Sinespaciado"/>
              <w:widowControl w:val="0"/>
              <w:spacing w:line="276" w:lineRule="auto"/>
              <w:ind w:left="494"/>
              <w:jc w:val="both"/>
              <w:rPr>
                <w:rFonts w:ascii="Arial" w:hAnsi="Arial" w:cs="Arial"/>
                <w:i/>
                <w:sz w:val="16"/>
                <w:szCs w:val="16"/>
              </w:rPr>
            </w:pPr>
            <w:r>
              <w:rPr>
                <w:rFonts w:ascii="Arial" w:hAnsi="Arial" w:cs="Arial"/>
                <w:i/>
                <w:sz w:val="16"/>
                <w:szCs w:val="16"/>
              </w:rPr>
              <w:t>(REFORMADO, P.O. 21 DE JUNIO DE 2021)</w:t>
            </w:r>
          </w:p>
          <w:p w14:paraId="3C6CE618"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1. Autobuses y micros </w:t>
            </w:r>
          </w:p>
        </w:tc>
        <w:tc>
          <w:tcPr>
            <w:tcW w:w="1975" w:type="dxa"/>
          </w:tcPr>
          <w:p w14:paraId="38C40A99" w14:textId="77777777" w:rsidR="00D3344B" w:rsidRDefault="00143C25">
            <w:pPr>
              <w:pStyle w:val="Sinespaciado"/>
              <w:widowControl w:val="0"/>
              <w:spacing w:line="276" w:lineRule="auto"/>
              <w:ind w:left="213"/>
              <w:rPr>
                <w:rFonts w:ascii="Arial" w:hAnsi="Arial" w:cs="Arial"/>
              </w:rPr>
            </w:pPr>
            <w:r>
              <w:rPr>
                <w:rFonts w:ascii="Arial" w:hAnsi="Arial" w:cs="Arial"/>
              </w:rPr>
              <w:t xml:space="preserve">13 UMA </w:t>
            </w:r>
          </w:p>
        </w:tc>
      </w:tr>
      <w:tr w:rsidR="00D3344B" w14:paraId="2295BAC8" w14:textId="77777777">
        <w:trPr>
          <w:cantSplit/>
          <w:trHeight w:val="715"/>
        </w:trPr>
        <w:tc>
          <w:tcPr>
            <w:tcW w:w="802" w:type="dxa"/>
          </w:tcPr>
          <w:p w14:paraId="0AAEFD81" w14:textId="77777777" w:rsidR="00D3344B" w:rsidRDefault="00D3344B">
            <w:pPr>
              <w:pStyle w:val="Sinespaciado"/>
              <w:widowControl w:val="0"/>
              <w:spacing w:line="276" w:lineRule="auto"/>
              <w:rPr>
                <w:rFonts w:ascii="Arial" w:hAnsi="Arial" w:cs="Arial"/>
              </w:rPr>
            </w:pPr>
          </w:p>
        </w:tc>
        <w:tc>
          <w:tcPr>
            <w:tcW w:w="7195" w:type="dxa"/>
          </w:tcPr>
          <w:p w14:paraId="763FF190" w14:textId="77777777" w:rsidR="00D3344B" w:rsidRDefault="00143C25">
            <w:pPr>
              <w:pStyle w:val="Sinespaciado"/>
              <w:widowControl w:val="0"/>
              <w:spacing w:line="276" w:lineRule="auto"/>
              <w:ind w:left="494"/>
              <w:jc w:val="both"/>
              <w:rPr>
                <w:rFonts w:ascii="Arial" w:hAnsi="Arial" w:cs="Arial"/>
                <w:i/>
                <w:sz w:val="16"/>
                <w:szCs w:val="16"/>
              </w:rPr>
            </w:pPr>
            <w:r>
              <w:rPr>
                <w:rFonts w:ascii="Arial" w:hAnsi="Arial" w:cs="Arial"/>
                <w:i/>
                <w:sz w:val="16"/>
                <w:szCs w:val="16"/>
              </w:rPr>
              <w:t>(REFORMADO, P.O. 21 DE JUNIO DE 2021)</w:t>
            </w:r>
          </w:p>
          <w:p w14:paraId="0E2307E5"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2.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70F282ED" w14:textId="77777777" w:rsidR="00D3344B" w:rsidRDefault="00143C25">
            <w:pPr>
              <w:pStyle w:val="Sinespaciado"/>
              <w:widowControl w:val="0"/>
              <w:spacing w:line="276" w:lineRule="auto"/>
              <w:ind w:left="213"/>
              <w:rPr>
                <w:rFonts w:ascii="Arial" w:hAnsi="Arial" w:cs="Arial"/>
              </w:rPr>
            </w:pPr>
            <w:r>
              <w:rPr>
                <w:rFonts w:ascii="Arial" w:hAnsi="Arial" w:cs="Arial"/>
              </w:rPr>
              <w:t>6 UMA</w:t>
            </w:r>
          </w:p>
        </w:tc>
      </w:tr>
      <w:tr w:rsidR="00D3344B" w14:paraId="744D65AF" w14:textId="77777777">
        <w:trPr>
          <w:cantSplit/>
          <w:trHeight w:val="853"/>
        </w:trPr>
        <w:tc>
          <w:tcPr>
            <w:tcW w:w="802" w:type="dxa"/>
            <w:shd w:val="clear" w:color="auto" w:fill="auto"/>
          </w:tcPr>
          <w:p w14:paraId="652B47B9" w14:textId="77777777" w:rsidR="00D3344B" w:rsidRDefault="00D3344B">
            <w:pPr>
              <w:pStyle w:val="Sinespaciado"/>
              <w:widowControl w:val="0"/>
              <w:spacing w:line="276" w:lineRule="auto"/>
              <w:rPr>
                <w:rFonts w:ascii="Arial" w:hAnsi="Arial" w:cs="Arial"/>
              </w:rPr>
            </w:pPr>
          </w:p>
        </w:tc>
        <w:tc>
          <w:tcPr>
            <w:tcW w:w="7195" w:type="dxa"/>
            <w:shd w:val="clear" w:color="auto" w:fill="auto"/>
          </w:tcPr>
          <w:p w14:paraId="486B5F78" w14:textId="77777777" w:rsidR="00D3344B" w:rsidRDefault="00143C25">
            <w:pPr>
              <w:pStyle w:val="Sinespaciado"/>
              <w:widowControl w:val="0"/>
              <w:spacing w:line="276" w:lineRule="auto"/>
              <w:ind w:left="494"/>
              <w:jc w:val="both"/>
              <w:rPr>
                <w:rFonts w:ascii="Arial" w:hAnsi="Arial" w:cs="Arial"/>
                <w:i/>
                <w:sz w:val="16"/>
                <w:szCs w:val="16"/>
              </w:rPr>
            </w:pPr>
            <w:r>
              <w:rPr>
                <w:rFonts w:ascii="Arial" w:hAnsi="Arial" w:cs="Arial"/>
                <w:i/>
                <w:sz w:val="16"/>
                <w:szCs w:val="16"/>
              </w:rPr>
              <w:t>(REFORMADO, P.O. 21 DE JUNIO DE 2021)</w:t>
            </w:r>
          </w:p>
          <w:p w14:paraId="5A3A6193"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3.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shd w:val="clear" w:color="auto" w:fill="auto"/>
          </w:tcPr>
          <w:p w14:paraId="0CBE1C39" w14:textId="77777777" w:rsidR="00D3344B" w:rsidRDefault="00143C25">
            <w:pPr>
              <w:pStyle w:val="Sinespaciado"/>
              <w:widowControl w:val="0"/>
              <w:spacing w:line="276" w:lineRule="auto"/>
              <w:ind w:left="213"/>
              <w:rPr>
                <w:rFonts w:ascii="Arial" w:hAnsi="Arial" w:cs="Arial"/>
              </w:rPr>
            </w:pPr>
            <w:r>
              <w:rPr>
                <w:rFonts w:ascii="Arial" w:hAnsi="Arial" w:cs="Arial"/>
              </w:rPr>
              <w:t>13 UMA</w:t>
            </w:r>
          </w:p>
        </w:tc>
      </w:tr>
      <w:tr w:rsidR="00D3344B" w14:paraId="4D7B41B6" w14:textId="77777777">
        <w:trPr>
          <w:cantSplit/>
          <w:trHeight w:val="324"/>
        </w:trPr>
        <w:tc>
          <w:tcPr>
            <w:tcW w:w="802" w:type="dxa"/>
          </w:tcPr>
          <w:p w14:paraId="5842E681" w14:textId="77777777" w:rsidR="00D3344B" w:rsidRDefault="00143C25">
            <w:pPr>
              <w:pStyle w:val="Sinespaciado"/>
              <w:widowControl w:val="0"/>
              <w:spacing w:line="276" w:lineRule="auto"/>
              <w:rPr>
                <w:rFonts w:ascii="Arial" w:hAnsi="Arial" w:cs="Arial"/>
              </w:rPr>
            </w:pPr>
            <w:r>
              <w:rPr>
                <w:rFonts w:ascii="Arial" w:hAnsi="Arial" w:cs="Arial"/>
              </w:rPr>
              <w:t>VI.</w:t>
            </w:r>
          </w:p>
        </w:tc>
        <w:tc>
          <w:tcPr>
            <w:tcW w:w="9170" w:type="dxa"/>
            <w:gridSpan w:val="2"/>
          </w:tcPr>
          <w:p w14:paraId="1991CD7D"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o </w:t>
            </w:r>
            <w:proofErr w:type="spellStart"/>
            <w:r>
              <w:rPr>
                <w:rFonts w:ascii="Arial" w:hAnsi="Arial" w:cs="Arial"/>
              </w:rPr>
              <w:t>documentos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w:t>
            </w:r>
          </w:p>
          <w:p w14:paraId="0984FA19" w14:textId="77777777" w:rsidR="00D3344B" w:rsidRDefault="00D3344B">
            <w:pPr>
              <w:pStyle w:val="Sinespaciado"/>
              <w:widowControl w:val="0"/>
              <w:spacing w:line="276" w:lineRule="auto"/>
              <w:ind w:left="213"/>
              <w:rPr>
                <w:rFonts w:ascii="Arial" w:hAnsi="Arial" w:cs="Arial"/>
              </w:rPr>
            </w:pPr>
          </w:p>
        </w:tc>
      </w:tr>
      <w:tr w:rsidR="00D3344B" w14:paraId="47D782F2" w14:textId="77777777">
        <w:trPr>
          <w:cantSplit/>
          <w:trHeight w:val="693"/>
        </w:trPr>
        <w:tc>
          <w:tcPr>
            <w:tcW w:w="802" w:type="dxa"/>
          </w:tcPr>
          <w:p w14:paraId="0C94B88A" w14:textId="77777777" w:rsidR="00D3344B" w:rsidRDefault="00D3344B">
            <w:pPr>
              <w:pStyle w:val="Sinespaciado"/>
              <w:widowControl w:val="0"/>
              <w:spacing w:line="276" w:lineRule="auto"/>
              <w:rPr>
                <w:rFonts w:ascii="Arial" w:hAnsi="Arial" w:cs="Arial"/>
              </w:rPr>
            </w:pPr>
          </w:p>
        </w:tc>
        <w:tc>
          <w:tcPr>
            <w:tcW w:w="7195" w:type="dxa"/>
          </w:tcPr>
          <w:p w14:paraId="40783C4E" w14:textId="77777777" w:rsidR="00D3344B" w:rsidRDefault="00143C25">
            <w:pPr>
              <w:pStyle w:val="Sinespaciado"/>
              <w:widowControl w:val="0"/>
              <w:spacing w:line="276" w:lineRule="auto"/>
              <w:ind w:left="352" w:hanging="352"/>
              <w:jc w:val="both"/>
              <w:rPr>
                <w:rFonts w:ascii="Arial" w:hAnsi="Arial" w:cs="Arial"/>
                <w:i/>
                <w:sz w:val="16"/>
                <w:szCs w:val="16"/>
              </w:rPr>
            </w:pPr>
            <w:r>
              <w:rPr>
                <w:rFonts w:ascii="Arial" w:hAnsi="Arial" w:cs="Arial"/>
                <w:i/>
                <w:sz w:val="16"/>
                <w:szCs w:val="16"/>
              </w:rPr>
              <w:t>(REFORMADO, P.O. 21 DE JUNIO DE 2021)</w:t>
            </w:r>
          </w:p>
          <w:p w14:paraId="5FAE62B0"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a)  </w:t>
            </w:r>
            <w:proofErr w:type="spellStart"/>
            <w:r>
              <w:rPr>
                <w:rFonts w:ascii="Arial" w:hAnsi="Arial" w:cs="Arial"/>
              </w:rPr>
              <w:t>Placas</w:t>
            </w:r>
            <w:proofErr w:type="spellEnd"/>
            <w:r>
              <w:rPr>
                <w:rFonts w:ascii="Arial" w:hAnsi="Arial" w:cs="Arial"/>
              </w:rPr>
              <w:t>.</w:t>
            </w:r>
          </w:p>
        </w:tc>
        <w:tc>
          <w:tcPr>
            <w:tcW w:w="1975" w:type="dxa"/>
          </w:tcPr>
          <w:p w14:paraId="400CD86C" w14:textId="77777777" w:rsidR="00D3344B" w:rsidRDefault="00143C25">
            <w:pPr>
              <w:pStyle w:val="Sinespaciado"/>
              <w:widowControl w:val="0"/>
              <w:spacing w:line="276" w:lineRule="auto"/>
              <w:ind w:left="213"/>
              <w:rPr>
                <w:rFonts w:ascii="Arial" w:hAnsi="Arial" w:cs="Arial"/>
              </w:rPr>
            </w:pPr>
            <w:r>
              <w:rPr>
                <w:rFonts w:ascii="Arial" w:hAnsi="Arial" w:cs="Arial"/>
                <w:b/>
              </w:rPr>
              <w:t>21 UMA</w:t>
            </w:r>
          </w:p>
        </w:tc>
      </w:tr>
      <w:tr w:rsidR="00D3344B" w14:paraId="428EF041" w14:textId="77777777">
        <w:trPr>
          <w:cantSplit/>
          <w:trHeight w:val="324"/>
        </w:trPr>
        <w:tc>
          <w:tcPr>
            <w:tcW w:w="802" w:type="dxa"/>
          </w:tcPr>
          <w:p w14:paraId="31C76458" w14:textId="77777777" w:rsidR="00D3344B" w:rsidRDefault="00D3344B">
            <w:pPr>
              <w:pStyle w:val="Sinespaciado"/>
              <w:widowControl w:val="0"/>
              <w:spacing w:line="276" w:lineRule="auto"/>
              <w:rPr>
                <w:rFonts w:ascii="Arial" w:hAnsi="Arial" w:cs="Arial"/>
              </w:rPr>
            </w:pPr>
          </w:p>
        </w:tc>
        <w:tc>
          <w:tcPr>
            <w:tcW w:w="7195" w:type="dxa"/>
          </w:tcPr>
          <w:p w14:paraId="4961430F" w14:textId="77777777" w:rsidR="00D3344B" w:rsidRDefault="00143C25">
            <w:pPr>
              <w:pStyle w:val="Sinespaciado"/>
              <w:widowControl w:val="0"/>
              <w:spacing w:line="276" w:lineRule="auto"/>
              <w:ind w:left="352" w:hanging="352"/>
              <w:jc w:val="both"/>
              <w:rPr>
                <w:rFonts w:ascii="Arial" w:hAnsi="Arial" w:cs="Arial"/>
                <w:i/>
                <w:sz w:val="16"/>
                <w:szCs w:val="16"/>
              </w:rPr>
            </w:pPr>
            <w:r>
              <w:rPr>
                <w:rFonts w:ascii="Arial" w:hAnsi="Arial" w:cs="Arial"/>
                <w:i/>
                <w:sz w:val="16"/>
                <w:szCs w:val="16"/>
              </w:rPr>
              <w:t>(REFORMADO, P.O. 21 DE JUNIO DE 2021)</w:t>
            </w:r>
          </w:p>
          <w:p w14:paraId="33566E0B"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b)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w:t>
            </w:r>
            <w:proofErr w:type="spellStart"/>
            <w:r>
              <w:rPr>
                <w:rFonts w:ascii="Arial" w:hAnsi="Arial" w:cs="Arial"/>
              </w:rPr>
              <w:t>incluyendo</w:t>
            </w:r>
            <w:proofErr w:type="spellEnd"/>
            <w:r>
              <w:rPr>
                <w:rFonts w:ascii="Arial" w:hAnsi="Arial" w:cs="Arial"/>
              </w:rPr>
              <w:t xml:space="preserve"> </w:t>
            </w:r>
            <w:proofErr w:type="spellStart"/>
            <w:r>
              <w:rPr>
                <w:rFonts w:ascii="Arial" w:hAnsi="Arial" w:cs="Arial"/>
              </w:rPr>
              <w:t>tarjetón</w:t>
            </w:r>
            <w:proofErr w:type="spellEnd"/>
            <w:r>
              <w:rPr>
                <w:rFonts w:ascii="Arial" w:hAnsi="Arial" w:cs="Arial"/>
              </w:rPr>
              <w:t xml:space="preserve"> de sitio o </w:t>
            </w:r>
            <w:proofErr w:type="spellStart"/>
            <w:r>
              <w:rPr>
                <w:rFonts w:ascii="Arial" w:hAnsi="Arial" w:cs="Arial"/>
              </w:rPr>
              <w:t>ruta</w:t>
            </w:r>
            <w:proofErr w:type="spellEnd"/>
            <w:r>
              <w:rPr>
                <w:rFonts w:ascii="Arial" w:hAnsi="Arial" w:cs="Arial"/>
              </w:rPr>
              <w:t>.</w:t>
            </w:r>
          </w:p>
        </w:tc>
        <w:tc>
          <w:tcPr>
            <w:tcW w:w="1975" w:type="dxa"/>
          </w:tcPr>
          <w:p w14:paraId="15C85C70" w14:textId="77777777" w:rsidR="00D3344B" w:rsidRDefault="00143C25">
            <w:pPr>
              <w:pStyle w:val="Sinespaciado"/>
              <w:widowControl w:val="0"/>
              <w:spacing w:line="276" w:lineRule="auto"/>
              <w:ind w:left="213"/>
              <w:rPr>
                <w:rFonts w:ascii="Arial" w:hAnsi="Arial" w:cs="Arial"/>
              </w:rPr>
            </w:pPr>
            <w:r>
              <w:rPr>
                <w:rFonts w:ascii="Arial" w:hAnsi="Arial" w:cs="Arial"/>
                <w:b/>
              </w:rPr>
              <w:t>3 UMA</w:t>
            </w:r>
          </w:p>
        </w:tc>
      </w:tr>
      <w:tr w:rsidR="00D3344B" w14:paraId="4C83A657" w14:textId="77777777">
        <w:trPr>
          <w:cantSplit/>
          <w:trHeight w:val="324"/>
        </w:trPr>
        <w:tc>
          <w:tcPr>
            <w:tcW w:w="802" w:type="dxa"/>
          </w:tcPr>
          <w:p w14:paraId="00A3D6F7" w14:textId="77777777" w:rsidR="00D3344B" w:rsidRDefault="00143C25">
            <w:pPr>
              <w:pStyle w:val="Sinespaciado"/>
              <w:widowControl w:val="0"/>
              <w:spacing w:line="276" w:lineRule="auto"/>
              <w:rPr>
                <w:rFonts w:ascii="Arial" w:hAnsi="Arial" w:cs="Arial"/>
              </w:rPr>
            </w:pPr>
            <w:r>
              <w:rPr>
                <w:rFonts w:ascii="Arial" w:hAnsi="Arial" w:cs="Arial"/>
              </w:rPr>
              <w:t>VII.</w:t>
            </w:r>
          </w:p>
        </w:tc>
        <w:tc>
          <w:tcPr>
            <w:tcW w:w="9170" w:type="dxa"/>
            <w:gridSpan w:val="2"/>
          </w:tcPr>
          <w:p w14:paraId="287A840B"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Otorgamiento</w:t>
            </w:r>
            <w:proofErr w:type="spellEnd"/>
            <w:r>
              <w:rPr>
                <w:rFonts w:ascii="Arial" w:hAnsi="Arial" w:cs="Arial"/>
              </w:rPr>
              <w:t xml:space="preserve"> de </w:t>
            </w:r>
            <w:proofErr w:type="spellStart"/>
            <w:r>
              <w:rPr>
                <w:rFonts w:ascii="Arial" w:hAnsi="Arial" w:cs="Arial"/>
              </w:rPr>
              <w:t>permisos</w:t>
            </w:r>
            <w:proofErr w:type="spellEnd"/>
            <w:r>
              <w:rPr>
                <w:rFonts w:ascii="Arial" w:hAnsi="Arial" w:cs="Arial"/>
              </w:rPr>
              <w:t xml:space="preserve"> para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w:t>
            </w:r>
          </w:p>
          <w:p w14:paraId="7F286A51" w14:textId="77777777" w:rsidR="00D3344B" w:rsidRDefault="00D3344B">
            <w:pPr>
              <w:pStyle w:val="Sinespaciado"/>
              <w:widowControl w:val="0"/>
              <w:spacing w:line="276" w:lineRule="auto"/>
              <w:ind w:left="213"/>
              <w:rPr>
                <w:rFonts w:ascii="Arial" w:hAnsi="Arial" w:cs="Arial"/>
              </w:rPr>
            </w:pPr>
          </w:p>
        </w:tc>
      </w:tr>
      <w:tr w:rsidR="00D3344B" w14:paraId="6B961980" w14:textId="77777777">
        <w:trPr>
          <w:cantSplit/>
          <w:trHeight w:val="845"/>
        </w:trPr>
        <w:tc>
          <w:tcPr>
            <w:tcW w:w="802" w:type="dxa"/>
          </w:tcPr>
          <w:p w14:paraId="7191320B" w14:textId="77777777" w:rsidR="00D3344B" w:rsidRDefault="00D3344B">
            <w:pPr>
              <w:pStyle w:val="Sinespaciado"/>
              <w:widowControl w:val="0"/>
              <w:spacing w:line="276" w:lineRule="auto"/>
              <w:rPr>
                <w:rFonts w:ascii="Arial" w:hAnsi="Arial" w:cs="Arial"/>
              </w:rPr>
            </w:pPr>
          </w:p>
        </w:tc>
        <w:tc>
          <w:tcPr>
            <w:tcW w:w="7195" w:type="dxa"/>
          </w:tcPr>
          <w:p w14:paraId="6A39B30D" w14:textId="77777777" w:rsidR="00D3344B" w:rsidRDefault="00143C25">
            <w:pPr>
              <w:pStyle w:val="Sinespaciado"/>
              <w:widowControl w:val="0"/>
              <w:spacing w:line="276" w:lineRule="auto"/>
              <w:ind w:left="352" w:hanging="352"/>
              <w:jc w:val="both"/>
              <w:rPr>
                <w:rFonts w:ascii="Arial" w:hAnsi="Arial" w:cs="Arial"/>
                <w:i/>
                <w:sz w:val="16"/>
                <w:szCs w:val="16"/>
              </w:rPr>
            </w:pPr>
            <w:r>
              <w:rPr>
                <w:rFonts w:ascii="Arial" w:hAnsi="Arial" w:cs="Arial"/>
                <w:i/>
                <w:sz w:val="16"/>
                <w:szCs w:val="16"/>
              </w:rPr>
              <w:t>(REFORMADO, P.O. 21 DE JUNIO DE 2021)</w:t>
            </w:r>
          </w:p>
          <w:p w14:paraId="4296D8A8"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a)  Para </w:t>
            </w:r>
            <w:proofErr w:type="spellStart"/>
            <w:r>
              <w:rPr>
                <w:rFonts w:ascii="Arial" w:hAnsi="Arial" w:cs="Arial"/>
              </w:rPr>
              <w:t>reemplazar</w:t>
            </w:r>
            <w:proofErr w:type="spellEnd"/>
            <w:r>
              <w:rPr>
                <w:rFonts w:ascii="Arial" w:hAnsi="Arial" w:cs="Arial"/>
              </w:rPr>
              <w:t xml:space="preserve"> </w:t>
            </w:r>
            <w:proofErr w:type="spellStart"/>
            <w:r>
              <w:rPr>
                <w:rFonts w:ascii="Arial" w:hAnsi="Arial" w:cs="Arial"/>
              </w:rPr>
              <w:t>temporalmente</w:t>
            </w:r>
            <w:proofErr w:type="spellEnd"/>
            <w:r>
              <w:rPr>
                <w:rFonts w:ascii="Arial" w:hAnsi="Arial" w:cs="Arial"/>
              </w:rPr>
              <w:t xml:space="preserve"> la </w:t>
            </w:r>
            <w:proofErr w:type="spellStart"/>
            <w:r>
              <w:rPr>
                <w:rFonts w:ascii="Arial" w:hAnsi="Arial" w:cs="Arial"/>
              </w:rPr>
              <w:t>unidad</w:t>
            </w:r>
            <w:proofErr w:type="spellEnd"/>
            <w:r>
              <w:rPr>
                <w:rFonts w:ascii="Arial" w:hAnsi="Arial" w:cs="Arial"/>
              </w:rPr>
              <w:t xml:space="preserve">, hasta por un </w:t>
            </w:r>
            <w:proofErr w:type="spellStart"/>
            <w:r>
              <w:rPr>
                <w:rFonts w:ascii="Arial" w:hAnsi="Arial" w:cs="Arial"/>
              </w:rPr>
              <w:t>máximo</w:t>
            </w:r>
            <w:proofErr w:type="spellEnd"/>
            <w:r>
              <w:rPr>
                <w:rFonts w:ascii="Arial" w:hAnsi="Arial" w:cs="Arial"/>
              </w:rPr>
              <w:t xml:space="preserve"> de </w:t>
            </w:r>
            <w:proofErr w:type="spellStart"/>
            <w:r>
              <w:rPr>
                <w:rFonts w:ascii="Arial" w:hAnsi="Arial" w:cs="Arial"/>
              </w:rPr>
              <w:t>treinta</w:t>
            </w:r>
            <w:proofErr w:type="spellEnd"/>
            <w:r>
              <w:rPr>
                <w:rFonts w:ascii="Arial" w:hAnsi="Arial" w:cs="Arial"/>
              </w:rPr>
              <w:t xml:space="preserve"> días.</w:t>
            </w:r>
          </w:p>
        </w:tc>
        <w:tc>
          <w:tcPr>
            <w:tcW w:w="1975" w:type="dxa"/>
          </w:tcPr>
          <w:p w14:paraId="30028431" w14:textId="77777777" w:rsidR="00D3344B" w:rsidRDefault="00143C25">
            <w:pPr>
              <w:pStyle w:val="Sinespaciado"/>
              <w:widowControl w:val="0"/>
              <w:spacing w:line="276" w:lineRule="auto"/>
              <w:ind w:left="213"/>
              <w:rPr>
                <w:rFonts w:ascii="Arial" w:hAnsi="Arial" w:cs="Arial"/>
              </w:rPr>
            </w:pPr>
            <w:r>
              <w:rPr>
                <w:rFonts w:ascii="Arial" w:hAnsi="Arial" w:cs="Arial"/>
                <w:b/>
              </w:rPr>
              <w:t>4 UMA</w:t>
            </w:r>
          </w:p>
        </w:tc>
      </w:tr>
      <w:tr w:rsidR="00D3344B" w14:paraId="13C89BAF" w14:textId="77777777">
        <w:trPr>
          <w:cantSplit/>
          <w:trHeight w:val="324"/>
        </w:trPr>
        <w:tc>
          <w:tcPr>
            <w:tcW w:w="802" w:type="dxa"/>
          </w:tcPr>
          <w:p w14:paraId="785D2B33" w14:textId="77777777" w:rsidR="00D3344B" w:rsidRDefault="00D3344B">
            <w:pPr>
              <w:pStyle w:val="Sinespaciado"/>
              <w:widowControl w:val="0"/>
              <w:spacing w:line="276" w:lineRule="auto"/>
              <w:rPr>
                <w:rFonts w:ascii="Arial" w:hAnsi="Arial" w:cs="Arial"/>
              </w:rPr>
            </w:pPr>
          </w:p>
        </w:tc>
        <w:tc>
          <w:tcPr>
            <w:tcW w:w="7195" w:type="dxa"/>
            <w:vAlign w:val="bottom"/>
          </w:tcPr>
          <w:p w14:paraId="294F2C5B" w14:textId="77777777" w:rsidR="00D3344B" w:rsidRDefault="00143C25">
            <w:pPr>
              <w:pStyle w:val="Sinespaciado"/>
              <w:widowControl w:val="0"/>
              <w:spacing w:line="276" w:lineRule="auto"/>
              <w:ind w:left="352" w:hanging="352"/>
              <w:jc w:val="both"/>
              <w:rPr>
                <w:rFonts w:ascii="Arial" w:hAnsi="Arial" w:cs="Arial"/>
                <w:i/>
                <w:sz w:val="16"/>
                <w:szCs w:val="16"/>
              </w:rPr>
            </w:pPr>
            <w:r>
              <w:rPr>
                <w:rFonts w:ascii="Arial" w:hAnsi="Arial" w:cs="Arial"/>
                <w:i/>
                <w:sz w:val="16"/>
                <w:szCs w:val="16"/>
              </w:rPr>
              <w:t>(REFORMADO, P.O. 21 DE JUNIO DE 2021)</w:t>
            </w:r>
          </w:p>
        </w:tc>
        <w:tc>
          <w:tcPr>
            <w:tcW w:w="1975" w:type="dxa"/>
          </w:tcPr>
          <w:p w14:paraId="5D655707" w14:textId="77777777" w:rsidR="00D3344B" w:rsidRDefault="00D3344B">
            <w:pPr>
              <w:pStyle w:val="Sinespaciado"/>
              <w:widowControl w:val="0"/>
              <w:spacing w:line="276" w:lineRule="auto"/>
              <w:ind w:left="213"/>
              <w:jc w:val="both"/>
              <w:rPr>
                <w:rFonts w:ascii="Arial" w:hAnsi="Arial" w:cs="Arial"/>
              </w:rPr>
            </w:pPr>
          </w:p>
        </w:tc>
      </w:tr>
      <w:tr w:rsidR="00D3344B" w14:paraId="16DBA83A" w14:textId="77777777">
        <w:trPr>
          <w:cantSplit/>
          <w:trHeight w:val="840"/>
        </w:trPr>
        <w:tc>
          <w:tcPr>
            <w:tcW w:w="802" w:type="dxa"/>
          </w:tcPr>
          <w:p w14:paraId="120950E2" w14:textId="77777777" w:rsidR="00D3344B" w:rsidRDefault="00D3344B">
            <w:pPr>
              <w:pStyle w:val="Sinespaciado"/>
              <w:widowControl w:val="0"/>
              <w:spacing w:line="276" w:lineRule="auto"/>
              <w:rPr>
                <w:rFonts w:ascii="Arial" w:hAnsi="Arial" w:cs="Arial"/>
              </w:rPr>
            </w:pPr>
          </w:p>
        </w:tc>
        <w:tc>
          <w:tcPr>
            <w:tcW w:w="7195" w:type="dxa"/>
          </w:tcPr>
          <w:p w14:paraId="0A70AC72"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b)  Para </w:t>
            </w:r>
            <w:proofErr w:type="spellStart"/>
            <w:r>
              <w:rPr>
                <w:rFonts w:ascii="Arial" w:hAnsi="Arial" w:cs="Arial"/>
              </w:rPr>
              <w:t>realizar</w:t>
            </w:r>
            <w:proofErr w:type="spellEnd"/>
            <w:r>
              <w:rPr>
                <w:rFonts w:ascii="Arial" w:hAnsi="Arial" w:cs="Arial"/>
              </w:rPr>
              <w:t xml:space="preserve"> </w:t>
            </w:r>
            <w:proofErr w:type="spellStart"/>
            <w:r>
              <w:rPr>
                <w:rFonts w:ascii="Arial" w:hAnsi="Arial" w:cs="Arial"/>
              </w:rPr>
              <w:t>recorrido</w:t>
            </w:r>
            <w:proofErr w:type="spellEnd"/>
            <w:r>
              <w:rPr>
                <w:rFonts w:ascii="Arial" w:hAnsi="Arial" w:cs="Arial"/>
              </w:rPr>
              <w:t xml:space="preserve"> </w:t>
            </w:r>
            <w:proofErr w:type="spellStart"/>
            <w:r>
              <w:rPr>
                <w:rFonts w:ascii="Arial" w:hAnsi="Arial" w:cs="Arial"/>
              </w:rPr>
              <w:t>fuera</w:t>
            </w:r>
            <w:proofErr w:type="spellEnd"/>
            <w:r>
              <w:rPr>
                <w:rFonts w:ascii="Arial" w:hAnsi="Arial" w:cs="Arial"/>
              </w:rPr>
              <w:t xml:space="preserve"> de </w:t>
            </w:r>
            <w:proofErr w:type="spellStart"/>
            <w:r>
              <w:rPr>
                <w:rFonts w:ascii="Arial" w:hAnsi="Arial" w:cs="Arial"/>
              </w:rPr>
              <w:t>ruta</w:t>
            </w:r>
            <w:proofErr w:type="spellEnd"/>
            <w:r>
              <w:rPr>
                <w:rFonts w:ascii="Arial" w:hAnsi="Arial" w:cs="Arial"/>
              </w:rPr>
              <w:t xml:space="preserve">, por </w:t>
            </w:r>
            <w:proofErr w:type="spellStart"/>
            <w:r>
              <w:rPr>
                <w:rFonts w:ascii="Arial" w:hAnsi="Arial" w:cs="Arial"/>
              </w:rPr>
              <w:t>viaje</w:t>
            </w:r>
            <w:proofErr w:type="spellEnd"/>
            <w:r>
              <w:rPr>
                <w:rFonts w:ascii="Arial" w:hAnsi="Arial" w:cs="Arial"/>
              </w:rPr>
              <w:t xml:space="preserve"> especial, hasta por un </w:t>
            </w:r>
            <w:proofErr w:type="spellStart"/>
            <w:r>
              <w:rPr>
                <w:rFonts w:ascii="Arial" w:hAnsi="Arial" w:cs="Arial"/>
              </w:rPr>
              <w:t>máximo</w:t>
            </w:r>
            <w:proofErr w:type="spellEnd"/>
            <w:r>
              <w:rPr>
                <w:rFonts w:ascii="Arial" w:hAnsi="Arial" w:cs="Arial"/>
              </w:rPr>
              <w:t xml:space="preserve"> de </w:t>
            </w:r>
            <w:proofErr w:type="spellStart"/>
            <w:r>
              <w:rPr>
                <w:rFonts w:ascii="Arial" w:hAnsi="Arial" w:cs="Arial"/>
              </w:rPr>
              <w:t>diez</w:t>
            </w:r>
            <w:proofErr w:type="spellEnd"/>
            <w:r>
              <w:rPr>
                <w:rFonts w:ascii="Arial" w:hAnsi="Arial" w:cs="Arial"/>
              </w:rPr>
              <w:t xml:space="preserve"> días</w:t>
            </w:r>
          </w:p>
        </w:tc>
        <w:tc>
          <w:tcPr>
            <w:tcW w:w="1975" w:type="dxa"/>
          </w:tcPr>
          <w:p w14:paraId="1F9449B0"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4CBFE618" w14:textId="77777777">
        <w:trPr>
          <w:cantSplit/>
          <w:trHeight w:val="440"/>
        </w:trPr>
        <w:tc>
          <w:tcPr>
            <w:tcW w:w="802" w:type="dxa"/>
          </w:tcPr>
          <w:p w14:paraId="03D170E5" w14:textId="77777777" w:rsidR="00D3344B" w:rsidRDefault="00D3344B">
            <w:pPr>
              <w:pStyle w:val="Sinespaciado"/>
              <w:widowControl w:val="0"/>
              <w:spacing w:line="276" w:lineRule="auto"/>
              <w:rPr>
                <w:rFonts w:ascii="Arial" w:hAnsi="Arial" w:cs="Arial"/>
              </w:rPr>
            </w:pPr>
          </w:p>
        </w:tc>
        <w:tc>
          <w:tcPr>
            <w:tcW w:w="7195" w:type="dxa"/>
            <w:vAlign w:val="bottom"/>
          </w:tcPr>
          <w:p w14:paraId="14E4C109" w14:textId="77777777" w:rsidR="00D3344B" w:rsidRDefault="00143C25">
            <w:pPr>
              <w:pStyle w:val="Sinespaciado"/>
              <w:widowControl w:val="0"/>
              <w:spacing w:line="276" w:lineRule="auto"/>
              <w:ind w:left="352" w:hanging="352"/>
              <w:jc w:val="both"/>
              <w:rPr>
                <w:rFonts w:ascii="Arial" w:hAnsi="Arial" w:cs="Arial"/>
                <w:i/>
                <w:sz w:val="16"/>
                <w:szCs w:val="16"/>
              </w:rPr>
            </w:pPr>
            <w:r>
              <w:rPr>
                <w:rFonts w:ascii="Arial" w:hAnsi="Arial" w:cs="Arial"/>
                <w:i/>
                <w:sz w:val="16"/>
                <w:szCs w:val="16"/>
              </w:rPr>
              <w:t>(REFORMADO, P.O. 21 DE JUNIO DE 2021)</w:t>
            </w:r>
          </w:p>
        </w:tc>
        <w:tc>
          <w:tcPr>
            <w:tcW w:w="1975" w:type="dxa"/>
          </w:tcPr>
          <w:p w14:paraId="26CE2075" w14:textId="77777777" w:rsidR="00D3344B" w:rsidRDefault="00D3344B">
            <w:pPr>
              <w:pStyle w:val="Sinespaciado"/>
              <w:widowControl w:val="0"/>
              <w:spacing w:line="276" w:lineRule="auto"/>
              <w:ind w:left="213"/>
              <w:jc w:val="both"/>
              <w:rPr>
                <w:rFonts w:ascii="Arial" w:hAnsi="Arial" w:cs="Arial"/>
                <w:i/>
                <w:sz w:val="16"/>
                <w:szCs w:val="16"/>
              </w:rPr>
            </w:pPr>
          </w:p>
        </w:tc>
      </w:tr>
      <w:tr w:rsidR="00D3344B" w14:paraId="7E2A7680" w14:textId="77777777">
        <w:trPr>
          <w:cantSplit/>
          <w:trHeight w:val="840"/>
        </w:trPr>
        <w:tc>
          <w:tcPr>
            <w:tcW w:w="802" w:type="dxa"/>
          </w:tcPr>
          <w:p w14:paraId="78EB0C65" w14:textId="77777777" w:rsidR="00D3344B" w:rsidRDefault="00D3344B">
            <w:pPr>
              <w:pStyle w:val="Sinespaciado"/>
              <w:widowControl w:val="0"/>
              <w:spacing w:line="276" w:lineRule="auto"/>
              <w:rPr>
                <w:rFonts w:ascii="Arial" w:hAnsi="Arial" w:cs="Arial"/>
              </w:rPr>
            </w:pPr>
          </w:p>
        </w:tc>
        <w:tc>
          <w:tcPr>
            <w:tcW w:w="7195" w:type="dxa"/>
          </w:tcPr>
          <w:p w14:paraId="6C476B2F"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c)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escolar, hasta por un </w:t>
            </w:r>
            <w:proofErr w:type="spellStart"/>
            <w:r>
              <w:rPr>
                <w:rFonts w:ascii="Arial" w:hAnsi="Arial" w:cs="Arial"/>
              </w:rPr>
              <w:t>año</w:t>
            </w:r>
            <w:proofErr w:type="spellEnd"/>
            <w:r>
              <w:rPr>
                <w:rFonts w:ascii="Arial" w:hAnsi="Arial" w:cs="Arial"/>
              </w:rPr>
              <w:t>.</w:t>
            </w:r>
          </w:p>
        </w:tc>
        <w:tc>
          <w:tcPr>
            <w:tcW w:w="1975" w:type="dxa"/>
          </w:tcPr>
          <w:p w14:paraId="0AE7EAE1" w14:textId="77777777" w:rsidR="00D3344B" w:rsidRDefault="00143C25">
            <w:pPr>
              <w:pStyle w:val="Sinespaciado"/>
              <w:widowControl w:val="0"/>
              <w:spacing w:line="276" w:lineRule="auto"/>
              <w:ind w:left="213"/>
              <w:rPr>
                <w:rFonts w:ascii="Arial" w:hAnsi="Arial" w:cs="Arial"/>
                <w:i/>
                <w:sz w:val="16"/>
                <w:szCs w:val="16"/>
              </w:rPr>
            </w:pPr>
            <w:r>
              <w:rPr>
                <w:rFonts w:ascii="Arial" w:hAnsi="Arial" w:cs="Arial"/>
                <w:b/>
              </w:rPr>
              <w:t>21 UMA</w:t>
            </w:r>
          </w:p>
        </w:tc>
      </w:tr>
      <w:tr w:rsidR="00D3344B" w14:paraId="2FBDBF23" w14:textId="77777777">
        <w:trPr>
          <w:cantSplit/>
          <w:trHeight w:val="587"/>
        </w:trPr>
        <w:tc>
          <w:tcPr>
            <w:tcW w:w="802" w:type="dxa"/>
          </w:tcPr>
          <w:p w14:paraId="3E11189E" w14:textId="77777777" w:rsidR="00D3344B" w:rsidRDefault="00D3344B">
            <w:pPr>
              <w:pStyle w:val="Sinespaciado"/>
              <w:widowControl w:val="0"/>
              <w:spacing w:line="276" w:lineRule="auto"/>
              <w:rPr>
                <w:rFonts w:ascii="Arial" w:hAnsi="Arial" w:cs="Arial"/>
              </w:rPr>
            </w:pPr>
          </w:p>
        </w:tc>
        <w:tc>
          <w:tcPr>
            <w:tcW w:w="7195" w:type="dxa"/>
            <w:vAlign w:val="bottom"/>
          </w:tcPr>
          <w:p w14:paraId="30EA32A7"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vAlign w:val="bottom"/>
          </w:tcPr>
          <w:p w14:paraId="23A5EE90" w14:textId="77777777" w:rsidR="00D3344B" w:rsidRDefault="00D3344B">
            <w:pPr>
              <w:pStyle w:val="Sinespaciado"/>
              <w:widowControl w:val="0"/>
              <w:spacing w:line="276" w:lineRule="auto"/>
              <w:ind w:left="213"/>
              <w:rPr>
                <w:rFonts w:ascii="Arial" w:hAnsi="Arial" w:cs="Arial"/>
              </w:rPr>
            </w:pPr>
          </w:p>
        </w:tc>
      </w:tr>
      <w:tr w:rsidR="00D3344B" w14:paraId="7727AB40" w14:textId="77777777">
        <w:trPr>
          <w:cantSplit/>
          <w:trHeight w:val="840"/>
        </w:trPr>
        <w:tc>
          <w:tcPr>
            <w:tcW w:w="802" w:type="dxa"/>
          </w:tcPr>
          <w:p w14:paraId="1D5A7DBB" w14:textId="77777777" w:rsidR="00D3344B" w:rsidRDefault="00D3344B">
            <w:pPr>
              <w:pStyle w:val="Sinespaciado"/>
              <w:widowControl w:val="0"/>
              <w:spacing w:line="276" w:lineRule="auto"/>
              <w:rPr>
                <w:rFonts w:ascii="Arial" w:hAnsi="Arial" w:cs="Arial"/>
              </w:rPr>
            </w:pPr>
          </w:p>
        </w:tc>
        <w:tc>
          <w:tcPr>
            <w:tcW w:w="7195" w:type="dxa"/>
          </w:tcPr>
          <w:p w14:paraId="33962482" w14:textId="77777777" w:rsidR="00D3344B" w:rsidRDefault="00143C25">
            <w:pPr>
              <w:pStyle w:val="Sinespaciado"/>
              <w:widowControl w:val="0"/>
              <w:spacing w:line="276" w:lineRule="auto"/>
              <w:ind w:left="352" w:hanging="352"/>
              <w:rPr>
                <w:rFonts w:ascii="Arial" w:hAnsi="Arial" w:cs="Arial"/>
                <w:i/>
                <w:sz w:val="16"/>
              </w:rPr>
            </w:pPr>
            <w:r>
              <w:rPr>
                <w:rFonts w:ascii="Arial" w:hAnsi="Arial" w:cs="Arial"/>
              </w:rPr>
              <w:t xml:space="preserve">d)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de personal, hasta por un </w:t>
            </w:r>
            <w:proofErr w:type="spellStart"/>
            <w:r>
              <w:rPr>
                <w:rFonts w:ascii="Arial" w:hAnsi="Arial" w:cs="Arial"/>
              </w:rPr>
              <w:t>año</w:t>
            </w:r>
            <w:proofErr w:type="spellEnd"/>
            <w:r>
              <w:rPr>
                <w:rFonts w:ascii="Arial" w:hAnsi="Arial" w:cs="Arial"/>
              </w:rPr>
              <w:t>.</w:t>
            </w:r>
          </w:p>
        </w:tc>
        <w:tc>
          <w:tcPr>
            <w:tcW w:w="1975" w:type="dxa"/>
          </w:tcPr>
          <w:p w14:paraId="22036433" w14:textId="77777777" w:rsidR="00D3344B" w:rsidRDefault="00143C25">
            <w:pPr>
              <w:pStyle w:val="Sinespaciado"/>
              <w:widowControl w:val="0"/>
              <w:spacing w:line="276" w:lineRule="auto"/>
              <w:ind w:left="213"/>
              <w:rPr>
                <w:rFonts w:ascii="Arial" w:hAnsi="Arial" w:cs="Arial"/>
                <w:i/>
                <w:sz w:val="16"/>
              </w:rPr>
            </w:pPr>
            <w:r>
              <w:rPr>
                <w:rFonts w:ascii="Arial" w:hAnsi="Arial" w:cs="Arial"/>
                <w:b/>
              </w:rPr>
              <w:t>21 UMA</w:t>
            </w:r>
          </w:p>
        </w:tc>
      </w:tr>
      <w:tr w:rsidR="00D3344B" w14:paraId="3443B8D3" w14:textId="77777777">
        <w:trPr>
          <w:cantSplit/>
          <w:trHeight w:val="578"/>
        </w:trPr>
        <w:tc>
          <w:tcPr>
            <w:tcW w:w="802" w:type="dxa"/>
          </w:tcPr>
          <w:p w14:paraId="47E1B554" w14:textId="77777777" w:rsidR="00D3344B" w:rsidRDefault="00D3344B">
            <w:pPr>
              <w:pStyle w:val="Sinespaciado"/>
              <w:widowControl w:val="0"/>
              <w:spacing w:line="276" w:lineRule="auto"/>
              <w:rPr>
                <w:rFonts w:ascii="Arial" w:hAnsi="Arial" w:cs="Arial"/>
              </w:rPr>
            </w:pPr>
          </w:p>
        </w:tc>
        <w:tc>
          <w:tcPr>
            <w:tcW w:w="7195" w:type="dxa"/>
            <w:vAlign w:val="bottom"/>
          </w:tcPr>
          <w:p w14:paraId="38F633C1"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582C3D97" w14:textId="77777777" w:rsidR="00D3344B" w:rsidRDefault="00D3344B">
            <w:pPr>
              <w:pStyle w:val="Sinespaciado"/>
              <w:widowControl w:val="0"/>
              <w:spacing w:line="276" w:lineRule="auto"/>
              <w:ind w:left="213"/>
              <w:rPr>
                <w:rFonts w:ascii="Arial" w:hAnsi="Arial" w:cs="Arial"/>
              </w:rPr>
            </w:pPr>
          </w:p>
        </w:tc>
      </w:tr>
      <w:tr w:rsidR="00D3344B" w14:paraId="4ED6CF13" w14:textId="77777777">
        <w:trPr>
          <w:cantSplit/>
          <w:trHeight w:val="1330"/>
        </w:trPr>
        <w:tc>
          <w:tcPr>
            <w:tcW w:w="802" w:type="dxa"/>
          </w:tcPr>
          <w:p w14:paraId="251650DE" w14:textId="77777777" w:rsidR="00D3344B" w:rsidRDefault="00D3344B">
            <w:pPr>
              <w:pStyle w:val="Sinespaciado"/>
              <w:widowControl w:val="0"/>
              <w:spacing w:line="276" w:lineRule="auto"/>
              <w:rPr>
                <w:rFonts w:ascii="Arial" w:hAnsi="Arial" w:cs="Arial"/>
              </w:rPr>
            </w:pPr>
          </w:p>
        </w:tc>
        <w:tc>
          <w:tcPr>
            <w:tcW w:w="7195" w:type="dxa"/>
          </w:tcPr>
          <w:p w14:paraId="642922CC" w14:textId="77777777" w:rsidR="00D3344B" w:rsidRDefault="00143C25">
            <w:pPr>
              <w:pStyle w:val="Sinespaciado"/>
              <w:widowControl w:val="0"/>
              <w:spacing w:line="276" w:lineRule="auto"/>
              <w:ind w:left="352" w:hanging="352"/>
              <w:rPr>
                <w:rFonts w:ascii="Arial" w:hAnsi="Arial" w:cs="Arial"/>
                <w:i/>
                <w:sz w:val="16"/>
              </w:rPr>
            </w:pPr>
            <w:r>
              <w:rPr>
                <w:rFonts w:ascii="Arial" w:hAnsi="Arial" w:cs="Arial"/>
              </w:rPr>
              <w:t xml:space="preserve">e)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escolar o de personal, hasta por un </w:t>
            </w:r>
            <w:proofErr w:type="spellStart"/>
            <w:r>
              <w:rPr>
                <w:rFonts w:ascii="Arial" w:hAnsi="Arial" w:cs="Arial"/>
              </w:rPr>
              <w:t>año</w:t>
            </w:r>
            <w:proofErr w:type="spellEnd"/>
            <w:r>
              <w:rPr>
                <w:rFonts w:ascii="Arial" w:hAnsi="Arial" w:cs="Arial"/>
              </w:rPr>
              <w:t xml:space="preserve">, por </w:t>
            </w:r>
            <w:proofErr w:type="spellStart"/>
            <w:r>
              <w:rPr>
                <w:rFonts w:ascii="Arial" w:hAnsi="Arial" w:cs="Arial"/>
              </w:rPr>
              <w:t>cambio</w:t>
            </w:r>
            <w:proofErr w:type="spellEnd"/>
            <w:r>
              <w:rPr>
                <w:rFonts w:ascii="Arial" w:hAnsi="Arial" w:cs="Arial"/>
              </w:rPr>
              <w:t xml:space="preserve"> de </w:t>
            </w:r>
            <w:proofErr w:type="spellStart"/>
            <w:r>
              <w:rPr>
                <w:rFonts w:ascii="Arial" w:hAnsi="Arial" w:cs="Arial"/>
              </w:rPr>
              <w:t>unidad</w:t>
            </w:r>
            <w:proofErr w:type="spellEnd"/>
            <w:r>
              <w:rPr>
                <w:rFonts w:ascii="Arial" w:hAnsi="Arial" w:cs="Arial"/>
              </w:rPr>
              <w:t xml:space="preserve"> o </w:t>
            </w:r>
            <w:proofErr w:type="spellStart"/>
            <w:r>
              <w:rPr>
                <w:rFonts w:ascii="Arial" w:hAnsi="Arial" w:cs="Arial"/>
              </w:rPr>
              <w:t>pérdida</w:t>
            </w:r>
            <w:proofErr w:type="spellEnd"/>
            <w:r>
              <w:rPr>
                <w:rFonts w:ascii="Arial" w:hAnsi="Arial" w:cs="Arial"/>
              </w:rPr>
              <w:t xml:space="preserve">, </w:t>
            </w:r>
            <w:proofErr w:type="spellStart"/>
            <w:r>
              <w:rPr>
                <w:rFonts w:ascii="Arial" w:hAnsi="Arial" w:cs="Arial"/>
              </w:rPr>
              <w:t>siempre</w:t>
            </w:r>
            <w:proofErr w:type="spellEnd"/>
            <w:r>
              <w:rPr>
                <w:rFonts w:ascii="Arial" w:hAnsi="Arial" w:cs="Arial"/>
              </w:rPr>
              <w:t xml:space="preserve"> y </w:t>
            </w:r>
            <w:proofErr w:type="spellStart"/>
            <w:r>
              <w:rPr>
                <w:rFonts w:ascii="Arial" w:hAnsi="Arial" w:cs="Arial"/>
              </w:rPr>
              <w:t>cuando</w:t>
            </w:r>
            <w:proofErr w:type="spellEnd"/>
            <w:r>
              <w:rPr>
                <w:rFonts w:ascii="Arial" w:hAnsi="Arial" w:cs="Arial"/>
              </w:rPr>
              <w:t xml:space="preserve"> se </w:t>
            </w:r>
            <w:proofErr w:type="spellStart"/>
            <w:r>
              <w:rPr>
                <w:rFonts w:ascii="Arial" w:hAnsi="Arial" w:cs="Arial"/>
              </w:rPr>
              <w:t>encuentre</w:t>
            </w:r>
            <w:proofErr w:type="spellEnd"/>
            <w:r>
              <w:rPr>
                <w:rFonts w:ascii="Arial" w:hAnsi="Arial" w:cs="Arial"/>
              </w:rPr>
              <w:t xml:space="preserve"> dentro del </w:t>
            </w:r>
            <w:proofErr w:type="spellStart"/>
            <w:r>
              <w:rPr>
                <w:rFonts w:ascii="Arial" w:hAnsi="Arial" w:cs="Arial"/>
              </w:rPr>
              <w:t>período</w:t>
            </w:r>
            <w:proofErr w:type="spellEnd"/>
            <w:r>
              <w:rPr>
                <w:rFonts w:ascii="Arial" w:hAnsi="Arial" w:cs="Arial"/>
              </w:rPr>
              <w:t xml:space="preserve"> de </w:t>
            </w:r>
            <w:proofErr w:type="spellStart"/>
            <w:r>
              <w:rPr>
                <w:rFonts w:ascii="Arial" w:hAnsi="Arial" w:cs="Arial"/>
              </w:rPr>
              <w:t>vigencia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que </w:t>
            </w:r>
            <w:proofErr w:type="spellStart"/>
            <w:r>
              <w:rPr>
                <w:rFonts w:ascii="Arial" w:hAnsi="Arial" w:cs="Arial"/>
              </w:rPr>
              <w:t>fue</w:t>
            </w:r>
            <w:proofErr w:type="spellEnd"/>
            <w:r>
              <w:rPr>
                <w:rFonts w:ascii="Arial" w:hAnsi="Arial" w:cs="Arial"/>
              </w:rPr>
              <w:t xml:space="preserve"> </w:t>
            </w:r>
            <w:proofErr w:type="spellStart"/>
            <w:r>
              <w:rPr>
                <w:rFonts w:ascii="Arial" w:hAnsi="Arial" w:cs="Arial"/>
              </w:rPr>
              <w:t>otorgado</w:t>
            </w:r>
            <w:proofErr w:type="spellEnd"/>
            <w:r>
              <w:rPr>
                <w:rFonts w:ascii="Arial" w:hAnsi="Arial" w:cs="Arial"/>
              </w:rPr>
              <w:t>.</w:t>
            </w:r>
          </w:p>
        </w:tc>
        <w:tc>
          <w:tcPr>
            <w:tcW w:w="1975" w:type="dxa"/>
          </w:tcPr>
          <w:p w14:paraId="1928D742" w14:textId="77777777" w:rsidR="00D3344B" w:rsidRDefault="00143C25">
            <w:pPr>
              <w:pStyle w:val="Sinespaciado"/>
              <w:widowControl w:val="0"/>
              <w:spacing w:line="276" w:lineRule="auto"/>
              <w:ind w:left="213"/>
              <w:rPr>
                <w:rFonts w:ascii="Arial" w:hAnsi="Arial" w:cs="Arial"/>
              </w:rPr>
            </w:pPr>
            <w:r>
              <w:rPr>
                <w:rFonts w:ascii="Arial" w:hAnsi="Arial" w:cs="Arial"/>
                <w:b/>
              </w:rPr>
              <w:t>3 UMA</w:t>
            </w:r>
          </w:p>
        </w:tc>
      </w:tr>
      <w:tr w:rsidR="00D3344B" w14:paraId="1F037094" w14:textId="77777777">
        <w:trPr>
          <w:cantSplit/>
          <w:trHeight w:val="1330"/>
        </w:trPr>
        <w:tc>
          <w:tcPr>
            <w:tcW w:w="802" w:type="dxa"/>
          </w:tcPr>
          <w:p w14:paraId="21D2EC6A" w14:textId="77777777" w:rsidR="00D3344B" w:rsidRDefault="00D3344B">
            <w:pPr>
              <w:pStyle w:val="Sinespaciado"/>
              <w:widowControl w:val="0"/>
              <w:spacing w:line="276" w:lineRule="auto"/>
              <w:rPr>
                <w:rFonts w:ascii="Arial" w:hAnsi="Arial" w:cs="Arial"/>
              </w:rPr>
            </w:pPr>
          </w:p>
        </w:tc>
        <w:tc>
          <w:tcPr>
            <w:tcW w:w="7195" w:type="dxa"/>
            <w:vAlign w:val="bottom"/>
          </w:tcPr>
          <w:p w14:paraId="33C45030" w14:textId="77777777" w:rsidR="00D3344B" w:rsidRDefault="00143C25">
            <w:pPr>
              <w:pStyle w:val="Sinespaciado"/>
              <w:widowControl w:val="0"/>
              <w:spacing w:line="276" w:lineRule="auto"/>
              <w:rPr>
                <w:rFonts w:ascii="Arial" w:hAnsi="Arial" w:cs="Arial"/>
                <w:i/>
                <w:sz w:val="16"/>
              </w:rPr>
            </w:pPr>
            <w:r>
              <w:rPr>
                <w:rFonts w:ascii="Arial" w:hAnsi="Arial" w:cs="Arial"/>
                <w:i/>
                <w:sz w:val="16"/>
              </w:rPr>
              <w:t>N. DE E. EN RELACIÓN CON LA ENTRADA EN VIGOR DE LA PRESENTE FRACCIÓN, VÉASE ARTÍCULO ÚNICO TRANSITORIO DEL DECRETO QUE MODIFICA ESTE ORDENAMIENTO.</w:t>
            </w:r>
          </w:p>
          <w:p w14:paraId="0D450553"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(REFORMADA [N. DE E. REPUBLICADA], P.O. 23 DE DICIEMBRE DE 2011)</w:t>
            </w:r>
          </w:p>
        </w:tc>
        <w:tc>
          <w:tcPr>
            <w:tcW w:w="1975" w:type="dxa"/>
            <w:vAlign w:val="bottom"/>
          </w:tcPr>
          <w:p w14:paraId="2BEA0A5C" w14:textId="77777777" w:rsidR="00D3344B" w:rsidRDefault="00143C25">
            <w:pPr>
              <w:pStyle w:val="Sinespaciado"/>
              <w:widowControl w:val="0"/>
              <w:spacing w:line="276" w:lineRule="auto"/>
              <w:ind w:left="213"/>
              <w:rPr>
                <w:rFonts w:ascii="Arial" w:hAnsi="Arial" w:cs="Arial"/>
              </w:rPr>
            </w:pPr>
            <w:r>
              <w:rPr>
                <w:rFonts w:ascii="Arial" w:hAnsi="Arial" w:cs="Arial"/>
                <w:i/>
                <w:sz w:val="16"/>
              </w:rPr>
              <w:t>N. DE E. EN RELACIÓN CON LA ENTRADA EN VIGOR DE LOS PRESENTES DERECHOS, VÉASE ARTÍCULO ÚNICO TRANSITORIO DEL DECRETO QUE MODIFICA ESTE ORDENAMIENTO.</w:t>
            </w:r>
          </w:p>
          <w:p w14:paraId="4C9C30A8" w14:textId="77777777" w:rsidR="00D3344B" w:rsidRDefault="00143C25">
            <w:pPr>
              <w:pStyle w:val="Sinespaciado"/>
              <w:widowControl w:val="0"/>
              <w:spacing w:line="276" w:lineRule="auto"/>
              <w:ind w:left="213"/>
              <w:rPr>
                <w:rFonts w:ascii="Arial" w:hAnsi="Arial" w:cs="Arial"/>
              </w:rPr>
            </w:pPr>
            <w:r>
              <w:rPr>
                <w:rFonts w:ascii="Arial" w:hAnsi="Arial" w:cs="Arial"/>
                <w:i/>
                <w:sz w:val="16"/>
              </w:rPr>
              <w:t>(REFORMADO, P.O. 23 DE DICIEMBRE DE 2011)</w:t>
            </w:r>
          </w:p>
        </w:tc>
      </w:tr>
      <w:tr w:rsidR="00D3344B" w14:paraId="5D9568C2" w14:textId="77777777">
        <w:trPr>
          <w:cantSplit/>
          <w:trHeight w:val="1330"/>
        </w:trPr>
        <w:tc>
          <w:tcPr>
            <w:tcW w:w="802" w:type="dxa"/>
          </w:tcPr>
          <w:p w14:paraId="6202A58C" w14:textId="77777777" w:rsidR="00D3344B" w:rsidRDefault="00143C25">
            <w:pPr>
              <w:pStyle w:val="Sinespaciado"/>
              <w:widowControl w:val="0"/>
              <w:spacing w:line="276" w:lineRule="auto"/>
              <w:rPr>
                <w:rFonts w:ascii="Arial" w:hAnsi="Arial" w:cs="Arial"/>
              </w:rPr>
            </w:pPr>
            <w:r>
              <w:rPr>
                <w:rFonts w:ascii="Arial" w:hAnsi="Arial" w:cs="Arial"/>
              </w:rPr>
              <w:t>VIII.</w:t>
            </w:r>
          </w:p>
        </w:tc>
        <w:tc>
          <w:tcPr>
            <w:tcW w:w="7195" w:type="dxa"/>
          </w:tcPr>
          <w:p w14:paraId="1A95C627"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Otorgamiento</w:t>
            </w:r>
            <w:proofErr w:type="spellEnd"/>
            <w:r>
              <w:rPr>
                <w:rFonts w:ascii="Arial" w:hAnsi="Arial" w:cs="Arial"/>
              </w:rPr>
              <w:t xml:space="preserve"> de </w:t>
            </w:r>
            <w:proofErr w:type="spellStart"/>
            <w:r>
              <w:rPr>
                <w:rFonts w:ascii="Arial" w:hAnsi="Arial" w:cs="Arial"/>
              </w:rPr>
              <w:t>autorización</w:t>
            </w:r>
            <w:proofErr w:type="spellEnd"/>
            <w:r>
              <w:rPr>
                <w:rFonts w:ascii="Arial" w:hAnsi="Arial" w:cs="Arial"/>
              </w:rPr>
              <w:t xml:space="preserve"> de </w:t>
            </w:r>
            <w:proofErr w:type="spellStart"/>
            <w:r>
              <w:rPr>
                <w:rFonts w:ascii="Arial" w:hAnsi="Arial" w:cs="Arial"/>
              </w:rPr>
              <w:t>actos</w:t>
            </w:r>
            <w:proofErr w:type="spellEnd"/>
            <w:r>
              <w:rPr>
                <w:rFonts w:ascii="Arial" w:hAnsi="Arial" w:cs="Arial"/>
              </w:rPr>
              <w:t xml:space="preserve"> por los </w:t>
            </w:r>
            <w:proofErr w:type="spellStart"/>
            <w:r>
              <w:rPr>
                <w:rFonts w:ascii="Arial" w:hAnsi="Arial" w:cs="Arial"/>
              </w:rPr>
              <w:t>cuales</w:t>
            </w:r>
            <w:proofErr w:type="spellEnd"/>
            <w:r>
              <w:rPr>
                <w:rFonts w:ascii="Arial" w:hAnsi="Arial" w:cs="Arial"/>
              </w:rPr>
              <w:t xml:space="preserve"> se </w:t>
            </w:r>
            <w:proofErr w:type="spellStart"/>
            <w:r>
              <w:rPr>
                <w:rFonts w:ascii="Arial" w:hAnsi="Arial" w:cs="Arial"/>
              </w:rPr>
              <w:t>opere</w:t>
            </w:r>
            <w:proofErr w:type="spellEnd"/>
            <w:r>
              <w:rPr>
                <w:rFonts w:ascii="Arial" w:hAnsi="Arial" w:cs="Arial"/>
              </w:rPr>
              <w:t xml:space="preserve"> la </w:t>
            </w:r>
            <w:proofErr w:type="spellStart"/>
            <w:r>
              <w:rPr>
                <w:rFonts w:ascii="Arial" w:hAnsi="Arial" w:cs="Arial"/>
              </w:rPr>
              <w:t>transmisión</w:t>
            </w:r>
            <w:proofErr w:type="spellEnd"/>
            <w:r>
              <w:rPr>
                <w:rFonts w:ascii="Arial" w:hAnsi="Arial" w:cs="Arial"/>
              </w:rPr>
              <w:t xml:space="preserve"> de </w:t>
            </w:r>
            <w:proofErr w:type="spellStart"/>
            <w:r>
              <w:rPr>
                <w:rFonts w:ascii="Arial" w:hAnsi="Arial" w:cs="Arial"/>
              </w:rPr>
              <w:t>concesiones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los </w:t>
            </w:r>
            <w:proofErr w:type="spellStart"/>
            <w:r>
              <w:rPr>
                <w:rFonts w:ascii="Arial" w:hAnsi="Arial" w:cs="Arial"/>
              </w:rPr>
              <w:t>casos</w:t>
            </w:r>
            <w:proofErr w:type="spellEnd"/>
            <w:r>
              <w:rPr>
                <w:rFonts w:ascii="Arial" w:hAnsi="Arial" w:cs="Arial"/>
              </w:rPr>
              <w:t xml:space="preserve"> </w:t>
            </w:r>
            <w:proofErr w:type="spellStart"/>
            <w:r>
              <w:rPr>
                <w:rFonts w:ascii="Arial" w:hAnsi="Arial" w:cs="Arial"/>
              </w:rPr>
              <w:t>previstos</w:t>
            </w:r>
            <w:proofErr w:type="spellEnd"/>
            <w:r>
              <w:rPr>
                <w:rFonts w:ascii="Arial" w:hAnsi="Arial" w:cs="Arial"/>
              </w:rPr>
              <w:t xml:space="preserve"> por la Ley de la </w:t>
            </w:r>
            <w:proofErr w:type="spellStart"/>
            <w:r>
              <w:rPr>
                <w:rFonts w:ascii="Arial" w:hAnsi="Arial" w:cs="Arial"/>
              </w:rPr>
              <w:t>materia</w:t>
            </w:r>
            <w:proofErr w:type="spellEnd"/>
            <w:r>
              <w:rPr>
                <w:rFonts w:ascii="Arial" w:hAnsi="Arial" w:cs="Arial"/>
              </w:rPr>
              <w:t xml:space="preserve">, que se </w:t>
            </w:r>
            <w:proofErr w:type="spellStart"/>
            <w:r>
              <w:rPr>
                <w:rFonts w:ascii="Arial" w:hAnsi="Arial" w:cs="Arial"/>
              </w:rPr>
              <w:t>causarán</w:t>
            </w:r>
            <w:proofErr w:type="spellEnd"/>
            <w:r>
              <w:rPr>
                <w:rFonts w:ascii="Arial" w:hAnsi="Arial" w:cs="Arial"/>
              </w:rPr>
              <w:t xml:space="preserve"> de la </w:t>
            </w:r>
            <w:proofErr w:type="spellStart"/>
            <w:r>
              <w:rPr>
                <w:rFonts w:ascii="Arial" w:hAnsi="Arial" w:cs="Arial"/>
              </w:rPr>
              <w:t>manera</w:t>
            </w:r>
            <w:proofErr w:type="spellEnd"/>
            <w:r>
              <w:rPr>
                <w:rFonts w:ascii="Arial" w:hAnsi="Arial" w:cs="Arial"/>
              </w:rPr>
              <w:t xml:space="preserve"> </w:t>
            </w:r>
            <w:proofErr w:type="spellStart"/>
            <w:r>
              <w:rPr>
                <w:rFonts w:ascii="Arial" w:hAnsi="Arial" w:cs="Arial"/>
              </w:rPr>
              <w:t>siguiente</w:t>
            </w:r>
            <w:proofErr w:type="spellEnd"/>
            <w:r>
              <w:rPr>
                <w:rFonts w:ascii="Arial" w:hAnsi="Arial" w:cs="Arial"/>
              </w:rPr>
              <w:t>:</w:t>
            </w:r>
          </w:p>
        </w:tc>
        <w:tc>
          <w:tcPr>
            <w:tcW w:w="1975" w:type="dxa"/>
            <w:vAlign w:val="bottom"/>
          </w:tcPr>
          <w:p w14:paraId="7EDF74EB" w14:textId="77777777" w:rsidR="00D3344B" w:rsidRDefault="00D3344B">
            <w:pPr>
              <w:pStyle w:val="Sinespaciado"/>
              <w:widowControl w:val="0"/>
              <w:spacing w:line="276" w:lineRule="auto"/>
              <w:ind w:left="213"/>
              <w:rPr>
                <w:rFonts w:ascii="Arial" w:hAnsi="Arial" w:cs="Arial"/>
                <w:i/>
                <w:sz w:val="16"/>
              </w:rPr>
            </w:pPr>
          </w:p>
        </w:tc>
      </w:tr>
      <w:tr w:rsidR="00D3344B" w14:paraId="0DBA8700" w14:textId="77777777">
        <w:trPr>
          <w:cantSplit/>
          <w:trHeight w:val="1092"/>
        </w:trPr>
        <w:tc>
          <w:tcPr>
            <w:tcW w:w="802" w:type="dxa"/>
          </w:tcPr>
          <w:p w14:paraId="47E0D163" w14:textId="77777777" w:rsidR="00D3344B" w:rsidRDefault="00D3344B">
            <w:pPr>
              <w:pStyle w:val="Sinespaciado"/>
              <w:widowControl w:val="0"/>
              <w:spacing w:line="276" w:lineRule="auto"/>
              <w:rPr>
                <w:rFonts w:ascii="Arial" w:hAnsi="Arial" w:cs="Arial"/>
              </w:rPr>
            </w:pPr>
          </w:p>
        </w:tc>
        <w:tc>
          <w:tcPr>
            <w:tcW w:w="7195" w:type="dxa"/>
          </w:tcPr>
          <w:p w14:paraId="16CDA6EC"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i/>
                <w:sz w:val="16"/>
                <w:szCs w:val="16"/>
              </w:rPr>
              <w:t>(REFORMADO, P.O. 21 DE JUNIO DE 2021)</w:t>
            </w:r>
          </w:p>
          <w:p w14:paraId="6A896B0C"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a)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hasta </w:t>
            </w:r>
            <w:proofErr w:type="spellStart"/>
            <w:r>
              <w:rPr>
                <w:rFonts w:ascii="Arial" w:hAnsi="Arial" w:cs="Arial"/>
              </w:rPr>
              <w:t>catorce</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w:t>
            </w:r>
          </w:p>
        </w:tc>
        <w:tc>
          <w:tcPr>
            <w:tcW w:w="1975" w:type="dxa"/>
          </w:tcPr>
          <w:p w14:paraId="34DC97DB" w14:textId="77777777" w:rsidR="00D3344B" w:rsidRDefault="00143C25">
            <w:pPr>
              <w:pStyle w:val="Sinespaciado"/>
              <w:widowControl w:val="0"/>
              <w:spacing w:line="276" w:lineRule="auto"/>
              <w:ind w:left="213"/>
              <w:rPr>
                <w:rFonts w:ascii="Arial" w:hAnsi="Arial" w:cs="Arial"/>
                <w:i/>
                <w:sz w:val="16"/>
              </w:rPr>
            </w:pPr>
            <w:r>
              <w:rPr>
                <w:rFonts w:ascii="Arial" w:hAnsi="Arial" w:cs="Arial"/>
                <w:b/>
              </w:rPr>
              <w:t>382 UMA</w:t>
            </w:r>
          </w:p>
        </w:tc>
      </w:tr>
      <w:tr w:rsidR="00D3344B" w14:paraId="2675CCED" w14:textId="77777777">
        <w:trPr>
          <w:cantSplit/>
          <w:trHeight w:val="1092"/>
        </w:trPr>
        <w:tc>
          <w:tcPr>
            <w:tcW w:w="802" w:type="dxa"/>
          </w:tcPr>
          <w:p w14:paraId="47D9C7B1" w14:textId="77777777" w:rsidR="00D3344B" w:rsidRDefault="00D3344B">
            <w:pPr>
              <w:pStyle w:val="Sinespaciado"/>
              <w:widowControl w:val="0"/>
              <w:spacing w:line="276" w:lineRule="auto"/>
              <w:rPr>
                <w:rFonts w:ascii="Arial" w:hAnsi="Arial" w:cs="Arial"/>
              </w:rPr>
            </w:pPr>
          </w:p>
        </w:tc>
        <w:tc>
          <w:tcPr>
            <w:tcW w:w="7195" w:type="dxa"/>
          </w:tcPr>
          <w:p w14:paraId="08CEB017" w14:textId="77777777" w:rsidR="00D3344B" w:rsidRDefault="00D3344B">
            <w:pPr>
              <w:pStyle w:val="Sinespaciado"/>
              <w:widowControl w:val="0"/>
              <w:spacing w:line="276" w:lineRule="auto"/>
              <w:ind w:left="494" w:hanging="494"/>
              <w:jc w:val="both"/>
              <w:rPr>
                <w:rFonts w:ascii="Arial" w:hAnsi="Arial" w:cs="Arial"/>
              </w:rPr>
            </w:pPr>
          </w:p>
        </w:tc>
        <w:tc>
          <w:tcPr>
            <w:tcW w:w="1975" w:type="dxa"/>
          </w:tcPr>
          <w:p w14:paraId="7C460D36" w14:textId="77777777" w:rsidR="00D3344B" w:rsidRDefault="00D3344B">
            <w:pPr>
              <w:pStyle w:val="Sinespaciado"/>
              <w:widowControl w:val="0"/>
              <w:spacing w:line="276" w:lineRule="auto"/>
              <w:ind w:left="213"/>
              <w:jc w:val="both"/>
              <w:rPr>
                <w:rFonts w:ascii="Arial" w:hAnsi="Arial" w:cs="Arial"/>
              </w:rPr>
            </w:pPr>
          </w:p>
        </w:tc>
      </w:tr>
      <w:tr w:rsidR="00D3344B" w14:paraId="105FBFA8" w14:textId="77777777">
        <w:trPr>
          <w:cantSplit/>
          <w:trHeight w:val="1139"/>
        </w:trPr>
        <w:tc>
          <w:tcPr>
            <w:tcW w:w="802" w:type="dxa"/>
          </w:tcPr>
          <w:p w14:paraId="104360C4" w14:textId="77777777" w:rsidR="00D3344B" w:rsidRDefault="00D3344B">
            <w:pPr>
              <w:pStyle w:val="Sinespaciado"/>
              <w:widowControl w:val="0"/>
              <w:spacing w:line="276" w:lineRule="auto"/>
              <w:rPr>
                <w:rFonts w:ascii="Arial" w:hAnsi="Arial" w:cs="Arial"/>
              </w:rPr>
            </w:pPr>
          </w:p>
        </w:tc>
        <w:tc>
          <w:tcPr>
            <w:tcW w:w="7195" w:type="dxa"/>
          </w:tcPr>
          <w:p w14:paraId="03E3E951"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i/>
                <w:sz w:val="16"/>
                <w:szCs w:val="16"/>
              </w:rPr>
              <w:t>(REFORMADO, P.O. 21 DE JUNIO DE 2021)</w:t>
            </w:r>
          </w:p>
          <w:p w14:paraId="597A7F0C"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b)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quince hasta </w:t>
            </w:r>
            <w:proofErr w:type="spellStart"/>
            <w:r>
              <w:rPr>
                <w:rFonts w:ascii="Arial" w:hAnsi="Arial" w:cs="Arial"/>
              </w:rPr>
              <w:t>veinticinco</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w:t>
            </w:r>
          </w:p>
        </w:tc>
        <w:tc>
          <w:tcPr>
            <w:tcW w:w="1975" w:type="dxa"/>
          </w:tcPr>
          <w:p w14:paraId="4B68D928" w14:textId="77777777" w:rsidR="00D3344B" w:rsidRDefault="00143C25">
            <w:pPr>
              <w:pStyle w:val="Sinespaciado"/>
              <w:widowControl w:val="0"/>
              <w:spacing w:line="276" w:lineRule="auto"/>
              <w:ind w:left="213"/>
              <w:rPr>
                <w:rFonts w:ascii="Arial" w:hAnsi="Arial" w:cs="Arial"/>
              </w:rPr>
            </w:pPr>
            <w:r>
              <w:rPr>
                <w:rFonts w:ascii="Arial" w:hAnsi="Arial" w:cs="Arial"/>
                <w:b/>
              </w:rPr>
              <w:t xml:space="preserve">402 UMA </w:t>
            </w:r>
          </w:p>
        </w:tc>
      </w:tr>
      <w:tr w:rsidR="00D3344B" w14:paraId="11DF584B" w14:textId="77777777">
        <w:trPr>
          <w:cantSplit/>
          <w:trHeight w:val="534"/>
        </w:trPr>
        <w:tc>
          <w:tcPr>
            <w:tcW w:w="802" w:type="dxa"/>
          </w:tcPr>
          <w:p w14:paraId="444847A1" w14:textId="77777777" w:rsidR="00D3344B" w:rsidRDefault="00D3344B">
            <w:pPr>
              <w:pStyle w:val="Sinespaciado"/>
              <w:widowControl w:val="0"/>
              <w:spacing w:line="276" w:lineRule="auto"/>
              <w:rPr>
                <w:rFonts w:ascii="Arial" w:hAnsi="Arial" w:cs="Arial"/>
              </w:rPr>
            </w:pPr>
          </w:p>
        </w:tc>
        <w:tc>
          <w:tcPr>
            <w:tcW w:w="7195" w:type="dxa"/>
            <w:vAlign w:val="bottom"/>
          </w:tcPr>
          <w:p w14:paraId="23F0BCCA"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658747EE" w14:textId="77777777" w:rsidR="00D3344B" w:rsidRDefault="00D3344B">
            <w:pPr>
              <w:pStyle w:val="Sinespaciado"/>
              <w:widowControl w:val="0"/>
              <w:spacing w:line="276" w:lineRule="auto"/>
              <w:ind w:left="213"/>
              <w:jc w:val="both"/>
              <w:rPr>
                <w:rFonts w:ascii="Arial" w:hAnsi="Arial" w:cs="Arial"/>
              </w:rPr>
            </w:pPr>
          </w:p>
        </w:tc>
      </w:tr>
      <w:tr w:rsidR="00D3344B" w14:paraId="7410FBD6" w14:textId="77777777">
        <w:trPr>
          <w:cantSplit/>
          <w:trHeight w:val="712"/>
        </w:trPr>
        <w:tc>
          <w:tcPr>
            <w:tcW w:w="802" w:type="dxa"/>
          </w:tcPr>
          <w:p w14:paraId="404AFF20" w14:textId="77777777" w:rsidR="00D3344B" w:rsidRDefault="00D3344B">
            <w:pPr>
              <w:pStyle w:val="Sinespaciado"/>
              <w:widowControl w:val="0"/>
              <w:spacing w:line="276" w:lineRule="auto"/>
              <w:rPr>
                <w:rFonts w:ascii="Arial" w:hAnsi="Arial" w:cs="Arial"/>
              </w:rPr>
            </w:pPr>
          </w:p>
        </w:tc>
        <w:tc>
          <w:tcPr>
            <w:tcW w:w="7195" w:type="dxa"/>
          </w:tcPr>
          <w:p w14:paraId="182A4C37"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c)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automotores</w:t>
            </w:r>
            <w:proofErr w:type="spellEnd"/>
            <w:r>
              <w:rPr>
                <w:rFonts w:ascii="Arial" w:hAnsi="Arial" w:cs="Arial"/>
              </w:rPr>
              <w:t xml:space="preserve"> de </w:t>
            </w:r>
            <w:proofErr w:type="spellStart"/>
            <w:r>
              <w:rPr>
                <w:rFonts w:ascii="Arial" w:hAnsi="Arial" w:cs="Arial"/>
              </w:rPr>
              <w:t>veintiséis</w:t>
            </w:r>
            <w:proofErr w:type="spellEnd"/>
            <w:r>
              <w:rPr>
                <w:rFonts w:ascii="Arial" w:hAnsi="Arial" w:cs="Arial"/>
              </w:rPr>
              <w:t xml:space="preserve"> </w:t>
            </w:r>
            <w:proofErr w:type="spellStart"/>
            <w:r>
              <w:rPr>
                <w:rFonts w:ascii="Arial" w:hAnsi="Arial" w:cs="Arial"/>
              </w:rPr>
              <w:t>pasajeros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adelante</w:t>
            </w:r>
            <w:proofErr w:type="spellEnd"/>
            <w:r>
              <w:rPr>
                <w:rFonts w:ascii="Arial" w:hAnsi="Arial" w:cs="Arial"/>
              </w:rPr>
              <w:t>.</w:t>
            </w:r>
          </w:p>
        </w:tc>
        <w:tc>
          <w:tcPr>
            <w:tcW w:w="1975" w:type="dxa"/>
          </w:tcPr>
          <w:p w14:paraId="29BA8870"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422 UMA</w:t>
            </w:r>
          </w:p>
        </w:tc>
      </w:tr>
      <w:tr w:rsidR="00D3344B" w14:paraId="4342275F" w14:textId="77777777">
        <w:trPr>
          <w:cantSplit/>
          <w:trHeight w:val="499"/>
        </w:trPr>
        <w:tc>
          <w:tcPr>
            <w:tcW w:w="802" w:type="dxa"/>
          </w:tcPr>
          <w:p w14:paraId="4A9A4810" w14:textId="77777777" w:rsidR="00D3344B" w:rsidRDefault="00D3344B">
            <w:pPr>
              <w:pStyle w:val="Sinespaciado"/>
              <w:widowControl w:val="0"/>
              <w:spacing w:line="276" w:lineRule="auto"/>
              <w:rPr>
                <w:rFonts w:ascii="Arial" w:hAnsi="Arial" w:cs="Arial"/>
              </w:rPr>
            </w:pPr>
          </w:p>
        </w:tc>
        <w:tc>
          <w:tcPr>
            <w:tcW w:w="7195" w:type="dxa"/>
            <w:vAlign w:val="bottom"/>
          </w:tcPr>
          <w:p w14:paraId="1BCB6974" w14:textId="77777777" w:rsidR="00D3344B" w:rsidRDefault="00143C25">
            <w:pPr>
              <w:pStyle w:val="Sinespaciado"/>
              <w:widowControl w:val="0"/>
              <w:spacing w:line="276" w:lineRule="auto"/>
              <w:ind w:left="494" w:hanging="494"/>
              <w:rPr>
                <w:rFonts w:ascii="Arial" w:hAnsi="Arial" w:cs="Arial"/>
                <w:i/>
                <w:sz w:val="16"/>
                <w:szCs w:val="16"/>
              </w:rPr>
            </w:pPr>
            <w:r>
              <w:rPr>
                <w:rFonts w:ascii="Arial" w:hAnsi="Arial" w:cs="Arial"/>
                <w:i/>
                <w:sz w:val="16"/>
                <w:szCs w:val="16"/>
              </w:rPr>
              <w:t>(REFORMADO, P.O. 21 DE JUNIO DE 2021)</w:t>
            </w:r>
          </w:p>
        </w:tc>
        <w:tc>
          <w:tcPr>
            <w:tcW w:w="1975" w:type="dxa"/>
          </w:tcPr>
          <w:p w14:paraId="6599403C" w14:textId="77777777" w:rsidR="00D3344B" w:rsidRDefault="00D3344B">
            <w:pPr>
              <w:pStyle w:val="Sinespaciado"/>
              <w:widowControl w:val="0"/>
              <w:spacing w:line="276" w:lineRule="auto"/>
              <w:ind w:left="213"/>
              <w:jc w:val="both"/>
              <w:rPr>
                <w:rFonts w:ascii="Arial" w:hAnsi="Arial" w:cs="Arial"/>
              </w:rPr>
            </w:pPr>
          </w:p>
        </w:tc>
      </w:tr>
      <w:tr w:rsidR="00D3344B" w14:paraId="1E9CDB43" w14:textId="77777777">
        <w:trPr>
          <w:cantSplit/>
          <w:trHeight w:val="644"/>
        </w:trPr>
        <w:tc>
          <w:tcPr>
            <w:tcW w:w="802" w:type="dxa"/>
          </w:tcPr>
          <w:p w14:paraId="5BED3EBA" w14:textId="77777777" w:rsidR="00D3344B" w:rsidRDefault="00D3344B">
            <w:pPr>
              <w:pStyle w:val="Sinespaciado"/>
              <w:widowControl w:val="0"/>
              <w:spacing w:line="276" w:lineRule="auto"/>
              <w:rPr>
                <w:rFonts w:ascii="Arial" w:hAnsi="Arial" w:cs="Arial"/>
              </w:rPr>
            </w:pPr>
          </w:p>
        </w:tc>
        <w:tc>
          <w:tcPr>
            <w:tcW w:w="7195" w:type="dxa"/>
          </w:tcPr>
          <w:p w14:paraId="378C4FE5"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d)     </w:t>
            </w:r>
            <w:proofErr w:type="spellStart"/>
            <w:r>
              <w:rPr>
                <w:rFonts w:ascii="Arial" w:hAnsi="Arial" w:cs="Arial"/>
              </w:rPr>
              <w:t>Camiones</w:t>
            </w:r>
            <w:proofErr w:type="spellEnd"/>
            <w:r>
              <w:rPr>
                <w:rFonts w:ascii="Arial" w:hAnsi="Arial" w:cs="Arial"/>
              </w:rPr>
              <w:t xml:space="preserve"> </w:t>
            </w:r>
            <w:proofErr w:type="spellStart"/>
            <w:r>
              <w:rPr>
                <w:rFonts w:ascii="Arial" w:hAnsi="Arial" w:cs="Arial"/>
              </w:rPr>
              <w:t>materialistas</w:t>
            </w:r>
            <w:proofErr w:type="spellEnd"/>
            <w:r>
              <w:rPr>
                <w:rFonts w:ascii="Arial" w:hAnsi="Arial" w:cs="Arial"/>
              </w:rPr>
              <w:t xml:space="preserve"> y de carga </w:t>
            </w:r>
            <w:proofErr w:type="spellStart"/>
            <w:r>
              <w:rPr>
                <w:rFonts w:ascii="Arial" w:hAnsi="Arial" w:cs="Arial"/>
              </w:rPr>
              <w:t>en</w:t>
            </w:r>
            <w:proofErr w:type="spellEnd"/>
            <w:r>
              <w:rPr>
                <w:rFonts w:ascii="Arial" w:hAnsi="Arial" w:cs="Arial"/>
              </w:rPr>
              <w:t xml:space="preserve"> general.</w:t>
            </w:r>
          </w:p>
        </w:tc>
        <w:tc>
          <w:tcPr>
            <w:tcW w:w="1975" w:type="dxa"/>
          </w:tcPr>
          <w:p w14:paraId="1CE1D45E" w14:textId="77777777" w:rsidR="00D3344B" w:rsidRDefault="00143C25">
            <w:pPr>
              <w:pStyle w:val="Sinespaciado"/>
              <w:widowControl w:val="0"/>
              <w:spacing w:line="276" w:lineRule="auto"/>
              <w:ind w:left="213"/>
              <w:rPr>
                <w:rFonts w:ascii="Arial" w:hAnsi="Arial" w:cs="Arial"/>
              </w:rPr>
            </w:pPr>
            <w:r>
              <w:rPr>
                <w:rFonts w:ascii="Arial" w:hAnsi="Arial" w:cs="Arial"/>
                <w:b/>
              </w:rPr>
              <w:t>77 UMA</w:t>
            </w:r>
          </w:p>
        </w:tc>
      </w:tr>
      <w:tr w:rsidR="00D3344B" w14:paraId="6F6CC27B" w14:textId="77777777">
        <w:trPr>
          <w:cantSplit/>
          <w:trHeight w:val="574"/>
        </w:trPr>
        <w:tc>
          <w:tcPr>
            <w:tcW w:w="802" w:type="dxa"/>
          </w:tcPr>
          <w:p w14:paraId="02946D43" w14:textId="77777777" w:rsidR="00D3344B" w:rsidRDefault="00D3344B">
            <w:pPr>
              <w:pStyle w:val="Sinespaciado"/>
              <w:widowControl w:val="0"/>
              <w:spacing w:line="276" w:lineRule="auto"/>
              <w:rPr>
                <w:rFonts w:ascii="Arial" w:hAnsi="Arial" w:cs="Arial"/>
              </w:rPr>
            </w:pPr>
          </w:p>
        </w:tc>
        <w:tc>
          <w:tcPr>
            <w:tcW w:w="7195" w:type="dxa"/>
            <w:vAlign w:val="bottom"/>
          </w:tcPr>
          <w:p w14:paraId="1330679A" w14:textId="77777777" w:rsidR="00D3344B" w:rsidRDefault="00143C25">
            <w:pPr>
              <w:pStyle w:val="Sinespaciado"/>
              <w:widowControl w:val="0"/>
              <w:spacing w:line="276" w:lineRule="auto"/>
              <w:ind w:left="494" w:hanging="494"/>
              <w:rPr>
                <w:rFonts w:ascii="Arial" w:hAnsi="Arial" w:cs="Arial"/>
                <w:i/>
                <w:sz w:val="16"/>
                <w:szCs w:val="16"/>
              </w:rPr>
            </w:pPr>
            <w:r>
              <w:rPr>
                <w:rFonts w:ascii="Arial" w:hAnsi="Arial" w:cs="Arial"/>
                <w:i/>
                <w:sz w:val="16"/>
                <w:szCs w:val="16"/>
              </w:rPr>
              <w:t>(REFORMADO, P.O. 21 DE JUNIO DE 2021)</w:t>
            </w:r>
          </w:p>
        </w:tc>
        <w:tc>
          <w:tcPr>
            <w:tcW w:w="1975" w:type="dxa"/>
          </w:tcPr>
          <w:p w14:paraId="430344A2" w14:textId="77777777" w:rsidR="00D3344B" w:rsidRDefault="00D3344B">
            <w:pPr>
              <w:pStyle w:val="Sinespaciado"/>
              <w:widowControl w:val="0"/>
              <w:spacing w:line="276" w:lineRule="auto"/>
              <w:ind w:left="213"/>
              <w:rPr>
                <w:rFonts w:ascii="Arial" w:hAnsi="Arial" w:cs="Arial"/>
              </w:rPr>
            </w:pPr>
          </w:p>
        </w:tc>
      </w:tr>
      <w:tr w:rsidR="00D3344B" w14:paraId="3CD7A6CF" w14:textId="77777777">
        <w:trPr>
          <w:cantSplit/>
          <w:trHeight w:val="549"/>
        </w:trPr>
        <w:tc>
          <w:tcPr>
            <w:tcW w:w="802" w:type="dxa"/>
          </w:tcPr>
          <w:p w14:paraId="3A6DDB66" w14:textId="77777777" w:rsidR="00D3344B" w:rsidRDefault="00D3344B">
            <w:pPr>
              <w:pStyle w:val="Sinespaciado"/>
              <w:widowControl w:val="0"/>
              <w:spacing w:line="276" w:lineRule="auto"/>
              <w:rPr>
                <w:rFonts w:ascii="Arial" w:hAnsi="Arial" w:cs="Arial"/>
              </w:rPr>
            </w:pPr>
          </w:p>
        </w:tc>
        <w:tc>
          <w:tcPr>
            <w:tcW w:w="7195" w:type="dxa"/>
          </w:tcPr>
          <w:p w14:paraId="2386B57E"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e)     </w:t>
            </w:r>
            <w:proofErr w:type="spellStart"/>
            <w:r>
              <w:rPr>
                <w:rFonts w:ascii="Arial" w:hAnsi="Arial" w:cs="Arial"/>
              </w:rPr>
              <w:t>Grúas</w:t>
            </w:r>
            <w:proofErr w:type="spellEnd"/>
            <w:r>
              <w:rPr>
                <w:rFonts w:ascii="Arial" w:hAnsi="Arial" w:cs="Arial"/>
              </w:rPr>
              <w:t xml:space="preserve"> para arrastre y </w:t>
            </w:r>
            <w:proofErr w:type="spellStart"/>
            <w:r>
              <w:rPr>
                <w:rFonts w:ascii="Arial" w:hAnsi="Arial" w:cs="Arial"/>
              </w:rPr>
              <w:t>salvamento</w:t>
            </w:r>
            <w:proofErr w:type="spellEnd"/>
            <w:r>
              <w:rPr>
                <w:rFonts w:ascii="Arial" w:hAnsi="Arial" w:cs="Arial"/>
              </w:rPr>
              <w:t>.</w:t>
            </w:r>
          </w:p>
        </w:tc>
        <w:tc>
          <w:tcPr>
            <w:tcW w:w="1975" w:type="dxa"/>
          </w:tcPr>
          <w:p w14:paraId="01ED69A9" w14:textId="77777777" w:rsidR="00D3344B" w:rsidRDefault="00143C25">
            <w:pPr>
              <w:widowControl w:val="0"/>
              <w:spacing w:after="328" w:line="264" w:lineRule="auto"/>
              <w:ind w:right="263"/>
              <w:jc w:val="center"/>
              <w:rPr>
                <w:rFonts w:ascii="Arial" w:hAnsi="Arial" w:cs="Arial"/>
              </w:rPr>
            </w:pPr>
            <w:r>
              <w:rPr>
                <w:rFonts w:ascii="Arial" w:hAnsi="Arial" w:cs="Arial"/>
                <w:b/>
              </w:rPr>
              <w:t xml:space="preserve">182 UMA </w:t>
            </w:r>
          </w:p>
          <w:p w14:paraId="0BFB256E" w14:textId="77777777" w:rsidR="00D3344B" w:rsidRDefault="00D3344B">
            <w:pPr>
              <w:pStyle w:val="Sinespaciado"/>
              <w:widowControl w:val="0"/>
              <w:spacing w:line="276" w:lineRule="auto"/>
              <w:ind w:left="213"/>
              <w:jc w:val="both"/>
              <w:rPr>
                <w:rFonts w:ascii="Arial" w:hAnsi="Arial" w:cs="Arial"/>
                <w:i/>
                <w:sz w:val="16"/>
              </w:rPr>
            </w:pPr>
          </w:p>
        </w:tc>
      </w:tr>
      <w:tr w:rsidR="00D3344B" w14:paraId="02131905" w14:textId="77777777">
        <w:trPr>
          <w:cantSplit/>
          <w:trHeight w:val="511"/>
        </w:trPr>
        <w:tc>
          <w:tcPr>
            <w:tcW w:w="802" w:type="dxa"/>
          </w:tcPr>
          <w:p w14:paraId="3827265C" w14:textId="77777777" w:rsidR="00D3344B" w:rsidRDefault="00143C25">
            <w:pPr>
              <w:pStyle w:val="Sinespaciado"/>
              <w:widowControl w:val="0"/>
              <w:spacing w:line="276" w:lineRule="auto"/>
              <w:rPr>
                <w:rFonts w:ascii="Arial" w:hAnsi="Arial" w:cs="Arial"/>
              </w:rPr>
            </w:pPr>
            <w:r>
              <w:rPr>
                <w:rFonts w:ascii="Arial" w:hAnsi="Arial" w:cs="Arial"/>
              </w:rPr>
              <w:t>IX.</w:t>
            </w:r>
          </w:p>
        </w:tc>
        <w:tc>
          <w:tcPr>
            <w:tcW w:w="7195" w:type="dxa"/>
          </w:tcPr>
          <w:p w14:paraId="50F779CD"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Otras</w:t>
            </w:r>
            <w:proofErr w:type="spellEnd"/>
            <w:r>
              <w:rPr>
                <w:rFonts w:ascii="Arial" w:hAnsi="Arial" w:cs="Arial"/>
              </w:rPr>
              <w:t xml:space="preserve"> </w:t>
            </w:r>
            <w:proofErr w:type="spellStart"/>
            <w:r>
              <w:rPr>
                <w:rFonts w:ascii="Arial" w:hAnsi="Arial" w:cs="Arial"/>
              </w:rPr>
              <w:t>Modificaciones</w:t>
            </w:r>
            <w:proofErr w:type="spellEnd"/>
            <w:r>
              <w:rPr>
                <w:rFonts w:ascii="Arial" w:hAnsi="Arial" w:cs="Arial"/>
              </w:rPr>
              <w:t xml:space="preserve"> a la </w:t>
            </w:r>
            <w:proofErr w:type="spellStart"/>
            <w:r>
              <w:rPr>
                <w:rFonts w:ascii="Arial" w:hAnsi="Arial" w:cs="Arial"/>
              </w:rPr>
              <w:t>concesión</w:t>
            </w:r>
            <w:proofErr w:type="spellEnd"/>
            <w:r>
              <w:rPr>
                <w:rFonts w:ascii="Arial" w:hAnsi="Arial" w:cs="Arial"/>
              </w:rPr>
              <w:t>:</w:t>
            </w:r>
          </w:p>
        </w:tc>
        <w:tc>
          <w:tcPr>
            <w:tcW w:w="1975" w:type="dxa"/>
          </w:tcPr>
          <w:p w14:paraId="41089A45" w14:textId="77777777" w:rsidR="00D3344B" w:rsidRDefault="00D3344B">
            <w:pPr>
              <w:pStyle w:val="Sinespaciado"/>
              <w:widowControl w:val="0"/>
              <w:spacing w:line="276" w:lineRule="auto"/>
              <w:ind w:left="213"/>
              <w:jc w:val="both"/>
              <w:rPr>
                <w:rFonts w:ascii="Arial" w:hAnsi="Arial" w:cs="Arial"/>
              </w:rPr>
            </w:pPr>
          </w:p>
        </w:tc>
      </w:tr>
      <w:tr w:rsidR="00D3344B" w14:paraId="2E8291B2" w14:textId="77777777">
        <w:trPr>
          <w:cantSplit/>
          <w:trHeight w:val="432"/>
        </w:trPr>
        <w:tc>
          <w:tcPr>
            <w:tcW w:w="802" w:type="dxa"/>
          </w:tcPr>
          <w:p w14:paraId="31B38106" w14:textId="77777777" w:rsidR="00D3344B" w:rsidRDefault="00D3344B">
            <w:pPr>
              <w:pStyle w:val="Sinespaciado"/>
              <w:widowControl w:val="0"/>
              <w:spacing w:line="276" w:lineRule="auto"/>
              <w:rPr>
                <w:rFonts w:ascii="Arial" w:hAnsi="Arial" w:cs="Arial"/>
              </w:rPr>
            </w:pPr>
          </w:p>
        </w:tc>
        <w:tc>
          <w:tcPr>
            <w:tcW w:w="7195" w:type="dxa"/>
            <w:vAlign w:val="bottom"/>
          </w:tcPr>
          <w:p w14:paraId="4E69A377"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45B0E65F" w14:textId="77777777" w:rsidR="00D3344B" w:rsidRDefault="00D3344B">
            <w:pPr>
              <w:pStyle w:val="Sinespaciado"/>
              <w:widowControl w:val="0"/>
              <w:spacing w:line="276" w:lineRule="auto"/>
              <w:ind w:left="213"/>
              <w:jc w:val="both"/>
              <w:rPr>
                <w:rFonts w:ascii="Arial" w:hAnsi="Arial" w:cs="Arial"/>
              </w:rPr>
            </w:pPr>
          </w:p>
        </w:tc>
      </w:tr>
      <w:tr w:rsidR="00D3344B" w14:paraId="5EEB375E" w14:textId="77777777">
        <w:trPr>
          <w:cantSplit/>
          <w:trHeight w:val="835"/>
        </w:trPr>
        <w:tc>
          <w:tcPr>
            <w:tcW w:w="802" w:type="dxa"/>
          </w:tcPr>
          <w:p w14:paraId="621C2291" w14:textId="77777777" w:rsidR="00D3344B" w:rsidRDefault="00D3344B">
            <w:pPr>
              <w:pStyle w:val="Sinespaciado"/>
              <w:widowControl w:val="0"/>
              <w:spacing w:line="276" w:lineRule="auto"/>
              <w:rPr>
                <w:rFonts w:ascii="Arial" w:hAnsi="Arial" w:cs="Arial"/>
              </w:rPr>
            </w:pPr>
          </w:p>
        </w:tc>
        <w:tc>
          <w:tcPr>
            <w:tcW w:w="7195" w:type="dxa"/>
          </w:tcPr>
          <w:p w14:paraId="6C670AC3"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rPr>
              <w:t xml:space="preserve">a)  Cambio de </w:t>
            </w:r>
            <w:proofErr w:type="spellStart"/>
            <w:r>
              <w:rPr>
                <w:rFonts w:ascii="Arial" w:hAnsi="Arial" w:cs="Arial"/>
              </w:rPr>
              <w:t>ubicación</w:t>
            </w:r>
            <w:proofErr w:type="spellEnd"/>
            <w:r>
              <w:rPr>
                <w:rFonts w:ascii="Arial" w:hAnsi="Arial" w:cs="Arial"/>
              </w:rPr>
              <w:t xml:space="preserve"> o </w:t>
            </w:r>
            <w:proofErr w:type="spellStart"/>
            <w:r>
              <w:rPr>
                <w:rFonts w:ascii="Arial" w:hAnsi="Arial" w:cs="Arial"/>
              </w:rPr>
              <w:t>modificación</w:t>
            </w:r>
            <w:proofErr w:type="spellEnd"/>
            <w:r>
              <w:rPr>
                <w:rFonts w:ascii="Arial" w:hAnsi="Arial" w:cs="Arial"/>
              </w:rPr>
              <w:t xml:space="preserve"> de </w:t>
            </w:r>
            <w:proofErr w:type="spellStart"/>
            <w:r>
              <w:rPr>
                <w:rFonts w:ascii="Arial" w:hAnsi="Arial" w:cs="Arial"/>
              </w:rPr>
              <w:t>ruta</w:t>
            </w:r>
            <w:proofErr w:type="spellEnd"/>
            <w:r>
              <w:rPr>
                <w:rFonts w:ascii="Arial" w:hAnsi="Arial" w:cs="Arial"/>
              </w:rPr>
              <w:t xml:space="preserve">, </w:t>
            </w:r>
            <w:proofErr w:type="spellStart"/>
            <w:r>
              <w:rPr>
                <w:rFonts w:ascii="Arial" w:hAnsi="Arial" w:cs="Arial"/>
              </w:rPr>
              <w:t>incluyendo</w:t>
            </w:r>
            <w:proofErr w:type="spellEnd"/>
            <w:r>
              <w:rPr>
                <w:rFonts w:ascii="Arial" w:hAnsi="Arial" w:cs="Arial"/>
              </w:rPr>
              <w:t xml:space="preserve"> la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y </w:t>
            </w:r>
            <w:proofErr w:type="spellStart"/>
            <w:r>
              <w:rPr>
                <w:rFonts w:ascii="Arial" w:hAnsi="Arial" w:cs="Arial"/>
              </w:rPr>
              <w:t>tarjetón</w:t>
            </w:r>
            <w:proofErr w:type="spellEnd"/>
            <w:r>
              <w:rPr>
                <w:rFonts w:ascii="Arial" w:hAnsi="Arial" w:cs="Arial"/>
              </w:rPr>
              <w:t xml:space="preserve"> de sitio o </w:t>
            </w:r>
            <w:proofErr w:type="spellStart"/>
            <w:r>
              <w:rPr>
                <w:rFonts w:ascii="Arial" w:hAnsi="Arial" w:cs="Arial"/>
              </w:rPr>
              <w:t>ruta</w:t>
            </w:r>
            <w:proofErr w:type="spellEnd"/>
            <w:r>
              <w:rPr>
                <w:rFonts w:ascii="Arial" w:hAnsi="Arial" w:cs="Arial"/>
              </w:rPr>
              <w:t>.</w:t>
            </w:r>
          </w:p>
        </w:tc>
        <w:tc>
          <w:tcPr>
            <w:tcW w:w="1975" w:type="dxa"/>
          </w:tcPr>
          <w:p w14:paraId="4814BEDE" w14:textId="77777777" w:rsidR="00D3344B" w:rsidRDefault="00143C25">
            <w:pPr>
              <w:pStyle w:val="Sinespaciado"/>
              <w:widowControl w:val="0"/>
              <w:spacing w:line="276" w:lineRule="auto"/>
              <w:ind w:left="213"/>
              <w:jc w:val="both"/>
              <w:rPr>
                <w:rFonts w:ascii="Arial" w:hAnsi="Arial" w:cs="Arial"/>
                <w:b/>
              </w:rPr>
            </w:pPr>
            <w:r>
              <w:rPr>
                <w:rFonts w:ascii="Arial" w:hAnsi="Arial" w:cs="Arial"/>
                <w:b/>
              </w:rPr>
              <w:t>31 UMA</w:t>
            </w:r>
          </w:p>
        </w:tc>
      </w:tr>
      <w:tr w:rsidR="00D3344B" w14:paraId="466F703D" w14:textId="77777777">
        <w:trPr>
          <w:cantSplit/>
          <w:trHeight w:val="360"/>
        </w:trPr>
        <w:tc>
          <w:tcPr>
            <w:tcW w:w="802" w:type="dxa"/>
          </w:tcPr>
          <w:p w14:paraId="00B8007F" w14:textId="77777777" w:rsidR="00D3344B" w:rsidRDefault="00D3344B">
            <w:pPr>
              <w:pStyle w:val="Sinespaciado"/>
              <w:widowControl w:val="0"/>
              <w:spacing w:line="276" w:lineRule="auto"/>
              <w:rPr>
                <w:rFonts w:ascii="Arial" w:hAnsi="Arial" w:cs="Arial"/>
              </w:rPr>
            </w:pPr>
          </w:p>
        </w:tc>
        <w:tc>
          <w:tcPr>
            <w:tcW w:w="7195" w:type="dxa"/>
            <w:vAlign w:val="bottom"/>
          </w:tcPr>
          <w:p w14:paraId="2DF7B878"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136C8D25" w14:textId="77777777" w:rsidR="00D3344B" w:rsidRDefault="00D3344B">
            <w:pPr>
              <w:pStyle w:val="Sinespaciado"/>
              <w:widowControl w:val="0"/>
              <w:spacing w:line="276" w:lineRule="auto"/>
              <w:ind w:left="213"/>
              <w:jc w:val="both"/>
              <w:rPr>
                <w:rFonts w:ascii="Arial" w:hAnsi="Arial" w:cs="Arial"/>
              </w:rPr>
            </w:pPr>
          </w:p>
        </w:tc>
      </w:tr>
      <w:tr w:rsidR="00D3344B" w14:paraId="16EB524A" w14:textId="77777777">
        <w:trPr>
          <w:cantSplit/>
          <w:trHeight w:val="511"/>
        </w:trPr>
        <w:tc>
          <w:tcPr>
            <w:tcW w:w="802" w:type="dxa"/>
          </w:tcPr>
          <w:p w14:paraId="3C31A14D" w14:textId="77777777" w:rsidR="00D3344B" w:rsidRDefault="00D3344B">
            <w:pPr>
              <w:pStyle w:val="Sinespaciado"/>
              <w:widowControl w:val="0"/>
              <w:spacing w:line="276" w:lineRule="auto"/>
              <w:rPr>
                <w:rFonts w:ascii="Arial" w:hAnsi="Arial" w:cs="Arial"/>
              </w:rPr>
            </w:pPr>
          </w:p>
        </w:tc>
        <w:tc>
          <w:tcPr>
            <w:tcW w:w="7195" w:type="dxa"/>
          </w:tcPr>
          <w:p w14:paraId="5705CD8E" w14:textId="77777777" w:rsidR="00D3344B" w:rsidRDefault="00143C25">
            <w:pPr>
              <w:pStyle w:val="Sinespaciado"/>
              <w:widowControl w:val="0"/>
              <w:spacing w:line="276" w:lineRule="auto"/>
              <w:ind w:left="494" w:hanging="494"/>
              <w:jc w:val="both"/>
              <w:rPr>
                <w:rFonts w:ascii="Arial" w:hAnsi="Arial" w:cs="Arial"/>
                <w:i/>
                <w:sz w:val="16"/>
                <w:szCs w:val="16"/>
              </w:rPr>
            </w:pPr>
            <w:r>
              <w:rPr>
                <w:rFonts w:ascii="Arial" w:hAnsi="Arial" w:cs="Arial"/>
              </w:rPr>
              <w:t xml:space="preserve">b) Cambio de </w:t>
            </w:r>
            <w:proofErr w:type="spellStart"/>
            <w:r>
              <w:rPr>
                <w:rFonts w:ascii="Arial" w:hAnsi="Arial" w:cs="Arial"/>
              </w:rPr>
              <w:t>modalidad</w:t>
            </w:r>
            <w:proofErr w:type="spellEnd"/>
            <w:r>
              <w:rPr>
                <w:rFonts w:ascii="Arial" w:hAnsi="Arial" w:cs="Arial"/>
              </w:rPr>
              <w:t xml:space="preserve"> a la </w:t>
            </w:r>
            <w:proofErr w:type="spellStart"/>
            <w:r>
              <w:rPr>
                <w:rFonts w:ascii="Arial" w:hAnsi="Arial" w:cs="Arial"/>
              </w:rPr>
              <w:t>originalmente</w:t>
            </w:r>
            <w:proofErr w:type="spellEnd"/>
            <w:r>
              <w:rPr>
                <w:rFonts w:ascii="Arial" w:hAnsi="Arial" w:cs="Arial"/>
              </w:rPr>
              <w:t xml:space="preserve"> </w:t>
            </w:r>
            <w:proofErr w:type="spellStart"/>
            <w:r>
              <w:rPr>
                <w:rFonts w:ascii="Arial" w:hAnsi="Arial" w:cs="Arial"/>
              </w:rPr>
              <w:t>concesionada</w:t>
            </w:r>
            <w:proofErr w:type="spellEnd"/>
            <w:r>
              <w:rPr>
                <w:rFonts w:ascii="Arial" w:hAnsi="Arial" w:cs="Arial"/>
              </w:rPr>
              <w:t>.</w:t>
            </w:r>
          </w:p>
        </w:tc>
        <w:tc>
          <w:tcPr>
            <w:tcW w:w="1975" w:type="dxa"/>
          </w:tcPr>
          <w:p w14:paraId="14AB9E79" w14:textId="77777777" w:rsidR="00D3344B" w:rsidRDefault="00143C25">
            <w:pPr>
              <w:pStyle w:val="Sinespaciado"/>
              <w:widowControl w:val="0"/>
              <w:spacing w:line="276" w:lineRule="auto"/>
              <w:ind w:left="213"/>
              <w:jc w:val="both"/>
              <w:rPr>
                <w:rFonts w:ascii="Arial" w:hAnsi="Arial" w:cs="Arial"/>
                <w:b/>
              </w:rPr>
            </w:pPr>
            <w:r>
              <w:rPr>
                <w:rFonts w:ascii="Arial" w:hAnsi="Arial" w:cs="Arial"/>
                <w:b/>
              </w:rPr>
              <w:t>31 UMA</w:t>
            </w:r>
          </w:p>
        </w:tc>
      </w:tr>
      <w:tr w:rsidR="00D3344B" w14:paraId="6E4A14DC" w14:textId="77777777">
        <w:trPr>
          <w:cantSplit/>
          <w:trHeight w:val="414"/>
        </w:trPr>
        <w:tc>
          <w:tcPr>
            <w:tcW w:w="802" w:type="dxa"/>
          </w:tcPr>
          <w:p w14:paraId="5CC09B8D" w14:textId="77777777" w:rsidR="00D3344B" w:rsidRDefault="00D3344B">
            <w:pPr>
              <w:pStyle w:val="Sinespaciado"/>
              <w:widowControl w:val="0"/>
              <w:spacing w:line="276" w:lineRule="auto"/>
              <w:rPr>
                <w:rFonts w:ascii="Arial" w:hAnsi="Arial" w:cs="Arial"/>
              </w:rPr>
            </w:pPr>
          </w:p>
        </w:tc>
        <w:tc>
          <w:tcPr>
            <w:tcW w:w="7195" w:type="dxa"/>
            <w:vAlign w:val="bottom"/>
          </w:tcPr>
          <w:p w14:paraId="641C52AD"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2D9CAA9D" w14:textId="77777777" w:rsidR="00D3344B" w:rsidRDefault="00D3344B">
            <w:pPr>
              <w:pStyle w:val="Sinespaciado"/>
              <w:widowControl w:val="0"/>
              <w:spacing w:line="276" w:lineRule="auto"/>
              <w:ind w:left="213"/>
              <w:jc w:val="both"/>
              <w:rPr>
                <w:rFonts w:ascii="Arial" w:hAnsi="Arial" w:cs="Arial"/>
              </w:rPr>
            </w:pPr>
          </w:p>
        </w:tc>
      </w:tr>
      <w:tr w:rsidR="00D3344B" w14:paraId="61ABFF76" w14:textId="77777777">
        <w:trPr>
          <w:cantSplit/>
          <w:trHeight w:val="562"/>
        </w:trPr>
        <w:tc>
          <w:tcPr>
            <w:tcW w:w="802" w:type="dxa"/>
          </w:tcPr>
          <w:p w14:paraId="2B0F353B" w14:textId="77777777" w:rsidR="00D3344B" w:rsidRDefault="00D3344B">
            <w:pPr>
              <w:pStyle w:val="Sinespaciado"/>
              <w:widowControl w:val="0"/>
              <w:spacing w:line="276" w:lineRule="auto"/>
              <w:rPr>
                <w:rFonts w:ascii="Arial" w:hAnsi="Arial" w:cs="Arial"/>
              </w:rPr>
            </w:pPr>
          </w:p>
        </w:tc>
        <w:tc>
          <w:tcPr>
            <w:tcW w:w="7195" w:type="dxa"/>
          </w:tcPr>
          <w:p w14:paraId="0179F546"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c)    Baja de </w:t>
            </w:r>
            <w:proofErr w:type="spellStart"/>
            <w:r>
              <w:rPr>
                <w:rFonts w:ascii="Arial" w:hAnsi="Arial" w:cs="Arial"/>
              </w:rPr>
              <w:t>vehículos</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w:t>
            </w:r>
          </w:p>
        </w:tc>
        <w:tc>
          <w:tcPr>
            <w:tcW w:w="1975" w:type="dxa"/>
          </w:tcPr>
          <w:p w14:paraId="3EC333EE"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3FCC865C" w14:textId="77777777">
        <w:trPr>
          <w:cantSplit/>
          <w:trHeight w:val="430"/>
        </w:trPr>
        <w:tc>
          <w:tcPr>
            <w:tcW w:w="802" w:type="dxa"/>
          </w:tcPr>
          <w:p w14:paraId="1E743A8B" w14:textId="77777777" w:rsidR="00D3344B" w:rsidRDefault="00D3344B">
            <w:pPr>
              <w:pStyle w:val="Sinespaciado"/>
              <w:widowControl w:val="0"/>
              <w:spacing w:line="276" w:lineRule="auto"/>
              <w:rPr>
                <w:rFonts w:ascii="Arial" w:hAnsi="Arial" w:cs="Arial"/>
              </w:rPr>
            </w:pPr>
          </w:p>
        </w:tc>
        <w:tc>
          <w:tcPr>
            <w:tcW w:w="7195" w:type="dxa"/>
            <w:vAlign w:val="bottom"/>
          </w:tcPr>
          <w:p w14:paraId="6BF6B6D1"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72D06556" w14:textId="77777777" w:rsidR="00D3344B" w:rsidRDefault="00D3344B">
            <w:pPr>
              <w:pStyle w:val="Sinespaciado"/>
              <w:widowControl w:val="0"/>
              <w:spacing w:line="276" w:lineRule="auto"/>
              <w:ind w:left="213"/>
              <w:jc w:val="both"/>
              <w:rPr>
                <w:rFonts w:ascii="Arial" w:hAnsi="Arial" w:cs="Arial"/>
              </w:rPr>
            </w:pPr>
          </w:p>
        </w:tc>
      </w:tr>
      <w:tr w:rsidR="00D3344B" w14:paraId="228184AD" w14:textId="77777777">
        <w:trPr>
          <w:cantSplit/>
          <w:trHeight w:val="430"/>
        </w:trPr>
        <w:tc>
          <w:tcPr>
            <w:tcW w:w="802" w:type="dxa"/>
          </w:tcPr>
          <w:p w14:paraId="244B437A" w14:textId="77777777" w:rsidR="00D3344B" w:rsidRDefault="00D3344B">
            <w:pPr>
              <w:pStyle w:val="Sinespaciado"/>
              <w:widowControl w:val="0"/>
              <w:spacing w:line="276" w:lineRule="auto"/>
              <w:rPr>
                <w:rFonts w:ascii="Arial" w:hAnsi="Arial" w:cs="Arial"/>
              </w:rPr>
            </w:pPr>
          </w:p>
        </w:tc>
        <w:tc>
          <w:tcPr>
            <w:tcW w:w="7195" w:type="dxa"/>
            <w:vAlign w:val="bottom"/>
          </w:tcPr>
          <w:p w14:paraId="766860CE" w14:textId="77777777" w:rsidR="00D3344B" w:rsidRDefault="00143C25">
            <w:pPr>
              <w:pStyle w:val="Sinespaciado"/>
              <w:widowControl w:val="0"/>
              <w:spacing w:line="276" w:lineRule="auto"/>
              <w:ind w:left="494" w:hanging="494"/>
              <w:rPr>
                <w:rFonts w:ascii="Arial" w:hAnsi="Arial" w:cs="Arial"/>
                <w:i/>
                <w:sz w:val="16"/>
              </w:rPr>
            </w:pPr>
            <w:r>
              <w:rPr>
                <w:rFonts w:ascii="Arial" w:hAnsi="Arial" w:cs="Arial"/>
              </w:rPr>
              <w:t xml:space="preserve">d)    Baja de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provenientes</w:t>
            </w:r>
            <w:proofErr w:type="spellEnd"/>
            <w:r>
              <w:rPr>
                <w:rFonts w:ascii="Arial" w:hAnsi="Arial" w:cs="Arial"/>
              </w:rPr>
              <w:t xml:space="preserve"> de </w:t>
            </w:r>
            <w:proofErr w:type="spellStart"/>
            <w:r>
              <w:rPr>
                <w:rFonts w:ascii="Arial" w:hAnsi="Arial" w:cs="Arial"/>
              </w:rPr>
              <w:t>otros</w:t>
            </w:r>
            <w:proofErr w:type="spellEnd"/>
            <w:r>
              <w:rPr>
                <w:rFonts w:ascii="Arial" w:hAnsi="Arial" w:cs="Arial"/>
              </w:rPr>
              <w:t xml:space="preserve"> </w:t>
            </w:r>
            <w:proofErr w:type="spellStart"/>
            <w:r>
              <w:rPr>
                <w:rFonts w:ascii="Arial" w:hAnsi="Arial" w:cs="Arial"/>
              </w:rPr>
              <w:t>Estados</w:t>
            </w:r>
            <w:proofErr w:type="spellEnd"/>
            <w:r>
              <w:rPr>
                <w:rFonts w:ascii="Arial" w:hAnsi="Arial" w:cs="Arial"/>
              </w:rPr>
              <w:t xml:space="preserve"> de la República, </w:t>
            </w:r>
            <w:proofErr w:type="spellStart"/>
            <w:r>
              <w:rPr>
                <w:rFonts w:ascii="Arial" w:hAnsi="Arial" w:cs="Arial"/>
              </w:rPr>
              <w:t>destinados</w:t>
            </w:r>
            <w:proofErr w:type="spellEnd"/>
            <w:r>
              <w:rPr>
                <w:rFonts w:ascii="Arial" w:hAnsi="Arial" w:cs="Arial"/>
              </w:rPr>
              <w:t xml:space="preserve"> al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w:t>
            </w:r>
          </w:p>
        </w:tc>
        <w:tc>
          <w:tcPr>
            <w:tcW w:w="1975" w:type="dxa"/>
          </w:tcPr>
          <w:p w14:paraId="1D56B59A"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020E126D" w14:textId="77777777">
        <w:trPr>
          <w:cantSplit/>
          <w:trHeight w:val="430"/>
        </w:trPr>
        <w:tc>
          <w:tcPr>
            <w:tcW w:w="802" w:type="dxa"/>
          </w:tcPr>
          <w:p w14:paraId="5DCBAF5F" w14:textId="77777777" w:rsidR="00D3344B" w:rsidRDefault="00D3344B">
            <w:pPr>
              <w:pStyle w:val="Sinespaciado"/>
              <w:widowControl w:val="0"/>
              <w:spacing w:line="276" w:lineRule="auto"/>
              <w:rPr>
                <w:rFonts w:ascii="Arial" w:hAnsi="Arial" w:cs="Arial"/>
              </w:rPr>
            </w:pPr>
          </w:p>
        </w:tc>
        <w:tc>
          <w:tcPr>
            <w:tcW w:w="7195" w:type="dxa"/>
            <w:vAlign w:val="bottom"/>
          </w:tcPr>
          <w:p w14:paraId="6A13B723" w14:textId="77777777" w:rsidR="00D3344B" w:rsidRDefault="00143C25">
            <w:pPr>
              <w:pStyle w:val="Sinespaciado"/>
              <w:widowControl w:val="0"/>
              <w:spacing w:line="276" w:lineRule="auto"/>
              <w:rPr>
                <w:rFonts w:ascii="Arial" w:hAnsi="Arial" w:cs="Arial"/>
                <w:i/>
                <w:sz w:val="16"/>
              </w:rPr>
            </w:pPr>
            <w:r>
              <w:rPr>
                <w:rFonts w:ascii="Arial" w:hAnsi="Arial" w:cs="Arial"/>
                <w:i/>
                <w:sz w:val="16"/>
                <w:szCs w:val="16"/>
              </w:rPr>
              <w:t>(REFORMADO, P.O. 21 DE JUNIO DE 2021)</w:t>
            </w:r>
          </w:p>
        </w:tc>
        <w:tc>
          <w:tcPr>
            <w:tcW w:w="1975" w:type="dxa"/>
          </w:tcPr>
          <w:p w14:paraId="11659B93" w14:textId="77777777" w:rsidR="00D3344B" w:rsidRDefault="00D3344B">
            <w:pPr>
              <w:pStyle w:val="Sinespaciado"/>
              <w:widowControl w:val="0"/>
              <w:spacing w:line="276" w:lineRule="auto"/>
              <w:ind w:left="213"/>
              <w:jc w:val="both"/>
              <w:rPr>
                <w:rFonts w:ascii="Arial" w:hAnsi="Arial" w:cs="Arial"/>
              </w:rPr>
            </w:pPr>
          </w:p>
        </w:tc>
      </w:tr>
      <w:tr w:rsidR="00D3344B" w14:paraId="2F7646C1" w14:textId="77777777">
        <w:trPr>
          <w:cantSplit/>
          <w:trHeight w:val="430"/>
        </w:trPr>
        <w:tc>
          <w:tcPr>
            <w:tcW w:w="802" w:type="dxa"/>
          </w:tcPr>
          <w:p w14:paraId="70E57FAA" w14:textId="77777777" w:rsidR="00D3344B" w:rsidRDefault="00D3344B">
            <w:pPr>
              <w:pStyle w:val="Sinespaciado"/>
              <w:widowControl w:val="0"/>
              <w:spacing w:line="276" w:lineRule="auto"/>
              <w:rPr>
                <w:rFonts w:ascii="Arial" w:hAnsi="Arial" w:cs="Arial"/>
              </w:rPr>
            </w:pPr>
          </w:p>
        </w:tc>
        <w:tc>
          <w:tcPr>
            <w:tcW w:w="7195" w:type="dxa"/>
          </w:tcPr>
          <w:p w14:paraId="2F5F9313" w14:textId="77777777" w:rsidR="00D3344B" w:rsidRDefault="00143C25">
            <w:pPr>
              <w:pStyle w:val="Sinespaciado"/>
              <w:widowControl w:val="0"/>
              <w:spacing w:line="276" w:lineRule="auto"/>
              <w:ind w:left="494" w:hanging="494"/>
              <w:rPr>
                <w:rFonts w:ascii="Arial" w:hAnsi="Arial" w:cs="Arial"/>
                <w:i/>
                <w:sz w:val="16"/>
              </w:rPr>
            </w:pPr>
            <w:r>
              <w:rPr>
                <w:rFonts w:ascii="Arial" w:hAnsi="Arial" w:cs="Arial"/>
              </w:rPr>
              <w:t xml:space="preserve">e)     </w:t>
            </w:r>
            <w:proofErr w:type="spellStart"/>
            <w:r>
              <w:rPr>
                <w:rFonts w:ascii="Arial" w:hAnsi="Arial" w:cs="Arial"/>
              </w:rPr>
              <w:t>Ampliación</w:t>
            </w:r>
            <w:proofErr w:type="spellEnd"/>
            <w:r>
              <w:rPr>
                <w:rFonts w:ascii="Arial" w:hAnsi="Arial" w:cs="Arial"/>
              </w:rPr>
              <w:t xml:space="preserve"> de </w:t>
            </w:r>
            <w:proofErr w:type="spellStart"/>
            <w:r>
              <w:rPr>
                <w:rFonts w:ascii="Arial" w:hAnsi="Arial" w:cs="Arial"/>
              </w:rPr>
              <w:t>ruta</w:t>
            </w:r>
            <w:proofErr w:type="spellEnd"/>
            <w:r>
              <w:rPr>
                <w:rFonts w:ascii="Arial" w:hAnsi="Arial" w:cs="Arial"/>
              </w:rPr>
              <w:t>.</w:t>
            </w:r>
          </w:p>
        </w:tc>
        <w:tc>
          <w:tcPr>
            <w:tcW w:w="1975" w:type="dxa"/>
          </w:tcPr>
          <w:p w14:paraId="009A031E" w14:textId="77777777" w:rsidR="00D3344B" w:rsidRDefault="00143C25">
            <w:pPr>
              <w:pStyle w:val="Sinespaciado"/>
              <w:widowControl w:val="0"/>
              <w:spacing w:line="276" w:lineRule="auto"/>
              <w:ind w:left="213"/>
              <w:rPr>
                <w:rFonts w:ascii="Arial" w:hAnsi="Arial" w:cs="Arial"/>
              </w:rPr>
            </w:pPr>
            <w:r>
              <w:rPr>
                <w:rFonts w:ascii="Arial" w:hAnsi="Arial" w:cs="Arial"/>
                <w:b/>
              </w:rPr>
              <w:t>31 UMA</w:t>
            </w:r>
          </w:p>
        </w:tc>
      </w:tr>
      <w:tr w:rsidR="00D3344B" w14:paraId="08241F56" w14:textId="77777777">
        <w:trPr>
          <w:cantSplit/>
          <w:trHeight w:val="430"/>
        </w:trPr>
        <w:tc>
          <w:tcPr>
            <w:tcW w:w="802" w:type="dxa"/>
          </w:tcPr>
          <w:p w14:paraId="67851E13" w14:textId="77777777" w:rsidR="00D3344B" w:rsidRDefault="00D3344B">
            <w:pPr>
              <w:pStyle w:val="Sinespaciado"/>
              <w:widowControl w:val="0"/>
              <w:spacing w:line="276" w:lineRule="auto"/>
              <w:rPr>
                <w:rFonts w:ascii="Arial" w:hAnsi="Arial" w:cs="Arial"/>
              </w:rPr>
            </w:pPr>
          </w:p>
        </w:tc>
        <w:tc>
          <w:tcPr>
            <w:tcW w:w="7195" w:type="dxa"/>
            <w:vAlign w:val="bottom"/>
          </w:tcPr>
          <w:p w14:paraId="78DF9A93" w14:textId="77777777" w:rsidR="00D3344B" w:rsidRDefault="00143C25">
            <w:pPr>
              <w:pStyle w:val="Sinespaciado"/>
              <w:widowControl w:val="0"/>
              <w:spacing w:line="276" w:lineRule="auto"/>
              <w:rPr>
                <w:rFonts w:ascii="Arial" w:hAnsi="Arial" w:cs="Arial"/>
              </w:rPr>
            </w:pPr>
            <w:r>
              <w:rPr>
                <w:rFonts w:ascii="Arial" w:hAnsi="Arial" w:cs="Arial"/>
                <w:i/>
                <w:sz w:val="16"/>
              </w:rPr>
              <w:t>N. DE E. EN RELACIÓN CON LA ENTRADA EN VIGOR DEL PRESENTE INCISO, VÉASE ARTICULO ÚNICO TRANSITORIO DEL DECRETO QUE MODIFICA EL CÓDIGO.</w:t>
            </w:r>
          </w:p>
          <w:p w14:paraId="3539EF7E" w14:textId="77777777" w:rsidR="00D3344B" w:rsidRDefault="00143C25">
            <w:pPr>
              <w:pStyle w:val="Sinespaciado"/>
              <w:widowControl w:val="0"/>
              <w:spacing w:line="276" w:lineRule="auto"/>
              <w:rPr>
                <w:rFonts w:ascii="Arial" w:hAnsi="Arial" w:cs="Arial"/>
              </w:rPr>
            </w:pPr>
            <w:r>
              <w:rPr>
                <w:rFonts w:ascii="Arial" w:hAnsi="Arial" w:cs="Arial"/>
                <w:i/>
                <w:sz w:val="16"/>
              </w:rPr>
              <w:t>(REFORMADA, P.O. 23 DE DICIEMBRE DE 2008)</w:t>
            </w:r>
          </w:p>
        </w:tc>
        <w:tc>
          <w:tcPr>
            <w:tcW w:w="1975" w:type="dxa"/>
          </w:tcPr>
          <w:p w14:paraId="0AA57271" w14:textId="77777777" w:rsidR="00D3344B" w:rsidRDefault="00D3344B">
            <w:pPr>
              <w:pStyle w:val="Sinespaciado"/>
              <w:widowControl w:val="0"/>
              <w:spacing w:line="276" w:lineRule="auto"/>
              <w:ind w:left="213"/>
              <w:jc w:val="both"/>
              <w:rPr>
                <w:rFonts w:ascii="Arial" w:hAnsi="Arial" w:cs="Arial"/>
              </w:rPr>
            </w:pPr>
          </w:p>
        </w:tc>
      </w:tr>
      <w:tr w:rsidR="00D3344B" w14:paraId="42E0039B" w14:textId="77777777">
        <w:trPr>
          <w:cantSplit/>
          <w:trHeight w:val="430"/>
        </w:trPr>
        <w:tc>
          <w:tcPr>
            <w:tcW w:w="802" w:type="dxa"/>
          </w:tcPr>
          <w:p w14:paraId="6CD2E840" w14:textId="77777777" w:rsidR="00D3344B" w:rsidRDefault="00143C25">
            <w:pPr>
              <w:pStyle w:val="Sinespaciado"/>
              <w:widowControl w:val="0"/>
              <w:spacing w:line="276" w:lineRule="auto"/>
              <w:rPr>
                <w:rFonts w:ascii="Arial" w:hAnsi="Arial" w:cs="Arial"/>
              </w:rPr>
            </w:pPr>
            <w:r>
              <w:rPr>
                <w:rFonts w:ascii="Arial" w:hAnsi="Arial" w:cs="Arial"/>
              </w:rPr>
              <w:t>X.</w:t>
            </w:r>
          </w:p>
        </w:tc>
        <w:tc>
          <w:tcPr>
            <w:tcW w:w="7195" w:type="dxa"/>
          </w:tcPr>
          <w:p w14:paraId="7224E06C" w14:textId="77777777" w:rsidR="00D3344B" w:rsidRDefault="00143C25">
            <w:pPr>
              <w:pStyle w:val="Sinespaciado"/>
              <w:widowControl w:val="0"/>
              <w:spacing w:line="276" w:lineRule="auto"/>
              <w:rPr>
                <w:rFonts w:ascii="Arial" w:hAnsi="Arial" w:cs="Arial"/>
              </w:rPr>
            </w:pPr>
            <w:proofErr w:type="spellStart"/>
            <w:r>
              <w:rPr>
                <w:rFonts w:ascii="Arial" w:hAnsi="Arial" w:cs="Arial"/>
              </w:rPr>
              <w:t>Canje</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autorizadas</w:t>
            </w:r>
            <w:proofErr w:type="spellEnd"/>
            <w:r>
              <w:rPr>
                <w:rFonts w:ascii="Arial" w:hAnsi="Arial" w:cs="Arial"/>
              </w:rPr>
              <w:t xml:space="preserve"> para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w:t>
            </w:r>
          </w:p>
        </w:tc>
        <w:tc>
          <w:tcPr>
            <w:tcW w:w="1975" w:type="dxa"/>
          </w:tcPr>
          <w:p w14:paraId="0BC29522" w14:textId="77777777" w:rsidR="00D3344B" w:rsidRDefault="00D3344B">
            <w:pPr>
              <w:pStyle w:val="Sinespaciado"/>
              <w:widowControl w:val="0"/>
              <w:spacing w:line="276" w:lineRule="auto"/>
              <w:ind w:left="213"/>
              <w:jc w:val="both"/>
              <w:rPr>
                <w:rFonts w:ascii="Arial" w:hAnsi="Arial" w:cs="Arial"/>
              </w:rPr>
            </w:pPr>
          </w:p>
        </w:tc>
      </w:tr>
      <w:tr w:rsidR="00D3344B" w14:paraId="14EDB3F4" w14:textId="77777777">
        <w:trPr>
          <w:cantSplit/>
          <w:trHeight w:val="427"/>
        </w:trPr>
        <w:tc>
          <w:tcPr>
            <w:tcW w:w="802" w:type="dxa"/>
          </w:tcPr>
          <w:p w14:paraId="26F72B60" w14:textId="77777777" w:rsidR="00D3344B" w:rsidRDefault="00D3344B">
            <w:pPr>
              <w:pStyle w:val="Sinespaciado"/>
              <w:widowControl w:val="0"/>
              <w:spacing w:line="276" w:lineRule="auto"/>
              <w:rPr>
                <w:rFonts w:ascii="Arial" w:hAnsi="Arial" w:cs="Arial"/>
              </w:rPr>
            </w:pPr>
          </w:p>
        </w:tc>
        <w:tc>
          <w:tcPr>
            <w:tcW w:w="7195" w:type="dxa"/>
          </w:tcPr>
          <w:p w14:paraId="7347C216"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a) </w:t>
            </w:r>
            <w:proofErr w:type="spellStart"/>
            <w:r>
              <w:rPr>
                <w:rFonts w:ascii="Arial" w:hAnsi="Arial" w:cs="Arial"/>
              </w:rPr>
              <w:t>Canje</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w:t>
            </w:r>
          </w:p>
        </w:tc>
        <w:tc>
          <w:tcPr>
            <w:tcW w:w="1975" w:type="dxa"/>
          </w:tcPr>
          <w:p w14:paraId="22EDB962" w14:textId="77777777" w:rsidR="00D3344B" w:rsidRDefault="00D3344B">
            <w:pPr>
              <w:pStyle w:val="Sinespaciado"/>
              <w:widowControl w:val="0"/>
              <w:spacing w:line="276" w:lineRule="auto"/>
              <w:ind w:left="213"/>
              <w:jc w:val="both"/>
              <w:rPr>
                <w:rFonts w:ascii="Arial" w:hAnsi="Arial" w:cs="Arial"/>
              </w:rPr>
            </w:pPr>
          </w:p>
        </w:tc>
      </w:tr>
      <w:tr w:rsidR="00D3344B" w14:paraId="5CB95829" w14:textId="77777777">
        <w:trPr>
          <w:cantSplit/>
          <w:trHeight w:val="427"/>
        </w:trPr>
        <w:tc>
          <w:tcPr>
            <w:tcW w:w="802" w:type="dxa"/>
          </w:tcPr>
          <w:p w14:paraId="7E1D58D3" w14:textId="77777777" w:rsidR="00D3344B" w:rsidRDefault="00D3344B">
            <w:pPr>
              <w:pStyle w:val="Sinespaciado"/>
              <w:widowControl w:val="0"/>
              <w:spacing w:line="276" w:lineRule="auto"/>
              <w:rPr>
                <w:rFonts w:ascii="Arial" w:hAnsi="Arial" w:cs="Arial"/>
              </w:rPr>
            </w:pPr>
          </w:p>
        </w:tc>
        <w:tc>
          <w:tcPr>
            <w:tcW w:w="7195" w:type="dxa"/>
          </w:tcPr>
          <w:p w14:paraId="46E597E7" w14:textId="77777777" w:rsidR="00D3344B" w:rsidRDefault="00143C25">
            <w:pPr>
              <w:pStyle w:val="Sinespaciado"/>
              <w:widowControl w:val="0"/>
              <w:spacing w:line="276" w:lineRule="auto"/>
              <w:jc w:val="both"/>
              <w:rPr>
                <w:rFonts w:ascii="Arial" w:hAnsi="Arial" w:cs="Arial"/>
              </w:rPr>
            </w:pPr>
            <w:r>
              <w:rPr>
                <w:rFonts w:ascii="Arial" w:hAnsi="Arial" w:cs="Arial"/>
                <w:i/>
                <w:sz w:val="16"/>
                <w:szCs w:val="16"/>
              </w:rPr>
              <w:t>(REFORMADO, P.O. 21 DE JUNIO DE 2021)</w:t>
            </w:r>
          </w:p>
        </w:tc>
        <w:tc>
          <w:tcPr>
            <w:tcW w:w="1975" w:type="dxa"/>
          </w:tcPr>
          <w:p w14:paraId="71015F7E" w14:textId="77777777" w:rsidR="00D3344B" w:rsidRDefault="00D3344B">
            <w:pPr>
              <w:pStyle w:val="Sinespaciado"/>
              <w:widowControl w:val="0"/>
              <w:spacing w:line="276" w:lineRule="auto"/>
              <w:ind w:left="213"/>
              <w:jc w:val="both"/>
              <w:rPr>
                <w:rFonts w:ascii="Arial" w:hAnsi="Arial" w:cs="Arial"/>
              </w:rPr>
            </w:pPr>
          </w:p>
        </w:tc>
      </w:tr>
      <w:tr w:rsidR="00D3344B" w14:paraId="0A2078B4" w14:textId="77777777">
        <w:trPr>
          <w:cantSplit/>
          <w:trHeight w:val="704"/>
        </w:trPr>
        <w:tc>
          <w:tcPr>
            <w:tcW w:w="802" w:type="dxa"/>
          </w:tcPr>
          <w:p w14:paraId="4D78129B" w14:textId="77777777" w:rsidR="00D3344B" w:rsidRDefault="00D3344B">
            <w:pPr>
              <w:pStyle w:val="Sinespaciado"/>
              <w:widowControl w:val="0"/>
              <w:spacing w:line="276" w:lineRule="auto"/>
              <w:rPr>
                <w:rFonts w:ascii="Arial" w:hAnsi="Arial" w:cs="Arial"/>
              </w:rPr>
            </w:pPr>
          </w:p>
        </w:tc>
        <w:tc>
          <w:tcPr>
            <w:tcW w:w="7195" w:type="dxa"/>
          </w:tcPr>
          <w:p w14:paraId="126EABDD"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1. </w:t>
            </w:r>
            <w:proofErr w:type="spellStart"/>
            <w:r>
              <w:rPr>
                <w:rFonts w:ascii="Arial" w:hAnsi="Arial" w:cs="Arial"/>
              </w:rPr>
              <w:t>Servicio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y de </w:t>
            </w:r>
            <w:proofErr w:type="spellStart"/>
            <w:r>
              <w:rPr>
                <w:rFonts w:ascii="Arial" w:hAnsi="Arial" w:cs="Arial"/>
              </w:rPr>
              <w:t>grúas</w:t>
            </w:r>
            <w:proofErr w:type="spellEnd"/>
          </w:p>
        </w:tc>
        <w:tc>
          <w:tcPr>
            <w:tcW w:w="1975" w:type="dxa"/>
          </w:tcPr>
          <w:p w14:paraId="3AC3F1CF"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12 UMA</w:t>
            </w:r>
          </w:p>
        </w:tc>
      </w:tr>
      <w:tr w:rsidR="00D3344B" w14:paraId="46B2B639" w14:textId="77777777">
        <w:trPr>
          <w:cantSplit/>
          <w:trHeight w:val="401"/>
        </w:trPr>
        <w:tc>
          <w:tcPr>
            <w:tcW w:w="802" w:type="dxa"/>
            <w:vAlign w:val="bottom"/>
          </w:tcPr>
          <w:p w14:paraId="1AC35774" w14:textId="77777777" w:rsidR="00D3344B" w:rsidRDefault="00D3344B">
            <w:pPr>
              <w:pStyle w:val="Sinespaciado"/>
              <w:widowControl w:val="0"/>
              <w:spacing w:line="276" w:lineRule="auto"/>
              <w:rPr>
                <w:rFonts w:ascii="Arial" w:hAnsi="Arial" w:cs="Arial"/>
              </w:rPr>
            </w:pPr>
          </w:p>
        </w:tc>
        <w:tc>
          <w:tcPr>
            <w:tcW w:w="7195" w:type="dxa"/>
            <w:vAlign w:val="bottom"/>
          </w:tcPr>
          <w:p w14:paraId="52FEAA3F"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vAlign w:val="bottom"/>
          </w:tcPr>
          <w:p w14:paraId="0ED61A11" w14:textId="77777777" w:rsidR="00D3344B" w:rsidRDefault="00D3344B">
            <w:pPr>
              <w:pStyle w:val="Sinespaciado"/>
              <w:widowControl w:val="0"/>
              <w:spacing w:line="276" w:lineRule="auto"/>
              <w:ind w:left="213"/>
              <w:rPr>
                <w:rFonts w:ascii="Arial" w:hAnsi="Arial" w:cs="Arial"/>
                <w:b/>
              </w:rPr>
            </w:pPr>
          </w:p>
        </w:tc>
      </w:tr>
      <w:tr w:rsidR="00D3344B" w14:paraId="0264DA8D" w14:textId="77777777">
        <w:trPr>
          <w:cantSplit/>
          <w:trHeight w:val="711"/>
        </w:trPr>
        <w:tc>
          <w:tcPr>
            <w:tcW w:w="802" w:type="dxa"/>
          </w:tcPr>
          <w:p w14:paraId="51057D73" w14:textId="77777777" w:rsidR="00D3344B" w:rsidRDefault="00D3344B">
            <w:pPr>
              <w:pStyle w:val="Sinespaciado"/>
              <w:widowControl w:val="0"/>
              <w:spacing w:line="276" w:lineRule="auto"/>
              <w:rPr>
                <w:rFonts w:ascii="Arial" w:hAnsi="Arial" w:cs="Arial"/>
              </w:rPr>
            </w:pPr>
          </w:p>
        </w:tc>
        <w:tc>
          <w:tcPr>
            <w:tcW w:w="7195" w:type="dxa"/>
          </w:tcPr>
          <w:p w14:paraId="5AAA8F53"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2.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carga</w:t>
            </w:r>
          </w:p>
        </w:tc>
        <w:tc>
          <w:tcPr>
            <w:tcW w:w="1975" w:type="dxa"/>
          </w:tcPr>
          <w:p w14:paraId="5C49483B"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7 UMA</w:t>
            </w:r>
          </w:p>
        </w:tc>
      </w:tr>
      <w:tr w:rsidR="00D3344B" w14:paraId="77F8805C" w14:textId="77777777">
        <w:trPr>
          <w:cantSplit/>
          <w:trHeight w:val="569"/>
        </w:trPr>
        <w:tc>
          <w:tcPr>
            <w:tcW w:w="802" w:type="dxa"/>
          </w:tcPr>
          <w:p w14:paraId="722101E6" w14:textId="77777777" w:rsidR="00D3344B" w:rsidRDefault="00D3344B">
            <w:pPr>
              <w:pStyle w:val="Sinespaciado"/>
              <w:widowControl w:val="0"/>
              <w:spacing w:line="276" w:lineRule="auto"/>
              <w:rPr>
                <w:rFonts w:ascii="Arial" w:hAnsi="Arial" w:cs="Arial"/>
              </w:rPr>
            </w:pPr>
          </w:p>
        </w:tc>
        <w:tc>
          <w:tcPr>
            <w:tcW w:w="7195" w:type="dxa"/>
          </w:tcPr>
          <w:p w14:paraId="7752DAFA"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b) </w:t>
            </w:r>
            <w:proofErr w:type="spellStart"/>
            <w:r>
              <w:rPr>
                <w:rFonts w:ascii="Arial" w:hAnsi="Arial" w:cs="Arial"/>
              </w:rPr>
              <w:t>Canje</w:t>
            </w:r>
            <w:proofErr w:type="spellEnd"/>
            <w:r>
              <w:rPr>
                <w:rFonts w:ascii="Arial" w:hAnsi="Arial" w:cs="Arial"/>
              </w:rPr>
              <w:t xml:space="preserve"> </w:t>
            </w:r>
            <w:proofErr w:type="spellStart"/>
            <w:r>
              <w:rPr>
                <w:rFonts w:ascii="Arial" w:hAnsi="Arial" w:cs="Arial"/>
              </w:rPr>
              <w:t>extemporáneo</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w:t>
            </w:r>
          </w:p>
        </w:tc>
        <w:tc>
          <w:tcPr>
            <w:tcW w:w="1975" w:type="dxa"/>
          </w:tcPr>
          <w:p w14:paraId="40A7947E" w14:textId="77777777" w:rsidR="00D3344B" w:rsidRDefault="00D3344B">
            <w:pPr>
              <w:pStyle w:val="Sinespaciado"/>
              <w:widowControl w:val="0"/>
              <w:spacing w:line="276" w:lineRule="auto"/>
              <w:ind w:left="213"/>
              <w:jc w:val="both"/>
              <w:rPr>
                <w:rFonts w:ascii="Arial" w:hAnsi="Arial" w:cs="Arial"/>
              </w:rPr>
            </w:pPr>
          </w:p>
        </w:tc>
      </w:tr>
      <w:tr w:rsidR="00D3344B" w14:paraId="49F51290" w14:textId="77777777">
        <w:trPr>
          <w:cantSplit/>
          <w:trHeight w:val="569"/>
        </w:trPr>
        <w:tc>
          <w:tcPr>
            <w:tcW w:w="802" w:type="dxa"/>
          </w:tcPr>
          <w:p w14:paraId="13613A6B" w14:textId="77777777" w:rsidR="00D3344B" w:rsidRDefault="00D3344B">
            <w:pPr>
              <w:pStyle w:val="Sinespaciado"/>
              <w:widowControl w:val="0"/>
              <w:spacing w:line="276" w:lineRule="auto"/>
              <w:rPr>
                <w:rFonts w:ascii="Arial" w:hAnsi="Arial" w:cs="Arial"/>
              </w:rPr>
            </w:pPr>
          </w:p>
        </w:tc>
        <w:tc>
          <w:tcPr>
            <w:tcW w:w="7195" w:type="dxa"/>
            <w:vAlign w:val="bottom"/>
          </w:tcPr>
          <w:p w14:paraId="140ACB0E"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7D1C83B1" w14:textId="77777777" w:rsidR="00D3344B" w:rsidRDefault="00D3344B">
            <w:pPr>
              <w:pStyle w:val="Sinespaciado"/>
              <w:widowControl w:val="0"/>
              <w:spacing w:line="276" w:lineRule="auto"/>
              <w:ind w:left="213"/>
              <w:jc w:val="both"/>
              <w:rPr>
                <w:rFonts w:ascii="Arial" w:hAnsi="Arial" w:cs="Arial"/>
              </w:rPr>
            </w:pPr>
          </w:p>
        </w:tc>
      </w:tr>
      <w:tr w:rsidR="00D3344B" w14:paraId="6481C858" w14:textId="77777777">
        <w:trPr>
          <w:cantSplit/>
          <w:trHeight w:val="419"/>
        </w:trPr>
        <w:tc>
          <w:tcPr>
            <w:tcW w:w="802" w:type="dxa"/>
          </w:tcPr>
          <w:p w14:paraId="59D6027E" w14:textId="77777777" w:rsidR="00D3344B" w:rsidRDefault="00D3344B">
            <w:pPr>
              <w:pStyle w:val="Sinespaciado"/>
              <w:widowControl w:val="0"/>
              <w:spacing w:line="276" w:lineRule="auto"/>
              <w:rPr>
                <w:rFonts w:ascii="Arial" w:hAnsi="Arial" w:cs="Arial"/>
              </w:rPr>
            </w:pPr>
          </w:p>
        </w:tc>
        <w:tc>
          <w:tcPr>
            <w:tcW w:w="7195" w:type="dxa"/>
          </w:tcPr>
          <w:p w14:paraId="022A6FFF"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1. </w:t>
            </w:r>
            <w:proofErr w:type="spellStart"/>
            <w:r>
              <w:rPr>
                <w:rFonts w:ascii="Arial" w:hAnsi="Arial" w:cs="Arial"/>
              </w:rPr>
              <w:t>Servicio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y de </w:t>
            </w:r>
            <w:proofErr w:type="spellStart"/>
            <w:r>
              <w:rPr>
                <w:rFonts w:ascii="Arial" w:hAnsi="Arial" w:cs="Arial"/>
              </w:rPr>
              <w:t>grúas</w:t>
            </w:r>
            <w:proofErr w:type="spellEnd"/>
          </w:p>
        </w:tc>
        <w:tc>
          <w:tcPr>
            <w:tcW w:w="1975" w:type="dxa"/>
          </w:tcPr>
          <w:p w14:paraId="31174368"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15 UMA</w:t>
            </w:r>
          </w:p>
        </w:tc>
      </w:tr>
      <w:tr w:rsidR="00D3344B" w14:paraId="7D88F73D" w14:textId="77777777">
        <w:trPr>
          <w:cantSplit/>
          <w:trHeight w:val="557"/>
        </w:trPr>
        <w:tc>
          <w:tcPr>
            <w:tcW w:w="802" w:type="dxa"/>
          </w:tcPr>
          <w:p w14:paraId="61EFC776" w14:textId="77777777" w:rsidR="00D3344B" w:rsidRDefault="00D3344B">
            <w:pPr>
              <w:pStyle w:val="Sinespaciado"/>
              <w:widowControl w:val="0"/>
              <w:spacing w:line="276" w:lineRule="auto"/>
              <w:rPr>
                <w:rFonts w:ascii="Arial" w:hAnsi="Arial" w:cs="Arial"/>
              </w:rPr>
            </w:pPr>
          </w:p>
        </w:tc>
        <w:tc>
          <w:tcPr>
            <w:tcW w:w="7195" w:type="dxa"/>
            <w:vAlign w:val="bottom"/>
          </w:tcPr>
          <w:p w14:paraId="46C3DE7F"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633B85CD" w14:textId="77777777" w:rsidR="00D3344B" w:rsidRDefault="00D3344B">
            <w:pPr>
              <w:pStyle w:val="Sinespaciado"/>
              <w:widowControl w:val="0"/>
              <w:spacing w:line="276" w:lineRule="auto"/>
              <w:ind w:left="213"/>
              <w:jc w:val="both"/>
              <w:rPr>
                <w:rFonts w:ascii="Arial" w:hAnsi="Arial" w:cs="Arial"/>
                <w:b/>
              </w:rPr>
            </w:pPr>
          </w:p>
        </w:tc>
      </w:tr>
      <w:tr w:rsidR="00D3344B" w14:paraId="25AADB2A" w14:textId="77777777">
        <w:trPr>
          <w:cantSplit/>
          <w:trHeight w:val="434"/>
        </w:trPr>
        <w:tc>
          <w:tcPr>
            <w:tcW w:w="802" w:type="dxa"/>
          </w:tcPr>
          <w:p w14:paraId="0A81E356" w14:textId="77777777" w:rsidR="00D3344B" w:rsidRDefault="00D3344B">
            <w:pPr>
              <w:pStyle w:val="Sinespaciado"/>
              <w:widowControl w:val="0"/>
              <w:spacing w:line="276" w:lineRule="auto"/>
              <w:rPr>
                <w:rFonts w:ascii="Arial" w:hAnsi="Arial" w:cs="Arial"/>
              </w:rPr>
            </w:pPr>
          </w:p>
        </w:tc>
        <w:tc>
          <w:tcPr>
            <w:tcW w:w="7195" w:type="dxa"/>
          </w:tcPr>
          <w:p w14:paraId="33FB1D9B"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2. </w:t>
            </w:r>
            <w:proofErr w:type="spellStart"/>
            <w:r>
              <w:rPr>
                <w:rFonts w:ascii="Arial" w:hAnsi="Arial" w:cs="Arial"/>
              </w:rPr>
              <w:t>Servicio</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de carga.</w:t>
            </w:r>
          </w:p>
        </w:tc>
        <w:tc>
          <w:tcPr>
            <w:tcW w:w="1975" w:type="dxa"/>
          </w:tcPr>
          <w:p w14:paraId="43AB8219"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9 UMA</w:t>
            </w:r>
          </w:p>
        </w:tc>
      </w:tr>
      <w:tr w:rsidR="00D3344B" w14:paraId="6843FFF5" w14:textId="77777777">
        <w:trPr>
          <w:cantSplit/>
          <w:trHeight w:val="711"/>
        </w:trPr>
        <w:tc>
          <w:tcPr>
            <w:tcW w:w="802" w:type="dxa"/>
          </w:tcPr>
          <w:p w14:paraId="26A6AB2F" w14:textId="77777777" w:rsidR="00D3344B" w:rsidRDefault="00D3344B">
            <w:pPr>
              <w:pStyle w:val="Sinespaciado"/>
              <w:widowControl w:val="0"/>
              <w:spacing w:line="276" w:lineRule="auto"/>
              <w:rPr>
                <w:rFonts w:ascii="Arial" w:hAnsi="Arial" w:cs="Arial"/>
              </w:rPr>
            </w:pPr>
          </w:p>
        </w:tc>
        <w:tc>
          <w:tcPr>
            <w:tcW w:w="7195" w:type="dxa"/>
            <w:vAlign w:val="bottom"/>
          </w:tcPr>
          <w:p w14:paraId="6301E424"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5A9A3083" w14:textId="77777777" w:rsidR="00D3344B" w:rsidRDefault="00D3344B">
            <w:pPr>
              <w:pStyle w:val="Sinespaciado"/>
              <w:widowControl w:val="0"/>
              <w:spacing w:line="276" w:lineRule="auto"/>
              <w:ind w:left="213"/>
              <w:jc w:val="both"/>
              <w:rPr>
                <w:rFonts w:ascii="Arial" w:hAnsi="Arial" w:cs="Arial"/>
                <w:b/>
              </w:rPr>
            </w:pPr>
          </w:p>
        </w:tc>
      </w:tr>
      <w:tr w:rsidR="00D3344B" w14:paraId="2067489C" w14:textId="77777777">
        <w:trPr>
          <w:cantSplit/>
          <w:trHeight w:val="1417"/>
        </w:trPr>
        <w:tc>
          <w:tcPr>
            <w:tcW w:w="802" w:type="dxa"/>
          </w:tcPr>
          <w:p w14:paraId="13BF4933" w14:textId="77777777" w:rsidR="00D3344B" w:rsidRDefault="00143C25">
            <w:pPr>
              <w:pStyle w:val="Sinespaciado"/>
              <w:widowControl w:val="0"/>
              <w:spacing w:line="276" w:lineRule="auto"/>
              <w:rPr>
                <w:rFonts w:ascii="Arial" w:hAnsi="Arial" w:cs="Arial"/>
              </w:rPr>
            </w:pPr>
            <w:r>
              <w:rPr>
                <w:rFonts w:ascii="Arial" w:hAnsi="Arial" w:cs="Arial"/>
              </w:rPr>
              <w:t>XI.</w:t>
            </w:r>
          </w:p>
        </w:tc>
        <w:tc>
          <w:tcPr>
            <w:tcW w:w="7195" w:type="dxa"/>
          </w:tcPr>
          <w:p w14:paraId="2C67F249"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Otorgamiento</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w:t>
            </w:r>
            <w:proofErr w:type="spellStart"/>
            <w:r>
              <w:rPr>
                <w:rFonts w:ascii="Arial" w:hAnsi="Arial" w:cs="Arial"/>
              </w:rPr>
              <w:t>vigente</w:t>
            </w:r>
            <w:proofErr w:type="spellEnd"/>
            <w:r>
              <w:rPr>
                <w:rFonts w:ascii="Arial" w:hAnsi="Arial" w:cs="Arial"/>
              </w:rPr>
              <w:t xml:space="preserve"> </w:t>
            </w:r>
            <w:proofErr w:type="spellStart"/>
            <w:r>
              <w:rPr>
                <w:rFonts w:ascii="Arial" w:hAnsi="Arial" w:cs="Arial"/>
              </w:rPr>
              <w:t>durante</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mismo</w:t>
            </w:r>
            <w:proofErr w:type="spellEnd"/>
            <w:r>
              <w:rPr>
                <w:rFonts w:ascii="Arial" w:hAnsi="Arial" w:cs="Arial"/>
              </w:rPr>
              <w:t xml:space="preserve"> </w:t>
            </w:r>
            <w:proofErr w:type="spellStart"/>
            <w:r>
              <w:rPr>
                <w:rFonts w:ascii="Arial" w:hAnsi="Arial" w:cs="Arial"/>
              </w:rPr>
              <w:t>periodo</w:t>
            </w:r>
            <w:proofErr w:type="spellEnd"/>
            <w:r>
              <w:rPr>
                <w:rFonts w:ascii="Arial" w:hAnsi="Arial" w:cs="Arial"/>
              </w:rPr>
              <w:t xml:space="preserve"> de la Ley de </w:t>
            </w:r>
            <w:proofErr w:type="spellStart"/>
            <w:r>
              <w:rPr>
                <w:rFonts w:ascii="Arial" w:hAnsi="Arial" w:cs="Arial"/>
              </w:rPr>
              <w:t>Ingresos</w:t>
            </w:r>
            <w:proofErr w:type="spellEnd"/>
            <w:r>
              <w:rPr>
                <w:rFonts w:ascii="Arial" w:hAnsi="Arial" w:cs="Arial"/>
              </w:rPr>
              <w:t xml:space="preserve"> del Estado, a los </w:t>
            </w:r>
            <w:proofErr w:type="spellStart"/>
            <w:r>
              <w:rPr>
                <w:rFonts w:ascii="Arial" w:hAnsi="Arial" w:cs="Arial"/>
              </w:rPr>
              <w:t>vehículos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colectivo</w:t>
            </w:r>
            <w:proofErr w:type="spellEnd"/>
            <w:r>
              <w:rPr>
                <w:rFonts w:ascii="Arial" w:hAnsi="Arial" w:cs="Arial"/>
              </w:rPr>
              <w:t xml:space="preserve"> </w:t>
            </w:r>
            <w:proofErr w:type="spellStart"/>
            <w:r>
              <w:rPr>
                <w:rFonts w:ascii="Arial" w:hAnsi="Arial" w:cs="Arial"/>
              </w:rPr>
              <w:t>autorizados</w:t>
            </w:r>
            <w:proofErr w:type="spellEnd"/>
            <w:r>
              <w:rPr>
                <w:rFonts w:ascii="Arial" w:hAnsi="Arial" w:cs="Arial"/>
              </w:rPr>
              <w:t xml:space="preserve"> por </w:t>
            </w:r>
            <w:proofErr w:type="spellStart"/>
            <w:r>
              <w:rPr>
                <w:rFonts w:ascii="Arial" w:hAnsi="Arial" w:cs="Arial"/>
              </w:rPr>
              <w:t>otra</w:t>
            </w:r>
            <w:proofErr w:type="spellEnd"/>
            <w:r>
              <w:rPr>
                <w:rFonts w:ascii="Arial" w:hAnsi="Arial" w:cs="Arial"/>
              </w:rPr>
              <w:t xml:space="preserve"> </w:t>
            </w:r>
            <w:proofErr w:type="spellStart"/>
            <w:r>
              <w:rPr>
                <w:rFonts w:ascii="Arial" w:hAnsi="Arial" w:cs="Arial"/>
              </w:rPr>
              <w:t>Entidad</w:t>
            </w:r>
            <w:proofErr w:type="spellEnd"/>
            <w:r>
              <w:rPr>
                <w:rFonts w:ascii="Arial" w:hAnsi="Arial" w:cs="Arial"/>
              </w:rPr>
              <w:t>, para circular dentro del Estado.</w:t>
            </w:r>
          </w:p>
        </w:tc>
        <w:tc>
          <w:tcPr>
            <w:tcW w:w="1975" w:type="dxa"/>
          </w:tcPr>
          <w:p w14:paraId="2AC69C4F"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10 UMA</w:t>
            </w:r>
          </w:p>
        </w:tc>
      </w:tr>
      <w:tr w:rsidR="00D3344B" w14:paraId="0E129936" w14:textId="77777777">
        <w:trPr>
          <w:cantSplit/>
          <w:trHeight w:val="283"/>
        </w:trPr>
        <w:tc>
          <w:tcPr>
            <w:tcW w:w="802" w:type="dxa"/>
          </w:tcPr>
          <w:p w14:paraId="35594E35" w14:textId="77777777" w:rsidR="00D3344B" w:rsidRDefault="00D3344B">
            <w:pPr>
              <w:pStyle w:val="Sinespaciado"/>
              <w:widowControl w:val="0"/>
              <w:spacing w:line="276" w:lineRule="auto"/>
              <w:rPr>
                <w:rFonts w:ascii="Arial" w:hAnsi="Arial" w:cs="Arial"/>
              </w:rPr>
            </w:pPr>
          </w:p>
        </w:tc>
        <w:tc>
          <w:tcPr>
            <w:tcW w:w="7195" w:type="dxa"/>
          </w:tcPr>
          <w:p w14:paraId="3E1A104F" w14:textId="77777777" w:rsidR="00D3344B" w:rsidRDefault="00143C25">
            <w:pPr>
              <w:pStyle w:val="Sinespaciado"/>
              <w:widowControl w:val="0"/>
              <w:spacing w:line="276" w:lineRule="auto"/>
              <w:jc w:val="both"/>
              <w:rPr>
                <w:rFonts w:ascii="Arial" w:hAnsi="Arial" w:cs="Arial"/>
                <w:i/>
                <w:iCs/>
                <w:sz w:val="16"/>
                <w:szCs w:val="16"/>
              </w:rPr>
            </w:pPr>
            <w:r>
              <w:rPr>
                <w:rFonts w:ascii="Arial" w:hAnsi="Arial" w:cs="Arial"/>
                <w:i/>
                <w:iCs/>
                <w:sz w:val="16"/>
                <w:szCs w:val="16"/>
              </w:rPr>
              <w:t>(ADICIONADA, P.O. 29 DE NOVIEMBRE DE 2023)</w:t>
            </w:r>
          </w:p>
        </w:tc>
        <w:tc>
          <w:tcPr>
            <w:tcW w:w="1975" w:type="dxa"/>
          </w:tcPr>
          <w:p w14:paraId="08F0845D" w14:textId="77777777" w:rsidR="00D3344B" w:rsidRDefault="00D3344B">
            <w:pPr>
              <w:pStyle w:val="Sinespaciado"/>
              <w:widowControl w:val="0"/>
              <w:spacing w:line="276" w:lineRule="auto"/>
              <w:ind w:left="213"/>
              <w:jc w:val="both"/>
              <w:rPr>
                <w:rFonts w:ascii="Arial" w:hAnsi="Arial" w:cs="Arial"/>
                <w:b/>
              </w:rPr>
            </w:pPr>
          </w:p>
        </w:tc>
      </w:tr>
      <w:tr w:rsidR="00D3344B" w14:paraId="26DD475D" w14:textId="77777777">
        <w:trPr>
          <w:cantSplit/>
          <w:trHeight w:val="708"/>
        </w:trPr>
        <w:tc>
          <w:tcPr>
            <w:tcW w:w="802" w:type="dxa"/>
          </w:tcPr>
          <w:p w14:paraId="7A8C73A5" w14:textId="77777777" w:rsidR="00D3344B" w:rsidRDefault="00143C25">
            <w:pPr>
              <w:pStyle w:val="Sinespaciado"/>
              <w:widowControl w:val="0"/>
              <w:spacing w:line="276" w:lineRule="auto"/>
              <w:rPr>
                <w:rFonts w:ascii="Arial" w:hAnsi="Arial" w:cs="Arial"/>
              </w:rPr>
            </w:pPr>
            <w:r>
              <w:rPr>
                <w:rFonts w:ascii="Arial" w:hAnsi="Arial" w:cs="Arial"/>
              </w:rPr>
              <w:t>XI Bis.</w:t>
            </w:r>
          </w:p>
        </w:tc>
        <w:tc>
          <w:tcPr>
            <w:tcW w:w="7195" w:type="dxa"/>
          </w:tcPr>
          <w:p w14:paraId="793D88A2" w14:textId="77777777" w:rsidR="00D3344B" w:rsidRDefault="00143C25">
            <w:pPr>
              <w:pStyle w:val="Sinespaciado"/>
              <w:widowControl w:val="0"/>
              <w:spacing w:line="276" w:lineRule="auto"/>
              <w:jc w:val="both"/>
              <w:rPr>
                <w:spacing w:val="-5"/>
              </w:rPr>
            </w:pPr>
            <w:proofErr w:type="spellStart"/>
            <w:r>
              <w:t>Estudio</w:t>
            </w:r>
            <w:proofErr w:type="spellEnd"/>
            <w:r>
              <w:rPr>
                <w:spacing w:val="-5"/>
              </w:rPr>
              <w:t xml:space="preserve"> </w:t>
            </w:r>
            <w:proofErr w:type="spellStart"/>
            <w:r>
              <w:t>técnico</w:t>
            </w:r>
            <w:proofErr w:type="spellEnd"/>
            <w:r>
              <w:rPr>
                <w:spacing w:val="-3"/>
              </w:rPr>
              <w:t xml:space="preserve"> </w:t>
            </w:r>
            <w:r>
              <w:t>de</w:t>
            </w:r>
            <w:r>
              <w:rPr>
                <w:spacing w:val="-4"/>
              </w:rPr>
              <w:t xml:space="preserve"> </w:t>
            </w:r>
            <w:proofErr w:type="spellStart"/>
            <w:r>
              <w:t>factibilidad</w:t>
            </w:r>
            <w:proofErr w:type="spellEnd"/>
            <w:r>
              <w:t>,</w:t>
            </w:r>
            <w:r>
              <w:rPr>
                <w:spacing w:val="-3"/>
              </w:rPr>
              <w:t xml:space="preserve"> </w:t>
            </w:r>
            <w:proofErr w:type="spellStart"/>
            <w:r>
              <w:t>en</w:t>
            </w:r>
            <w:proofErr w:type="spellEnd"/>
            <w:r>
              <w:rPr>
                <w:spacing w:val="-4"/>
              </w:rPr>
              <w:t xml:space="preserve"> </w:t>
            </w:r>
            <w:proofErr w:type="spellStart"/>
            <w:r>
              <w:t>caso</w:t>
            </w:r>
            <w:proofErr w:type="spellEnd"/>
            <w:r>
              <w:rPr>
                <w:spacing w:val="-4"/>
              </w:rPr>
              <w:t xml:space="preserve"> </w:t>
            </w:r>
            <w:r>
              <w:rPr>
                <w:spacing w:val="-5"/>
              </w:rPr>
              <w:t>de:</w:t>
            </w:r>
          </w:p>
          <w:p w14:paraId="48AFAD41" w14:textId="77777777" w:rsidR="00D3344B" w:rsidRDefault="00D3344B">
            <w:pPr>
              <w:pStyle w:val="Sinespaciado"/>
              <w:widowControl w:val="0"/>
              <w:spacing w:line="276" w:lineRule="auto"/>
              <w:jc w:val="both"/>
              <w:rPr>
                <w:rFonts w:ascii="Arial" w:hAnsi="Arial" w:cs="Arial"/>
              </w:rPr>
            </w:pPr>
          </w:p>
        </w:tc>
        <w:tc>
          <w:tcPr>
            <w:tcW w:w="1975" w:type="dxa"/>
          </w:tcPr>
          <w:p w14:paraId="169680F0" w14:textId="77777777" w:rsidR="00D3344B" w:rsidRDefault="00D3344B">
            <w:pPr>
              <w:pStyle w:val="Sinespaciado"/>
              <w:widowControl w:val="0"/>
              <w:spacing w:line="276" w:lineRule="auto"/>
              <w:ind w:left="213"/>
              <w:jc w:val="both"/>
              <w:rPr>
                <w:rFonts w:ascii="Arial" w:hAnsi="Arial" w:cs="Arial"/>
                <w:b/>
              </w:rPr>
            </w:pPr>
          </w:p>
        </w:tc>
      </w:tr>
      <w:tr w:rsidR="00D3344B" w14:paraId="5BF0BFD0" w14:textId="77777777">
        <w:trPr>
          <w:cantSplit/>
          <w:trHeight w:val="425"/>
        </w:trPr>
        <w:tc>
          <w:tcPr>
            <w:tcW w:w="802" w:type="dxa"/>
          </w:tcPr>
          <w:p w14:paraId="12077BE7" w14:textId="77777777" w:rsidR="00D3344B" w:rsidRDefault="00D3344B">
            <w:pPr>
              <w:pStyle w:val="Sinespaciado"/>
              <w:widowControl w:val="0"/>
              <w:spacing w:line="276" w:lineRule="auto"/>
              <w:rPr>
                <w:rFonts w:ascii="Arial" w:hAnsi="Arial" w:cs="Arial"/>
              </w:rPr>
            </w:pPr>
          </w:p>
        </w:tc>
        <w:tc>
          <w:tcPr>
            <w:tcW w:w="7195" w:type="dxa"/>
          </w:tcPr>
          <w:p w14:paraId="4428FA79" w14:textId="77777777" w:rsidR="00D3344B" w:rsidRDefault="00143C25">
            <w:pPr>
              <w:pStyle w:val="Sinespaciado"/>
              <w:widowControl w:val="0"/>
              <w:spacing w:line="276" w:lineRule="auto"/>
              <w:jc w:val="both"/>
            </w:pPr>
            <w:r>
              <w:t>a)</w:t>
            </w:r>
            <w:r>
              <w:rPr>
                <w:spacing w:val="1"/>
              </w:rPr>
              <w:t xml:space="preserve"> </w:t>
            </w:r>
            <w:proofErr w:type="spellStart"/>
            <w:r>
              <w:rPr>
                <w:spacing w:val="-2"/>
              </w:rPr>
              <w:t>Concesión</w:t>
            </w:r>
            <w:proofErr w:type="spellEnd"/>
          </w:p>
        </w:tc>
        <w:tc>
          <w:tcPr>
            <w:tcW w:w="1975" w:type="dxa"/>
          </w:tcPr>
          <w:p w14:paraId="731DDE94" w14:textId="77777777" w:rsidR="00D3344B" w:rsidRDefault="00143C25">
            <w:pPr>
              <w:pStyle w:val="Sinespaciado"/>
              <w:widowControl w:val="0"/>
              <w:spacing w:line="276" w:lineRule="auto"/>
              <w:ind w:left="213"/>
              <w:jc w:val="both"/>
              <w:rPr>
                <w:rFonts w:ascii="Arial" w:hAnsi="Arial" w:cs="Arial"/>
                <w:b/>
              </w:rPr>
            </w:pPr>
            <w:r>
              <w:rPr>
                <w:rFonts w:ascii="Arial" w:hAnsi="Arial" w:cs="Arial"/>
                <w:b/>
              </w:rPr>
              <w:t>19.1 UMA</w:t>
            </w:r>
          </w:p>
        </w:tc>
      </w:tr>
      <w:tr w:rsidR="00D3344B" w14:paraId="5FD07663" w14:textId="77777777">
        <w:trPr>
          <w:cantSplit/>
          <w:trHeight w:val="701"/>
        </w:trPr>
        <w:tc>
          <w:tcPr>
            <w:tcW w:w="802" w:type="dxa"/>
          </w:tcPr>
          <w:p w14:paraId="3DFB65B4" w14:textId="77777777" w:rsidR="00D3344B" w:rsidRDefault="00D3344B">
            <w:pPr>
              <w:pStyle w:val="Sinespaciado"/>
              <w:widowControl w:val="0"/>
              <w:spacing w:line="276" w:lineRule="auto"/>
              <w:rPr>
                <w:rFonts w:ascii="Arial" w:hAnsi="Arial" w:cs="Arial"/>
              </w:rPr>
            </w:pPr>
          </w:p>
        </w:tc>
        <w:tc>
          <w:tcPr>
            <w:tcW w:w="7195" w:type="dxa"/>
          </w:tcPr>
          <w:p w14:paraId="70798DBE" w14:textId="77777777" w:rsidR="00D3344B" w:rsidRDefault="00143C25">
            <w:pPr>
              <w:pStyle w:val="Sinespaciado"/>
              <w:widowControl w:val="0"/>
              <w:spacing w:line="276" w:lineRule="auto"/>
              <w:jc w:val="both"/>
            </w:pPr>
            <w:r>
              <w:t xml:space="preserve">b) </w:t>
            </w:r>
            <w:proofErr w:type="spellStart"/>
            <w:r>
              <w:t>Otros</w:t>
            </w:r>
            <w:proofErr w:type="spellEnd"/>
            <w:r>
              <w:t xml:space="preserve"> </w:t>
            </w:r>
            <w:proofErr w:type="spellStart"/>
            <w:r>
              <w:t>estudios</w:t>
            </w:r>
            <w:proofErr w:type="spellEnd"/>
            <w:r>
              <w:t xml:space="preserve"> </w:t>
            </w:r>
            <w:proofErr w:type="spellStart"/>
            <w:r>
              <w:t>en</w:t>
            </w:r>
            <w:proofErr w:type="spellEnd"/>
            <w:r>
              <w:t xml:space="preserve"> </w:t>
            </w:r>
            <w:proofErr w:type="spellStart"/>
            <w:r>
              <w:t>materia</w:t>
            </w:r>
            <w:proofErr w:type="spellEnd"/>
            <w:r>
              <w:t xml:space="preserve"> de </w:t>
            </w:r>
            <w:proofErr w:type="spellStart"/>
            <w:r>
              <w:t>transportes</w:t>
            </w:r>
            <w:proofErr w:type="spellEnd"/>
          </w:p>
        </w:tc>
        <w:tc>
          <w:tcPr>
            <w:tcW w:w="1975" w:type="dxa"/>
          </w:tcPr>
          <w:p w14:paraId="023FACAF" w14:textId="77777777" w:rsidR="00D3344B" w:rsidRDefault="00143C25">
            <w:pPr>
              <w:pStyle w:val="Sinespaciado"/>
              <w:widowControl w:val="0"/>
              <w:spacing w:line="276" w:lineRule="auto"/>
              <w:ind w:left="213"/>
              <w:jc w:val="both"/>
              <w:rPr>
                <w:rFonts w:ascii="Arial" w:hAnsi="Arial" w:cs="Arial"/>
                <w:b/>
              </w:rPr>
            </w:pPr>
            <w:r>
              <w:rPr>
                <w:rFonts w:ascii="Arial" w:hAnsi="Arial" w:cs="Arial"/>
                <w:b/>
              </w:rPr>
              <w:t>8.1 UMA</w:t>
            </w:r>
          </w:p>
        </w:tc>
      </w:tr>
      <w:tr w:rsidR="00D3344B" w14:paraId="1DE775A3" w14:textId="77777777">
        <w:trPr>
          <w:cantSplit/>
          <w:trHeight w:val="569"/>
        </w:trPr>
        <w:tc>
          <w:tcPr>
            <w:tcW w:w="802" w:type="dxa"/>
          </w:tcPr>
          <w:p w14:paraId="5B5A9260" w14:textId="77777777" w:rsidR="00D3344B" w:rsidRDefault="00143C25">
            <w:pPr>
              <w:pStyle w:val="Sinespaciado"/>
              <w:widowControl w:val="0"/>
              <w:spacing w:line="276" w:lineRule="auto"/>
              <w:rPr>
                <w:rFonts w:ascii="Arial" w:hAnsi="Arial" w:cs="Arial"/>
              </w:rPr>
            </w:pPr>
            <w:r>
              <w:rPr>
                <w:rFonts w:ascii="Arial" w:hAnsi="Arial" w:cs="Arial"/>
              </w:rPr>
              <w:t>XII.</w:t>
            </w:r>
          </w:p>
        </w:tc>
        <w:tc>
          <w:tcPr>
            <w:tcW w:w="7195" w:type="dxa"/>
          </w:tcPr>
          <w:p w14:paraId="3CAE589F"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Servicios</w:t>
            </w:r>
            <w:proofErr w:type="spellEnd"/>
            <w:r>
              <w:rPr>
                <w:rFonts w:ascii="Arial" w:hAnsi="Arial" w:cs="Arial"/>
              </w:rPr>
              <w:t xml:space="preserve"> al </w:t>
            </w:r>
            <w:proofErr w:type="spellStart"/>
            <w:r>
              <w:rPr>
                <w:rFonts w:ascii="Arial" w:hAnsi="Arial" w:cs="Arial"/>
              </w:rPr>
              <w:t>transporte</w:t>
            </w:r>
            <w:proofErr w:type="spellEnd"/>
            <w:r>
              <w:rPr>
                <w:rFonts w:ascii="Arial" w:hAnsi="Arial" w:cs="Arial"/>
              </w:rPr>
              <w:t xml:space="preserve"> privado, </w:t>
            </w:r>
            <w:proofErr w:type="spellStart"/>
            <w:r>
              <w:rPr>
                <w:rFonts w:ascii="Arial" w:hAnsi="Arial" w:cs="Arial"/>
              </w:rPr>
              <w:t>considerando</w:t>
            </w:r>
            <w:proofErr w:type="spellEnd"/>
            <w:r>
              <w:rPr>
                <w:rFonts w:ascii="Arial" w:hAnsi="Arial" w:cs="Arial"/>
              </w:rPr>
              <w:t xml:space="preserve"> </w:t>
            </w:r>
            <w:proofErr w:type="spellStart"/>
            <w:r>
              <w:rPr>
                <w:rFonts w:ascii="Arial" w:hAnsi="Arial" w:cs="Arial"/>
              </w:rPr>
              <w:t>alta</w:t>
            </w:r>
            <w:proofErr w:type="spellEnd"/>
            <w:r>
              <w:rPr>
                <w:rFonts w:ascii="Arial" w:hAnsi="Arial" w:cs="Arial"/>
              </w:rPr>
              <w:t xml:space="preserve"> al </w:t>
            </w:r>
            <w:proofErr w:type="spellStart"/>
            <w:r>
              <w:rPr>
                <w:rFonts w:ascii="Arial" w:hAnsi="Arial" w:cs="Arial"/>
              </w:rPr>
              <w:t>Padrón</w:t>
            </w:r>
            <w:proofErr w:type="spellEnd"/>
            <w:r>
              <w:rPr>
                <w:rFonts w:ascii="Arial" w:hAnsi="Arial" w:cs="Arial"/>
              </w:rPr>
              <w:t xml:space="preserve"> Vehicular </w:t>
            </w:r>
            <w:proofErr w:type="spellStart"/>
            <w:r>
              <w:rPr>
                <w:rFonts w:ascii="Arial" w:hAnsi="Arial" w:cs="Arial"/>
              </w:rPr>
              <w:t>Estatal</w:t>
            </w:r>
            <w:proofErr w:type="spellEnd"/>
            <w:r>
              <w:rPr>
                <w:rFonts w:ascii="Arial" w:hAnsi="Arial" w:cs="Arial"/>
              </w:rPr>
              <w:t xml:space="preserve">, </w:t>
            </w:r>
            <w:proofErr w:type="spellStart"/>
            <w:r>
              <w:rPr>
                <w:rFonts w:ascii="Arial" w:hAnsi="Arial" w:cs="Arial"/>
              </w:rPr>
              <w:t>asignación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y </w:t>
            </w:r>
            <w:proofErr w:type="spellStart"/>
            <w:r>
              <w:rPr>
                <w:rFonts w:ascii="Arial" w:hAnsi="Arial" w:cs="Arial"/>
              </w:rPr>
              <w:t>engomado</w:t>
            </w:r>
            <w:proofErr w:type="spellEnd"/>
            <w:r>
              <w:rPr>
                <w:rFonts w:ascii="Arial" w:hAnsi="Arial" w:cs="Arial"/>
              </w:rPr>
              <w:t>:</w:t>
            </w:r>
          </w:p>
          <w:p w14:paraId="078AAD3F" w14:textId="77777777" w:rsidR="00D3344B" w:rsidRDefault="00D3344B">
            <w:pPr>
              <w:pStyle w:val="Sinespaciado"/>
              <w:widowControl w:val="0"/>
              <w:spacing w:line="276" w:lineRule="auto"/>
              <w:jc w:val="both"/>
              <w:rPr>
                <w:rFonts w:ascii="Arial" w:hAnsi="Arial" w:cs="Arial"/>
              </w:rPr>
            </w:pPr>
          </w:p>
        </w:tc>
        <w:tc>
          <w:tcPr>
            <w:tcW w:w="1975" w:type="dxa"/>
          </w:tcPr>
          <w:p w14:paraId="6E25096C" w14:textId="77777777" w:rsidR="00D3344B" w:rsidRDefault="00D3344B">
            <w:pPr>
              <w:pStyle w:val="Sinespaciado"/>
              <w:widowControl w:val="0"/>
              <w:spacing w:line="276" w:lineRule="auto"/>
              <w:ind w:left="213"/>
              <w:jc w:val="both"/>
              <w:rPr>
                <w:rFonts w:ascii="Arial" w:hAnsi="Arial" w:cs="Arial"/>
              </w:rPr>
            </w:pPr>
          </w:p>
        </w:tc>
      </w:tr>
      <w:tr w:rsidR="00D3344B" w14:paraId="5D7D343E" w14:textId="77777777">
        <w:trPr>
          <w:cantSplit/>
          <w:trHeight w:val="259"/>
        </w:trPr>
        <w:tc>
          <w:tcPr>
            <w:tcW w:w="802" w:type="dxa"/>
          </w:tcPr>
          <w:p w14:paraId="5398BC5D" w14:textId="77777777" w:rsidR="00D3344B" w:rsidRDefault="00D3344B">
            <w:pPr>
              <w:pStyle w:val="Sinespaciado"/>
              <w:widowControl w:val="0"/>
              <w:spacing w:line="276" w:lineRule="auto"/>
              <w:rPr>
                <w:rFonts w:ascii="Arial" w:hAnsi="Arial" w:cs="Arial"/>
              </w:rPr>
            </w:pPr>
          </w:p>
        </w:tc>
        <w:tc>
          <w:tcPr>
            <w:tcW w:w="7195" w:type="dxa"/>
            <w:vAlign w:val="bottom"/>
          </w:tcPr>
          <w:p w14:paraId="257F26EF"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1A056EED" w14:textId="77777777" w:rsidR="00D3344B" w:rsidRDefault="00D3344B">
            <w:pPr>
              <w:pStyle w:val="Sinespaciado"/>
              <w:widowControl w:val="0"/>
              <w:spacing w:line="276" w:lineRule="auto"/>
              <w:ind w:left="213"/>
              <w:jc w:val="both"/>
              <w:rPr>
                <w:rFonts w:ascii="Arial" w:hAnsi="Arial" w:cs="Arial"/>
              </w:rPr>
            </w:pPr>
          </w:p>
        </w:tc>
      </w:tr>
      <w:tr w:rsidR="00D3344B" w14:paraId="62A7888C" w14:textId="77777777">
        <w:trPr>
          <w:cantSplit/>
          <w:trHeight w:val="248"/>
        </w:trPr>
        <w:tc>
          <w:tcPr>
            <w:tcW w:w="802" w:type="dxa"/>
          </w:tcPr>
          <w:p w14:paraId="274A0691" w14:textId="77777777" w:rsidR="00D3344B" w:rsidRDefault="00D3344B">
            <w:pPr>
              <w:pStyle w:val="Sinespaciado"/>
              <w:widowControl w:val="0"/>
              <w:spacing w:line="276" w:lineRule="auto"/>
              <w:rPr>
                <w:rFonts w:ascii="Arial" w:hAnsi="Arial" w:cs="Arial"/>
              </w:rPr>
            </w:pPr>
          </w:p>
        </w:tc>
        <w:tc>
          <w:tcPr>
            <w:tcW w:w="7195" w:type="dxa"/>
          </w:tcPr>
          <w:p w14:paraId="5DEAAC8F"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a)     Autobuses y micros.</w:t>
            </w:r>
          </w:p>
        </w:tc>
        <w:tc>
          <w:tcPr>
            <w:tcW w:w="1975" w:type="dxa"/>
          </w:tcPr>
          <w:p w14:paraId="0EEAD98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16 UMA</w:t>
            </w:r>
          </w:p>
        </w:tc>
      </w:tr>
      <w:tr w:rsidR="00D3344B" w14:paraId="759F59E1" w14:textId="77777777">
        <w:trPr>
          <w:cantSplit/>
          <w:trHeight w:val="445"/>
        </w:trPr>
        <w:tc>
          <w:tcPr>
            <w:tcW w:w="802" w:type="dxa"/>
          </w:tcPr>
          <w:p w14:paraId="502E5CC4" w14:textId="77777777" w:rsidR="00D3344B" w:rsidRDefault="00D3344B">
            <w:pPr>
              <w:pStyle w:val="Sinespaciado"/>
              <w:widowControl w:val="0"/>
              <w:spacing w:line="276" w:lineRule="auto"/>
              <w:rPr>
                <w:rFonts w:ascii="Arial" w:hAnsi="Arial" w:cs="Arial"/>
              </w:rPr>
            </w:pPr>
          </w:p>
        </w:tc>
        <w:tc>
          <w:tcPr>
            <w:tcW w:w="7195" w:type="dxa"/>
            <w:vAlign w:val="bottom"/>
          </w:tcPr>
          <w:p w14:paraId="1DA9B95A"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133865A0" w14:textId="77777777" w:rsidR="00D3344B" w:rsidRDefault="00D3344B">
            <w:pPr>
              <w:pStyle w:val="Sinespaciado"/>
              <w:widowControl w:val="0"/>
              <w:spacing w:line="276" w:lineRule="auto"/>
              <w:ind w:left="213"/>
              <w:jc w:val="both"/>
              <w:rPr>
                <w:rFonts w:ascii="Arial" w:hAnsi="Arial" w:cs="Arial"/>
                <w:b/>
              </w:rPr>
            </w:pPr>
          </w:p>
        </w:tc>
      </w:tr>
      <w:tr w:rsidR="00D3344B" w14:paraId="2374C9F1" w14:textId="77777777">
        <w:trPr>
          <w:cantSplit/>
          <w:trHeight w:val="359"/>
        </w:trPr>
        <w:tc>
          <w:tcPr>
            <w:tcW w:w="802" w:type="dxa"/>
          </w:tcPr>
          <w:p w14:paraId="7D47F3C3" w14:textId="77777777" w:rsidR="00D3344B" w:rsidRDefault="00D3344B">
            <w:pPr>
              <w:pStyle w:val="Sinespaciado"/>
              <w:widowControl w:val="0"/>
              <w:spacing w:line="276" w:lineRule="auto"/>
              <w:rPr>
                <w:rFonts w:ascii="Arial" w:hAnsi="Arial" w:cs="Arial"/>
              </w:rPr>
            </w:pPr>
          </w:p>
        </w:tc>
        <w:tc>
          <w:tcPr>
            <w:tcW w:w="7195" w:type="dxa"/>
          </w:tcPr>
          <w:p w14:paraId="4C5F76C0"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b)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055B87C8"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16 UMA</w:t>
            </w:r>
          </w:p>
        </w:tc>
      </w:tr>
      <w:tr w:rsidR="00D3344B" w14:paraId="2D3FA913" w14:textId="77777777">
        <w:trPr>
          <w:cantSplit/>
          <w:trHeight w:val="448"/>
        </w:trPr>
        <w:tc>
          <w:tcPr>
            <w:tcW w:w="802" w:type="dxa"/>
          </w:tcPr>
          <w:p w14:paraId="5273E490" w14:textId="77777777" w:rsidR="00D3344B" w:rsidRDefault="00D3344B">
            <w:pPr>
              <w:pStyle w:val="Sinespaciado"/>
              <w:widowControl w:val="0"/>
              <w:spacing w:line="276" w:lineRule="auto"/>
              <w:rPr>
                <w:rFonts w:ascii="Arial" w:hAnsi="Arial" w:cs="Arial"/>
              </w:rPr>
            </w:pPr>
          </w:p>
        </w:tc>
        <w:tc>
          <w:tcPr>
            <w:tcW w:w="7195" w:type="dxa"/>
            <w:vAlign w:val="bottom"/>
          </w:tcPr>
          <w:p w14:paraId="43144320"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7B600228" w14:textId="77777777" w:rsidR="00D3344B" w:rsidRDefault="00D3344B">
            <w:pPr>
              <w:pStyle w:val="Sinespaciado"/>
              <w:widowControl w:val="0"/>
              <w:spacing w:line="276" w:lineRule="auto"/>
              <w:ind w:left="213"/>
              <w:jc w:val="both"/>
              <w:rPr>
                <w:rFonts w:ascii="Arial" w:hAnsi="Arial" w:cs="Arial"/>
                <w:b/>
              </w:rPr>
            </w:pPr>
          </w:p>
        </w:tc>
      </w:tr>
      <w:tr w:rsidR="00D3344B" w14:paraId="677C5035" w14:textId="77777777">
        <w:trPr>
          <w:cantSplit/>
          <w:trHeight w:val="412"/>
        </w:trPr>
        <w:tc>
          <w:tcPr>
            <w:tcW w:w="802" w:type="dxa"/>
          </w:tcPr>
          <w:p w14:paraId="7E461125" w14:textId="77777777" w:rsidR="00D3344B" w:rsidRDefault="00D3344B">
            <w:pPr>
              <w:pStyle w:val="Sinespaciado"/>
              <w:widowControl w:val="0"/>
              <w:spacing w:line="276" w:lineRule="auto"/>
              <w:rPr>
                <w:rFonts w:ascii="Arial" w:hAnsi="Arial" w:cs="Arial"/>
              </w:rPr>
            </w:pPr>
          </w:p>
        </w:tc>
        <w:tc>
          <w:tcPr>
            <w:tcW w:w="7195" w:type="dxa"/>
          </w:tcPr>
          <w:p w14:paraId="610CB113"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c)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tcPr>
          <w:p w14:paraId="3EF210D3"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16 UMA</w:t>
            </w:r>
          </w:p>
        </w:tc>
      </w:tr>
      <w:tr w:rsidR="00D3344B" w14:paraId="676CD692" w14:textId="77777777">
        <w:trPr>
          <w:cantSplit/>
          <w:trHeight w:val="432"/>
        </w:trPr>
        <w:tc>
          <w:tcPr>
            <w:tcW w:w="802" w:type="dxa"/>
          </w:tcPr>
          <w:p w14:paraId="271DEE20" w14:textId="77777777" w:rsidR="00D3344B" w:rsidRDefault="00D3344B">
            <w:pPr>
              <w:pStyle w:val="Sinespaciado"/>
              <w:widowControl w:val="0"/>
              <w:spacing w:line="276" w:lineRule="auto"/>
              <w:rPr>
                <w:rFonts w:ascii="Arial" w:hAnsi="Arial" w:cs="Arial"/>
              </w:rPr>
            </w:pPr>
          </w:p>
        </w:tc>
        <w:tc>
          <w:tcPr>
            <w:tcW w:w="7195" w:type="dxa"/>
            <w:vAlign w:val="bottom"/>
          </w:tcPr>
          <w:p w14:paraId="4245188B"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6FCB5AF2" w14:textId="77777777" w:rsidR="00D3344B" w:rsidRDefault="00D3344B">
            <w:pPr>
              <w:pStyle w:val="Sinespaciado"/>
              <w:widowControl w:val="0"/>
              <w:spacing w:line="276" w:lineRule="auto"/>
              <w:ind w:left="213"/>
              <w:jc w:val="both"/>
              <w:rPr>
                <w:rFonts w:ascii="Arial" w:hAnsi="Arial" w:cs="Arial"/>
                <w:b/>
              </w:rPr>
            </w:pPr>
          </w:p>
        </w:tc>
      </w:tr>
      <w:tr w:rsidR="00D3344B" w14:paraId="2A25C140" w14:textId="77777777">
        <w:trPr>
          <w:cantSplit/>
          <w:trHeight w:val="691"/>
        </w:trPr>
        <w:tc>
          <w:tcPr>
            <w:tcW w:w="802" w:type="dxa"/>
          </w:tcPr>
          <w:p w14:paraId="5570852A" w14:textId="77777777" w:rsidR="00D3344B" w:rsidRDefault="00D3344B">
            <w:pPr>
              <w:pStyle w:val="Sinespaciado"/>
              <w:widowControl w:val="0"/>
              <w:spacing w:line="276" w:lineRule="auto"/>
              <w:rPr>
                <w:rFonts w:ascii="Arial" w:hAnsi="Arial" w:cs="Arial"/>
              </w:rPr>
            </w:pPr>
          </w:p>
        </w:tc>
        <w:tc>
          <w:tcPr>
            <w:tcW w:w="7195" w:type="dxa"/>
          </w:tcPr>
          <w:p w14:paraId="58B18C33"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d)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hasta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2E5C689B"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 UMA</w:t>
            </w:r>
          </w:p>
        </w:tc>
      </w:tr>
      <w:tr w:rsidR="00D3344B" w14:paraId="21024E41" w14:textId="77777777">
        <w:trPr>
          <w:cantSplit/>
          <w:trHeight w:val="434"/>
        </w:trPr>
        <w:tc>
          <w:tcPr>
            <w:tcW w:w="802" w:type="dxa"/>
          </w:tcPr>
          <w:p w14:paraId="05737DE9" w14:textId="77777777" w:rsidR="00D3344B" w:rsidRDefault="00D3344B">
            <w:pPr>
              <w:pStyle w:val="Sinespaciado"/>
              <w:widowControl w:val="0"/>
              <w:spacing w:line="276" w:lineRule="auto"/>
              <w:rPr>
                <w:rFonts w:ascii="Arial" w:hAnsi="Arial" w:cs="Arial"/>
              </w:rPr>
            </w:pPr>
          </w:p>
        </w:tc>
        <w:tc>
          <w:tcPr>
            <w:tcW w:w="7195" w:type="dxa"/>
            <w:vAlign w:val="bottom"/>
          </w:tcPr>
          <w:p w14:paraId="3AB1F5F6"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5835BF8C" w14:textId="77777777" w:rsidR="00D3344B" w:rsidRDefault="00D3344B">
            <w:pPr>
              <w:pStyle w:val="Sinespaciado"/>
              <w:widowControl w:val="0"/>
              <w:spacing w:line="276" w:lineRule="auto"/>
              <w:ind w:left="213"/>
              <w:jc w:val="both"/>
              <w:rPr>
                <w:rFonts w:ascii="Arial" w:hAnsi="Arial" w:cs="Arial"/>
                <w:b/>
              </w:rPr>
            </w:pPr>
          </w:p>
        </w:tc>
      </w:tr>
      <w:tr w:rsidR="00D3344B" w14:paraId="5A8FC6A4" w14:textId="77777777">
        <w:trPr>
          <w:cantSplit/>
          <w:trHeight w:val="715"/>
        </w:trPr>
        <w:tc>
          <w:tcPr>
            <w:tcW w:w="802" w:type="dxa"/>
          </w:tcPr>
          <w:p w14:paraId="7080D8C5" w14:textId="77777777" w:rsidR="00D3344B" w:rsidRDefault="00D3344B">
            <w:pPr>
              <w:pStyle w:val="Sinespaciado"/>
              <w:widowControl w:val="0"/>
              <w:spacing w:line="276" w:lineRule="auto"/>
              <w:rPr>
                <w:rFonts w:ascii="Arial" w:hAnsi="Arial" w:cs="Arial"/>
              </w:rPr>
            </w:pPr>
          </w:p>
        </w:tc>
        <w:tc>
          <w:tcPr>
            <w:tcW w:w="7195" w:type="dxa"/>
          </w:tcPr>
          <w:p w14:paraId="1A08F082"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e)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w:t>
            </w:r>
            <w:proofErr w:type="spellStart"/>
            <w:r>
              <w:rPr>
                <w:rFonts w:ascii="Arial" w:hAnsi="Arial" w:cs="Arial"/>
              </w:rPr>
              <w:t>más</w:t>
            </w:r>
            <w:proofErr w:type="spellEnd"/>
            <w:r>
              <w:rPr>
                <w:rFonts w:ascii="Arial" w:hAnsi="Arial" w:cs="Arial"/>
              </w:rPr>
              <w:t xml:space="preserve"> de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63FF7747"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13 UMA</w:t>
            </w:r>
          </w:p>
        </w:tc>
      </w:tr>
      <w:tr w:rsidR="00D3344B" w14:paraId="4FB08AF5" w14:textId="77777777">
        <w:trPr>
          <w:cantSplit/>
          <w:trHeight w:val="423"/>
        </w:trPr>
        <w:tc>
          <w:tcPr>
            <w:tcW w:w="802" w:type="dxa"/>
          </w:tcPr>
          <w:p w14:paraId="58C47857" w14:textId="77777777" w:rsidR="00D3344B" w:rsidRDefault="00D3344B">
            <w:pPr>
              <w:pStyle w:val="Sinespaciado"/>
              <w:widowControl w:val="0"/>
              <w:spacing w:line="276" w:lineRule="auto"/>
              <w:rPr>
                <w:rFonts w:ascii="Arial" w:hAnsi="Arial" w:cs="Arial"/>
              </w:rPr>
            </w:pPr>
          </w:p>
        </w:tc>
        <w:tc>
          <w:tcPr>
            <w:tcW w:w="7195" w:type="dxa"/>
            <w:vAlign w:val="bottom"/>
          </w:tcPr>
          <w:p w14:paraId="044977A1"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117EFCAF" w14:textId="77777777" w:rsidR="00D3344B" w:rsidRDefault="00D3344B">
            <w:pPr>
              <w:pStyle w:val="Sinespaciado"/>
              <w:widowControl w:val="0"/>
              <w:spacing w:line="276" w:lineRule="auto"/>
              <w:ind w:left="213"/>
              <w:jc w:val="both"/>
              <w:rPr>
                <w:rFonts w:ascii="Arial" w:hAnsi="Arial" w:cs="Arial"/>
                <w:b/>
              </w:rPr>
            </w:pPr>
          </w:p>
        </w:tc>
      </w:tr>
      <w:tr w:rsidR="00D3344B" w14:paraId="40646E80" w14:textId="77777777">
        <w:trPr>
          <w:cantSplit/>
          <w:trHeight w:val="725"/>
        </w:trPr>
        <w:tc>
          <w:tcPr>
            <w:tcW w:w="802" w:type="dxa"/>
          </w:tcPr>
          <w:p w14:paraId="42CFBA7C" w14:textId="77777777" w:rsidR="00D3344B" w:rsidRDefault="00D3344B">
            <w:pPr>
              <w:pStyle w:val="Sinespaciado"/>
              <w:widowControl w:val="0"/>
              <w:spacing w:line="276" w:lineRule="auto"/>
              <w:rPr>
                <w:rFonts w:ascii="Arial" w:hAnsi="Arial" w:cs="Arial"/>
              </w:rPr>
            </w:pPr>
          </w:p>
        </w:tc>
        <w:tc>
          <w:tcPr>
            <w:tcW w:w="7195" w:type="dxa"/>
          </w:tcPr>
          <w:p w14:paraId="36320CF3"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f)     </w:t>
            </w:r>
            <w:proofErr w:type="spellStart"/>
            <w:r>
              <w:rPr>
                <w:rFonts w:ascii="Arial" w:hAnsi="Arial" w:cs="Arial"/>
              </w:rPr>
              <w:t>Motocicletas</w:t>
            </w:r>
            <w:proofErr w:type="spellEnd"/>
            <w:r>
              <w:rPr>
                <w:rFonts w:ascii="Arial" w:hAnsi="Arial" w:cs="Arial"/>
              </w:rPr>
              <w:t xml:space="preserve">, </w:t>
            </w:r>
            <w:proofErr w:type="spellStart"/>
            <w:r>
              <w:rPr>
                <w:rFonts w:ascii="Arial" w:hAnsi="Arial" w:cs="Arial"/>
              </w:rPr>
              <w:t>nuevas</w:t>
            </w:r>
            <w:proofErr w:type="spellEnd"/>
            <w:r>
              <w:rPr>
                <w:rFonts w:ascii="Arial" w:hAnsi="Arial" w:cs="Arial"/>
              </w:rPr>
              <w:t xml:space="preserve"> y </w:t>
            </w:r>
            <w:proofErr w:type="spellStart"/>
            <w:r>
              <w:rPr>
                <w:rFonts w:ascii="Arial" w:hAnsi="Arial" w:cs="Arial"/>
              </w:rPr>
              <w:t>usadas</w:t>
            </w:r>
            <w:proofErr w:type="spellEnd"/>
            <w:r>
              <w:rPr>
                <w:rFonts w:ascii="Arial" w:hAnsi="Arial" w:cs="Arial"/>
              </w:rPr>
              <w:t>.</w:t>
            </w:r>
          </w:p>
        </w:tc>
        <w:tc>
          <w:tcPr>
            <w:tcW w:w="1975" w:type="dxa"/>
          </w:tcPr>
          <w:p w14:paraId="3927A151"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3 UMA</w:t>
            </w:r>
          </w:p>
        </w:tc>
      </w:tr>
      <w:tr w:rsidR="00D3344B" w14:paraId="5969675B" w14:textId="77777777">
        <w:trPr>
          <w:cantSplit/>
          <w:trHeight w:val="411"/>
        </w:trPr>
        <w:tc>
          <w:tcPr>
            <w:tcW w:w="802" w:type="dxa"/>
          </w:tcPr>
          <w:p w14:paraId="67F008AD" w14:textId="77777777" w:rsidR="00D3344B" w:rsidRDefault="00D3344B">
            <w:pPr>
              <w:pStyle w:val="Sinespaciado"/>
              <w:widowControl w:val="0"/>
              <w:spacing w:line="276" w:lineRule="auto"/>
              <w:rPr>
                <w:rFonts w:ascii="Arial" w:hAnsi="Arial" w:cs="Arial"/>
              </w:rPr>
            </w:pPr>
          </w:p>
        </w:tc>
        <w:tc>
          <w:tcPr>
            <w:tcW w:w="7195" w:type="dxa"/>
            <w:vAlign w:val="bottom"/>
          </w:tcPr>
          <w:p w14:paraId="7E89CF6D"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07E78F19" w14:textId="77777777" w:rsidR="00D3344B" w:rsidRDefault="00D3344B">
            <w:pPr>
              <w:pStyle w:val="Sinespaciado"/>
              <w:widowControl w:val="0"/>
              <w:spacing w:line="276" w:lineRule="auto"/>
              <w:ind w:left="213"/>
              <w:jc w:val="both"/>
              <w:rPr>
                <w:rFonts w:ascii="Arial" w:hAnsi="Arial" w:cs="Arial"/>
                <w:b/>
              </w:rPr>
            </w:pPr>
          </w:p>
        </w:tc>
      </w:tr>
      <w:tr w:rsidR="00D3344B" w14:paraId="07B0F24E" w14:textId="77777777">
        <w:trPr>
          <w:cantSplit/>
          <w:trHeight w:val="835"/>
        </w:trPr>
        <w:tc>
          <w:tcPr>
            <w:tcW w:w="802" w:type="dxa"/>
          </w:tcPr>
          <w:p w14:paraId="3BAEED85" w14:textId="77777777" w:rsidR="00D3344B" w:rsidRDefault="00D3344B">
            <w:pPr>
              <w:pStyle w:val="Sinespaciado"/>
              <w:widowControl w:val="0"/>
              <w:spacing w:line="276" w:lineRule="auto"/>
              <w:rPr>
                <w:rFonts w:ascii="Arial" w:hAnsi="Arial" w:cs="Arial"/>
              </w:rPr>
            </w:pPr>
          </w:p>
        </w:tc>
        <w:tc>
          <w:tcPr>
            <w:tcW w:w="7195" w:type="dxa"/>
          </w:tcPr>
          <w:p w14:paraId="40DACA87"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g)     </w:t>
            </w:r>
            <w:proofErr w:type="spellStart"/>
            <w:r>
              <w:rPr>
                <w:rFonts w:ascii="Arial" w:hAnsi="Arial" w:cs="Arial"/>
              </w:rPr>
              <w:t>Placas</w:t>
            </w:r>
            <w:proofErr w:type="spellEnd"/>
            <w:r>
              <w:rPr>
                <w:rFonts w:ascii="Arial" w:hAnsi="Arial" w:cs="Arial"/>
              </w:rPr>
              <w:t xml:space="preserve"> de </w:t>
            </w:r>
            <w:proofErr w:type="spellStart"/>
            <w:r>
              <w:rPr>
                <w:rFonts w:ascii="Arial" w:hAnsi="Arial" w:cs="Arial"/>
              </w:rPr>
              <w:t>demostración</w:t>
            </w:r>
            <w:proofErr w:type="spellEnd"/>
            <w:r>
              <w:rPr>
                <w:rFonts w:ascii="Arial" w:hAnsi="Arial" w:cs="Arial"/>
              </w:rPr>
              <w:t xml:space="preserve"> para </w:t>
            </w:r>
            <w:proofErr w:type="spellStart"/>
            <w:r>
              <w:rPr>
                <w:rFonts w:ascii="Arial" w:hAnsi="Arial" w:cs="Arial"/>
              </w:rPr>
              <w:t>agencias</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nuevos</w:t>
            </w:r>
            <w:proofErr w:type="spellEnd"/>
            <w:r>
              <w:rPr>
                <w:rFonts w:ascii="Arial" w:hAnsi="Arial" w:cs="Arial"/>
              </w:rPr>
              <w:t>.</w:t>
            </w:r>
          </w:p>
        </w:tc>
        <w:tc>
          <w:tcPr>
            <w:tcW w:w="1975" w:type="dxa"/>
          </w:tcPr>
          <w:p w14:paraId="24987443"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21 UMA</w:t>
            </w:r>
          </w:p>
        </w:tc>
      </w:tr>
      <w:tr w:rsidR="00D3344B" w14:paraId="7F70D681" w14:textId="77777777">
        <w:trPr>
          <w:cantSplit/>
          <w:trHeight w:val="569"/>
        </w:trPr>
        <w:tc>
          <w:tcPr>
            <w:tcW w:w="802" w:type="dxa"/>
          </w:tcPr>
          <w:p w14:paraId="2A4C4426" w14:textId="77777777" w:rsidR="00D3344B" w:rsidRDefault="00D3344B">
            <w:pPr>
              <w:pStyle w:val="Sinespaciado"/>
              <w:widowControl w:val="0"/>
              <w:spacing w:line="276" w:lineRule="auto"/>
              <w:rPr>
                <w:rFonts w:ascii="Arial" w:hAnsi="Arial" w:cs="Arial"/>
              </w:rPr>
            </w:pPr>
          </w:p>
        </w:tc>
        <w:tc>
          <w:tcPr>
            <w:tcW w:w="7195" w:type="dxa"/>
            <w:vAlign w:val="bottom"/>
          </w:tcPr>
          <w:p w14:paraId="4ADF26EB"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(REFORMADO, P.O. 21 DE JUNIO DE 2021)</w:t>
            </w:r>
          </w:p>
        </w:tc>
        <w:tc>
          <w:tcPr>
            <w:tcW w:w="1975" w:type="dxa"/>
          </w:tcPr>
          <w:p w14:paraId="6DE4D94A" w14:textId="77777777" w:rsidR="00D3344B" w:rsidRDefault="00D3344B">
            <w:pPr>
              <w:pStyle w:val="Sinespaciado"/>
              <w:widowControl w:val="0"/>
              <w:spacing w:line="276" w:lineRule="auto"/>
              <w:ind w:left="213"/>
              <w:jc w:val="both"/>
              <w:rPr>
                <w:rFonts w:ascii="Arial" w:hAnsi="Arial" w:cs="Arial"/>
              </w:rPr>
            </w:pPr>
          </w:p>
        </w:tc>
      </w:tr>
      <w:tr w:rsidR="00D3344B" w14:paraId="34E2567C" w14:textId="77777777">
        <w:trPr>
          <w:cantSplit/>
          <w:trHeight w:val="860"/>
        </w:trPr>
        <w:tc>
          <w:tcPr>
            <w:tcW w:w="802" w:type="dxa"/>
          </w:tcPr>
          <w:p w14:paraId="26E1FEFD" w14:textId="77777777" w:rsidR="00D3344B" w:rsidRDefault="00D3344B">
            <w:pPr>
              <w:pStyle w:val="Sinespaciado"/>
              <w:widowControl w:val="0"/>
              <w:spacing w:line="276" w:lineRule="auto"/>
              <w:rPr>
                <w:rFonts w:ascii="Arial" w:hAnsi="Arial" w:cs="Arial"/>
              </w:rPr>
            </w:pPr>
          </w:p>
        </w:tc>
        <w:tc>
          <w:tcPr>
            <w:tcW w:w="7195" w:type="dxa"/>
          </w:tcPr>
          <w:p w14:paraId="46FFE795"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h)     </w:t>
            </w:r>
            <w:proofErr w:type="spellStart"/>
            <w:r>
              <w:rPr>
                <w:rFonts w:ascii="Arial" w:hAnsi="Arial" w:cs="Arial"/>
              </w:rPr>
              <w:t>Tratándose</w:t>
            </w:r>
            <w:proofErr w:type="spellEnd"/>
            <w:r>
              <w:rPr>
                <w:rFonts w:ascii="Arial" w:hAnsi="Arial" w:cs="Arial"/>
              </w:rPr>
              <w:t xml:space="preserve"> de </w:t>
            </w:r>
            <w:proofErr w:type="spellStart"/>
            <w:r>
              <w:rPr>
                <w:rFonts w:ascii="Arial" w:hAnsi="Arial" w:cs="Arial"/>
              </w:rPr>
              <w:t>permiso</w:t>
            </w:r>
            <w:proofErr w:type="spellEnd"/>
            <w:r>
              <w:rPr>
                <w:rFonts w:ascii="Arial" w:hAnsi="Arial" w:cs="Arial"/>
              </w:rPr>
              <w:t xml:space="preserve"> para </w:t>
            </w:r>
            <w:proofErr w:type="spellStart"/>
            <w:r>
              <w:rPr>
                <w:rFonts w:ascii="Arial" w:hAnsi="Arial" w:cs="Arial"/>
              </w:rPr>
              <w:t>transporte</w:t>
            </w:r>
            <w:proofErr w:type="spellEnd"/>
            <w:r>
              <w:rPr>
                <w:rFonts w:ascii="Arial" w:hAnsi="Arial" w:cs="Arial"/>
              </w:rPr>
              <w:t xml:space="preserve"> escolar y de personal de </w:t>
            </w:r>
            <w:proofErr w:type="spellStart"/>
            <w:r>
              <w:rPr>
                <w:rFonts w:ascii="Arial" w:hAnsi="Arial" w:cs="Arial"/>
              </w:rPr>
              <w:t>empresas</w:t>
            </w:r>
            <w:proofErr w:type="spellEnd"/>
            <w:r>
              <w:rPr>
                <w:rFonts w:ascii="Arial" w:hAnsi="Arial" w:cs="Arial"/>
              </w:rPr>
              <w:t xml:space="preserve">, hasta por un </w:t>
            </w:r>
            <w:proofErr w:type="spellStart"/>
            <w:r>
              <w:rPr>
                <w:rFonts w:ascii="Arial" w:hAnsi="Arial" w:cs="Arial"/>
              </w:rPr>
              <w:t>año</w:t>
            </w:r>
            <w:proofErr w:type="spellEnd"/>
            <w:r>
              <w:rPr>
                <w:rFonts w:ascii="Arial" w:hAnsi="Arial" w:cs="Arial"/>
              </w:rPr>
              <w:t>.</w:t>
            </w:r>
          </w:p>
        </w:tc>
        <w:tc>
          <w:tcPr>
            <w:tcW w:w="1975" w:type="dxa"/>
          </w:tcPr>
          <w:p w14:paraId="6264176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16 UMA</w:t>
            </w:r>
          </w:p>
        </w:tc>
      </w:tr>
      <w:tr w:rsidR="00D3344B" w14:paraId="7689B58F" w14:textId="77777777">
        <w:trPr>
          <w:cantSplit/>
          <w:trHeight w:val="569"/>
        </w:trPr>
        <w:tc>
          <w:tcPr>
            <w:tcW w:w="802" w:type="dxa"/>
          </w:tcPr>
          <w:p w14:paraId="6A1C8FE3" w14:textId="77777777" w:rsidR="00D3344B" w:rsidRDefault="00D3344B">
            <w:pPr>
              <w:pStyle w:val="Sinespaciado"/>
              <w:widowControl w:val="0"/>
              <w:spacing w:line="276" w:lineRule="auto"/>
              <w:rPr>
                <w:rFonts w:ascii="Arial" w:hAnsi="Arial" w:cs="Arial"/>
              </w:rPr>
            </w:pPr>
          </w:p>
        </w:tc>
        <w:tc>
          <w:tcPr>
            <w:tcW w:w="7195" w:type="dxa"/>
            <w:vAlign w:val="bottom"/>
          </w:tcPr>
          <w:p w14:paraId="64C8E42F"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09E6CE6C" w14:textId="77777777" w:rsidR="00D3344B" w:rsidRDefault="00D3344B">
            <w:pPr>
              <w:pStyle w:val="Sinespaciado"/>
              <w:widowControl w:val="0"/>
              <w:spacing w:line="276" w:lineRule="auto"/>
              <w:ind w:left="213"/>
              <w:jc w:val="both"/>
              <w:rPr>
                <w:rFonts w:ascii="Arial" w:hAnsi="Arial" w:cs="Arial"/>
              </w:rPr>
            </w:pPr>
          </w:p>
        </w:tc>
      </w:tr>
      <w:tr w:rsidR="00D3344B" w14:paraId="31F08975" w14:textId="77777777">
        <w:trPr>
          <w:cantSplit/>
          <w:trHeight w:val="569"/>
        </w:trPr>
        <w:tc>
          <w:tcPr>
            <w:tcW w:w="802" w:type="dxa"/>
          </w:tcPr>
          <w:p w14:paraId="1C073539" w14:textId="77777777" w:rsidR="00D3344B" w:rsidRDefault="00D3344B">
            <w:pPr>
              <w:pStyle w:val="Sinespaciado"/>
              <w:widowControl w:val="0"/>
              <w:spacing w:line="276" w:lineRule="auto"/>
              <w:rPr>
                <w:rFonts w:ascii="Arial" w:hAnsi="Arial" w:cs="Arial"/>
              </w:rPr>
            </w:pPr>
          </w:p>
        </w:tc>
        <w:tc>
          <w:tcPr>
            <w:tcW w:w="7195" w:type="dxa"/>
          </w:tcPr>
          <w:p w14:paraId="5B91925D" w14:textId="77777777" w:rsidR="00D3344B" w:rsidRDefault="00143C25">
            <w:pPr>
              <w:pStyle w:val="Sinespaciado"/>
              <w:widowControl w:val="0"/>
              <w:spacing w:line="276" w:lineRule="auto"/>
              <w:ind w:left="494" w:hanging="494"/>
              <w:jc w:val="both"/>
              <w:rPr>
                <w:rFonts w:ascii="Arial" w:hAnsi="Arial" w:cs="Arial"/>
              </w:rPr>
            </w:pPr>
            <w:proofErr w:type="spellStart"/>
            <w:r>
              <w:rPr>
                <w:rFonts w:ascii="Arial" w:hAnsi="Arial" w:cs="Arial"/>
              </w:rPr>
              <w:t>i</w:t>
            </w:r>
            <w:proofErr w:type="spellEnd"/>
            <w:r>
              <w:rPr>
                <w:rFonts w:ascii="Arial" w:hAnsi="Arial" w:cs="Arial"/>
              </w:rPr>
              <w:t xml:space="preserve">)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permisos</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de personal o escolar por </w:t>
            </w:r>
            <w:proofErr w:type="spellStart"/>
            <w:r>
              <w:rPr>
                <w:rFonts w:ascii="Arial" w:hAnsi="Arial" w:cs="Arial"/>
              </w:rPr>
              <w:t>cambio</w:t>
            </w:r>
            <w:proofErr w:type="spellEnd"/>
            <w:r>
              <w:rPr>
                <w:rFonts w:ascii="Arial" w:hAnsi="Arial" w:cs="Arial"/>
              </w:rPr>
              <w:t xml:space="preserve"> de </w:t>
            </w:r>
            <w:proofErr w:type="spellStart"/>
            <w:r>
              <w:rPr>
                <w:rFonts w:ascii="Arial" w:hAnsi="Arial" w:cs="Arial"/>
              </w:rPr>
              <w:t>unidad</w:t>
            </w:r>
            <w:proofErr w:type="spellEnd"/>
            <w:r>
              <w:rPr>
                <w:rFonts w:ascii="Arial" w:hAnsi="Arial" w:cs="Arial"/>
              </w:rPr>
              <w:t>.</w:t>
            </w:r>
          </w:p>
          <w:p w14:paraId="7AA8DEA3" w14:textId="77777777" w:rsidR="00D3344B" w:rsidRDefault="00D3344B">
            <w:pPr>
              <w:pStyle w:val="Sinespaciado"/>
              <w:widowControl w:val="0"/>
              <w:spacing w:line="276" w:lineRule="auto"/>
              <w:ind w:left="494" w:hanging="494"/>
              <w:jc w:val="both"/>
              <w:rPr>
                <w:rFonts w:ascii="Arial" w:hAnsi="Arial" w:cs="Arial"/>
              </w:rPr>
            </w:pPr>
          </w:p>
          <w:p w14:paraId="3B71FFC9" w14:textId="77777777" w:rsidR="00D3344B" w:rsidRDefault="00143C25">
            <w:pPr>
              <w:pStyle w:val="Sinespaciado"/>
              <w:widowControl w:val="0"/>
              <w:spacing w:line="276" w:lineRule="auto"/>
              <w:ind w:left="494" w:hanging="494"/>
              <w:jc w:val="both"/>
              <w:rPr>
                <w:rFonts w:ascii="Arial" w:hAnsi="Arial" w:cs="Arial"/>
                <w:i/>
                <w:iCs/>
                <w:sz w:val="16"/>
                <w:szCs w:val="16"/>
              </w:rPr>
            </w:pPr>
            <w:r>
              <w:rPr>
                <w:rFonts w:ascii="Arial" w:hAnsi="Arial" w:cs="Arial"/>
                <w:i/>
                <w:iCs/>
                <w:sz w:val="16"/>
                <w:szCs w:val="16"/>
              </w:rPr>
              <w:t>(ADICIONADO, P.O. 22 DE DICIEMBRE DE 2021)</w:t>
            </w:r>
          </w:p>
          <w:p w14:paraId="1F6EA381" w14:textId="77777777" w:rsidR="00D3344B" w:rsidRDefault="00143C25">
            <w:pPr>
              <w:pStyle w:val="Sinespaciado"/>
              <w:widowControl w:val="0"/>
              <w:jc w:val="both"/>
              <w:rPr>
                <w:rFonts w:ascii="Arial" w:hAnsi="Arial" w:cs="Arial"/>
              </w:rPr>
            </w:pPr>
            <w:r>
              <w:rPr>
                <w:rFonts w:ascii="Arial" w:hAnsi="Arial" w:cs="Arial"/>
              </w:rPr>
              <w:t xml:space="preserve">Se </w:t>
            </w:r>
            <w:proofErr w:type="spellStart"/>
            <w:r>
              <w:rPr>
                <w:rFonts w:ascii="Arial" w:hAnsi="Arial" w:cs="Arial"/>
              </w:rPr>
              <w:t>exceptuará</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pago</w:t>
            </w:r>
            <w:proofErr w:type="spellEnd"/>
            <w:r>
              <w:rPr>
                <w:rFonts w:ascii="Arial" w:hAnsi="Arial" w:cs="Arial"/>
              </w:rPr>
              <w:t xml:space="preserve"> de los derechos </w:t>
            </w:r>
            <w:proofErr w:type="spellStart"/>
            <w:r>
              <w:rPr>
                <w:rFonts w:ascii="Arial" w:hAnsi="Arial" w:cs="Arial"/>
              </w:rPr>
              <w:t>establecidos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fracción</w:t>
            </w:r>
            <w:proofErr w:type="spellEnd"/>
            <w:r>
              <w:rPr>
                <w:rFonts w:ascii="Arial" w:hAnsi="Arial" w:cs="Arial"/>
              </w:rPr>
              <w:t xml:space="preserve"> </w:t>
            </w:r>
            <w:proofErr w:type="spellStart"/>
            <w:r>
              <w:rPr>
                <w:rFonts w:ascii="Arial" w:hAnsi="Arial" w:cs="Arial"/>
              </w:rPr>
              <w:t>cuando</w:t>
            </w:r>
            <w:proofErr w:type="spellEnd"/>
            <w:r>
              <w:rPr>
                <w:rFonts w:ascii="Arial" w:hAnsi="Arial" w:cs="Arial"/>
              </w:rPr>
              <w:t xml:space="preserve"> se </w:t>
            </w:r>
            <w:proofErr w:type="spellStart"/>
            <w:r>
              <w:rPr>
                <w:rFonts w:ascii="Arial" w:hAnsi="Arial" w:cs="Arial"/>
              </w:rPr>
              <w:t>trate</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al </w:t>
            </w:r>
            <w:proofErr w:type="spellStart"/>
            <w:r>
              <w:rPr>
                <w:rFonts w:ascii="Arial" w:hAnsi="Arial" w:cs="Arial"/>
              </w:rPr>
              <w:t>servicio</w:t>
            </w:r>
            <w:proofErr w:type="spellEnd"/>
            <w:r>
              <w:rPr>
                <w:rFonts w:ascii="Arial" w:hAnsi="Arial" w:cs="Arial"/>
              </w:rPr>
              <w:t xml:space="preserve"> de la </w:t>
            </w:r>
            <w:proofErr w:type="spellStart"/>
            <w:r>
              <w:rPr>
                <w:rFonts w:ascii="Arial" w:hAnsi="Arial" w:cs="Arial"/>
              </w:rPr>
              <w:t>seguridad</w:t>
            </w:r>
            <w:proofErr w:type="spellEnd"/>
            <w:r>
              <w:rPr>
                <w:rFonts w:ascii="Arial" w:hAnsi="Arial" w:cs="Arial"/>
              </w:rPr>
              <w:t xml:space="preserve"> de </w:t>
            </w:r>
            <w:proofErr w:type="spellStart"/>
            <w:r>
              <w:rPr>
                <w:rFonts w:ascii="Arial" w:hAnsi="Arial" w:cs="Arial"/>
              </w:rPr>
              <w:t>instituciones</w:t>
            </w:r>
            <w:proofErr w:type="spellEnd"/>
            <w:r>
              <w:rPr>
                <w:rFonts w:ascii="Arial" w:hAnsi="Arial" w:cs="Arial"/>
              </w:rPr>
              <w:t xml:space="preserve"> </w:t>
            </w:r>
            <w:proofErr w:type="spellStart"/>
            <w:r>
              <w:rPr>
                <w:rFonts w:ascii="Arial" w:hAnsi="Arial" w:cs="Arial"/>
              </w:rPr>
              <w:t>estatales</w:t>
            </w:r>
            <w:proofErr w:type="spellEnd"/>
            <w:r>
              <w:rPr>
                <w:rFonts w:ascii="Arial" w:hAnsi="Arial" w:cs="Arial"/>
              </w:rPr>
              <w:t>.</w:t>
            </w:r>
          </w:p>
        </w:tc>
        <w:tc>
          <w:tcPr>
            <w:tcW w:w="1975" w:type="dxa"/>
          </w:tcPr>
          <w:p w14:paraId="72834B66"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7325A080" w14:textId="77777777">
        <w:trPr>
          <w:cantSplit/>
          <w:trHeight w:val="569"/>
        </w:trPr>
        <w:tc>
          <w:tcPr>
            <w:tcW w:w="802" w:type="dxa"/>
          </w:tcPr>
          <w:p w14:paraId="73D61BA7" w14:textId="77777777" w:rsidR="00D3344B" w:rsidRDefault="00D3344B">
            <w:pPr>
              <w:pStyle w:val="Sinespaciado"/>
              <w:widowControl w:val="0"/>
              <w:spacing w:line="276" w:lineRule="auto"/>
              <w:rPr>
                <w:rFonts w:ascii="Arial" w:hAnsi="Arial" w:cs="Arial"/>
              </w:rPr>
            </w:pPr>
          </w:p>
        </w:tc>
        <w:tc>
          <w:tcPr>
            <w:tcW w:w="7195" w:type="dxa"/>
            <w:vAlign w:val="bottom"/>
          </w:tcPr>
          <w:p w14:paraId="77EFC0D0"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(REFORMADO PRIMER PÁRRAFO, P.O. 31 DE DICIEMBRE DE 2007)</w:t>
            </w:r>
          </w:p>
        </w:tc>
        <w:tc>
          <w:tcPr>
            <w:tcW w:w="1975" w:type="dxa"/>
          </w:tcPr>
          <w:p w14:paraId="43C4E22D" w14:textId="77777777" w:rsidR="00D3344B" w:rsidRDefault="00D3344B">
            <w:pPr>
              <w:pStyle w:val="Sinespaciado"/>
              <w:widowControl w:val="0"/>
              <w:spacing w:line="276" w:lineRule="auto"/>
              <w:ind w:left="213"/>
              <w:jc w:val="both"/>
              <w:rPr>
                <w:rFonts w:ascii="Arial" w:hAnsi="Arial" w:cs="Arial"/>
              </w:rPr>
            </w:pPr>
          </w:p>
        </w:tc>
      </w:tr>
      <w:tr w:rsidR="00D3344B" w14:paraId="6B126095" w14:textId="77777777">
        <w:trPr>
          <w:cantSplit/>
          <w:trHeight w:val="701"/>
        </w:trPr>
        <w:tc>
          <w:tcPr>
            <w:tcW w:w="802" w:type="dxa"/>
          </w:tcPr>
          <w:p w14:paraId="058B4BA2" w14:textId="77777777" w:rsidR="00D3344B" w:rsidRDefault="00143C25">
            <w:pPr>
              <w:pStyle w:val="Sinespaciado"/>
              <w:widowControl w:val="0"/>
              <w:spacing w:line="276" w:lineRule="auto"/>
              <w:rPr>
                <w:rFonts w:ascii="Arial" w:hAnsi="Arial" w:cs="Arial"/>
              </w:rPr>
            </w:pPr>
            <w:r>
              <w:rPr>
                <w:rFonts w:ascii="Arial" w:hAnsi="Arial" w:cs="Arial"/>
              </w:rPr>
              <w:t>XIII.</w:t>
            </w:r>
          </w:p>
        </w:tc>
        <w:tc>
          <w:tcPr>
            <w:tcW w:w="7195" w:type="dxa"/>
          </w:tcPr>
          <w:p w14:paraId="4BE14684" w14:textId="77777777" w:rsidR="00D3344B" w:rsidRDefault="00143C25">
            <w:pPr>
              <w:pStyle w:val="Sinespaciado"/>
              <w:widowControl w:val="0"/>
              <w:spacing w:line="276" w:lineRule="auto"/>
              <w:rPr>
                <w:rFonts w:ascii="Arial" w:hAnsi="Arial" w:cs="Arial"/>
                <w:i/>
                <w:sz w:val="16"/>
                <w:szCs w:val="16"/>
              </w:rPr>
            </w:pPr>
            <w:proofErr w:type="spellStart"/>
            <w:r>
              <w:rPr>
                <w:rFonts w:ascii="Arial" w:hAnsi="Arial" w:cs="Arial"/>
              </w:rPr>
              <w:t>Refrendo</w:t>
            </w:r>
            <w:proofErr w:type="spellEnd"/>
            <w:r>
              <w:rPr>
                <w:rFonts w:ascii="Arial" w:hAnsi="Arial" w:cs="Arial"/>
              </w:rPr>
              <w:t xml:space="preserve"> </w:t>
            </w:r>
            <w:proofErr w:type="spellStart"/>
            <w:r>
              <w:rPr>
                <w:rFonts w:ascii="Arial" w:hAnsi="Arial" w:cs="Arial"/>
              </w:rPr>
              <w:t>anual</w:t>
            </w:r>
            <w:proofErr w:type="spellEnd"/>
            <w:r>
              <w:rPr>
                <w:rFonts w:ascii="Arial" w:hAnsi="Arial" w:cs="Arial"/>
              </w:rPr>
              <w:t xml:space="preserve"> de la </w:t>
            </w:r>
            <w:proofErr w:type="spellStart"/>
            <w:r>
              <w:rPr>
                <w:rFonts w:ascii="Arial" w:hAnsi="Arial" w:cs="Arial"/>
              </w:rPr>
              <w:t>documentación</w:t>
            </w:r>
            <w:proofErr w:type="spellEnd"/>
            <w:r>
              <w:rPr>
                <w:rFonts w:ascii="Arial" w:hAnsi="Arial" w:cs="Arial"/>
              </w:rPr>
              <w:t xml:space="preserve"> del </w:t>
            </w:r>
            <w:proofErr w:type="spellStart"/>
            <w:r>
              <w:rPr>
                <w:rFonts w:ascii="Arial" w:hAnsi="Arial" w:cs="Arial"/>
              </w:rPr>
              <w:t>transporte</w:t>
            </w:r>
            <w:proofErr w:type="spellEnd"/>
            <w:r>
              <w:rPr>
                <w:rFonts w:ascii="Arial" w:hAnsi="Arial" w:cs="Arial"/>
              </w:rPr>
              <w:t xml:space="preserve"> privado, </w:t>
            </w:r>
            <w:proofErr w:type="spellStart"/>
            <w:r>
              <w:rPr>
                <w:rFonts w:ascii="Arial" w:hAnsi="Arial" w:cs="Arial"/>
              </w:rPr>
              <w:t>incluye</w:t>
            </w:r>
            <w:proofErr w:type="spellEnd"/>
            <w:r>
              <w:rPr>
                <w:rFonts w:ascii="Arial" w:hAnsi="Arial" w:cs="Arial"/>
              </w:rPr>
              <w:t xml:space="preserve"> </w:t>
            </w:r>
            <w:proofErr w:type="spellStart"/>
            <w:r>
              <w:rPr>
                <w:rFonts w:ascii="Arial" w:hAnsi="Arial" w:cs="Arial"/>
              </w:rPr>
              <w:t>holograma</w:t>
            </w:r>
            <w:proofErr w:type="spellEnd"/>
            <w:r>
              <w:rPr>
                <w:rFonts w:ascii="Arial" w:hAnsi="Arial" w:cs="Arial"/>
              </w:rPr>
              <w:t>:</w:t>
            </w:r>
          </w:p>
        </w:tc>
        <w:tc>
          <w:tcPr>
            <w:tcW w:w="1975" w:type="dxa"/>
          </w:tcPr>
          <w:p w14:paraId="1C5B066E" w14:textId="77777777" w:rsidR="00D3344B" w:rsidRDefault="00D3344B">
            <w:pPr>
              <w:pStyle w:val="Sinespaciado"/>
              <w:widowControl w:val="0"/>
              <w:spacing w:line="276" w:lineRule="auto"/>
              <w:rPr>
                <w:rFonts w:ascii="Arial" w:hAnsi="Arial" w:cs="Arial"/>
              </w:rPr>
            </w:pPr>
          </w:p>
        </w:tc>
      </w:tr>
      <w:tr w:rsidR="00D3344B" w14:paraId="6A4DFCC8" w14:textId="77777777">
        <w:trPr>
          <w:cantSplit/>
          <w:trHeight w:val="429"/>
        </w:trPr>
        <w:tc>
          <w:tcPr>
            <w:tcW w:w="802" w:type="dxa"/>
          </w:tcPr>
          <w:p w14:paraId="3B101DEE" w14:textId="77777777" w:rsidR="00D3344B" w:rsidRDefault="00D3344B">
            <w:pPr>
              <w:pStyle w:val="Sinespaciado"/>
              <w:widowControl w:val="0"/>
              <w:spacing w:line="276" w:lineRule="auto"/>
              <w:rPr>
                <w:rFonts w:ascii="Arial" w:hAnsi="Arial" w:cs="Arial"/>
              </w:rPr>
            </w:pPr>
          </w:p>
        </w:tc>
        <w:tc>
          <w:tcPr>
            <w:tcW w:w="7195" w:type="dxa"/>
            <w:vAlign w:val="bottom"/>
          </w:tcPr>
          <w:p w14:paraId="7458F937"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145DB74F" w14:textId="77777777" w:rsidR="00D3344B" w:rsidRDefault="00D3344B">
            <w:pPr>
              <w:pStyle w:val="Sinespaciado"/>
              <w:widowControl w:val="0"/>
              <w:spacing w:line="276" w:lineRule="auto"/>
              <w:rPr>
                <w:rFonts w:ascii="Arial" w:hAnsi="Arial" w:cs="Arial"/>
              </w:rPr>
            </w:pPr>
          </w:p>
        </w:tc>
      </w:tr>
      <w:tr w:rsidR="00D3344B" w14:paraId="5BDD6A1B" w14:textId="77777777">
        <w:trPr>
          <w:cantSplit/>
          <w:trHeight w:val="443"/>
        </w:trPr>
        <w:tc>
          <w:tcPr>
            <w:tcW w:w="802" w:type="dxa"/>
          </w:tcPr>
          <w:p w14:paraId="4CE76F81" w14:textId="77777777" w:rsidR="00D3344B" w:rsidRDefault="00D3344B">
            <w:pPr>
              <w:pStyle w:val="Sinespaciado"/>
              <w:widowControl w:val="0"/>
              <w:spacing w:line="276" w:lineRule="auto"/>
              <w:jc w:val="both"/>
              <w:rPr>
                <w:rFonts w:ascii="Arial" w:hAnsi="Arial" w:cs="Arial"/>
              </w:rPr>
            </w:pPr>
          </w:p>
        </w:tc>
        <w:tc>
          <w:tcPr>
            <w:tcW w:w="7195" w:type="dxa"/>
          </w:tcPr>
          <w:p w14:paraId="65AD8273" w14:textId="77777777" w:rsidR="00D3344B" w:rsidRDefault="00143C25">
            <w:pPr>
              <w:pStyle w:val="Sinespaciado"/>
              <w:widowControl w:val="0"/>
              <w:spacing w:line="276" w:lineRule="auto"/>
              <w:ind w:left="494" w:hanging="494"/>
              <w:rPr>
                <w:rFonts w:ascii="Arial" w:hAnsi="Arial" w:cs="Arial"/>
              </w:rPr>
            </w:pPr>
            <w:r>
              <w:rPr>
                <w:rFonts w:ascii="Arial" w:hAnsi="Arial" w:cs="Arial"/>
              </w:rPr>
              <w:t>a)     Autobuses y micros.</w:t>
            </w:r>
          </w:p>
        </w:tc>
        <w:tc>
          <w:tcPr>
            <w:tcW w:w="1975" w:type="dxa"/>
          </w:tcPr>
          <w:p w14:paraId="4C7266C5" w14:textId="77777777" w:rsidR="00D3344B" w:rsidRDefault="00143C25">
            <w:pPr>
              <w:pStyle w:val="Sinespaciado"/>
              <w:widowControl w:val="0"/>
              <w:spacing w:line="276" w:lineRule="auto"/>
              <w:ind w:left="213"/>
              <w:rPr>
                <w:rFonts w:ascii="Arial" w:hAnsi="Arial" w:cs="Arial"/>
              </w:rPr>
            </w:pPr>
            <w:r>
              <w:rPr>
                <w:rFonts w:ascii="Arial" w:hAnsi="Arial" w:cs="Arial"/>
                <w:b/>
              </w:rPr>
              <w:t>8.5 UMA</w:t>
            </w:r>
          </w:p>
        </w:tc>
      </w:tr>
      <w:tr w:rsidR="00D3344B" w14:paraId="347A745F" w14:textId="77777777">
        <w:trPr>
          <w:cantSplit/>
          <w:trHeight w:val="416"/>
        </w:trPr>
        <w:tc>
          <w:tcPr>
            <w:tcW w:w="802" w:type="dxa"/>
          </w:tcPr>
          <w:p w14:paraId="583C862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4F30858"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1A93D5B6" w14:textId="77777777" w:rsidR="00D3344B" w:rsidRDefault="00D3344B">
            <w:pPr>
              <w:pStyle w:val="Sinespaciado"/>
              <w:widowControl w:val="0"/>
              <w:spacing w:line="276" w:lineRule="auto"/>
              <w:ind w:left="213"/>
              <w:rPr>
                <w:rFonts w:ascii="Arial" w:hAnsi="Arial" w:cs="Arial"/>
                <w:b/>
              </w:rPr>
            </w:pPr>
          </w:p>
        </w:tc>
      </w:tr>
      <w:tr w:rsidR="00D3344B" w14:paraId="79CCD3B9" w14:textId="77777777">
        <w:trPr>
          <w:cantSplit/>
          <w:trHeight w:val="426"/>
        </w:trPr>
        <w:tc>
          <w:tcPr>
            <w:tcW w:w="802" w:type="dxa"/>
          </w:tcPr>
          <w:p w14:paraId="58CF1E67" w14:textId="77777777" w:rsidR="00D3344B" w:rsidRDefault="00D3344B">
            <w:pPr>
              <w:pStyle w:val="Sinespaciado"/>
              <w:widowControl w:val="0"/>
              <w:spacing w:line="276" w:lineRule="auto"/>
              <w:jc w:val="both"/>
              <w:rPr>
                <w:rFonts w:ascii="Arial" w:hAnsi="Arial" w:cs="Arial"/>
              </w:rPr>
            </w:pPr>
          </w:p>
        </w:tc>
        <w:tc>
          <w:tcPr>
            <w:tcW w:w="7195" w:type="dxa"/>
          </w:tcPr>
          <w:p w14:paraId="1CCE309C"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b)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2D2B8652" w14:textId="77777777" w:rsidR="00D3344B" w:rsidRDefault="00143C25">
            <w:pPr>
              <w:pStyle w:val="Sinespaciado"/>
              <w:widowControl w:val="0"/>
              <w:spacing w:line="276" w:lineRule="auto"/>
              <w:ind w:left="213"/>
              <w:rPr>
                <w:rFonts w:ascii="Arial" w:hAnsi="Arial" w:cs="Arial"/>
              </w:rPr>
            </w:pPr>
            <w:r>
              <w:rPr>
                <w:rFonts w:ascii="Arial" w:hAnsi="Arial" w:cs="Arial"/>
                <w:b/>
              </w:rPr>
              <w:t>4 UMA</w:t>
            </w:r>
          </w:p>
        </w:tc>
      </w:tr>
      <w:tr w:rsidR="00D3344B" w14:paraId="2BA79C41" w14:textId="77777777">
        <w:trPr>
          <w:cantSplit/>
          <w:trHeight w:val="446"/>
        </w:trPr>
        <w:tc>
          <w:tcPr>
            <w:tcW w:w="802" w:type="dxa"/>
          </w:tcPr>
          <w:p w14:paraId="41E35B8A"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4A3B965F"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6B04A129" w14:textId="77777777" w:rsidR="00D3344B" w:rsidRDefault="00D3344B">
            <w:pPr>
              <w:pStyle w:val="Sinespaciado"/>
              <w:widowControl w:val="0"/>
              <w:spacing w:line="276" w:lineRule="auto"/>
              <w:ind w:left="213"/>
              <w:rPr>
                <w:rFonts w:ascii="Arial" w:hAnsi="Arial" w:cs="Arial"/>
                <w:b/>
              </w:rPr>
            </w:pPr>
          </w:p>
        </w:tc>
      </w:tr>
      <w:tr w:rsidR="00D3344B" w14:paraId="5C526587" w14:textId="77777777">
        <w:trPr>
          <w:cantSplit/>
          <w:trHeight w:val="411"/>
        </w:trPr>
        <w:tc>
          <w:tcPr>
            <w:tcW w:w="802" w:type="dxa"/>
          </w:tcPr>
          <w:p w14:paraId="582234EA" w14:textId="77777777" w:rsidR="00D3344B" w:rsidRDefault="00D3344B">
            <w:pPr>
              <w:pStyle w:val="Sinespaciado"/>
              <w:widowControl w:val="0"/>
              <w:spacing w:line="276" w:lineRule="auto"/>
              <w:jc w:val="both"/>
              <w:rPr>
                <w:rFonts w:ascii="Arial" w:hAnsi="Arial" w:cs="Arial"/>
              </w:rPr>
            </w:pPr>
          </w:p>
        </w:tc>
        <w:tc>
          <w:tcPr>
            <w:tcW w:w="7195" w:type="dxa"/>
          </w:tcPr>
          <w:p w14:paraId="3354E3E7"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c)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tcPr>
          <w:p w14:paraId="5AB7E829" w14:textId="77777777" w:rsidR="00D3344B" w:rsidRDefault="00143C25">
            <w:pPr>
              <w:pStyle w:val="Sinespaciado"/>
              <w:widowControl w:val="0"/>
              <w:spacing w:line="276" w:lineRule="auto"/>
              <w:ind w:left="213"/>
              <w:rPr>
                <w:rFonts w:ascii="Arial" w:hAnsi="Arial" w:cs="Arial"/>
              </w:rPr>
            </w:pPr>
            <w:r>
              <w:rPr>
                <w:rFonts w:ascii="Arial" w:hAnsi="Arial" w:cs="Arial"/>
                <w:b/>
              </w:rPr>
              <w:t>8.5 UMA</w:t>
            </w:r>
          </w:p>
        </w:tc>
      </w:tr>
      <w:tr w:rsidR="00D3344B" w14:paraId="13AF76D8" w14:textId="77777777">
        <w:trPr>
          <w:cantSplit/>
          <w:trHeight w:val="406"/>
        </w:trPr>
        <w:tc>
          <w:tcPr>
            <w:tcW w:w="802" w:type="dxa"/>
          </w:tcPr>
          <w:p w14:paraId="600DD6D0"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DF6E38D"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5384409C" w14:textId="77777777" w:rsidR="00D3344B" w:rsidRDefault="00D3344B">
            <w:pPr>
              <w:pStyle w:val="Sinespaciado"/>
              <w:widowControl w:val="0"/>
              <w:spacing w:line="276" w:lineRule="auto"/>
              <w:ind w:left="213"/>
              <w:rPr>
                <w:rFonts w:ascii="Arial" w:hAnsi="Arial" w:cs="Arial"/>
                <w:b/>
              </w:rPr>
            </w:pPr>
          </w:p>
        </w:tc>
      </w:tr>
      <w:tr w:rsidR="00D3344B" w14:paraId="61F8CF91" w14:textId="77777777">
        <w:trPr>
          <w:cantSplit/>
          <w:trHeight w:val="734"/>
        </w:trPr>
        <w:tc>
          <w:tcPr>
            <w:tcW w:w="802" w:type="dxa"/>
          </w:tcPr>
          <w:p w14:paraId="4D6EEB99" w14:textId="77777777" w:rsidR="00D3344B" w:rsidRDefault="00D3344B">
            <w:pPr>
              <w:pStyle w:val="Sinespaciado"/>
              <w:widowControl w:val="0"/>
              <w:spacing w:line="276" w:lineRule="auto"/>
              <w:jc w:val="both"/>
              <w:rPr>
                <w:rFonts w:ascii="Arial" w:hAnsi="Arial" w:cs="Arial"/>
              </w:rPr>
            </w:pPr>
          </w:p>
        </w:tc>
        <w:tc>
          <w:tcPr>
            <w:tcW w:w="7195" w:type="dxa"/>
          </w:tcPr>
          <w:p w14:paraId="33513017"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d)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hasta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4CAE9E39" w14:textId="77777777" w:rsidR="00D3344B" w:rsidRDefault="00143C25">
            <w:pPr>
              <w:pStyle w:val="Sinespaciado"/>
              <w:widowControl w:val="0"/>
              <w:spacing w:line="276" w:lineRule="auto"/>
              <w:ind w:left="213"/>
              <w:rPr>
                <w:rFonts w:ascii="Arial" w:hAnsi="Arial" w:cs="Arial"/>
              </w:rPr>
            </w:pPr>
            <w:r>
              <w:rPr>
                <w:rFonts w:ascii="Arial" w:hAnsi="Arial" w:cs="Arial"/>
                <w:b/>
              </w:rPr>
              <w:t>2 UMA</w:t>
            </w:r>
          </w:p>
        </w:tc>
      </w:tr>
      <w:tr w:rsidR="00D3344B" w14:paraId="29885CB8" w14:textId="77777777">
        <w:trPr>
          <w:cantSplit/>
          <w:trHeight w:val="419"/>
        </w:trPr>
        <w:tc>
          <w:tcPr>
            <w:tcW w:w="802" w:type="dxa"/>
          </w:tcPr>
          <w:p w14:paraId="213FC5DE"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696A779"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7CA38DEB" w14:textId="77777777" w:rsidR="00D3344B" w:rsidRDefault="00D3344B">
            <w:pPr>
              <w:pStyle w:val="Sinespaciado"/>
              <w:widowControl w:val="0"/>
              <w:spacing w:line="276" w:lineRule="auto"/>
              <w:ind w:left="213"/>
              <w:rPr>
                <w:rFonts w:ascii="Arial" w:hAnsi="Arial" w:cs="Arial"/>
                <w:b/>
              </w:rPr>
            </w:pPr>
          </w:p>
        </w:tc>
      </w:tr>
      <w:tr w:rsidR="00D3344B" w14:paraId="3C02CB13" w14:textId="77777777">
        <w:trPr>
          <w:cantSplit/>
          <w:trHeight w:val="708"/>
        </w:trPr>
        <w:tc>
          <w:tcPr>
            <w:tcW w:w="802" w:type="dxa"/>
          </w:tcPr>
          <w:p w14:paraId="6F59CB7E" w14:textId="77777777" w:rsidR="00D3344B" w:rsidRDefault="00D3344B">
            <w:pPr>
              <w:pStyle w:val="Sinespaciado"/>
              <w:widowControl w:val="0"/>
              <w:spacing w:line="276" w:lineRule="auto"/>
              <w:jc w:val="both"/>
              <w:rPr>
                <w:rFonts w:ascii="Arial" w:hAnsi="Arial" w:cs="Arial"/>
              </w:rPr>
            </w:pPr>
          </w:p>
        </w:tc>
        <w:tc>
          <w:tcPr>
            <w:tcW w:w="7195" w:type="dxa"/>
          </w:tcPr>
          <w:p w14:paraId="62E09A01"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e)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w:t>
            </w:r>
            <w:proofErr w:type="spellStart"/>
            <w:r>
              <w:rPr>
                <w:rFonts w:ascii="Arial" w:hAnsi="Arial" w:cs="Arial"/>
              </w:rPr>
              <w:t>más</w:t>
            </w:r>
            <w:proofErr w:type="spellEnd"/>
            <w:r>
              <w:rPr>
                <w:rFonts w:ascii="Arial" w:hAnsi="Arial" w:cs="Arial"/>
              </w:rPr>
              <w:t xml:space="preserve"> de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5D8114AB" w14:textId="77777777" w:rsidR="00D3344B" w:rsidRDefault="00143C25">
            <w:pPr>
              <w:pStyle w:val="Sinespaciado"/>
              <w:widowControl w:val="0"/>
              <w:spacing w:line="276" w:lineRule="auto"/>
              <w:ind w:left="213"/>
              <w:rPr>
                <w:rFonts w:ascii="Arial" w:hAnsi="Arial" w:cs="Arial"/>
              </w:rPr>
            </w:pPr>
            <w:r>
              <w:rPr>
                <w:rFonts w:ascii="Arial" w:hAnsi="Arial" w:cs="Arial"/>
                <w:b/>
              </w:rPr>
              <w:t>4 UMA</w:t>
            </w:r>
          </w:p>
        </w:tc>
      </w:tr>
      <w:tr w:rsidR="00D3344B" w14:paraId="0AB2981D" w14:textId="77777777">
        <w:trPr>
          <w:cantSplit/>
          <w:trHeight w:val="323"/>
        </w:trPr>
        <w:tc>
          <w:tcPr>
            <w:tcW w:w="802" w:type="dxa"/>
          </w:tcPr>
          <w:p w14:paraId="52356168"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64E6B3E3"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018FF4E5" w14:textId="77777777" w:rsidR="00D3344B" w:rsidRDefault="00D3344B">
            <w:pPr>
              <w:pStyle w:val="Sinespaciado"/>
              <w:widowControl w:val="0"/>
              <w:spacing w:line="276" w:lineRule="auto"/>
              <w:ind w:left="213"/>
              <w:rPr>
                <w:rFonts w:ascii="Arial" w:hAnsi="Arial" w:cs="Arial"/>
                <w:b/>
              </w:rPr>
            </w:pPr>
          </w:p>
        </w:tc>
      </w:tr>
      <w:tr w:rsidR="00D3344B" w14:paraId="174B6C7A" w14:textId="77777777">
        <w:trPr>
          <w:cantSplit/>
          <w:trHeight w:val="382"/>
        </w:trPr>
        <w:tc>
          <w:tcPr>
            <w:tcW w:w="802" w:type="dxa"/>
          </w:tcPr>
          <w:p w14:paraId="00823661" w14:textId="77777777" w:rsidR="00D3344B" w:rsidRDefault="00D3344B">
            <w:pPr>
              <w:pStyle w:val="Sinespaciado"/>
              <w:widowControl w:val="0"/>
              <w:spacing w:line="276" w:lineRule="auto"/>
              <w:jc w:val="both"/>
              <w:rPr>
                <w:rFonts w:ascii="Arial" w:hAnsi="Arial" w:cs="Arial"/>
              </w:rPr>
            </w:pPr>
          </w:p>
        </w:tc>
        <w:tc>
          <w:tcPr>
            <w:tcW w:w="7195" w:type="dxa"/>
          </w:tcPr>
          <w:p w14:paraId="1E6CDBCE"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f)      </w:t>
            </w:r>
            <w:proofErr w:type="spellStart"/>
            <w:r>
              <w:rPr>
                <w:rFonts w:ascii="Arial" w:hAnsi="Arial" w:cs="Arial"/>
              </w:rPr>
              <w:t>Motocicletas</w:t>
            </w:r>
            <w:proofErr w:type="spellEnd"/>
            <w:r>
              <w:rPr>
                <w:rFonts w:ascii="Arial" w:hAnsi="Arial" w:cs="Arial"/>
              </w:rPr>
              <w:t>.</w:t>
            </w:r>
          </w:p>
        </w:tc>
        <w:tc>
          <w:tcPr>
            <w:tcW w:w="1975" w:type="dxa"/>
          </w:tcPr>
          <w:p w14:paraId="51391E47" w14:textId="77777777" w:rsidR="00D3344B" w:rsidRDefault="00143C25">
            <w:pPr>
              <w:pStyle w:val="Sinespaciado"/>
              <w:widowControl w:val="0"/>
              <w:spacing w:line="276" w:lineRule="auto"/>
              <w:ind w:left="213"/>
              <w:rPr>
                <w:rFonts w:ascii="Arial" w:hAnsi="Arial" w:cs="Arial"/>
              </w:rPr>
            </w:pPr>
            <w:r>
              <w:rPr>
                <w:rFonts w:ascii="Arial" w:hAnsi="Arial" w:cs="Arial"/>
                <w:b/>
              </w:rPr>
              <w:t>1 UMA</w:t>
            </w:r>
          </w:p>
        </w:tc>
      </w:tr>
      <w:tr w:rsidR="00D3344B" w14:paraId="7D5A197E" w14:textId="77777777">
        <w:trPr>
          <w:cantSplit/>
          <w:trHeight w:val="344"/>
        </w:trPr>
        <w:tc>
          <w:tcPr>
            <w:tcW w:w="802" w:type="dxa"/>
          </w:tcPr>
          <w:p w14:paraId="438D4043"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CE7302B"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6C2FB5B0" w14:textId="77777777" w:rsidR="00D3344B" w:rsidRDefault="00D3344B">
            <w:pPr>
              <w:pStyle w:val="Sinespaciado"/>
              <w:widowControl w:val="0"/>
              <w:spacing w:line="276" w:lineRule="auto"/>
              <w:ind w:left="213"/>
              <w:rPr>
                <w:rFonts w:ascii="Arial" w:hAnsi="Arial" w:cs="Arial"/>
                <w:b/>
              </w:rPr>
            </w:pPr>
          </w:p>
        </w:tc>
      </w:tr>
      <w:tr w:rsidR="00D3344B" w14:paraId="1E3BC38C" w14:textId="77777777">
        <w:trPr>
          <w:cantSplit/>
          <w:trHeight w:val="750"/>
        </w:trPr>
        <w:tc>
          <w:tcPr>
            <w:tcW w:w="802" w:type="dxa"/>
          </w:tcPr>
          <w:p w14:paraId="04910105" w14:textId="77777777" w:rsidR="00D3344B" w:rsidRDefault="00D3344B">
            <w:pPr>
              <w:pStyle w:val="Sinespaciado"/>
              <w:widowControl w:val="0"/>
              <w:spacing w:line="276" w:lineRule="auto"/>
              <w:jc w:val="both"/>
              <w:rPr>
                <w:rFonts w:ascii="Arial" w:hAnsi="Arial" w:cs="Arial"/>
              </w:rPr>
            </w:pPr>
          </w:p>
        </w:tc>
        <w:tc>
          <w:tcPr>
            <w:tcW w:w="7195" w:type="dxa"/>
          </w:tcPr>
          <w:p w14:paraId="49E0D53D" w14:textId="77777777" w:rsidR="00D3344B" w:rsidRDefault="00143C25">
            <w:pPr>
              <w:pStyle w:val="Sinespaciado"/>
              <w:widowControl w:val="0"/>
              <w:spacing w:line="276" w:lineRule="auto"/>
              <w:ind w:left="494" w:hanging="494"/>
              <w:rPr>
                <w:rFonts w:ascii="Arial" w:hAnsi="Arial" w:cs="Arial"/>
              </w:rPr>
            </w:pPr>
            <w:r>
              <w:rPr>
                <w:rFonts w:ascii="Arial" w:hAnsi="Arial" w:cs="Arial"/>
              </w:rPr>
              <w:t xml:space="preserve">g)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para </w:t>
            </w:r>
            <w:proofErr w:type="spellStart"/>
            <w:r>
              <w:rPr>
                <w:rFonts w:ascii="Arial" w:hAnsi="Arial" w:cs="Arial"/>
              </w:rPr>
              <w:t>placas</w:t>
            </w:r>
            <w:proofErr w:type="spellEnd"/>
            <w:r>
              <w:rPr>
                <w:rFonts w:ascii="Arial" w:hAnsi="Arial" w:cs="Arial"/>
              </w:rPr>
              <w:t xml:space="preserve"> de </w:t>
            </w:r>
            <w:proofErr w:type="spellStart"/>
            <w:r>
              <w:rPr>
                <w:rFonts w:ascii="Arial" w:hAnsi="Arial" w:cs="Arial"/>
              </w:rPr>
              <w:t>demostración</w:t>
            </w:r>
            <w:proofErr w:type="spellEnd"/>
            <w:r>
              <w:rPr>
                <w:rFonts w:ascii="Arial" w:hAnsi="Arial" w:cs="Arial"/>
              </w:rPr>
              <w:t xml:space="preserve"> para </w:t>
            </w:r>
            <w:proofErr w:type="spellStart"/>
            <w:r>
              <w:rPr>
                <w:rFonts w:ascii="Arial" w:hAnsi="Arial" w:cs="Arial"/>
              </w:rPr>
              <w:t>agencias</w:t>
            </w:r>
            <w:proofErr w:type="spellEnd"/>
            <w:r>
              <w:rPr>
                <w:rFonts w:ascii="Arial" w:hAnsi="Arial" w:cs="Arial"/>
              </w:rPr>
              <w:t xml:space="preserve"> de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nuevos</w:t>
            </w:r>
            <w:proofErr w:type="spellEnd"/>
            <w:r>
              <w:rPr>
                <w:rFonts w:ascii="Arial" w:hAnsi="Arial" w:cs="Arial"/>
              </w:rPr>
              <w:t>.</w:t>
            </w:r>
          </w:p>
        </w:tc>
        <w:tc>
          <w:tcPr>
            <w:tcW w:w="1975" w:type="dxa"/>
          </w:tcPr>
          <w:p w14:paraId="51615662" w14:textId="77777777" w:rsidR="00D3344B" w:rsidRDefault="00143C25">
            <w:pPr>
              <w:pStyle w:val="Sinespaciado"/>
              <w:widowControl w:val="0"/>
              <w:spacing w:line="276" w:lineRule="auto"/>
              <w:ind w:left="213"/>
              <w:rPr>
                <w:rFonts w:ascii="Arial" w:hAnsi="Arial" w:cs="Arial"/>
              </w:rPr>
            </w:pPr>
            <w:r>
              <w:rPr>
                <w:rFonts w:ascii="Arial" w:hAnsi="Arial" w:cs="Arial"/>
                <w:b/>
              </w:rPr>
              <w:t>10.5 UMA</w:t>
            </w:r>
          </w:p>
        </w:tc>
      </w:tr>
      <w:tr w:rsidR="00D3344B" w14:paraId="4257B9A3" w14:textId="77777777">
        <w:trPr>
          <w:cantSplit/>
          <w:trHeight w:val="379"/>
        </w:trPr>
        <w:tc>
          <w:tcPr>
            <w:tcW w:w="802" w:type="dxa"/>
          </w:tcPr>
          <w:p w14:paraId="75C99272"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51040F48"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23CB1E57" w14:textId="77777777" w:rsidR="00D3344B" w:rsidRDefault="00D3344B">
            <w:pPr>
              <w:pStyle w:val="Sinespaciado"/>
              <w:widowControl w:val="0"/>
              <w:spacing w:line="276" w:lineRule="auto"/>
              <w:ind w:left="213"/>
              <w:rPr>
                <w:rFonts w:ascii="Arial" w:hAnsi="Arial" w:cs="Arial"/>
                <w:b/>
              </w:rPr>
            </w:pPr>
          </w:p>
        </w:tc>
      </w:tr>
      <w:tr w:rsidR="00D3344B" w14:paraId="3CBB1FE9" w14:textId="77777777">
        <w:trPr>
          <w:cantSplit/>
          <w:trHeight w:val="1284"/>
        </w:trPr>
        <w:tc>
          <w:tcPr>
            <w:tcW w:w="802" w:type="dxa"/>
          </w:tcPr>
          <w:p w14:paraId="3A796760" w14:textId="77777777" w:rsidR="00D3344B" w:rsidRDefault="00D3344B">
            <w:pPr>
              <w:pStyle w:val="Sinespaciado"/>
              <w:widowControl w:val="0"/>
              <w:spacing w:line="276" w:lineRule="auto"/>
              <w:jc w:val="both"/>
              <w:rPr>
                <w:rFonts w:ascii="Arial" w:hAnsi="Arial" w:cs="Arial"/>
              </w:rPr>
            </w:pPr>
          </w:p>
        </w:tc>
        <w:tc>
          <w:tcPr>
            <w:tcW w:w="7195" w:type="dxa"/>
          </w:tcPr>
          <w:p w14:paraId="5E7F9A73"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h)   Los </w:t>
            </w:r>
            <w:proofErr w:type="spellStart"/>
            <w:r>
              <w:rPr>
                <w:rFonts w:ascii="Arial" w:hAnsi="Arial" w:cs="Arial"/>
              </w:rPr>
              <w:t>contribuyentes</w:t>
            </w:r>
            <w:proofErr w:type="spellEnd"/>
            <w:r>
              <w:rPr>
                <w:rFonts w:ascii="Arial" w:hAnsi="Arial" w:cs="Arial"/>
              </w:rPr>
              <w:t xml:space="preserve"> que </w:t>
            </w:r>
            <w:proofErr w:type="spellStart"/>
            <w:r>
              <w:rPr>
                <w:rFonts w:ascii="Arial" w:hAnsi="Arial" w:cs="Arial"/>
              </w:rPr>
              <w:t>tengan</w:t>
            </w:r>
            <w:proofErr w:type="spellEnd"/>
            <w:r>
              <w:rPr>
                <w:rFonts w:ascii="Arial" w:hAnsi="Arial" w:cs="Arial"/>
              </w:rPr>
              <w:t xml:space="preserve"> </w:t>
            </w:r>
            <w:proofErr w:type="spellStart"/>
            <w:r>
              <w:rPr>
                <w:rFonts w:ascii="Arial" w:hAnsi="Arial" w:cs="Arial"/>
              </w:rPr>
              <w:t>adeudos</w:t>
            </w:r>
            <w:proofErr w:type="spellEnd"/>
            <w:r>
              <w:rPr>
                <w:rFonts w:ascii="Arial" w:hAnsi="Arial" w:cs="Arial"/>
              </w:rPr>
              <w:t xml:space="preserve"> por </w:t>
            </w:r>
            <w:proofErr w:type="spellStart"/>
            <w:r>
              <w:rPr>
                <w:rFonts w:ascii="Arial" w:hAnsi="Arial" w:cs="Arial"/>
              </w:rPr>
              <w:t>estos</w:t>
            </w:r>
            <w:proofErr w:type="spellEnd"/>
            <w:r>
              <w:rPr>
                <w:rFonts w:ascii="Arial" w:hAnsi="Arial" w:cs="Arial"/>
              </w:rPr>
              <w:t xml:space="preserve"> </w:t>
            </w:r>
            <w:proofErr w:type="spellStart"/>
            <w:r>
              <w:rPr>
                <w:rFonts w:ascii="Arial" w:hAnsi="Arial" w:cs="Arial"/>
              </w:rPr>
              <w:t>conceptos</w:t>
            </w:r>
            <w:proofErr w:type="spellEnd"/>
            <w:r>
              <w:rPr>
                <w:rFonts w:ascii="Arial" w:hAnsi="Arial" w:cs="Arial"/>
              </w:rPr>
              <w:t xml:space="preserve">, </w:t>
            </w:r>
            <w:proofErr w:type="spellStart"/>
            <w:r>
              <w:rPr>
                <w:rFonts w:ascii="Arial" w:hAnsi="Arial" w:cs="Arial"/>
              </w:rPr>
              <w:t>correspondientes</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ejercicios</w:t>
            </w:r>
            <w:proofErr w:type="spellEnd"/>
            <w:r>
              <w:rPr>
                <w:rFonts w:ascii="Arial" w:hAnsi="Arial" w:cs="Arial"/>
              </w:rPr>
              <w:t xml:space="preserve"> </w:t>
            </w:r>
            <w:proofErr w:type="spellStart"/>
            <w:r>
              <w:rPr>
                <w:rFonts w:ascii="Arial" w:hAnsi="Arial" w:cs="Arial"/>
              </w:rPr>
              <w:t>anteriores</w:t>
            </w:r>
            <w:proofErr w:type="spellEnd"/>
            <w:r>
              <w:rPr>
                <w:rFonts w:ascii="Arial" w:hAnsi="Arial" w:cs="Arial"/>
              </w:rPr>
              <w:t xml:space="preserve"> a la Ley de </w:t>
            </w:r>
            <w:proofErr w:type="spellStart"/>
            <w:r>
              <w:rPr>
                <w:rFonts w:ascii="Arial" w:hAnsi="Arial" w:cs="Arial"/>
              </w:rPr>
              <w:t>Ingresos</w:t>
            </w:r>
            <w:proofErr w:type="spellEnd"/>
            <w:r>
              <w:rPr>
                <w:rFonts w:ascii="Arial" w:hAnsi="Arial" w:cs="Arial"/>
              </w:rPr>
              <w:t xml:space="preserve"> </w:t>
            </w:r>
            <w:proofErr w:type="spellStart"/>
            <w:r>
              <w:rPr>
                <w:rFonts w:ascii="Arial" w:hAnsi="Arial" w:cs="Arial"/>
              </w:rPr>
              <w:t>vigente</w:t>
            </w:r>
            <w:proofErr w:type="spellEnd"/>
            <w:r>
              <w:rPr>
                <w:rFonts w:ascii="Arial" w:hAnsi="Arial" w:cs="Arial"/>
              </w:rPr>
              <w:t xml:space="preserve">, </w:t>
            </w:r>
            <w:proofErr w:type="spellStart"/>
            <w:r>
              <w:rPr>
                <w:rFonts w:ascii="Arial" w:hAnsi="Arial" w:cs="Arial"/>
              </w:rPr>
              <w:t>podrán</w:t>
            </w:r>
            <w:proofErr w:type="spellEnd"/>
            <w:r>
              <w:rPr>
                <w:rFonts w:ascii="Arial" w:hAnsi="Arial" w:cs="Arial"/>
              </w:rPr>
              <w:t xml:space="preserve"> </w:t>
            </w:r>
            <w:proofErr w:type="spellStart"/>
            <w:r>
              <w:rPr>
                <w:rFonts w:ascii="Arial" w:hAnsi="Arial" w:cs="Arial"/>
              </w:rPr>
              <w:t>pagar</w:t>
            </w:r>
            <w:proofErr w:type="spellEnd"/>
            <w:r>
              <w:rPr>
                <w:rFonts w:ascii="Arial" w:hAnsi="Arial" w:cs="Arial"/>
              </w:rPr>
              <w:t xml:space="preserve"> </w:t>
            </w:r>
            <w:proofErr w:type="spellStart"/>
            <w:r>
              <w:rPr>
                <w:rFonts w:ascii="Arial" w:hAnsi="Arial" w:cs="Arial"/>
              </w:rPr>
              <w:t>únicamente</w:t>
            </w:r>
            <w:proofErr w:type="spellEnd"/>
            <w:r>
              <w:rPr>
                <w:rFonts w:ascii="Arial" w:hAnsi="Arial" w:cs="Arial"/>
              </w:rPr>
              <w:t xml:space="preserve"> las </w:t>
            </w:r>
            <w:proofErr w:type="spellStart"/>
            <w:r>
              <w:rPr>
                <w:rFonts w:ascii="Arial" w:hAnsi="Arial" w:cs="Arial"/>
              </w:rPr>
              <w:t>sanciones</w:t>
            </w:r>
            <w:proofErr w:type="spellEnd"/>
            <w:r>
              <w:rPr>
                <w:rFonts w:ascii="Arial" w:hAnsi="Arial" w:cs="Arial"/>
              </w:rPr>
              <w:t xml:space="preserve"> que se </w:t>
            </w:r>
            <w:proofErr w:type="spellStart"/>
            <w:r>
              <w:rPr>
                <w:rFonts w:ascii="Arial" w:hAnsi="Arial" w:cs="Arial"/>
              </w:rPr>
              <w:t>establecen</w:t>
            </w:r>
            <w:proofErr w:type="spellEnd"/>
            <w:r>
              <w:rPr>
                <w:rFonts w:ascii="Arial" w:hAnsi="Arial" w:cs="Arial"/>
              </w:rPr>
              <w:t xml:space="preserve"> a </w:t>
            </w:r>
            <w:proofErr w:type="spellStart"/>
            <w:r>
              <w:rPr>
                <w:rFonts w:ascii="Arial" w:hAnsi="Arial" w:cs="Arial"/>
              </w:rPr>
              <w:t>continuación</w:t>
            </w:r>
            <w:proofErr w:type="spellEnd"/>
            <w:r>
              <w:rPr>
                <w:rFonts w:ascii="Arial" w:hAnsi="Arial" w:cs="Arial"/>
              </w:rPr>
              <w:t xml:space="preserve">, por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omitido</w:t>
            </w:r>
            <w:proofErr w:type="spellEnd"/>
            <w:r>
              <w:rPr>
                <w:rFonts w:ascii="Arial" w:hAnsi="Arial" w:cs="Arial"/>
              </w:rPr>
              <w:t>.</w:t>
            </w:r>
          </w:p>
        </w:tc>
        <w:tc>
          <w:tcPr>
            <w:tcW w:w="1975" w:type="dxa"/>
          </w:tcPr>
          <w:p w14:paraId="6055200B" w14:textId="77777777" w:rsidR="00D3344B" w:rsidRDefault="00D3344B">
            <w:pPr>
              <w:pStyle w:val="Sinespaciado"/>
              <w:widowControl w:val="0"/>
              <w:spacing w:line="276" w:lineRule="auto"/>
              <w:jc w:val="both"/>
              <w:rPr>
                <w:rFonts w:ascii="Arial" w:hAnsi="Arial" w:cs="Arial"/>
              </w:rPr>
            </w:pPr>
          </w:p>
        </w:tc>
      </w:tr>
      <w:tr w:rsidR="00D3344B" w14:paraId="7B4EFD84" w14:textId="77777777">
        <w:trPr>
          <w:cantSplit/>
          <w:trHeight w:val="429"/>
        </w:trPr>
        <w:tc>
          <w:tcPr>
            <w:tcW w:w="802" w:type="dxa"/>
          </w:tcPr>
          <w:p w14:paraId="71C40648"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831F3CB"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7F625B21" w14:textId="77777777" w:rsidR="00D3344B" w:rsidRDefault="00D3344B">
            <w:pPr>
              <w:pStyle w:val="Sinespaciado"/>
              <w:widowControl w:val="0"/>
              <w:spacing w:line="276" w:lineRule="auto"/>
              <w:jc w:val="both"/>
              <w:rPr>
                <w:rFonts w:ascii="Arial" w:hAnsi="Arial" w:cs="Arial"/>
              </w:rPr>
            </w:pPr>
          </w:p>
        </w:tc>
      </w:tr>
      <w:tr w:rsidR="00D3344B" w14:paraId="1C04CFEB" w14:textId="77777777">
        <w:trPr>
          <w:cantSplit/>
          <w:trHeight w:val="429"/>
        </w:trPr>
        <w:tc>
          <w:tcPr>
            <w:tcW w:w="802" w:type="dxa"/>
          </w:tcPr>
          <w:p w14:paraId="2060ACF6" w14:textId="77777777" w:rsidR="00D3344B" w:rsidRDefault="00D3344B">
            <w:pPr>
              <w:pStyle w:val="Sinespaciado"/>
              <w:widowControl w:val="0"/>
              <w:spacing w:line="276" w:lineRule="auto"/>
              <w:jc w:val="both"/>
              <w:rPr>
                <w:rFonts w:ascii="Arial" w:hAnsi="Arial" w:cs="Arial"/>
              </w:rPr>
            </w:pPr>
          </w:p>
        </w:tc>
        <w:tc>
          <w:tcPr>
            <w:tcW w:w="7195" w:type="dxa"/>
          </w:tcPr>
          <w:p w14:paraId="37D82485" w14:textId="77777777" w:rsidR="00D3344B" w:rsidRDefault="00143C25">
            <w:pPr>
              <w:pStyle w:val="Sinespaciado"/>
              <w:widowControl w:val="0"/>
              <w:spacing w:line="276" w:lineRule="auto"/>
              <w:ind w:left="494"/>
              <w:jc w:val="both"/>
              <w:rPr>
                <w:rFonts w:ascii="Arial" w:hAnsi="Arial" w:cs="Arial"/>
              </w:rPr>
            </w:pPr>
            <w:r>
              <w:rPr>
                <w:rFonts w:ascii="Arial" w:hAnsi="Arial" w:cs="Arial"/>
              </w:rPr>
              <w:t>1. Autobuses y micros.</w:t>
            </w:r>
          </w:p>
        </w:tc>
        <w:tc>
          <w:tcPr>
            <w:tcW w:w="1975" w:type="dxa"/>
          </w:tcPr>
          <w:p w14:paraId="79FDE34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13 UMA</w:t>
            </w:r>
          </w:p>
        </w:tc>
      </w:tr>
      <w:tr w:rsidR="00D3344B" w14:paraId="677D4A59" w14:textId="77777777">
        <w:trPr>
          <w:cantSplit/>
          <w:trHeight w:val="421"/>
        </w:trPr>
        <w:tc>
          <w:tcPr>
            <w:tcW w:w="802" w:type="dxa"/>
          </w:tcPr>
          <w:p w14:paraId="7FA93BF7"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A6E6B84"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191F794D" w14:textId="77777777" w:rsidR="00D3344B" w:rsidRDefault="00D3344B">
            <w:pPr>
              <w:pStyle w:val="Sinespaciado"/>
              <w:widowControl w:val="0"/>
              <w:spacing w:line="276" w:lineRule="auto"/>
              <w:ind w:left="213"/>
              <w:jc w:val="both"/>
              <w:rPr>
                <w:rFonts w:ascii="Arial" w:hAnsi="Arial" w:cs="Arial"/>
                <w:b/>
              </w:rPr>
            </w:pPr>
          </w:p>
        </w:tc>
      </w:tr>
      <w:tr w:rsidR="00D3344B" w14:paraId="0F23224C" w14:textId="77777777">
        <w:trPr>
          <w:cantSplit/>
          <w:trHeight w:val="426"/>
        </w:trPr>
        <w:tc>
          <w:tcPr>
            <w:tcW w:w="802" w:type="dxa"/>
          </w:tcPr>
          <w:p w14:paraId="4C9A2E32" w14:textId="77777777" w:rsidR="00D3344B" w:rsidRDefault="00D3344B">
            <w:pPr>
              <w:pStyle w:val="Sinespaciado"/>
              <w:widowControl w:val="0"/>
              <w:spacing w:line="276" w:lineRule="auto"/>
              <w:jc w:val="both"/>
              <w:rPr>
                <w:rFonts w:ascii="Arial" w:hAnsi="Arial" w:cs="Arial"/>
              </w:rPr>
            </w:pPr>
          </w:p>
        </w:tc>
        <w:tc>
          <w:tcPr>
            <w:tcW w:w="7195" w:type="dxa"/>
          </w:tcPr>
          <w:p w14:paraId="51EB034A"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2.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3FEA0087"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 UMA</w:t>
            </w:r>
          </w:p>
        </w:tc>
      </w:tr>
      <w:tr w:rsidR="00D3344B" w14:paraId="7915E041" w14:textId="77777777">
        <w:trPr>
          <w:cantSplit/>
          <w:trHeight w:val="405"/>
        </w:trPr>
        <w:tc>
          <w:tcPr>
            <w:tcW w:w="802" w:type="dxa"/>
          </w:tcPr>
          <w:p w14:paraId="51E77CA0"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38A4D6C0"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26CF4850" w14:textId="77777777" w:rsidR="00D3344B" w:rsidRDefault="00D3344B">
            <w:pPr>
              <w:pStyle w:val="Sinespaciado"/>
              <w:widowControl w:val="0"/>
              <w:spacing w:line="276" w:lineRule="auto"/>
              <w:ind w:left="213"/>
              <w:jc w:val="both"/>
              <w:rPr>
                <w:rFonts w:ascii="Arial" w:hAnsi="Arial" w:cs="Arial"/>
                <w:b/>
              </w:rPr>
            </w:pPr>
          </w:p>
        </w:tc>
      </w:tr>
      <w:tr w:rsidR="00D3344B" w14:paraId="2486AE43" w14:textId="77777777">
        <w:trPr>
          <w:cantSplit/>
          <w:trHeight w:val="425"/>
        </w:trPr>
        <w:tc>
          <w:tcPr>
            <w:tcW w:w="802" w:type="dxa"/>
          </w:tcPr>
          <w:p w14:paraId="57490A7C" w14:textId="77777777" w:rsidR="00D3344B" w:rsidRDefault="00D3344B">
            <w:pPr>
              <w:pStyle w:val="Sinespaciado"/>
              <w:widowControl w:val="0"/>
              <w:spacing w:line="276" w:lineRule="auto"/>
              <w:jc w:val="both"/>
              <w:rPr>
                <w:rFonts w:ascii="Arial" w:hAnsi="Arial" w:cs="Arial"/>
              </w:rPr>
            </w:pPr>
          </w:p>
        </w:tc>
        <w:tc>
          <w:tcPr>
            <w:tcW w:w="7195" w:type="dxa"/>
          </w:tcPr>
          <w:p w14:paraId="28240E0A"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3.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tcPr>
          <w:p w14:paraId="0A3B6B0E"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13 UMA</w:t>
            </w:r>
          </w:p>
        </w:tc>
      </w:tr>
      <w:tr w:rsidR="00D3344B" w14:paraId="49EB988B" w14:textId="77777777">
        <w:trPr>
          <w:cantSplit/>
          <w:trHeight w:val="374"/>
        </w:trPr>
        <w:tc>
          <w:tcPr>
            <w:tcW w:w="802" w:type="dxa"/>
          </w:tcPr>
          <w:p w14:paraId="5DD8005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42917500"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61425CB6" w14:textId="77777777" w:rsidR="00D3344B" w:rsidRDefault="00D3344B">
            <w:pPr>
              <w:pStyle w:val="Sinespaciado"/>
              <w:widowControl w:val="0"/>
              <w:spacing w:line="276" w:lineRule="auto"/>
              <w:ind w:left="213"/>
              <w:jc w:val="both"/>
              <w:rPr>
                <w:rFonts w:ascii="Arial" w:hAnsi="Arial" w:cs="Arial"/>
                <w:b/>
              </w:rPr>
            </w:pPr>
          </w:p>
        </w:tc>
      </w:tr>
      <w:tr w:rsidR="00D3344B" w14:paraId="09A15A95" w14:textId="77777777">
        <w:trPr>
          <w:cantSplit/>
          <w:trHeight w:val="776"/>
        </w:trPr>
        <w:tc>
          <w:tcPr>
            <w:tcW w:w="802" w:type="dxa"/>
          </w:tcPr>
          <w:p w14:paraId="6E47F1F2" w14:textId="77777777" w:rsidR="00D3344B" w:rsidRDefault="00D3344B">
            <w:pPr>
              <w:pStyle w:val="Sinespaciado"/>
              <w:widowControl w:val="0"/>
              <w:spacing w:line="276" w:lineRule="auto"/>
              <w:jc w:val="both"/>
              <w:rPr>
                <w:rFonts w:ascii="Arial" w:hAnsi="Arial" w:cs="Arial"/>
              </w:rPr>
            </w:pPr>
          </w:p>
        </w:tc>
        <w:tc>
          <w:tcPr>
            <w:tcW w:w="7195" w:type="dxa"/>
          </w:tcPr>
          <w:p w14:paraId="5919CEDE"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4.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semiremolques</w:t>
            </w:r>
            <w:proofErr w:type="spellEnd"/>
            <w:r>
              <w:rPr>
                <w:rFonts w:ascii="Arial" w:hAnsi="Arial" w:cs="Arial"/>
              </w:rPr>
              <w:t xml:space="preserve"> (sic) con </w:t>
            </w:r>
            <w:proofErr w:type="spellStart"/>
            <w:r>
              <w:rPr>
                <w:rFonts w:ascii="Arial" w:hAnsi="Arial" w:cs="Arial"/>
              </w:rPr>
              <w:t>capacidad</w:t>
            </w:r>
            <w:proofErr w:type="spellEnd"/>
            <w:r>
              <w:rPr>
                <w:rFonts w:ascii="Arial" w:hAnsi="Arial" w:cs="Arial"/>
              </w:rPr>
              <w:t xml:space="preserve"> hasta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4E220186"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 UMA</w:t>
            </w:r>
          </w:p>
        </w:tc>
      </w:tr>
      <w:tr w:rsidR="00D3344B" w14:paraId="41CE9273" w14:textId="77777777">
        <w:trPr>
          <w:cantSplit/>
          <w:trHeight w:val="388"/>
        </w:trPr>
        <w:tc>
          <w:tcPr>
            <w:tcW w:w="802" w:type="dxa"/>
          </w:tcPr>
          <w:p w14:paraId="0E1CC4FF"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0BE2D54"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1ADD95F5" w14:textId="77777777" w:rsidR="00D3344B" w:rsidRDefault="00D3344B">
            <w:pPr>
              <w:pStyle w:val="Sinespaciado"/>
              <w:widowControl w:val="0"/>
              <w:spacing w:line="276" w:lineRule="auto"/>
              <w:ind w:left="213"/>
              <w:jc w:val="both"/>
              <w:rPr>
                <w:rFonts w:ascii="Arial" w:hAnsi="Arial" w:cs="Arial"/>
                <w:b/>
              </w:rPr>
            </w:pPr>
          </w:p>
        </w:tc>
      </w:tr>
      <w:tr w:rsidR="00D3344B" w14:paraId="02C63482" w14:textId="77777777">
        <w:trPr>
          <w:cantSplit/>
          <w:trHeight w:val="705"/>
        </w:trPr>
        <w:tc>
          <w:tcPr>
            <w:tcW w:w="802" w:type="dxa"/>
          </w:tcPr>
          <w:p w14:paraId="2CD51ED5" w14:textId="77777777" w:rsidR="00D3344B" w:rsidRDefault="00D3344B">
            <w:pPr>
              <w:pStyle w:val="Sinespaciado"/>
              <w:widowControl w:val="0"/>
              <w:spacing w:line="276" w:lineRule="auto"/>
              <w:jc w:val="both"/>
              <w:rPr>
                <w:rFonts w:ascii="Arial" w:hAnsi="Arial" w:cs="Arial"/>
              </w:rPr>
            </w:pPr>
          </w:p>
        </w:tc>
        <w:tc>
          <w:tcPr>
            <w:tcW w:w="7195" w:type="dxa"/>
          </w:tcPr>
          <w:p w14:paraId="070C9378"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5.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semiremolques</w:t>
            </w:r>
            <w:proofErr w:type="spellEnd"/>
            <w:r>
              <w:rPr>
                <w:rFonts w:ascii="Arial" w:hAnsi="Arial" w:cs="Arial"/>
              </w:rPr>
              <w:t xml:space="preserve"> (sic) con </w:t>
            </w:r>
            <w:proofErr w:type="spellStart"/>
            <w:r>
              <w:rPr>
                <w:rFonts w:ascii="Arial" w:hAnsi="Arial" w:cs="Arial"/>
              </w:rPr>
              <w:t>capacidad</w:t>
            </w:r>
            <w:proofErr w:type="spellEnd"/>
            <w:r>
              <w:rPr>
                <w:rFonts w:ascii="Arial" w:hAnsi="Arial" w:cs="Arial"/>
              </w:rPr>
              <w:t xml:space="preserve"> </w:t>
            </w:r>
            <w:proofErr w:type="spellStart"/>
            <w:r>
              <w:rPr>
                <w:rFonts w:ascii="Arial" w:hAnsi="Arial" w:cs="Arial"/>
              </w:rPr>
              <w:t>más</w:t>
            </w:r>
            <w:proofErr w:type="spellEnd"/>
            <w:r>
              <w:rPr>
                <w:rFonts w:ascii="Arial" w:hAnsi="Arial" w:cs="Arial"/>
              </w:rPr>
              <w:t xml:space="preserve"> de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08821E04"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 UMA</w:t>
            </w:r>
          </w:p>
        </w:tc>
      </w:tr>
      <w:tr w:rsidR="00D3344B" w14:paraId="56056C10" w14:textId="77777777">
        <w:trPr>
          <w:cantSplit/>
          <w:trHeight w:val="433"/>
        </w:trPr>
        <w:tc>
          <w:tcPr>
            <w:tcW w:w="802" w:type="dxa"/>
          </w:tcPr>
          <w:p w14:paraId="08D9036C"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864EF73" w14:textId="77777777" w:rsidR="00D3344B" w:rsidRDefault="00143C25">
            <w:pPr>
              <w:pStyle w:val="Sinespaciado"/>
              <w:widowControl w:val="0"/>
              <w:spacing w:line="276" w:lineRule="auto"/>
              <w:ind w:left="494"/>
              <w:rPr>
                <w:rFonts w:ascii="Arial" w:hAnsi="Arial" w:cs="Arial"/>
              </w:rPr>
            </w:pPr>
            <w:r>
              <w:rPr>
                <w:rFonts w:ascii="Arial" w:hAnsi="Arial" w:cs="Arial"/>
                <w:i/>
                <w:sz w:val="16"/>
                <w:szCs w:val="16"/>
              </w:rPr>
              <w:t>(REFORMADO, P.O. 21 DE JUNIO DE 2021)</w:t>
            </w:r>
          </w:p>
        </w:tc>
        <w:tc>
          <w:tcPr>
            <w:tcW w:w="1975" w:type="dxa"/>
          </w:tcPr>
          <w:p w14:paraId="2342D581" w14:textId="77777777" w:rsidR="00D3344B" w:rsidRDefault="00D3344B">
            <w:pPr>
              <w:pStyle w:val="Sinespaciado"/>
              <w:widowControl w:val="0"/>
              <w:spacing w:line="276" w:lineRule="auto"/>
              <w:ind w:left="213"/>
              <w:jc w:val="both"/>
              <w:rPr>
                <w:rFonts w:ascii="Arial" w:hAnsi="Arial" w:cs="Arial"/>
                <w:b/>
              </w:rPr>
            </w:pPr>
          </w:p>
        </w:tc>
      </w:tr>
      <w:tr w:rsidR="00D3344B" w14:paraId="680573CC" w14:textId="77777777">
        <w:trPr>
          <w:cantSplit/>
          <w:trHeight w:val="525"/>
        </w:trPr>
        <w:tc>
          <w:tcPr>
            <w:tcW w:w="802" w:type="dxa"/>
          </w:tcPr>
          <w:p w14:paraId="290F8F96" w14:textId="77777777" w:rsidR="00D3344B" w:rsidRDefault="00D3344B">
            <w:pPr>
              <w:pStyle w:val="Sinespaciado"/>
              <w:widowControl w:val="0"/>
              <w:spacing w:line="276" w:lineRule="auto"/>
              <w:jc w:val="both"/>
              <w:rPr>
                <w:rFonts w:ascii="Arial" w:hAnsi="Arial" w:cs="Arial"/>
              </w:rPr>
            </w:pPr>
          </w:p>
        </w:tc>
        <w:tc>
          <w:tcPr>
            <w:tcW w:w="7195" w:type="dxa"/>
          </w:tcPr>
          <w:p w14:paraId="550424F0" w14:textId="77777777" w:rsidR="00D3344B" w:rsidRDefault="00143C25">
            <w:pPr>
              <w:pStyle w:val="Sinespaciado"/>
              <w:widowControl w:val="0"/>
              <w:spacing w:line="276" w:lineRule="auto"/>
              <w:ind w:left="494"/>
              <w:jc w:val="both"/>
              <w:rPr>
                <w:rFonts w:ascii="Arial" w:hAnsi="Arial" w:cs="Arial"/>
              </w:rPr>
            </w:pPr>
            <w:r>
              <w:rPr>
                <w:rFonts w:ascii="Arial" w:hAnsi="Arial" w:cs="Arial"/>
              </w:rPr>
              <w:t xml:space="preserve">6. </w:t>
            </w:r>
            <w:proofErr w:type="spellStart"/>
            <w:r>
              <w:rPr>
                <w:rFonts w:ascii="Arial" w:hAnsi="Arial" w:cs="Arial"/>
              </w:rPr>
              <w:t>Motocicletas</w:t>
            </w:r>
            <w:proofErr w:type="spellEnd"/>
            <w:r>
              <w:rPr>
                <w:rFonts w:ascii="Arial" w:hAnsi="Arial" w:cs="Arial"/>
              </w:rPr>
              <w:t>.</w:t>
            </w:r>
          </w:p>
        </w:tc>
        <w:tc>
          <w:tcPr>
            <w:tcW w:w="1975" w:type="dxa"/>
          </w:tcPr>
          <w:p w14:paraId="1B09F4EA"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102788BB" w14:textId="77777777">
        <w:trPr>
          <w:cantSplit/>
          <w:trHeight w:val="300"/>
        </w:trPr>
        <w:tc>
          <w:tcPr>
            <w:tcW w:w="802" w:type="dxa"/>
          </w:tcPr>
          <w:p w14:paraId="34383B31" w14:textId="77777777" w:rsidR="00D3344B" w:rsidRDefault="00D3344B">
            <w:pPr>
              <w:pStyle w:val="Sinespaciado"/>
              <w:widowControl w:val="0"/>
              <w:spacing w:line="276" w:lineRule="auto"/>
              <w:jc w:val="both"/>
              <w:rPr>
                <w:rFonts w:ascii="Arial" w:hAnsi="Arial" w:cs="Arial"/>
              </w:rPr>
            </w:pPr>
          </w:p>
        </w:tc>
        <w:tc>
          <w:tcPr>
            <w:tcW w:w="7195" w:type="dxa"/>
          </w:tcPr>
          <w:p w14:paraId="6C4397B9" w14:textId="77777777" w:rsidR="00D3344B" w:rsidRDefault="00143C25">
            <w:pPr>
              <w:pStyle w:val="Sinespaciado"/>
              <w:widowControl w:val="0"/>
              <w:spacing w:line="276" w:lineRule="auto"/>
              <w:jc w:val="both"/>
              <w:rPr>
                <w:rFonts w:ascii="Arial" w:hAnsi="Arial" w:cs="Arial"/>
              </w:rPr>
            </w:pPr>
            <w:r>
              <w:rPr>
                <w:rFonts w:ascii="Arial" w:hAnsi="Arial" w:cs="Arial"/>
                <w:i/>
                <w:sz w:val="16"/>
              </w:rPr>
              <w:t>(REFORMADO, P.O. 31 DE DICIEMBRE DE 2007)</w:t>
            </w:r>
          </w:p>
        </w:tc>
        <w:tc>
          <w:tcPr>
            <w:tcW w:w="1975" w:type="dxa"/>
          </w:tcPr>
          <w:p w14:paraId="782074A3" w14:textId="77777777" w:rsidR="00D3344B" w:rsidRDefault="00D3344B">
            <w:pPr>
              <w:pStyle w:val="Sinespaciado"/>
              <w:widowControl w:val="0"/>
              <w:spacing w:line="276" w:lineRule="auto"/>
              <w:ind w:left="213"/>
              <w:jc w:val="both"/>
              <w:rPr>
                <w:rFonts w:ascii="Arial" w:hAnsi="Arial" w:cs="Arial"/>
              </w:rPr>
            </w:pPr>
          </w:p>
        </w:tc>
      </w:tr>
      <w:tr w:rsidR="00D3344B" w14:paraId="296ECD74" w14:textId="77777777">
        <w:trPr>
          <w:cantSplit/>
          <w:trHeight w:val="1365"/>
        </w:trPr>
        <w:tc>
          <w:tcPr>
            <w:tcW w:w="802" w:type="dxa"/>
          </w:tcPr>
          <w:p w14:paraId="57B5169E" w14:textId="77777777" w:rsidR="00D3344B" w:rsidRDefault="00D3344B">
            <w:pPr>
              <w:pStyle w:val="Sinespaciado"/>
              <w:widowControl w:val="0"/>
              <w:spacing w:line="276" w:lineRule="auto"/>
              <w:jc w:val="both"/>
              <w:rPr>
                <w:rFonts w:ascii="Arial" w:hAnsi="Arial" w:cs="Arial"/>
              </w:rPr>
            </w:pPr>
          </w:p>
        </w:tc>
        <w:tc>
          <w:tcPr>
            <w:tcW w:w="7195" w:type="dxa"/>
          </w:tcPr>
          <w:p w14:paraId="59319D70" w14:textId="77777777" w:rsidR="00D3344B" w:rsidRDefault="00143C25">
            <w:pPr>
              <w:pStyle w:val="Sinespaciado"/>
              <w:widowControl w:val="0"/>
              <w:spacing w:line="276" w:lineRule="auto"/>
              <w:jc w:val="both"/>
              <w:rPr>
                <w:rFonts w:ascii="Arial" w:hAnsi="Arial" w:cs="Arial"/>
                <w:i/>
                <w:sz w:val="16"/>
              </w:rPr>
            </w:pP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caso</w:t>
            </w:r>
            <w:proofErr w:type="spellEnd"/>
            <w:r>
              <w:rPr>
                <w:rFonts w:ascii="Arial" w:hAnsi="Arial" w:cs="Arial"/>
              </w:rPr>
              <w:t xml:space="preserve"> los </w:t>
            </w:r>
            <w:proofErr w:type="spellStart"/>
            <w:r>
              <w:rPr>
                <w:rFonts w:ascii="Arial" w:hAnsi="Arial" w:cs="Arial"/>
              </w:rPr>
              <w:t>contribuyentes</w:t>
            </w:r>
            <w:proofErr w:type="spellEnd"/>
            <w:r>
              <w:rPr>
                <w:rFonts w:ascii="Arial" w:hAnsi="Arial" w:cs="Arial"/>
              </w:rPr>
              <w:t xml:space="preserve"> no </w:t>
            </w:r>
            <w:proofErr w:type="spellStart"/>
            <w:r>
              <w:rPr>
                <w:rFonts w:ascii="Arial" w:hAnsi="Arial" w:cs="Arial"/>
              </w:rPr>
              <w:t>estarán</w:t>
            </w:r>
            <w:proofErr w:type="spellEnd"/>
            <w:r>
              <w:rPr>
                <w:rFonts w:ascii="Arial" w:hAnsi="Arial" w:cs="Arial"/>
              </w:rPr>
              <w:t xml:space="preserve"> </w:t>
            </w:r>
            <w:proofErr w:type="spellStart"/>
            <w:r>
              <w:rPr>
                <w:rFonts w:ascii="Arial" w:hAnsi="Arial" w:cs="Arial"/>
              </w:rPr>
              <w:t>obligados</w:t>
            </w:r>
            <w:proofErr w:type="spellEnd"/>
            <w:r>
              <w:rPr>
                <w:rFonts w:ascii="Arial" w:hAnsi="Arial" w:cs="Arial"/>
              </w:rPr>
              <w:t xml:space="preserve"> al </w:t>
            </w:r>
            <w:proofErr w:type="spellStart"/>
            <w:r>
              <w:rPr>
                <w:rFonts w:ascii="Arial" w:hAnsi="Arial" w:cs="Arial"/>
              </w:rPr>
              <w:t>pago</w:t>
            </w:r>
            <w:proofErr w:type="spellEnd"/>
            <w:r>
              <w:rPr>
                <w:rFonts w:ascii="Arial" w:hAnsi="Arial" w:cs="Arial"/>
              </w:rPr>
              <w:t xml:space="preserve"> de los </w:t>
            </w:r>
            <w:proofErr w:type="spellStart"/>
            <w:r>
              <w:rPr>
                <w:rFonts w:ascii="Arial" w:hAnsi="Arial" w:cs="Arial"/>
              </w:rPr>
              <w:t>accesorios</w:t>
            </w:r>
            <w:proofErr w:type="spellEnd"/>
            <w:r>
              <w:rPr>
                <w:rFonts w:ascii="Arial" w:hAnsi="Arial" w:cs="Arial"/>
              </w:rPr>
              <w:t xml:space="preserve">, que </w:t>
            </w:r>
            <w:proofErr w:type="spellStart"/>
            <w:r>
              <w:rPr>
                <w:rFonts w:ascii="Arial" w:hAnsi="Arial" w:cs="Arial"/>
              </w:rPr>
              <w:t>señale</w:t>
            </w:r>
            <w:proofErr w:type="spellEnd"/>
            <w:r>
              <w:rPr>
                <w:rFonts w:ascii="Arial" w:hAnsi="Arial" w:cs="Arial"/>
              </w:rPr>
              <w:t xml:space="preserve"> la Ley de </w:t>
            </w:r>
            <w:proofErr w:type="spellStart"/>
            <w:r>
              <w:rPr>
                <w:rFonts w:ascii="Arial" w:hAnsi="Arial" w:cs="Arial"/>
              </w:rPr>
              <w:t>Ingresos</w:t>
            </w:r>
            <w:proofErr w:type="spellEnd"/>
            <w:r>
              <w:rPr>
                <w:rFonts w:ascii="Arial" w:hAnsi="Arial" w:cs="Arial"/>
              </w:rPr>
              <w:t xml:space="preserve"> </w:t>
            </w:r>
            <w:proofErr w:type="spellStart"/>
            <w:r>
              <w:rPr>
                <w:rFonts w:ascii="Arial" w:hAnsi="Arial" w:cs="Arial"/>
              </w:rPr>
              <w:t>correspondiente</w:t>
            </w:r>
            <w:proofErr w:type="spellEnd"/>
            <w:r>
              <w:rPr>
                <w:rFonts w:ascii="Arial" w:hAnsi="Arial" w:cs="Arial"/>
              </w:rPr>
              <w:t xml:space="preserve">, por la </w:t>
            </w:r>
            <w:proofErr w:type="spellStart"/>
            <w:r>
              <w:rPr>
                <w:rFonts w:ascii="Arial" w:hAnsi="Arial" w:cs="Arial"/>
              </w:rPr>
              <w:t>omisión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pago</w:t>
            </w:r>
            <w:proofErr w:type="spellEnd"/>
            <w:r>
              <w:rPr>
                <w:rFonts w:ascii="Arial" w:hAnsi="Arial" w:cs="Arial"/>
              </w:rPr>
              <w:t xml:space="preserve"> de </w:t>
            </w:r>
            <w:proofErr w:type="spellStart"/>
            <w:r>
              <w:rPr>
                <w:rFonts w:ascii="Arial" w:hAnsi="Arial" w:cs="Arial"/>
              </w:rPr>
              <w:t>contribuciones</w:t>
            </w:r>
            <w:proofErr w:type="spellEnd"/>
            <w:r>
              <w:rPr>
                <w:rFonts w:ascii="Arial" w:hAnsi="Arial" w:cs="Arial"/>
              </w:rPr>
              <w:t>.</w:t>
            </w:r>
          </w:p>
        </w:tc>
        <w:tc>
          <w:tcPr>
            <w:tcW w:w="1975" w:type="dxa"/>
          </w:tcPr>
          <w:p w14:paraId="5F71BD0F" w14:textId="77777777" w:rsidR="00D3344B" w:rsidRDefault="00D3344B">
            <w:pPr>
              <w:pStyle w:val="Sinespaciado"/>
              <w:widowControl w:val="0"/>
              <w:spacing w:line="276" w:lineRule="auto"/>
              <w:ind w:left="213"/>
              <w:jc w:val="both"/>
              <w:rPr>
                <w:rFonts w:ascii="Arial" w:hAnsi="Arial" w:cs="Arial"/>
              </w:rPr>
            </w:pPr>
          </w:p>
        </w:tc>
      </w:tr>
      <w:tr w:rsidR="00D3344B" w14:paraId="3DCA0D18" w14:textId="77777777">
        <w:trPr>
          <w:cantSplit/>
          <w:trHeight w:val="750"/>
        </w:trPr>
        <w:tc>
          <w:tcPr>
            <w:tcW w:w="802" w:type="dxa"/>
          </w:tcPr>
          <w:p w14:paraId="1ACCAF4A" w14:textId="77777777" w:rsidR="00D3344B" w:rsidRDefault="00143C25">
            <w:pPr>
              <w:pStyle w:val="Sinespaciado"/>
              <w:widowControl w:val="0"/>
              <w:spacing w:line="276" w:lineRule="auto"/>
              <w:jc w:val="both"/>
              <w:rPr>
                <w:rFonts w:ascii="Arial" w:hAnsi="Arial" w:cs="Arial"/>
              </w:rPr>
            </w:pPr>
            <w:r>
              <w:rPr>
                <w:rFonts w:ascii="Arial" w:hAnsi="Arial" w:cs="Arial"/>
              </w:rPr>
              <w:t>XIV.</w:t>
            </w:r>
          </w:p>
        </w:tc>
        <w:tc>
          <w:tcPr>
            <w:tcW w:w="7195" w:type="dxa"/>
          </w:tcPr>
          <w:p w14:paraId="396D5CAF"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o </w:t>
            </w:r>
            <w:proofErr w:type="spellStart"/>
            <w:r>
              <w:rPr>
                <w:rFonts w:ascii="Arial" w:hAnsi="Arial" w:cs="Arial"/>
              </w:rPr>
              <w:t>documentos</w:t>
            </w:r>
            <w:proofErr w:type="spellEnd"/>
            <w:r>
              <w:rPr>
                <w:rFonts w:ascii="Arial" w:hAnsi="Arial" w:cs="Arial"/>
              </w:rPr>
              <w:t xml:space="preserve"> del </w:t>
            </w:r>
            <w:proofErr w:type="spellStart"/>
            <w:r>
              <w:rPr>
                <w:rFonts w:ascii="Arial" w:hAnsi="Arial" w:cs="Arial"/>
              </w:rPr>
              <w:t>servicio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privado:</w:t>
            </w:r>
          </w:p>
        </w:tc>
        <w:tc>
          <w:tcPr>
            <w:tcW w:w="1975" w:type="dxa"/>
          </w:tcPr>
          <w:p w14:paraId="33898542" w14:textId="77777777" w:rsidR="00D3344B" w:rsidRDefault="00D3344B">
            <w:pPr>
              <w:pStyle w:val="Sinespaciado"/>
              <w:widowControl w:val="0"/>
              <w:spacing w:line="276" w:lineRule="auto"/>
              <w:ind w:left="213"/>
              <w:jc w:val="both"/>
              <w:rPr>
                <w:rFonts w:ascii="Arial" w:hAnsi="Arial" w:cs="Arial"/>
              </w:rPr>
            </w:pPr>
          </w:p>
        </w:tc>
      </w:tr>
      <w:tr w:rsidR="00D3344B" w14:paraId="206D24D8" w14:textId="77777777">
        <w:trPr>
          <w:cantSplit/>
          <w:trHeight w:val="354"/>
        </w:trPr>
        <w:tc>
          <w:tcPr>
            <w:tcW w:w="802" w:type="dxa"/>
          </w:tcPr>
          <w:p w14:paraId="0B651C93" w14:textId="77777777" w:rsidR="00D3344B" w:rsidRDefault="00D3344B">
            <w:pPr>
              <w:pStyle w:val="Sinespaciado"/>
              <w:widowControl w:val="0"/>
              <w:spacing w:line="276" w:lineRule="auto"/>
              <w:jc w:val="both"/>
              <w:rPr>
                <w:rFonts w:ascii="Arial" w:hAnsi="Arial" w:cs="Arial"/>
              </w:rPr>
            </w:pPr>
          </w:p>
        </w:tc>
        <w:tc>
          <w:tcPr>
            <w:tcW w:w="7195" w:type="dxa"/>
          </w:tcPr>
          <w:p w14:paraId="4105F87D"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a)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y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 xml:space="preserve"> no </w:t>
            </w:r>
            <w:proofErr w:type="spellStart"/>
            <w:r>
              <w:rPr>
                <w:rFonts w:ascii="Arial" w:hAnsi="Arial" w:cs="Arial"/>
              </w:rPr>
              <w:t>incluye</w:t>
            </w:r>
            <w:proofErr w:type="spellEnd"/>
            <w:r>
              <w:rPr>
                <w:rFonts w:ascii="Arial" w:hAnsi="Arial" w:cs="Arial"/>
              </w:rPr>
              <w:t xml:space="preserve"> </w:t>
            </w:r>
            <w:proofErr w:type="spellStart"/>
            <w:r>
              <w:rPr>
                <w:rFonts w:ascii="Arial" w:hAnsi="Arial" w:cs="Arial"/>
              </w:rPr>
              <w:t>baja</w:t>
            </w:r>
            <w:proofErr w:type="spellEnd"/>
            <w:r>
              <w:rPr>
                <w:rFonts w:ascii="Arial" w:hAnsi="Arial" w:cs="Arial"/>
              </w:rPr>
              <w:t>.</w:t>
            </w:r>
          </w:p>
        </w:tc>
        <w:tc>
          <w:tcPr>
            <w:tcW w:w="1975" w:type="dxa"/>
          </w:tcPr>
          <w:p w14:paraId="1D1A9905" w14:textId="77777777" w:rsidR="00D3344B" w:rsidRDefault="00D3344B">
            <w:pPr>
              <w:pStyle w:val="Sinespaciado"/>
              <w:widowControl w:val="0"/>
              <w:spacing w:line="276" w:lineRule="auto"/>
              <w:ind w:left="213"/>
              <w:jc w:val="both"/>
              <w:rPr>
                <w:rFonts w:ascii="Arial" w:hAnsi="Arial" w:cs="Arial"/>
              </w:rPr>
            </w:pPr>
          </w:p>
        </w:tc>
      </w:tr>
      <w:tr w:rsidR="00D3344B" w14:paraId="0BEEC885" w14:textId="77777777">
        <w:trPr>
          <w:cantSplit/>
          <w:trHeight w:val="403"/>
        </w:trPr>
        <w:tc>
          <w:tcPr>
            <w:tcW w:w="802" w:type="dxa"/>
          </w:tcPr>
          <w:p w14:paraId="162B25A6"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050071B" w14:textId="77777777" w:rsidR="00D3344B" w:rsidRDefault="00143C25">
            <w:pPr>
              <w:pStyle w:val="Sinespaciado"/>
              <w:widowControl w:val="0"/>
              <w:spacing w:line="276" w:lineRule="auto"/>
              <w:ind w:left="778" w:hanging="284"/>
              <w:rPr>
                <w:rFonts w:ascii="Arial" w:hAnsi="Arial" w:cs="Arial"/>
              </w:rPr>
            </w:pPr>
            <w:r>
              <w:rPr>
                <w:rFonts w:ascii="Arial" w:hAnsi="Arial" w:cs="Arial"/>
                <w:i/>
                <w:sz w:val="16"/>
                <w:szCs w:val="16"/>
              </w:rPr>
              <w:t>(REFORMADO, P.O. 21 DE JUNIO DE 2021)</w:t>
            </w:r>
          </w:p>
        </w:tc>
        <w:tc>
          <w:tcPr>
            <w:tcW w:w="1975" w:type="dxa"/>
          </w:tcPr>
          <w:p w14:paraId="692D5A51" w14:textId="77777777" w:rsidR="00D3344B" w:rsidRDefault="00D3344B">
            <w:pPr>
              <w:pStyle w:val="Sinespaciado"/>
              <w:widowControl w:val="0"/>
              <w:spacing w:line="276" w:lineRule="auto"/>
              <w:ind w:left="213"/>
              <w:jc w:val="both"/>
              <w:rPr>
                <w:rFonts w:ascii="Arial" w:hAnsi="Arial" w:cs="Arial"/>
              </w:rPr>
            </w:pPr>
          </w:p>
        </w:tc>
      </w:tr>
      <w:tr w:rsidR="00D3344B" w14:paraId="0AF14492" w14:textId="77777777">
        <w:trPr>
          <w:cantSplit/>
          <w:trHeight w:val="436"/>
        </w:trPr>
        <w:tc>
          <w:tcPr>
            <w:tcW w:w="802" w:type="dxa"/>
          </w:tcPr>
          <w:p w14:paraId="628F49CA" w14:textId="77777777" w:rsidR="00D3344B" w:rsidRDefault="00D3344B">
            <w:pPr>
              <w:pStyle w:val="Sinespaciado"/>
              <w:widowControl w:val="0"/>
              <w:spacing w:line="276" w:lineRule="auto"/>
              <w:jc w:val="both"/>
              <w:rPr>
                <w:rFonts w:ascii="Arial" w:hAnsi="Arial" w:cs="Arial"/>
              </w:rPr>
            </w:pPr>
          </w:p>
        </w:tc>
        <w:tc>
          <w:tcPr>
            <w:tcW w:w="7195" w:type="dxa"/>
          </w:tcPr>
          <w:p w14:paraId="2E0EC26B"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rPr>
              <w:t>1. Autobuses y micros.</w:t>
            </w:r>
          </w:p>
        </w:tc>
        <w:tc>
          <w:tcPr>
            <w:tcW w:w="1975" w:type="dxa"/>
          </w:tcPr>
          <w:p w14:paraId="07455C44" w14:textId="77777777" w:rsidR="00D3344B" w:rsidRDefault="00143C25">
            <w:pPr>
              <w:pStyle w:val="Sinespaciado"/>
              <w:widowControl w:val="0"/>
              <w:spacing w:line="276" w:lineRule="auto"/>
              <w:ind w:left="213"/>
              <w:jc w:val="both"/>
              <w:rPr>
                <w:rFonts w:ascii="Arial" w:hAnsi="Arial" w:cs="Arial"/>
              </w:rPr>
            </w:pPr>
            <w:r>
              <w:rPr>
                <w:rFonts w:ascii="Arial" w:hAnsi="Arial" w:cs="Arial"/>
              </w:rPr>
              <w:t>15 UMA</w:t>
            </w:r>
          </w:p>
        </w:tc>
      </w:tr>
      <w:tr w:rsidR="00D3344B" w14:paraId="0FF6E010" w14:textId="77777777">
        <w:trPr>
          <w:cantSplit/>
          <w:trHeight w:val="407"/>
        </w:trPr>
        <w:tc>
          <w:tcPr>
            <w:tcW w:w="802" w:type="dxa"/>
          </w:tcPr>
          <w:p w14:paraId="64E03A6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92E59F1"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i/>
                <w:sz w:val="16"/>
                <w:szCs w:val="16"/>
              </w:rPr>
              <w:t>(REFORMADO, P.O. 21 DE JUNIO DE 2021)</w:t>
            </w:r>
          </w:p>
        </w:tc>
        <w:tc>
          <w:tcPr>
            <w:tcW w:w="1975" w:type="dxa"/>
          </w:tcPr>
          <w:p w14:paraId="523D2D12" w14:textId="77777777" w:rsidR="00D3344B" w:rsidRDefault="00D3344B">
            <w:pPr>
              <w:pStyle w:val="Sinespaciado"/>
              <w:widowControl w:val="0"/>
              <w:spacing w:line="276" w:lineRule="auto"/>
              <w:ind w:left="213"/>
              <w:jc w:val="both"/>
              <w:rPr>
                <w:rFonts w:ascii="Arial" w:hAnsi="Arial" w:cs="Arial"/>
              </w:rPr>
            </w:pPr>
          </w:p>
        </w:tc>
      </w:tr>
      <w:tr w:rsidR="00D3344B" w14:paraId="1D33DEB1" w14:textId="77777777">
        <w:trPr>
          <w:cantSplit/>
          <w:trHeight w:val="437"/>
        </w:trPr>
        <w:tc>
          <w:tcPr>
            <w:tcW w:w="802" w:type="dxa"/>
          </w:tcPr>
          <w:p w14:paraId="0CFE7518" w14:textId="77777777" w:rsidR="00D3344B" w:rsidRDefault="00D3344B">
            <w:pPr>
              <w:pStyle w:val="Sinespaciado"/>
              <w:widowControl w:val="0"/>
              <w:spacing w:line="276" w:lineRule="auto"/>
              <w:jc w:val="both"/>
              <w:rPr>
                <w:rFonts w:ascii="Arial" w:hAnsi="Arial" w:cs="Arial"/>
              </w:rPr>
            </w:pPr>
          </w:p>
        </w:tc>
        <w:tc>
          <w:tcPr>
            <w:tcW w:w="7195" w:type="dxa"/>
          </w:tcPr>
          <w:p w14:paraId="18DEE4CD" w14:textId="77777777" w:rsidR="00D3344B" w:rsidRDefault="00143C25">
            <w:pPr>
              <w:pStyle w:val="Sinespaciado"/>
              <w:widowControl w:val="0"/>
              <w:spacing w:line="276" w:lineRule="auto"/>
              <w:ind w:left="778" w:hanging="284"/>
              <w:rPr>
                <w:rFonts w:ascii="Arial" w:hAnsi="Arial" w:cs="Arial"/>
                <w:i/>
                <w:sz w:val="16"/>
              </w:rPr>
            </w:pPr>
            <w:r>
              <w:rPr>
                <w:rFonts w:ascii="Arial" w:hAnsi="Arial" w:cs="Arial"/>
              </w:rPr>
              <w:t xml:space="preserve">2.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39FC4019" w14:textId="77777777" w:rsidR="00D3344B" w:rsidRDefault="00143C25">
            <w:pPr>
              <w:pStyle w:val="Sinespaciado"/>
              <w:widowControl w:val="0"/>
              <w:spacing w:line="276" w:lineRule="auto"/>
              <w:ind w:left="213"/>
              <w:rPr>
                <w:rFonts w:ascii="Arial" w:hAnsi="Arial" w:cs="Arial"/>
              </w:rPr>
            </w:pPr>
            <w:r>
              <w:rPr>
                <w:rFonts w:ascii="Arial" w:hAnsi="Arial" w:cs="Arial"/>
              </w:rPr>
              <w:t>15 UMA</w:t>
            </w:r>
          </w:p>
        </w:tc>
      </w:tr>
      <w:tr w:rsidR="00D3344B" w14:paraId="05D022C9" w14:textId="77777777">
        <w:trPr>
          <w:cantSplit/>
          <w:trHeight w:val="446"/>
        </w:trPr>
        <w:tc>
          <w:tcPr>
            <w:tcW w:w="802" w:type="dxa"/>
          </w:tcPr>
          <w:p w14:paraId="69F2FD72"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9F1F3C1" w14:textId="77777777" w:rsidR="00D3344B" w:rsidRDefault="00143C25">
            <w:pPr>
              <w:pStyle w:val="Sinespaciado"/>
              <w:widowControl w:val="0"/>
              <w:spacing w:line="276" w:lineRule="auto"/>
              <w:ind w:left="778" w:hanging="284"/>
              <w:rPr>
                <w:rFonts w:ascii="Arial" w:hAnsi="Arial" w:cs="Arial"/>
              </w:rPr>
            </w:pPr>
            <w:r>
              <w:rPr>
                <w:rFonts w:ascii="Arial" w:hAnsi="Arial" w:cs="Arial"/>
                <w:i/>
                <w:sz w:val="16"/>
                <w:szCs w:val="16"/>
              </w:rPr>
              <w:t>(REFORMADO, P.O. 21 DE JUNIO DE 2021)</w:t>
            </w:r>
          </w:p>
        </w:tc>
        <w:tc>
          <w:tcPr>
            <w:tcW w:w="1975" w:type="dxa"/>
          </w:tcPr>
          <w:p w14:paraId="4220F7D3" w14:textId="77777777" w:rsidR="00D3344B" w:rsidRDefault="00D3344B">
            <w:pPr>
              <w:pStyle w:val="Sinespaciado"/>
              <w:widowControl w:val="0"/>
              <w:spacing w:line="276" w:lineRule="auto"/>
              <w:ind w:left="213"/>
              <w:rPr>
                <w:rFonts w:ascii="Arial" w:hAnsi="Arial" w:cs="Arial"/>
              </w:rPr>
            </w:pPr>
          </w:p>
        </w:tc>
      </w:tr>
      <w:tr w:rsidR="00D3344B" w14:paraId="5CAA6F5A" w14:textId="77777777">
        <w:trPr>
          <w:cantSplit/>
          <w:trHeight w:val="560"/>
        </w:trPr>
        <w:tc>
          <w:tcPr>
            <w:tcW w:w="802" w:type="dxa"/>
          </w:tcPr>
          <w:p w14:paraId="1CD3374A" w14:textId="77777777" w:rsidR="00D3344B" w:rsidRDefault="00D3344B">
            <w:pPr>
              <w:pStyle w:val="Sinespaciado"/>
              <w:widowControl w:val="0"/>
              <w:spacing w:line="276" w:lineRule="auto"/>
              <w:jc w:val="both"/>
              <w:rPr>
                <w:rFonts w:ascii="Arial" w:hAnsi="Arial" w:cs="Arial"/>
              </w:rPr>
            </w:pPr>
          </w:p>
        </w:tc>
        <w:tc>
          <w:tcPr>
            <w:tcW w:w="7195" w:type="dxa"/>
          </w:tcPr>
          <w:p w14:paraId="6DFCC32F" w14:textId="77777777" w:rsidR="00D3344B" w:rsidRDefault="00143C25">
            <w:pPr>
              <w:pStyle w:val="Sinespaciado"/>
              <w:widowControl w:val="0"/>
              <w:spacing w:line="276" w:lineRule="auto"/>
              <w:ind w:left="778" w:hanging="284"/>
              <w:jc w:val="both"/>
              <w:rPr>
                <w:rFonts w:ascii="Arial" w:hAnsi="Arial" w:cs="Arial"/>
                <w:i/>
                <w:sz w:val="16"/>
              </w:rPr>
            </w:pPr>
            <w:r>
              <w:rPr>
                <w:rFonts w:ascii="Arial" w:hAnsi="Arial" w:cs="Arial"/>
              </w:rPr>
              <w:t xml:space="preserve">3.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tcPr>
          <w:p w14:paraId="14D8CFD9" w14:textId="77777777" w:rsidR="00D3344B" w:rsidRDefault="00143C25">
            <w:pPr>
              <w:pStyle w:val="Sinespaciado"/>
              <w:widowControl w:val="0"/>
              <w:spacing w:line="276" w:lineRule="auto"/>
              <w:ind w:left="213"/>
              <w:rPr>
                <w:rFonts w:ascii="Arial" w:hAnsi="Arial" w:cs="Arial"/>
              </w:rPr>
            </w:pPr>
            <w:r>
              <w:rPr>
                <w:rFonts w:ascii="Arial" w:hAnsi="Arial" w:cs="Arial"/>
              </w:rPr>
              <w:t>15 UMA</w:t>
            </w:r>
          </w:p>
        </w:tc>
      </w:tr>
      <w:tr w:rsidR="00D3344B" w14:paraId="37F0211F" w14:textId="77777777">
        <w:trPr>
          <w:cantSplit/>
          <w:trHeight w:val="276"/>
        </w:trPr>
        <w:tc>
          <w:tcPr>
            <w:tcW w:w="802" w:type="dxa"/>
          </w:tcPr>
          <w:p w14:paraId="117EC06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46A776FF" w14:textId="77777777" w:rsidR="00D3344B" w:rsidRDefault="00143C25">
            <w:pPr>
              <w:pStyle w:val="Sinespaciado"/>
              <w:widowControl w:val="0"/>
              <w:spacing w:line="276" w:lineRule="auto"/>
              <w:ind w:left="778" w:hanging="284"/>
              <w:rPr>
                <w:rFonts w:ascii="Arial" w:hAnsi="Arial" w:cs="Arial"/>
              </w:rPr>
            </w:pPr>
            <w:r>
              <w:rPr>
                <w:rFonts w:ascii="Arial" w:hAnsi="Arial" w:cs="Arial"/>
                <w:i/>
                <w:sz w:val="16"/>
                <w:szCs w:val="16"/>
              </w:rPr>
              <w:t>(REFORMADO, P.O. 21 DE JUNIO DE 2021)</w:t>
            </w:r>
          </w:p>
        </w:tc>
        <w:tc>
          <w:tcPr>
            <w:tcW w:w="1975" w:type="dxa"/>
          </w:tcPr>
          <w:p w14:paraId="218CF718" w14:textId="77777777" w:rsidR="00D3344B" w:rsidRDefault="00D3344B">
            <w:pPr>
              <w:pStyle w:val="Sinespaciado"/>
              <w:widowControl w:val="0"/>
              <w:spacing w:line="276" w:lineRule="auto"/>
              <w:ind w:left="213"/>
              <w:rPr>
                <w:rFonts w:ascii="Arial" w:hAnsi="Arial" w:cs="Arial"/>
              </w:rPr>
            </w:pPr>
          </w:p>
        </w:tc>
      </w:tr>
      <w:tr w:rsidR="00D3344B" w14:paraId="02D26232" w14:textId="77777777">
        <w:trPr>
          <w:cantSplit/>
          <w:trHeight w:val="735"/>
        </w:trPr>
        <w:tc>
          <w:tcPr>
            <w:tcW w:w="802" w:type="dxa"/>
          </w:tcPr>
          <w:p w14:paraId="12336E18" w14:textId="77777777" w:rsidR="00D3344B" w:rsidRDefault="00D3344B">
            <w:pPr>
              <w:pStyle w:val="Sinespaciado"/>
              <w:widowControl w:val="0"/>
              <w:spacing w:line="276" w:lineRule="auto"/>
              <w:jc w:val="both"/>
              <w:rPr>
                <w:rFonts w:ascii="Arial" w:hAnsi="Arial" w:cs="Arial"/>
              </w:rPr>
            </w:pPr>
          </w:p>
        </w:tc>
        <w:tc>
          <w:tcPr>
            <w:tcW w:w="7195" w:type="dxa"/>
          </w:tcPr>
          <w:p w14:paraId="5A133B4D" w14:textId="77777777" w:rsidR="00D3344B" w:rsidRDefault="00143C25">
            <w:pPr>
              <w:pStyle w:val="Sinespaciado"/>
              <w:widowControl w:val="0"/>
              <w:spacing w:line="276" w:lineRule="auto"/>
              <w:ind w:left="778" w:hanging="284"/>
              <w:jc w:val="both"/>
              <w:rPr>
                <w:rFonts w:ascii="Arial" w:hAnsi="Arial" w:cs="Arial"/>
                <w:i/>
                <w:sz w:val="16"/>
              </w:rPr>
            </w:pPr>
            <w:r>
              <w:rPr>
                <w:rFonts w:ascii="Arial" w:hAnsi="Arial" w:cs="Arial"/>
              </w:rPr>
              <w:t xml:space="preserve">4.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hasta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2ED6D5BC"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6.5 UMA</w:t>
            </w:r>
          </w:p>
        </w:tc>
      </w:tr>
      <w:tr w:rsidR="00D3344B" w14:paraId="21748938" w14:textId="77777777">
        <w:trPr>
          <w:cantSplit/>
          <w:trHeight w:val="246"/>
        </w:trPr>
        <w:tc>
          <w:tcPr>
            <w:tcW w:w="802" w:type="dxa"/>
          </w:tcPr>
          <w:p w14:paraId="5C0DC3EC"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7221193" w14:textId="77777777" w:rsidR="00D3344B" w:rsidRDefault="00143C25">
            <w:pPr>
              <w:pStyle w:val="Sinespaciado"/>
              <w:widowControl w:val="0"/>
              <w:spacing w:line="276" w:lineRule="auto"/>
              <w:ind w:left="778" w:hanging="284"/>
              <w:rPr>
                <w:rFonts w:ascii="Arial" w:hAnsi="Arial" w:cs="Arial"/>
              </w:rPr>
            </w:pPr>
            <w:r>
              <w:rPr>
                <w:rFonts w:ascii="Arial" w:hAnsi="Arial" w:cs="Arial"/>
                <w:i/>
                <w:sz w:val="16"/>
                <w:szCs w:val="16"/>
              </w:rPr>
              <w:t>(REFORMADO, P.O. 21 DE JUNIO DE 2021)</w:t>
            </w:r>
          </w:p>
        </w:tc>
        <w:tc>
          <w:tcPr>
            <w:tcW w:w="1975" w:type="dxa"/>
          </w:tcPr>
          <w:p w14:paraId="110900E8" w14:textId="77777777" w:rsidR="00D3344B" w:rsidRDefault="00D3344B">
            <w:pPr>
              <w:pStyle w:val="Sinespaciado"/>
              <w:widowControl w:val="0"/>
              <w:spacing w:line="276" w:lineRule="auto"/>
              <w:ind w:left="213"/>
              <w:jc w:val="both"/>
              <w:rPr>
                <w:rFonts w:ascii="Arial" w:hAnsi="Arial" w:cs="Arial"/>
                <w:b/>
              </w:rPr>
            </w:pPr>
          </w:p>
        </w:tc>
      </w:tr>
      <w:tr w:rsidR="00D3344B" w14:paraId="5E3D270E" w14:textId="77777777">
        <w:trPr>
          <w:cantSplit/>
          <w:trHeight w:val="750"/>
        </w:trPr>
        <w:tc>
          <w:tcPr>
            <w:tcW w:w="802" w:type="dxa"/>
          </w:tcPr>
          <w:p w14:paraId="0EC0E105" w14:textId="77777777" w:rsidR="00D3344B" w:rsidRDefault="00D3344B">
            <w:pPr>
              <w:pStyle w:val="Sinespaciado"/>
              <w:widowControl w:val="0"/>
              <w:spacing w:line="276" w:lineRule="auto"/>
              <w:jc w:val="both"/>
              <w:rPr>
                <w:rFonts w:ascii="Arial" w:hAnsi="Arial" w:cs="Arial"/>
              </w:rPr>
            </w:pPr>
          </w:p>
        </w:tc>
        <w:tc>
          <w:tcPr>
            <w:tcW w:w="7195" w:type="dxa"/>
          </w:tcPr>
          <w:p w14:paraId="18852EB9"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rPr>
              <w:t xml:space="preserve">5.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semirrenolques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w:t>
            </w:r>
            <w:proofErr w:type="spellStart"/>
            <w:r>
              <w:rPr>
                <w:rFonts w:ascii="Arial" w:hAnsi="Arial" w:cs="Arial"/>
              </w:rPr>
              <w:t>más</w:t>
            </w:r>
            <w:proofErr w:type="spellEnd"/>
            <w:r>
              <w:rPr>
                <w:rFonts w:ascii="Arial" w:hAnsi="Arial" w:cs="Arial"/>
              </w:rPr>
              <w:t xml:space="preserve"> de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485E21A2"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13 UMA</w:t>
            </w:r>
          </w:p>
        </w:tc>
      </w:tr>
      <w:tr w:rsidR="00D3344B" w14:paraId="0A5AAC12" w14:textId="77777777">
        <w:trPr>
          <w:cantSplit/>
          <w:trHeight w:val="335"/>
        </w:trPr>
        <w:tc>
          <w:tcPr>
            <w:tcW w:w="802" w:type="dxa"/>
          </w:tcPr>
          <w:p w14:paraId="6B1030CE"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672D3E2D" w14:textId="77777777" w:rsidR="00D3344B" w:rsidRDefault="00143C25">
            <w:pPr>
              <w:pStyle w:val="Sinespaciado"/>
              <w:widowControl w:val="0"/>
              <w:spacing w:line="276" w:lineRule="auto"/>
              <w:ind w:left="778" w:hanging="284"/>
              <w:rPr>
                <w:rFonts w:ascii="Arial" w:hAnsi="Arial" w:cs="Arial"/>
              </w:rPr>
            </w:pPr>
            <w:r>
              <w:rPr>
                <w:rFonts w:ascii="Arial" w:hAnsi="Arial" w:cs="Arial"/>
                <w:i/>
                <w:sz w:val="16"/>
                <w:szCs w:val="16"/>
              </w:rPr>
              <w:t>(REFORMADO, P.O. 21 DE JUNIO DE 2021)</w:t>
            </w:r>
          </w:p>
        </w:tc>
        <w:tc>
          <w:tcPr>
            <w:tcW w:w="1975" w:type="dxa"/>
          </w:tcPr>
          <w:p w14:paraId="4DB7418D" w14:textId="77777777" w:rsidR="00D3344B" w:rsidRDefault="00D3344B">
            <w:pPr>
              <w:pStyle w:val="Sinespaciado"/>
              <w:widowControl w:val="0"/>
              <w:spacing w:line="276" w:lineRule="auto"/>
              <w:ind w:left="213"/>
              <w:jc w:val="both"/>
              <w:rPr>
                <w:rFonts w:ascii="Arial" w:hAnsi="Arial" w:cs="Arial"/>
                <w:b/>
              </w:rPr>
            </w:pPr>
          </w:p>
        </w:tc>
      </w:tr>
      <w:tr w:rsidR="00D3344B" w14:paraId="7B398347" w14:textId="77777777">
        <w:trPr>
          <w:cantSplit/>
          <w:trHeight w:val="480"/>
        </w:trPr>
        <w:tc>
          <w:tcPr>
            <w:tcW w:w="802" w:type="dxa"/>
          </w:tcPr>
          <w:p w14:paraId="5387ECF4" w14:textId="77777777" w:rsidR="00D3344B" w:rsidRDefault="00D3344B">
            <w:pPr>
              <w:pStyle w:val="Sinespaciado"/>
              <w:widowControl w:val="0"/>
              <w:spacing w:line="276" w:lineRule="auto"/>
              <w:jc w:val="both"/>
              <w:rPr>
                <w:rFonts w:ascii="Arial" w:hAnsi="Arial" w:cs="Arial"/>
              </w:rPr>
            </w:pPr>
          </w:p>
        </w:tc>
        <w:tc>
          <w:tcPr>
            <w:tcW w:w="7195" w:type="dxa"/>
          </w:tcPr>
          <w:p w14:paraId="209A323F" w14:textId="77777777" w:rsidR="00D3344B" w:rsidRDefault="00143C25">
            <w:pPr>
              <w:pStyle w:val="Sinespaciado"/>
              <w:widowControl w:val="0"/>
              <w:spacing w:line="276" w:lineRule="auto"/>
              <w:ind w:left="778" w:hanging="284"/>
              <w:jc w:val="both"/>
              <w:rPr>
                <w:rFonts w:ascii="Arial" w:hAnsi="Arial" w:cs="Arial"/>
              </w:rPr>
            </w:pPr>
            <w:r>
              <w:rPr>
                <w:rFonts w:ascii="Arial" w:hAnsi="Arial" w:cs="Arial"/>
              </w:rPr>
              <w:t xml:space="preserve">6. </w:t>
            </w:r>
            <w:proofErr w:type="spellStart"/>
            <w:r>
              <w:rPr>
                <w:rFonts w:ascii="Arial" w:hAnsi="Arial" w:cs="Arial"/>
              </w:rPr>
              <w:t>Motocicletas</w:t>
            </w:r>
            <w:proofErr w:type="spellEnd"/>
            <w:r>
              <w:rPr>
                <w:rFonts w:ascii="Arial" w:hAnsi="Arial" w:cs="Arial"/>
              </w:rPr>
              <w:t xml:space="preserve">. </w:t>
            </w:r>
          </w:p>
        </w:tc>
        <w:tc>
          <w:tcPr>
            <w:tcW w:w="1975" w:type="dxa"/>
          </w:tcPr>
          <w:p w14:paraId="56865A0D" w14:textId="77777777" w:rsidR="00D3344B" w:rsidRDefault="00D3344B">
            <w:pPr>
              <w:pStyle w:val="Sinespaciado"/>
              <w:widowControl w:val="0"/>
              <w:spacing w:line="276" w:lineRule="auto"/>
              <w:ind w:left="213"/>
              <w:jc w:val="both"/>
              <w:rPr>
                <w:rFonts w:ascii="Arial" w:hAnsi="Arial" w:cs="Arial"/>
              </w:rPr>
            </w:pPr>
          </w:p>
        </w:tc>
      </w:tr>
      <w:tr w:rsidR="00D3344B" w14:paraId="060BFC67" w14:textId="77777777">
        <w:trPr>
          <w:cantSplit/>
          <w:trHeight w:val="515"/>
        </w:trPr>
        <w:tc>
          <w:tcPr>
            <w:tcW w:w="802" w:type="dxa"/>
          </w:tcPr>
          <w:p w14:paraId="686E43D6" w14:textId="77777777" w:rsidR="00D3344B" w:rsidRDefault="00D3344B">
            <w:pPr>
              <w:pStyle w:val="Sinespaciado"/>
              <w:widowControl w:val="0"/>
              <w:spacing w:line="276" w:lineRule="auto"/>
              <w:jc w:val="both"/>
              <w:rPr>
                <w:rFonts w:ascii="Arial" w:hAnsi="Arial" w:cs="Arial"/>
              </w:rPr>
            </w:pPr>
          </w:p>
        </w:tc>
        <w:tc>
          <w:tcPr>
            <w:tcW w:w="7195" w:type="dxa"/>
          </w:tcPr>
          <w:p w14:paraId="692D4B1F"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b)     </w:t>
            </w:r>
            <w:proofErr w:type="spellStart"/>
            <w:r>
              <w:rPr>
                <w:rFonts w:ascii="Arial" w:hAnsi="Arial" w:cs="Arial"/>
              </w:rPr>
              <w:t>Reposición</w:t>
            </w:r>
            <w:proofErr w:type="spellEnd"/>
            <w:r>
              <w:rPr>
                <w:rFonts w:ascii="Arial" w:hAnsi="Arial" w:cs="Arial"/>
              </w:rPr>
              <w:t xml:space="preserve"> de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w:t>
            </w:r>
          </w:p>
        </w:tc>
        <w:tc>
          <w:tcPr>
            <w:tcW w:w="1975" w:type="dxa"/>
          </w:tcPr>
          <w:p w14:paraId="09A7D110"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59FE2A67" w14:textId="77777777">
        <w:trPr>
          <w:cantSplit/>
          <w:trHeight w:val="411"/>
        </w:trPr>
        <w:tc>
          <w:tcPr>
            <w:tcW w:w="802" w:type="dxa"/>
          </w:tcPr>
          <w:p w14:paraId="14DEA7A1"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3CD18569" w14:textId="77777777" w:rsidR="00D3344B" w:rsidRDefault="00143C25">
            <w:pPr>
              <w:pStyle w:val="Sinespaciado"/>
              <w:widowControl w:val="0"/>
              <w:spacing w:line="276" w:lineRule="auto"/>
              <w:ind w:left="494" w:hanging="494"/>
              <w:rPr>
                <w:rFonts w:ascii="Arial" w:hAnsi="Arial" w:cs="Arial"/>
              </w:rPr>
            </w:pPr>
            <w:r>
              <w:rPr>
                <w:rFonts w:ascii="Arial" w:hAnsi="Arial" w:cs="Arial"/>
                <w:i/>
                <w:sz w:val="16"/>
                <w:szCs w:val="16"/>
              </w:rPr>
              <w:t>(REFORMADO, P.O. 21 DE JUNIO DE 2021)</w:t>
            </w:r>
          </w:p>
        </w:tc>
        <w:tc>
          <w:tcPr>
            <w:tcW w:w="1975" w:type="dxa"/>
          </w:tcPr>
          <w:p w14:paraId="4CF7D048" w14:textId="77777777" w:rsidR="00D3344B" w:rsidRDefault="00D3344B">
            <w:pPr>
              <w:pStyle w:val="Sinespaciado"/>
              <w:widowControl w:val="0"/>
              <w:spacing w:line="276" w:lineRule="auto"/>
              <w:ind w:left="213"/>
              <w:jc w:val="both"/>
              <w:rPr>
                <w:rFonts w:ascii="Arial" w:hAnsi="Arial" w:cs="Arial"/>
                <w:b/>
              </w:rPr>
            </w:pPr>
          </w:p>
        </w:tc>
      </w:tr>
      <w:tr w:rsidR="00D3344B" w14:paraId="76BCABA6" w14:textId="77777777">
        <w:trPr>
          <w:cantSplit/>
          <w:trHeight w:val="540"/>
        </w:trPr>
        <w:tc>
          <w:tcPr>
            <w:tcW w:w="802" w:type="dxa"/>
          </w:tcPr>
          <w:p w14:paraId="06AD9FDE" w14:textId="77777777" w:rsidR="00D3344B" w:rsidRDefault="00D3344B">
            <w:pPr>
              <w:pStyle w:val="Sinespaciado"/>
              <w:widowControl w:val="0"/>
              <w:spacing w:line="276" w:lineRule="auto"/>
              <w:jc w:val="both"/>
              <w:rPr>
                <w:rFonts w:ascii="Arial" w:hAnsi="Arial" w:cs="Arial"/>
              </w:rPr>
            </w:pPr>
          </w:p>
        </w:tc>
        <w:tc>
          <w:tcPr>
            <w:tcW w:w="7195" w:type="dxa"/>
          </w:tcPr>
          <w:p w14:paraId="4DDAB115" w14:textId="77777777" w:rsidR="00D3344B" w:rsidRDefault="00143C25">
            <w:pPr>
              <w:pStyle w:val="Sinespaciado"/>
              <w:widowControl w:val="0"/>
              <w:spacing w:line="276" w:lineRule="auto"/>
              <w:ind w:left="494" w:hanging="494"/>
              <w:jc w:val="both"/>
              <w:rPr>
                <w:rFonts w:ascii="Arial" w:hAnsi="Arial" w:cs="Arial"/>
              </w:rPr>
            </w:pPr>
            <w:r>
              <w:rPr>
                <w:rFonts w:ascii="Arial" w:hAnsi="Arial" w:cs="Arial"/>
              </w:rPr>
              <w:t xml:space="preserve">c)     </w:t>
            </w:r>
            <w:proofErr w:type="spellStart"/>
            <w:r>
              <w:rPr>
                <w:rFonts w:ascii="Arial" w:hAnsi="Arial" w:cs="Arial"/>
              </w:rPr>
              <w:t>Constancia</w:t>
            </w:r>
            <w:proofErr w:type="spellEnd"/>
            <w:r>
              <w:rPr>
                <w:rFonts w:ascii="Arial" w:hAnsi="Arial" w:cs="Arial"/>
              </w:rPr>
              <w:t xml:space="preserve"> de </w:t>
            </w:r>
            <w:proofErr w:type="spellStart"/>
            <w:r>
              <w:rPr>
                <w:rFonts w:ascii="Arial" w:hAnsi="Arial" w:cs="Arial"/>
              </w:rPr>
              <w:t>preexistencia</w:t>
            </w:r>
            <w:proofErr w:type="spellEnd"/>
            <w:r>
              <w:rPr>
                <w:rFonts w:ascii="Arial" w:hAnsi="Arial" w:cs="Arial"/>
              </w:rPr>
              <w:t xml:space="preserve"> de </w:t>
            </w:r>
            <w:proofErr w:type="spellStart"/>
            <w:r>
              <w:rPr>
                <w:rFonts w:ascii="Arial" w:hAnsi="Arial" w:cs="Arial"/>
              </w:rPr>
              <w:t>engomados</w:t>
            </w:r>
            <w:proofErr w:type="spellEnd"/>
            <w:r>
              <w:rPr>
                <w:rFonts w:ascii="Arial" w:hAnsi="Arial" w:cs="Arial"/>
              </w:rPr>
              <w:t>.</w:t>
            </w:r>
          </w:p>
        </w:tc>
        <w:tc>
          <w:tcPr>
            <w:tcW w:w="1975" w:type="dxa"/>
          </w:tcPr>
          <w:p w14:paraId="59C85DA0"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25898D75" w14:textId="77777777">
        <w:trPr>
          <w:cantSplit/>
          <w:trHeight w:val="540"/>
        </w:trPr>
        <w:tc>
          <w:tcPr>
            <w:tcW w:w="802" w:type="dxa"/>
          </w:tcPr>
          <w:p w14:paraId="3F11E80E"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D003887"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(REFORMADA, P.O. 21 DE JUNIO DE 2021)</w:t>
            </w:r>
          </w:p>
        </w:tc>
        <w:tc>
          <w:tcPr>
            <w:tcW w:w="1975" w:type="dxa"/>
          </w:tcPr>
          <w:p w14:paraId="7C856BE8" w14:textId="77777777" w:rsidR="00D3344B" w:rsidRDefault="00D3344B">
            <w:pPr>
              <w:pStyle w:val="Sinespaciado"/>
              <w:widowControl w:val="0"/>
              <w:spacing w:line="276" w:lineRule="auto"/>
              <w:ind w:left="213"/>
              <w:jc w:val="both"/>
              <w:rPr>
                <w:rFonts w:ascii="Arial" w:hAnsi="Arial" w:cs="Arial"/>
              </w:rPr>
            </w:pPr>
          </w:p>
        </w:tc>
      </w:tr>
      <w:tr w:rsidR="00D3344B" w14:paraId="5A8EA4A6" w14:textId="77777777">
        <w:trPr>
          <w:cantSplit/>
          <w:trHeight w:val="750"/>
        </w:trPr>
        <w:tc>
          <w:tcPr>
            <w:tcW w:w="802" w:type="dxa"/>
          </w:tcPr>
          <w:p w14:paraId="290483D1" w14:textId="77777777" w:rsidR="00D3344B" w:rsidRDefault="00143C25">
            <w:pPr>
              <w:pStyle w:val="Sinespaciado"/>
              <w:widowControl w:val="0"/>
              <w:spacing w:line="276" w:lineRule="auto"/>
              <w:jc w:val="both"/>
              <w:rPr>
                <w:rFonts w:ascii="Arial" w:hAnsi="Arial" w:cs="Arial"/>
              </w:rPr>
            </w:pPr>
            <w:r>
              <w:rPr>
                <w:rFonts w:ascii="Arial" w:hAnsi="Arial" w:cs="Arial"/>
              </w:rPr>
              <w:t>XV.</w:t>
            </w:r>
          </w:p>
        </w:tc>
        <w:tc>
          <w:tcPr>
            <w:tcW w:w="7195" w:type="dxa"/>
          </w:tcPr>
          <w:p w14:paraId="2D41B940"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Canje</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w:t>
            </w:r>
            <w:proofErr w:type="spellStart"/>
            <w:r>
              <w:rPr>
                <w:rFonts w:ascii="Arial" w:hAnsi="Arial" w:cs="Arial"/>
              </w:rPr>
              <w:t>autorizadas</w:t>
            </w:r>
            <w:proofErr w:type="spellEnd"/>
            <w:r>
              <w:rPr>
                <w:rFonts w:ascii="Arial" w:hAnsi="Arial" w:cs="Arial"/>
              </w:rPr>
              <w:t xml:space="preserve"> para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servicio</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privado:</w:t>
            </w:r>
          </w:p>
        </w:tc>
        <w:tc>
          <w:tcPr>
            <w:tcW w:w="1975" w:type="dxa"/>
          </w:tcPr>
          <w:p w14:paraId="4D6C9B4D" w14:textId="77777777" w:rsidR="00D3344B" w:rsidRDefault="00D3344B">
            <w:pPr>
              <w:pStyle w:val="Sinespaciado"/>
              <w:widowControl w:val="0"/>
              <w:spacing w:line="276" w:lineRule="auto"/>
              <w:jc w:val="both"/>
              <w:rPr>
                <w:rFonts w:ascii="Arial" w:hAnsi="Arial" w:cs="Arial"/>
              </w:rPr>
            </w:pPr>
          </w:p>
        </w:tc>
      </w:tr>
      <w:tr w:rsidR="00D3344B" w14:paraId="5606F9C5" w14:textId="77777777">
        <w:trPr>
          <w:cantSplit/>
          <w:trHeight w:val="429"/>
        </w:trPr>
        <w:tc>
          <w:tcPr>
            <w:tcW w:w="802" w:type="dxa"/>
          </w:tcPr>
          <w:p w14:paraId="2D4F5FAE"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591654DA"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48C20357" w14:textId="77777777" w:rsidR="00D3344B" w:rsidRDefault="00D3344B">
            <w:pPr>
              <w:pStyle w:val="Sinespaciado"/>
              <w:widowControl w:val="0"/>
              <w:spacing w:line="276" w:lineRule="auto"/>
              <w:jc w:val="both"/>
              <w:rPr>
                <w:rFonts w:ascii="Arial" w:hAnsi="Arial" w:cs="Arial"/>
              </w:rPr>
            </w:pPr>
          </w:p>
        </w:tc>
      </w:tr>
      <w:tr w:rsidR="00D3344B" w14:paraId="26631173" w14:textId="77777777">
        <w:trPr>
          <w:cantSplit/>
          <w:trHeight w:val="1065"/>
        </w:trPr>
        <w:tc>
          <w:tcPr>
            <w:tcW w:w="802" w:type="dxa"/>
          </w:tcPr>
          <w:p w14:paraId="64A8DA3F" w14:textId="77777777" w:rsidR="00D3344B" w:rsidRDefault="00D3344B">
            <w:pPr>
              <w:pStyle w:val="Sinespaciado"/>
              <w:widowControl w:val="0"/>
              <w:spacing w:line="276" w:lineRule="auto"/>
              <w:jc w:val="both"/>
              <w:rPr>
                <w:rFonts w:ascii="Arial" w:hAnsi="Arial" w:cs="Arial"/>
              </w:rPr>
            </w:pPr>
          </w:p>
        </w:tc>
        <w:tc>
          <w:tcPr>
            <w:tcW w:w="7195" w:type="dxa"/>
          </w:tcPr>
          <w:p w14:paraId="3CC9A15E"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a)   Autos, combis, panel, suburban y </w:t>
            </w:r>
            <w:proofErr w:type="spellStart"/>
            <w:r>
              <w:rPr>
                <w:rFonts w:ascii="Arial" w:hAnsi="Arial" w:cs="Arial"/>
              </w:rPr>
              <w:t>similares</w:t>
            </w:r>
            <w:proofErr w:type="spellEnd"/>
            <w:r>
              <w:rPr>
                <w:rFonts w:ascii="Arial" w:hAnsi="Arial" w:cs="Arial"/>
              </w:rPr>
              <w:t xml:space="preserve">,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autobuses y micros.</w:t>
            </w:r>
          </w:p>
        </w:tc>
        <w:tc>
          <w:tcPr>
            <w:tcW w:w="1975" w:type="dxa"/>
          </w:tcPr>
          <w:p w14:paraId="1E405E01"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10.5 UMA</w:t>
            </w:r>
          </w:p>
        </w:tc>
      </w:tr>
      <w:tr w:rsidR="00D3344B" w14:paraId="701C61F0" w14:textId="77777777">
        <w:trPr>
          <w:cantSplit/>
          <w:trHeight w:val="365"/>
        </w:trPr>
        <w:tc>
          <w:tcPr>
            <w:tcW w:w="802" w:type="dxa"/>
          </w:tcPr>
          <w:p w14:paraId="41A12E63"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5F7D5BFD" w14:textId="77777777" w:rsidR="00D3344B" w:rsidRDefault="00143C25">
            <w:pPr>
              <w:pStyle w:val="Sinespaciado"/>
              <w:widowControl w:val="0"/>
              <w:spacing w:line="276" w:lineRule="auto"/>
              <w:ind w:left="352" w:hanging="352"/>
              <w:rPr>
                <w:rFonts w:ascii="Arial" w:hAnsi="Arial" w:cs="Arial"/>
              </w:rPr>
            </w:pPr>
            <w:r>
              <w:rPr>
                <w:rFonts w:ascii="Arial" w:hAnsi="Arial" w:cs="Arial"/>
                <w:i/>
                <w:sz w:val="16"/>
                <w:szCs w:val="16"/>
              </w:rPr>
              <w:t>(REFORMADO, P.O. 21 DE JUNIO DE 2021)</w:t>
            </w:r>
          </w:p>
        </w:tc>
        <w:tc>
          <w:tcPr>
            <w:tcW w:w="1975" w:type="dxa"/>
          </w:tcPr>
          <w:p w14:paraId="673ED273" w14:textId="77777777" w:rsidR="00D3344B" w:rsidRDefault="00D3344B">
            <w:pPr>
              <w:pStyle w:val="Sinespaciado"/>
              <w:widowControl w:val="0"/>
              <w:spacing w:line="276" w:lineRule="auto"/>
              <w:ind w:left="213"/>
              <w:jc w:val="both"/>
              <w:rPr>
                <w:rFonts w:ascii="Arial" w:hAnsi="Arial" w:cs="Arial"/>
                <w:b/>
              </w:rPr>
            </w:pPr>
          </w:p>
        </w:tc>
      </w:tr>
      <w:tr w:rsidR="00D3344B" w14:paraId="60776F05" w14:textId="77777777">
        <w:trPr>
          <w:cantSplit/>
          <w:trHeight w:val="755"/>
        </w:trPr>
        <w:tc>
          <w:tcPr>
            <w:tcW w:w="802" w:type="dxa"/>
          </w:tcPr>
          <w:p w14:paraId="0BE61E11" w14:textId="77777777" w:rsidR="00D3344B" w:rsidRDefault="00D3344B">
            <w:pPr>
              <w:pStyle w:val="Sinespaciado"/>
              <w:widowControl w:val="0"/>
              <w:spacing w:line="276" w:lineRule="auto"/>
              <w:jc w:val="both"/>
              <w:rPr>
                <w:rFonts w:ascii="Arial" w:hAnsi="Arial" w:cs="Arial"/>
              </w:rPr>
            </w:pPr>
          </w:p>
        </w:tc>
        <w:tc>
          <w:tcPr>
            <w:tcW w:w="7195" w:type="dxa"/>
          </w:tcPr>
          <w:p w14:paraId="161C189E"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b)   </w:t>
            </w:r>
            <w:proofErr w:type="spellStart"/>
            <w:r>
              <w:rPr>
                <w:rFonts w:ascii="Arial" w:hAnsi="Arial" w:cs="Arial"/>
              </w:rPr>
              <w:t>Motocicletas</w:t>
            </w:r>
            <w:proofErr w:type="spellEnd"/>
            <w:r>
              <w:rPr>
                <w:rFonts w:ascii="Arial" w:hAnsi="Arial" w:cs="Arial"/>
              </w:rPr>
              <w:t>.</w:t>
            </w:r>
          </w:p>
        </w:tc>
        <w:tc>
          <w:tcPr>
            <w:tcW w:w="1975" w:type="dxa"/>
          </w:tcPr>
          <w:p w14:paraId="4EE91FD8"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5 UMA</w:t>
            </w:r>
          </w:p>
        </w:tc>
      </w:tr>
      <w:tr w:rsidR="00D3344B" w14:paraId="2ED2CAAE" w14:textId="77777777">
        <w:trPr>
          <w:cantSplit/>
          <w:trHeight w:val="510"/>
        </w:trPr>
        <w:tc>
          <w:tcPr>
            <w:tcW w:w="802" w:type="dxa"/>
          </w:tcPr>
          <w:p w14:paraId="60EAEC94" w14:textId="77777777" w:rsidR="00D3344B" w:rsidRDefault="00143C25">
            <w:pPr>
              <w:pStyle w:val="Sinespaciado"/>
              <w:widowControl w:val="0"/>
              <w:spacing w:line="276" w:lineRule="auto"/>
              <w:jc w:val="both"/>
              <w:rPr>
                <w:rFonts w:ascii="Arial" w:hAnsi="Arial" w:cs="Arial"/>
              </w:rPr>
            </w:pPr>
            <w:r>
              <w:rPr>
                <w:rFonts w:ascii="Arial" w:hAnsi="Arial" w:cs="Arial"/>
              </w:rPr>
              <w:t>XVI.</w:t>
            </w:r>
          </w:p>
        </w:tc>
        <w:tc>
          <w:tcPr>
            <w:tcW w:w="7195" w:type="dxa"/>
          </w:tcPr>
          <w:p w14:paraId="2F82DAD5"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Modificaciones</w:t>
            </w:r>
            <w:proofErr w:type="spellEnd"/>
            <w:r>
              <w:rPr>
                <w:rFonts w:ascii="Arial" w:hAnsi="Arial" w:cs="Arial"/>
              </w:rPr>
              <w:t xml:space="preserve"> al </w:t>
            </w:r>
            <w:proofErr w:type="spellStart"/>
            <w:r>
              <w:rPr>
                <w:rFonts w:ascii="Arial" w:hAnsi="Arial" w:cs="Arial"/>
              </w:rPr>
              <w:t>padrón</w:t>
            </w:r>
            <w:proofErr w:type="spellEnd"/>
            <w:r>
              <w:rPr>
                <w:rFonts w:ascii="Arial" w:hAnsi="Arial" w:cs="Arial"/>
              </w:rPr>
              <w:t xml:space="preserve"> vehicular:</w:t>
            </w:r>
          </w:p>
        </w:tc>
        <w:tc>
          <w:tcPr>
            <w:tcW w:w="1975" w:type="dxa"/>
          </w:tcPr>
          <w:p w14:paraId="4A11FAE4" w14:textId="77777777" w:rsidR="00D3344B" w:rsidRDefault="00D3344B">
            <w:pPr>
              <w:pStyle w:val="Sinespaciado"/>
              <w:widowControl w:val="0"/>
              <w:spacing w:line="276" w:lineRule="auto"/>
              <w:ind w:left="213"/>
              <w:jc w:val="both"/>
              <w:rPr>
                <w:rFonts w:ascii="Arial" w:hAnsi="Arial" w:cs="Arial"/>
              </w:rPr>
            </w:pPr>
          </w:p>
        </w:tc>
      </w:tr>
      <w:tr w:rsidR="00D3344B" w14:paraId="1F827449" w14:textId="77777777">
        <w:trPr>
          <w:cantSplit/>
          <w:trHeight w:val="510"/>
        </w:trPr>
        <w:tc>
          <w:tcPr>
            <w:tcW w:w="802" w:type="dxa"/>
          </w:tcPr>
          <w:p w14:paraId="67B6447C"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566E29A1" w14:textId="77777777" w:rsidR="00D3344B" w:rsidRDefault="00143C25">
            <w:pPr>
              <w:pStyle w:val="Sinespaciado"/>
              <w:widowControl w:val="0"/>
              <w:spacing w:line="276" w:lineRule="auto"/>
              <w:ind w:left="69"/>
              <w:jc w:val="both"/>
              <w:rPr>
                <w:rFonts w:ascii="Arial" w:hAnsi="Arial" w:cs="Arial"/>
              </w:rPr>
            </w:pPr>
            <w:r>
              <w:rPr>
                <w:rFonts w:ascii="Arial" w:hAnsi="Arial" w:cs="Arial"/>
                <w:i/>
                <w:sz w:val="16"/>
              </w:rPr>
              <w:t>N. DE E. EN RELACIÓN CON LA ENTRADA EN VIGOR DEL PRESENTE PÁRRAFO, VÉASE ARTÍCULO ÚNICO TRANSITORIO DEL DECRETO QUE MODIFICA EL CÓDIGO.</w:t>
            </w:r>
          </w:p>
          <w:p w14:paraId="5B3FE47F"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 </w:t>
            </w:r>
            <w:r>
              <w:rPr>
                <w:rFonts w:ascii="Arial" w:hAnsi="Arial" w:cs="Arial"/>
                <w:i/>
                <w:sz w:val="16"/>
              </w:rPr>
              <w:t>(REFORMADO PRIMER PÁRRAFO, P.O. 23 DE DICIEMBRE DE 2008)</w:t>
            </w:r>
          </w:p>
        </w:tc>
        <w:tc>
          <w:tcPr>
            <w:tcW w:w="1975" w:type="dxa"/>
          </w:tcPr>
          <w:p w14:paraId="3D2DC244" w14:textId="77777777" w:rsidR="00D3344B" w:rsidRDefault="00D3344B">
            <w:pPr>
              <w:pStyle w:val="Sinespaciado"/>
              <w:widowControl w:val="0"/>
              <w:spacing w:line="276" w:lineRule="auto"/>
              <w:ind w:left="213"/>
              <w:jc w:val="both"/>
              <w:rPr>
                <w:rFonts w:ascii="Arial" w:hAnsi="Arial" w:cs="Arial"/>
              </w:rPr>
            </w:pPr>
          </w:p>
        </w:tc>
      </w:tr>
      <w:tr w:rsidR="00D3344B" w14:paraId="21899DB7" w14:textId="77777777">
        <w:trPr>
          <w:cantSplit/>
          <w:trHeight w:val="975"/>
        </w:trPr>
        <w:tc>
          <w:tcPr>
            <w:tcW w:w="802" w:type="dxa"/>
          </w:tcPr>
          <w:p w14:paraId="6AB3D63B" w14:textId="77777777" w:rsidR="00D3344B" w:rsidRDefault="00D3344B">
            <w:pPr>
              <w:pStyle w:val="Sinespaciado"/>
              <w:widowControl w:val="0"/>
              <w:spacing w:line="276" w:lineRule="auto"/>
              <w:jc w:val="both"/>
              <w:rPr>
                <w:rFonts w:ascii="Arial" w:hAnsi="Arial" w:cs="Arial"/>
              </w:rPr>
            </w:pPr>
          </w:p>
        </w:tc>
        <w:tc>
          <w:tcPr>
            <w:tcW w:w="7195" w:type="dxa"/>
          </w:tcPr>
          <w:p w14:paraId="102E7ABD"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a) Cambio de </w:t>
            </w:r>
            <w:proofErr w:type="spellStart"/>
            <w:r>
              <w:rPr>
                <w:rFonts w:ascii="Arial" w:hAnsi="Arial" w:cs="Arial"/>
              </w:rPr>
              <w:t>propietario</w:t>
            </w:r>
            <w:proofErr w:type="spellEnd"/>
            <w:r>
              <w:rPr>
                <w:rFonts w:ascii="Arial" w:hAnsi="Arial" w:cs="Arial"/>
              </w:rPr>
              <w:t xml:space="preserve">, </w:t>
            </w:r>
            <w:proofErr w:type="spellStart"/>
            <w:r>
              <w:rPr>
                <w:rFonts w:ascii="Arial" w:hAnsi="Arial" w:cs="Arial"/>
              </w:rPr>
              <w:t>incluye</w:t>
            </w:r>
            <w:proofErr w:type="spellEnd"/>
            <w:r>
              <w:rPr>
                <w:rFonts w:ascii="Arial" w:hAnsi="Arial" w:cs="Arial"/>
              </w:rPr>
              <w:t xml:space="preserve"> </w:t>
            </w:r>
            <w:proofErr w:type="spellStart"/>
            <w:r>
              <w:rPr>
                <w:rFonts w:ascii="Arial" w:hAnsi="Arial" w:cs="Arial"/>
              </w:rPr>
              <w:t>alta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padrón</w:t>
            </w:r>
            <w:proofErr w:type="spellEnd"/>
            <w:r>
              <w:rPr>
                <w:rFonts w:ascii="Arial" w:hAnsi="Arial" w:cs="Arial"/>
              </w:rPr>
              <w:t xml:space="preserve"> vehicular con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placas</w:t>
            </w:r>
            <w:proofErr w:type="spellEnd"/>
            <w:r>
              <w:rPr>
                <w:rFonts w:ascii="Arial" w:hAnsi="Arial" w:cs="Arial"/>
              </w:rPr>
              <w:t xml:space="preserve"> y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w:t>
            </w:r>
          </w:p>
          <w:p w14:paraId="62276E50" w14:textId="77777777" w:rsidR="00D3344B" w:rsidRDefault="00D3344B">
            <w:pPr>
              <w:pStyle w:val="Sinespaciado"/>
              <w:widowControl w:val="0"/>
              <w:spacing w:line="276" w:lineRule="auto"/>
              <w:jc w:val="both"/>
              <w:rPr>
                <w:rFonts w:ascii="Arial" w:hAnsi="Arial" w:cs="Arial"/>
              </w:rPr>
            </w:pPr>
          </w:p>
        </w:tc>
        <w:tc>
          <w:tcPr>
            <w:tcW w:w="1975" w:type="dxa"/>
          </w:tcPr>
          <w:p w14:paraId="1DBFE21C" w14:textId="77777777" w:rsidR="00D3344B" w:rsidRDefault="00D3344B">
            <w:pPr>
              <w:pStyle w:val="Sinespaciado"/>
              <w:widowControl w:val="0"/>
              <w:spacing w:line="276" w:lineRule="auto"/>
              <w:ind w:left="213"/>
              <w:jc w:val="both"/>
              <w:rPr>
                <w:rFonts w:ascii="Arial" w:hAnsi="Arial" w:cs="Arial"/>
              </w:rPr>
            </w:pPr>
          </w:p>
          <w:p w14:paraId="655206FD" w14:textId="77777777" w:rsidR="00D3344B" w:rsidRDefault="00D3344B">
            <w:pPr>
              <w:pStyle w:val="Sinespaciado"/>
              <w:widowControl w:val="0"/>
              <w:spacing w:line="276" w:lineRule="auto"/>
              <w:ind w:left="213"/>
              <w:jc w:val="both"/>
              <w:rPr>
                <w:rFonts w:ascii="Arial" w:hAnsi="Arial" w:cs="Arial"/>
              </w:rPr>
            </w:pPr>
          </w:p>
          <w:p w14:paraId="16E3084E" w14:textId="77777777" w:rsidR="00D3344B" w:rsidRDefault="00D3344B">
            <w:pPr>
              <w:pStyle w:val="Sinespaciado"/>
              <w:widowControl w:val="0"/>
              <w:spacing w:line="276" w:lineRule="auto"/>
              <w:ind w:left="213"/>
              <w:jc w:val="both"/>
              <w:rPr>
                <w:rFonts w:ascii="Arial" w:hAnsi="Arial" w:cs="Arial"/>
              </w:rPr>
            </w:pPr>
          </w:p>
          <w:p w14:paraId="1EC25D7F" w14:textId="77777777" w:rsidR="00D3344B" w:rsidRDefault="00D3344B">
            <w:pPr>
              <w:pStyle w:val="Sinespaciado"/>
              <w:widowControl w:val="0"/>
              <w:spacing w:line="276" w:lineRule="auto"/>
              <w:ind w:left="213"/>
              <w:jc w:val="both"/>
              <w:rPr>
                <w:rFonts w:ascii="Arial" w:hAnsi="Arial" w:cs="Arial"/>
              </w:rPr>
            </w:pPr>
          </w:p>
        </w:tc>
      </w:tr>
      <w:tr w:rsidR="00D3344B" w14:paraId="1C8E927E" w14:textId="77777777">
        <w:trPr>
          <w:cantSplit/>
          <w:trHeight w:val="544"/>
        </w:trPr>
        <w:tc>
          <w:tcPr>
            <w:tcW w:w="802" w:type="dxa"/>
          </w:tcPr>
          <w:p w14:paraId="37744162"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1FD2685"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vAlign w:val="bottom"/>
          </w:tcPr>
          <w:p w14:paraId="67BB6E97" w14:textId="77777777" w:rsidR="00D3344B" w:rsidRDefault="00D3344B">
            <w:pPr>
              <w:pStyle w:val="Sinespaciado"/>
              <w:widowControl w:val="0"/>
              <w:spacing w:line="276" w:lineRule="auto"/>
              <w:ind w:left="213"/>
              <w:rPr>
                <w:rFonts w:ascii="Arial" w:hAnsi="Arial" w:cs="Arial"/>
              </w:rPr>
            </w:pPr>
          </w:p>
        </w:tc>
      </w:tr>
      <w:tr w:rsidR="00D3344B" w14:paraId="011587B0" w14:textId="77777777">
        <w:trPr>
          <w:cantSplit/>
          <w:trHeight w:val="697"/>
        </w:trPr>
        <w:tc>
          <w:tcPr>
            <w:tcW w:w="802" w:type="dxa"/>
          </w:tcPr>
          <w:p w14:paraId="2496AB04" w14:textId="77777777" w:rsidR="00D3344B" w:rsidRDefault="00D3344B">
            <w:pPr>
              <w:pStyle w:val="Sinespaciado"/>
              <w:widowControl w:val="0"/>
              <w:spacing w:line="276" w:lineRule="auto"/>
              <w:jc w:val="both"/>
              <w:rPr>
                <w:rFonts w:ascii="Arial" w:hAnsi="Arial" w:cs="Arial"/>
              </w:rPr>
            </w:pPr>
          </w:p>
        </w:tc>
        <w:tc>
          <w:tcPr>
            <w:tcW w:w="7195" w:type="dxa"/>
          </w:tcPr>
          <w:p w14:paraId="432B779E" w14:textId="77777777" w:rsidR="00D3344B" w:rsidRDefault="00143C25">
            <w:pPr>
              <w:pStyle w:val="Sinespaciado"/>
              <w:widowControl w:val="0"/>
              <w:spacing w:line="276" w:lineRule="auto"/>
              <w:ind w:left="352"/>
              <w:jc w:val="both"/>
              <w:rPr>
                <w:rFonts w:ascii="Arial" w:hAnsi="Arial" w:cs="Arial"/>
              </w:rPr>
            </w:pPr>
            <w:r>
              <w:rPr>
                <w:rFonts w:ascii="Arial" w:hAnsi="Arial" w:cs="Arial"/>
              </w:rPr>
              <w:t>1. Autobuses y micros.</w:t>
            </w:r>
          </w:p>
        </w:tc>
        <w:tc>
          <w:tcPr>
            <w:tcW w:w="1975" w:type="dxa"/>
          </w:tcPr>
          <w:p w14:paraId="7598C6F4"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15 UMA</w:t>
            </w:r>
          </w:p>
        </w:tc>
      </w:tr>
      <w:tr w:rsidR="00D3344B" w14:paraId="431296F9" w14:textId="77777777">
        <w:trPr>
          <w:cantSplit/>
          <w:trHeight w:val="573"/>
        </w:trPr>
        <w:tc>
          <w:tcPr>
            <w:tcW w:w="802" w:type="dxa"/>
          </w:tcPr>
          <w:p w14:paraId="320326F5"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3DFA4B70"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462CE323" w14:textId="77777777" w:rsidR="00D3344B" w:rsidRDefault="00D3344B">
            <w:pPr>
              <w:pStyle w:val="Sinespaciado"/>
              <w:widowControl w:val="0"/>
              <w:spacing w:line="276" w:lineRule="auto"/>
              <w:ind w:left="213"/>
              <w:jc w:val="both"/>
              <w:rPr>
                <w:rFonts w:ascii="Arial" w:hAnsi="Arial" w:cs="Arial"/>
              </w:rPr>
            </w:pPr>
          </w:p>
        </w:tc>
      </w:tr>
      <w:tr w:rsidR="00D3344B" w14:paraId="7330ED28" w14:textId="77777777">
        <w:trPr>
          <w:cantSplit/>
          <w:trHeight w:val="841"/>
        </w:trPr>
        <w:tc>
          <w:tcPr>
            <w:tcW w:w="802" w:type="dxa"/>
          </w:tcPr>
          <w:p w14:paraId="3B369F75" w14:textId="77777777" w:rsidR="00D3344B" w:rsidRDefault="00D3344B">
            <w:pPr>
              <w:pStyle w:val="Sinespaciado"/>
              <w:widowControl w:val="0"/>
              <w:spacing w:line="276" w:lineRule="auto"/>
              <w:jc w:val="both"/>
              <w:rPr>
                <w:rFonts w:ascii="Arial" w:hAnsi="Arial" w:cs="Arial"/>
              </w:rPr>
            </w:pPr>
          </w:p>
        </w:tc>
        <w:tc>
          <w:tcPr>
            <w:tcW w:w="7195" w:type="dxa"/>
          </w:tcPr>
          <w:p w14:paraId="39900C8B"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2. </w:t>
            </w:r>
            <w:proofErr w:type="spellStart"/>
            <w:r>
              <w:rPr>
                <w:rFonts w:ascii="Arial" w:hAnsi="Arial" w:cs="Arial"/>
              </w:rPr>
              <w:t>Automóviles</w:t>
            </w:r>
            <w:proofErr w:type="spellEnd"/>
            <w:r>
              <w:rPr>
                <w:rFonts w:ascii="Arial" w:hAnsi="Arial" w:cs="Arial"/>
              </w:rPr>
              <w:t xml:space="preserve">, combis, panel, suburban y </w:t>
            </w:r>
            <w:proofErr w:type="spellStart"/>
            <w:r>
              <w:rPr>
                <w:rFonts w:ascii="Arial" w:hAnsi="Arial" w:cs="Arial"/>
              </w:rPr>
              <w:t>similares</w:t>
            </w:r>
            <w:proofErr w:type="spellEnd"/>
            <w:r>
              <w:rPr>
                <w:rFonts w:ascii="Arial" w:hAnsi="Arial" w:cs="Arial"/>
              </w:rPr>
              <w:t>.</w:t>
            </w:r>
          </w:p>
        </w:tc>
        <w:tc>
          <w:tcPr>
            <w:tcW w:w="1975" w:type="dxa"/>
          </w:tcPr>
          <w:p w14:paraId="663DFD72"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15 UMA</w:t>
            </w:r>
          </w:p>
        </w:tc>
      </w:tr>
      <w:tr w:rsidR="00D3344B" w14:paraId="3A68249B" w14:textId="77777777">
        <w:trPr>
          <w:cantSplit/>
          <w:trHeight w:val="480"/>
        </w:trPr>
        <w:tc>
          <w:tcPr>
            <w:tcW w:w="802" w:type="dxa"/>
          </w:tcPr>
          <w:p w14:paraId="3707033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312BC7B" w14:textId="77777777" w:rsidR="00D3344B" w:rsidRDefault="00143C25">
            <w:pPr>
              <w:pStyle w:val="Sinespaciado"/>
              <w:widowControl w:val="0"/>
              <w:spacing w:line="276" w:lineRule="auto"/>
              <w:ind w:left="352"/>
              <w:jc w:val="both"/>
              <w:rPr>
                <w:rFonts w:ascii="Arial" w:hAnsi="Arial" w:cs="Arial"/>
              </w:rPr>
            </w:pPr>
            <w:r>
              <w:rPr>
                <w:rFonts w:ascii="Arial" w:hAnsi="Arial" w:cs="Arial"/>
                <w:i/>
                <w:sz w:val="16"/>
                <w:szCs w:val="16"/>
              </w:rPr>
              <w:t>(REFORMADO, P.O. 21 DE JUNIO DE 2021)</w:t>
            </w:r>
          </w:p>
        </w:tc>
        <w:tc>
          <w:tcPr>
            <w:tcW w:w="1975" w:type="dxa"/>
          </w:tcPr>
          <w:p w14:paraId="20D58550" w14:textId="77777777" w:rsidR="00D3344B" w:rsidRDefault="00D3344B">
            <w:pPr>
              <w:pStyle w:val="Sinespaciado"/>
              <w:widowControl w:val="0"/>
              <w:spacing w:line="276" w:lineRule="auto"/>
              <w:ind w:left="213"/>
              <w:jc w:val="both"/>
              <w:rPr>
                <w:rFonts w:ascii="Arial" w:hAnsi="Arial" w:cs="Arial"/>
              </w:rPr>
            </w:pPr>
          </w:p>
        </w:tc>
      </w:tr>
      <w:tr w:rsidR="00D3344B" w14:paraId="2C25CF0E" w14:textId="77777777">
        <w:trPr>
          <w:cantSplit/>
          <w:trHeight w:val="521"/>
        </w:trPr>
        <w:tc>
          <w:tcPr>
            <w:tcW w:w="802" w:type="dxa"/>
          </w:tcPr>
          <w:p w14:paraId="48512048" w14:textId="77777777" w:rsidR="00D3344B" w:rsidRDefault="00D3344B">
            <w:pPr>
              <w:pStyle w:val="Sinespaciado"/>
              <w:widowControl w:val="0"/>
              <w:spacing w:line="276" w:lineRule="auto"/>
              <w:jc w:val="both"/>
              <w:rPr>
                <w:rFonts w:ascii="Arial" w:hAnsi="Arial" w:cs="Arial"/>
              </w:rPr>
            </w:pPr>
          </w:p>
        </w:tc>
        <w:tc>
          <w:tcPr>
            <w:tcW w:w="7195" w:type="dxa"/>
          </w:tcPr>
          <w:p w14:paraId="6B50390E"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3. </w:t>
            </w:r>
            <w:proofErr w:type="spellStart"/>
            <w:r>
              <w:rPr>
                <w:rFonts w:ascii="Arial" w:hAnsi="Arial" w:cs="Arial"/>
              </w:rPr>
              <w:t>Camiones</w:t>
            </w:r>
            <w:proofErr w:type="spellEnd"/>
            <w:r>
              <w:rPr>
                <w:rFonts w:ascii="Arial" w:hAnsi="Arial" w:cs="Arial"/>
              </w:rPr>
              <w:t xml:space="preserve"> y </w:t>
            </w:r>
            <w:proofErr w:type="spellStart"/>
            <w:r>
              <w:rPr>
                <w:rFonts w:ascii="Arial" w:hAnsi="Arial" w:cs="Arial"/>
              </w:rPr>
              <w:t>camionetas</w:t>
            </w:r>
            <w:proofErr w:type="spellEnd"/>
            <w:r>
              <w:rPr>
                <w:rFonts w:ascii="Arial" w:hAnsi="Arial" w:cs="Arial"/>
              </w:rPr>
              <w:t xml:space="preserve"> de carga.</w:t>
            </w:r>
          </w:p>
        </w:tc>
        <w:tc>
          <w:tcPr>
            <w:tcW w:w="1975" w:type="dxa"/>
          </w:tcPr>
          <w:p w14:paraId="7FA9B230"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15 UMA</w:t>
            </w:r>
          </w:p>
        </w:tc>
      </w:tr>
      <w:tr w:rsidR="00D3344B" w14:paraId="36DA95CD" w14:textId="77777777">
        <w:trPr>
          <w:cantSplit/>
          <w:trHeight w:val="388"/>
        </w:trPr>
        <w:tc>
          <w:tcPr>
            <w:tcW w:w="802" w:type="dxa"/>
          </w:tcPr>
          <w:p w14:paraId="41850A0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7DF76E1"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42E06DA1" w14:textId="77777777" w:rsidR="00D3344B" w:rsidRDefault="00D3344B">
            <w:pPr>
              <w:pStyle w:val="Sinespaciado"/>
              <w:widowControl w:val="0"/>
              <w:spacing w:line="276" w:lineRule="auto"/>
              <w:ind w:left="213"/>
              <w:jc w:val="both"/>
              <w:rPr>
                <w:rFonts w:ascii="Arial" w:hAnsi="Arial" w:cs="Arial"/>
                <w:b/>
              </w:rPr>
            </w:pPr>
          </w:p>
        </w:tc>
      </w:tr>
      <w:tr w:rsidR="00D3344B" w14:paraId="294EE532" w14:textId="77777777">
        <w:trPr>
          <w:cantSplit/>
          <w:trHeight w:val="810"/>
        </w:trPr>
        <w:tc>
          <w:tcPr>
            <w:tcW w:w="802" w:type="dxa"/>
          </w:tcPr>
          <w:p w14:paraId="7AB1AAEB" w14:textId="77777777" w:rsidR="00D3344B" w:rsidRDefault="00D3344B">
            <w:pPr>
              <w:pStyle w:val="Sinespaciado"/>
              <w:widowControl w:val="0"/>
              <w:spacing w:line="276" w:lineRule="auto"/>
              <w:jc w:val="both"/>
              <w:rPr>
                <w:rFonts w:ascii="Arial" w:hAnsi="Arial" w:cs="Arial"/>
              </w:rPr>
            </w:pPr>
          </w:p>
        </w:tc>
        <w:tc>
          <w:tcPr>
            <w:tcW w:w="7195" w:type="dxa"/>
          </w:tcPr>
          <w:p w14:paraId="0CF6E439"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4.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hasta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tc>
        <w:tc>
          <w:tcPr>
            <w:tcW w:w="1975" w:type="dxa"/>
          </w:tcPr>
          <w:p w14:paraId="769E1314"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3 UMA</w:t>
            </w:r>
          </w:p>
        </w:tc>
      </w:tr>
      <w:tr w:rsidR="00D3344B" w14:paraId="796311DF" w14:textId="77777777">
        <w:trPr>
          <w:cantSplit/>
          <w:trHeight w:val="360"/>
        </w:trPr>
        <w:tc>
          <w:tcPr>
            <w:tcW w:w="802" w:type="dxa"/>
          </w:tcPr>
          <w:p w14:paraId="52BB7D9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7DCED0B0"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0228FC48" w14:textId="77777777" w:rsidR="00D3344B" w:rsidRDefault="00D3344B">
            <w:pPr>
              <w:pStyle w:val="Sinespaciado"/>
              <w:widowControl w:val="0"/>
              <w:spacing w:line="276" w:lineRule="auto"/>
              <w:ind w:left="213"/>
              <w:jc w:val="both"/>
              <w:rPr>
                <w:rFonts w:ascii="Arial" w:hAnsi="Arial" w:cs="Arial"/>
                <w:b/>
              </w:rPr>
            </w:pPr>
          </w:p>
        </w:tc>
      </w:tr>
      <w:tr w:rsidR="00D3344B" w14:paraId="3B01D5E2" w14:textId="77777777">
        <w:trPr>
          <w:cantSplit/>
          <w:trHeight w:val="810"/>
        </w:trPr>
        <w:tc>
          <w:tcPr>
            <w:tcW w:w="802" w:type="dxa"/>
          </w:tcPr>
          <w:p w14:paraId="68B18F4C" w14:textId="77777777" w:rsidR="00D3344B" w:rsidRDefault="00D3344B">
            <w:pPr>
              <w:pStyle w:val="Sinespaciado"/>
              <w:widowControl w:val="0"/>
              <w:spacing w:line="276" w:lineRule="auto"/>
              <w:jc w:val="both"/>
              <w:rPr>
                <w:rFonts w:ascii="Arial" w:hAnsi="Arial" w:cs="Arial"/>
              </w:rPr>
            </w:pPr>
          </w:p>
        </w:tc>
        <w:tc>
          <w:tcPr>
            <w:tcW w:w="7195" w:type="dxa"/>
          </w:tcPr>
          <w:p w14:paraId="7ED34E1E"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5. </w:t>
            </w:r>
            <w:proofErr w:type="spellStart"/>
            <w:r>
              <w:rPr>
                <w:rFonts w:ascii="Arial" w:hAnsi="Arial" w:cs="Arial"/>
              </w:rPr>
              <w:t>Remolques</w:t>
            </w:r>
            <w:proofErr w:type="spellEnd"/>
            <w:r>
              <w:rPr>
                <w:rFonts w:ascii="Arial" w:hAnsi="Arial" w:cs="Arial"/>
              </w:rPr>
              <w:t xml:space="preserve"> y </w:t>
            </w:r>
            <w:proofErr w:type="spellStart"/>
            <w:r>
              <w:rPr>
                <w:rFonts w:ascii="Arial" w:hAnsi="Arial" w:cs="Arial"/>
              </w:rPr>
              <w:t>semirremolques</w:t>
            </w:r>
            <w:proofErr w:type="spellEnd"/>
            <w:r>
              <w:rPr>
                <w:rFonts w:ascii="Arial" w:hAnsi="Arial" w:cs="Arial"/>
              </w:rPr>
              <w:t xml:space="preserve"> con </w:t>
            </w:r>
            <w:proofErr w:type="spellStart"/>
            <w:r>
              <w:rPr>
                <w:rFonts w:ascii="Arial" w:hAnsi="Arial" w:cs="Arial"/>
              </w:rPr>
              <w:t>capacidad</w:t>
            </w:r>
            <w:proofErr w:type="spellEnd"/>
            <w:r>
              <w:rPr>
                <w:rFonts w:ascii="Arial" w:hAnsi="Arial" w:cs="Arial"/>
              </w:rPr>
              <w:t xml:space="preserve"> de </w:t>
            </w:r>
            <w:proofErr w:type="spellStart"/>
            <w:r>
              <w:rPr>
                <w:rFonts w:ascii="Arial" w:hAnsi="Arial" w:cs="Arial"/>
              </w:rPr>
              <w:t>más</w:t>
            </w:r>
            <w:proofErr w:type="spellEnd"/>
            <w:r>
              <w:rPr>
                <w:rFonts w:ascii="Arial" w:hAnsi="Arial" w:cs="Arial"/>
              </w:rPr>
              <w:t xml:space="preserve"> de 5 </w:t>
            </w:r>
            <w:proofErr w:type="spellStart"/>
            <w:r>
              <w:rPr>
                <w:rFonts w:ascii="Arial" w:hAnsi="Arial" w:cs="Arial"/>
              </w:rPr>
              <w:t>toneladas</w:t>
            </w:r>
            <w:proofErr w:type="spellEnd"/>
            <w:r>
              <w:rPr>
                <w:rFonts w:ascii="Arial" w:hAnsi="Arial" w:cs="Arial"/>
              </w:rPr>
              <w:t xml:space="preserve">, </w:t>
            </w:r>
            <w:proofErr w:type="spellStart"/>
            <w:r>
              <w:rPr>
                <w:rFonts w:ascii="Arial" w:hAnsi="Arial" w:cs="Arial"/>
              </w:rPr>
              <w:t>excepto</w:t>
            </w:r>
            <w:proofErr w:type="spellEnd"/>
            <w:r>
              <w:rPr>
                <w:rFonts w:ascii="Arial" w:hAnsi="Arial" w:cs="Arial"/>
              </w:rPr>
              <w:t xml:space="preserve"> </w:t>
            </w:r>
            <w:proofErr w:type="spellStart"/>
            <w:r>
              <w:rPr>
                <w:rFonts w:ascii="Arial" w:hAnsi="Arial" w:cs="Arial"/>
              </w:rPr>
              <w:t>uso</w:t>
            </w:r>
            <w:proofErr w:type="spellEnd"/>
            <w:r>
              <w:rPr>
                <w:rFonts w:ascii="Arial" w:hAnsi="Arial" w:cs="Arial"/>
              </w:rPr>
              <w:t xml:space="preserve"> </w:t>
            </w:r>
            <w:proofErr w:type="spellStart"/>
            <w:r>
              <w:rPr>
                <w:rFonts w:ascii="Arial" w:hAnsi="Arial" w:cs="Arial"/>
              </w:rPr>
              <w:t>agrícola</w:t>
            </w:r>
            <w:proofErr w:type="spellEnd"/>
            <w:r>
              <w:rPr>
                <w:rFonts w:ascii="Arial" w:hAnsi="Arial" w:cs="Arial"/>
              </w:rPr>
              <w:t>.</w:t>
            </w:r>
          </w:p>
          <w:p w14:paraId="0B68CA3D" w14:textId="77777777" w:rsidR="00D3344B" w:rsidRDefault="00D3344B">
            <w:pPr>
              <w:pStyle w:val="Sinespaciado"/>
              <w:widowControl w:val="0"/>
              <w:spacing w:line="276" w:lineRule="auto"/>
              <w:ind w:left="352"/>
              <w:jc w:val="both"/>
              <w:rPr>
                <w:rFonts w:ascii="Arial" w:hAnsi="Arial" w:cs="Arial"/>
              </w:rPr>
            </w:pPr>
          </w:p>
        </w:tc>
        <w:tc>
          <w:tcPr>
            <w:tcW w:w="1975" w:type="dxa"/>
          </w:tcPr>
          <w:p w14:paraId="4E234B0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6 UMA</w:t>
            </w:r>
          </w:p>
        </w:tc>
      </w:tr>
      <w:tr w:rsidR="00D3344B" w14:paraId="3EC2A734" w14:textId="77777777">
        <w:trPr>
          <w:cantSplit/>
          <w:trHeight w:val="406"/>
        </w:trPr>
        <w:tc>
          <w:tcPr>
            <w:tcW w:w="802" w:type="dxa"/>
          </w:tcPr>
          <w:p w14:paraId="50771B7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46662D4"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66EA1F61" w14:textId="77777777" w:rsidR="00D3344B" w:rsidRDefault="00D3344B">
            <w:pPr>
              <w:pStyle w:val="Sinespaciado"/>
              <w:widowControl w:val="0"/>
              <w:spacing w:line="276" w:lineRule="auto"/>
              <w:ind w:left="213"/>
              <w:jc w:val="both"/>
              <w:rPr>
                <w:rFonts w:ascii="Arial" w:hAnsi="Arial" w:cs="Arial"/>
                <w:b/>
              </w:rPr>
            </w:pPr>
          </w:p>
        </w:tc>
      </w:tr>
      <w:tr w:rsidR="00D3344B" w14:paraId="3DFC8F90" w14:textId="77777777">
        <w:trPr>
          <w:cantSplit/>
          <w:trHeight w:val="829"/>
        </w:trPr>
        <w:tc>
          <w:tcPr>
            <w:tcW w:w="802" w:type="dxa"/>
          </w:tcPr>
          <w:p w14:paraId="4C953CFF" w14:textId="77777777" w:rsidR="00D3344B" w:rsidRDefault="00D3344B">
            <w:pPr>
              <w:pStyle w:val="Sinespaciado"/>
              <w:widowControl w:val="0"/>
              <w:spacing w:line="276" w:lineRule="auto"/>
              <w:jc w:val="both"/>
              <w:rPr>
                <w:rFonts w:ascii="Arial" w:hAnsi="Arial" w:cs="Arial"/>
              </w:rPr>
            </w:pPr>
          </w:p>
        </w:tc>
        <w:tc>
          <w:tcPr>
            <w:tcW w:w="7195" w:type="dxa"/>
          </w:tcPr>
          <w:p w14:paraId="1451EAF1"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6. </w:t>
            </w:r>
            <w:proofErr w:type="spellStart"/>
            <w:r>
              <w:rPr>
                <w:rFonts w:ascii="Arial" w:hAnsi="Arial" w:cs="Arial"/>
              </w:rPr>
              <w:t>Motocicletas</w:t>
            </w:r>
            <w:proofErr w:type="spellEnd"/>
            <w:r>
              <w:rPr>
                <w:rFonts w:ascii="Arial" w:hAnsi="Arial" w:cs="Arial"/>
              </w:rPr>
              <w:t>.</w:t>
            </w:r>
          </w:p>
        </w:tc>
        <w:tc>
          <w:tcPr>
            <w:tcW w:w="1975" w:type="dxa"/>
          </w:tcPr>
          <w:p w14:paraId="25AECD09"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25824793" w14:textId="77777777">
        <w:trPr>
          <w:cantSplit/>
          <w:trHeight w:val="705"/>
        </w:trPr>
        <w:tc>
          <w:tcPr>
            <w:tcW w:w="802" w:type="dxa"/>
          </w:tcPr>
          <w:p w14:paraId="1D1C511F"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6260C284" w14:textId="77777777" w:rsidR="00D3344B" w:rsidRDefault="00143C25">
            <w:pPr>
              <w:pStyle w:val="Sinespaciado"/>
              <w:widowControl w:val="0"/>
              <w:spacing w:line="276" w:lineRule="auto"/>
              <w:jc w:val="both"/>
              <w:rPr>
                <w:rFonts w:ascii="Arial" w:hAnsi="Arial" w:cs="Arial"/>
              </w:rPr>
            </w:pPr>
            <w:r>
              <w:rPr>
                <w:rFonts w:ascii="Arial" w:hAnsi="Arial" w:cs="Arial"/>
                <w:i/>
                <w:sz w:val="16"/>
              </w:rPr>
              <w:t>N. DE E. EN RELACIÓN CON LA ENTRADA EN VIGOR DEL PRESENTE PÁRRAFO, VÉASE TRANSITORIO ÚNICO DEL DECRETO QUE MODIFICA EL CÓDIGO.</w:t>
            </w:r>
          </w:p>
          <w:p w14:paraId="35131AE5" w14:textId="77777777" w:rsidR="00D3344B" w:rsidRDefault="00143C25">
            <w:pPr>
              <w:pStyle w:val="Sinespaciado"/>
              <w:widowControl w:val="0"/>
              <w:spacing w:line="276" w:lineRule="auto"/>
              <w:rPr>
                <w:rFonts w:ascii="Arial" w:hAnsi="Arial" w:cs="Arial"/>
              </w:rPr>
            </w:pPr>
            <w:r>
              <w:rPr>
                <w:rFonts w:ascii="Arial" w:hAnsi="Arial" w:cs="Arial"/>
                <w:i/>
                <w:sz w:val="16"/>
              </w:rPr>
              <w:t>(REFORMADO PRIMER PÁRRAFO, P.O. 7 DE DICIEMBRE DE 2009)</w:t>
            </w:r>
          </w:p>
        </w:tc>
        <w:tc>
          <w:tcPr>
            <w:tcW w:w="1975" w:type="dxa"/>
          </w:tcPr>
          <w:p w14:paraId="38FB8DF8" w14:textId="77777777" w:rsidR="00D3344B" w:rsidRDefault="00D3344B">
            <w:pPr>
              <w:pStyle w:val="Sinespaciado"/>
              <w:widowControl w:val="0"/>
              <w:spacing w:line="276" w:lineRule="auto"/>
              <w:ind w:left="213"/>
              <w:jc w:val="both"/>
              <w:rPr>
                <w:rFonts w:ascii="Arial" w:hAnsi="Arial" w:cs="Arial"/>
              </w:rPr>
            </w:pPr>
          </w:p>
        </w:tc>
      </w:tr>
      <w:tr w:rsidR="00D3344B" w14:paraId="50C3AD37" w14:textId="77777777">
        <w:trPr>
          <w:cantSplit/>
          <w:trHeight w:val="518"/>
        </w:trPr>
        <w:tc>
          <w:tcPr>
            <w:tcW w:w="802" w:type="dxa"/>
          </w:tcPr>
          <w:p w14:paraId="12009C23" w14:textId="77777777" w:rsidR="00D3344B" w:rsidRDefault="00D3344B">
            <w:pPr>
              <w:pStyle w:val="Sinespaciado"/>
              <w:widowControl w:val="0"/>
              <w:spacing w:line="276" w:lineRule="auto"/>
              <w:jc w:val="both"/>
              <w:rPr>
                <w:rFonts w:ascii="Arial" w:hAnsi="Arial" w:cs="Arial"/>
              </w:rPr>
            </w:pPr>
          </w:p>
        </w:tc>
        <w:tc>
          <w:tcPr>
            <w:tcW w:w="7195" w:type="dxa"/>
          </w:tcPr>
          <w:p w14:paraId="3C729400" w14:textId="77777777" w:rsidR="00D3344B" w:rsidRDefault="00143C25">
            <w:pPr>
              <w:pStyle w:val="Sinespaciado"/>
              <w:widowControl w:val="0"/>
              <w:spacing w:line="276" w:lineRule="auto"/>
              <w:ind w:left="352" w:hanging="352"/>
              <w:rPr>
                <w:rFonts w:ascii="Arial" w:hAnsi="Arial" w:cs="Arial"/>
                <w:i/>
                <w:sz w:val="16"/>
              </w:rPr>
            </w:pPr>
            <w:r>
              <w:rPr>
                <w:rFonts w:ascii="Arial" w:hAnsi="Arial" w:cs="Arial"/>
              </w:rPr>
              <w:t xml:space="preserve">b) </w:t>
            </w:r>
            <w:proofErr w:type="spellStart"/>
            <w:r>
              <w:rPr>
                <w:rFonts w:ascii="Arial" w:hAnsi="Arial" w:cs="Arial"/>
              </w:rPr>
              <w:t>Bajas</w:t>
            </w:r>
            <w:proofErr w:type="spellEnd"/>
            <w:r>
              <w:rPr>
                <w:rFonts w:ascii="Arial" w:hAnsi="Arial" w:cs="Arial"/>
              </w:rPr>
              <w:t xml:space="preserve"> del </w:t>
            </w:r>
            <w:proofErr w:type="spellStart"/>
            <w:r>
              <w:rPr>
                <w:rFonts w:ascii="Arial" w:hAnsi="Arial" w:cs="Arial"/>
              </w:rPr>
              <w:t>padrón</w:t>
            </w:r>
            <w:proofErr w:type="spellEnd"/>
            <w:r>
              <w:rPr>
                <w:rFonts w:ascii="Arial" w:hAnsi="Arial" w:cs="Arial"/>
              </w:rPr>
              <w:t xml:space="preserve"> vehicular y de </w:t>
            </w:r>
            <w:proofErr w:type="spellStart"/>
            <w:r>
              <w:rPr>
                <w:rFonts w:ascii="Arial" w:hAnsi="Arial" w:cs="Arial"/>
              </w:rPr>
              <w:t>documentos</w:t>
            </w:r>
            <w:proofErr w:type="spellEnd"/>
            <w:r>
              <w:rPr>
                <w:rFonts w:ascii="Arial" w:hAnsi="Arial" w:cs="Arial"/>
              </w:rPr>
              <w:t>.</w:t>
            </w:r>
          </w:p>
        </w:tc>
        <w:tc>
          <w:tcPr>
            <w:tcW w:w="1975" w:type="dxa"/>
          </w:tcPr>
          <w:p w14:paraId="12A4A110" w14:textId="77777777" w:rsidR="00D3344B" w:rsidRDefault="00D3344B">
            <w:pPr>
              <w:pStyle w:val="Sinespaciado"/>
              <w:widowControl w:val="0"/>
              <w:spacing w:line="276" w:lineRule="auto"/>
              <w:ind w:left="213"/>
              <w:jc w:val="both"/>
              <w:rPr>
                <w:rFonts w:ascii="Arial" w:hAnsi="Arial" w:cs="Arial"/>
              </w:rPr>
            </w:pPr>
          </w:p>
        </w:tc>
      </w:tr>
      <w:tr w:rsidR="00D3344B" w14:paraId="0BFE15E6" w14:textId="77777777">
        <w:trPr>
          <w:cantSplit/>
          <w:trHeight w:val="705"/>
        </w:trPr>
        <w:tc>
          <w:tcPr>
            <w:tcW w:w="802" w:type="dxa"/>
          </w:tcPr>
          <w:p w14:paraId="7DD8FEFA"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8BAC186" w14:textId="77777777" w:rsidR="00D3344B" w:rsidRDefault="00143C25">
            <w:pPr>
              <w:pStyle w:val="Sinespaciado"/>
              <w:widowControl w:val="0"/>
              <w:spacing w:line="276" w:lineRule="auto"/>
              <w:ind w:left="352"/>
              <w:rPr>
                <w:rFonts w:ascii="Arial" w:hAnsi="Arial" w:cs="Arial"/>
              </w:rPr>
            </w:pPr>
            <w:r>
              <w:rPr>
                <w:rFonts w:ascii="Arial" w:hAnsi="Arial" w:cs="Arial"/>
                <w:i/>
                <w:sz w:val="16"/>
              </w:rPr>
              <w:t>N. DE E. EN RELACIÓN CON LA ENTRADA EN VIGOR DEL PRESENTE NUMERAL, VÉASE TRANSITORIO ÚNICO DEL DECRETO QUE MODIFICA EL CÓDIGO.</w:t>
            </w:r>
          </w:p>
        </w:tc>
        <w:tc>
          <w:tcPr>
            <w:tcW w:w="1975" w:type="dxa"/>
          </w:tcPr>
          <w:p w14:paraId="7F9ED92A" w14:textId="77777777" w:rsidR="00D3344B" w:rsidRDefault="00D3344B">
            <w:pPr>
              <w:pStyle w:val="Sinespaciado"/>
              <w:widowControl w:val="0"/>
              <w:spacing w:line="276" w:lineRule="auto"/>
              <w:ind w:left="213"/>
              <w:jc w:val="both"/>
              <w:rPr>
                <w:rFonts w:ascii="Arial" w:hAnsi="Arial" w:cs="Arial"/>
              </w:rPr>
            </w:pPr>
          </w:p>
        </w:tc>
      </w:tr>
      <w:tr w:rsidR="00D3344B" w14:paraId="639E4A69" w14:textId="77777777">
        <w:trPr>
          <w:cantSplit/>
          <w:trHeight w:val="446"/>
        </w:trPr>
        <w:tc>
          <w:tcPr>
            <w:tcW w:w="802" w:type="dxa"/>
          </w:tcPr>
          <w:p w14:paraId="2D9AD2ED" w14:textId="77777777" w:rsidR="00D3344B" w:rsidRDefault="00D3344B">
            <w:pPr>
              <w:pStyle w:val="Sinespaciado"/>
              <w:widowControl w:val="0"/>
              <w:spacing w:line="276" w:lineRule="auto"/>
              <w:jc w:val="both"/>
              <w:rPr>
                <w:rFonts w:ascii="Arial" w:hAnsi="Arial" w:cs="Arial"/>
              </w:rPr>
            </w:pPr>
          </w:p>
        </w:tc>
        <w:tc>
          <w:tcPr>
            <w:tcW w:w="7195" w:type="dxa"/>
          </w:tcPr>
          <w:p w14:paraId="279A94AF" w14:textId="77777777" w:rsidR="00D3344B" w:rsidRDefault="00143C25">
            <w:pPr>
              <w:pStyle w:val="Sinespaciado"/>
              <w:widowControl w:val="0"/>
              <w:spacing w:line="276" w:lineRule="auto"/>
              <w:ind w:left="352"/>
              <w:rPr>
                <w:rFonts w:ascii="Arial" w:hAnsi="Arial" w:cs="Arial"/>
              </w:rPr>
            </w:pPr>
            <w:r>
              <w:rPr>
                <w:rFonts w:ascii="Arial" w:hAnsi="Arial" w:cs="Arial"/>
              </w:rPr>
              <w:t xml:space="preserve">1. </w:t>
            </w:r>
            <w:r>
              <w:rPr>
                <w:rFonts w:ascii="Arial" w:hAnsi="Arial" w:cs="Arial"/>
                <w:i/>
                <w:sz w:val="16"/>
              </w:rPr>
              <w:t>(DEROGADO, P.O. 7 DE DICIEMBRE DE 2009)</w:t>
            </w:r>
          </w:p>
        </w:tc>
        <w:tc>
          <w:tcPr>
            <w:tcW w:w="1975" w:type="dxa"/>
          </w:tcPr>
          <w:p w14:paraId="7046B518" w14:textId="77777777" w:rsidR="00D3344B" w:rsidRDefault="00D3344B">
            <w:pPr>
              <w:pStyle w:val="Sinespaciado"/>
              <w:widowControl w:val="0"/>
              <w:spacing w:line="276" w:lineRule="auto"/>
              <w:ind w:left="213"/>
              <w:jc w:val="both"/>
              <w:rPr>
                <w:rFonts w:ascii="Arial" w:hAnsi="Arial" w:cs="Arial"/>
              </w:rPr>
            </w:pPr>
          </w:p>
        </w:tc>
      </w:tr>
      <w:tr w:rsidR="00D3344B" w14:paraId="223B8711" w14:textId="77777777">
        <w:trPr>
          <w:cantSplit/>
          <w:trHeight w:val="705"/>
        </w:trPr>
        <w:tc>
          <w:tcPr>
            <w:tcW w:w="802" w:type="dxa"/>
          </w:tcPr>
          <w:p w14:paraId="4A997F2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7DB0C3CD" w14:textId="77777777" w:rsidR="00D3344B" w:rsidRDefault="00143C25">
            <w:pPr>
              <w:pStyle w:val="Sinespaciado"/>
              <w:widowControl w:val="0"/>
              <w:spacing w:line="276" w:lineRule="auto"/>
              <w:ind w:left="352"/>
              <w:jc w:val="both"/>
              <w:rPr>
                <w:rFonts w:ascii="Arial" w:hAnsi="Arial" w:cs="Arial"/>
              </w:rPr>
            </w:pPr>
            <w:r>
              <w:rPr>
                <w:rFonts w:ascii="Arial" w:hAnsi="Arial" w:cs="Arial"/>
                <w:i/>
                <w:sz w:val="16"/>
              </w:rPr>
              <w:t>N. DE E. EN RELACIÓN CON LA ENTRADA EN VIGOR DEL PRESENTE NUMERAL, VÉASE TRANSITORIO ÚNICO DEL DECRETO QUE MODIFICA EL CÓDIGO.</w:t>
            </w:r>
          </w:p>
        </w:tc>
        <w:tc>
          <w:tcPr>
            <w:tcW w:w="1975" w:type="dxa"/>
          </w:tcPr>
          <w:p w14:paraId="0154833E" w14:textId="77777777" w:rsidR="00D3344B" w:rsidRDefault="00D3344B">
            <w:pPr>
              <w:pStyle w:val="Sinespaciado"/>
              <w:widowControl w:val="0"/>
              <w:spacing w:line="276" w:lineRule="auto"/>
              <w:ind w:left="213"/>
              <w:jc w:val="both"/>
              <w:rPr>
                <w:rFonts w:ascii="Arial" w:hAnsi="Arial" w:cs="Arial"/>
              </w:rPr>
            </w:pPr>
          </w:p>
        </w:tc>
      </w:tr>
      <w:tr w:rsidR="00D3344B" w14:paraId="7A496737" w14:textId="77777777">
        <w:trPr>
          <w:cantSplit/>
          <w:trHeight w:val="425"/>
        </w:trPr>
        <w:tc>
          <w:tcPr>
            <w:tcW w:w="802" w:type="dxa"/>
          </w:tcPr>
          <w:p w14:paraId="60B94ABA" w14:textId="77777777" w:rsidR="00D3344B" w:rsidRDefault="00D3344B">
            <w:pPr>
              <w:pStyle w:val="Sinespaciado"/>
              <w:widowControl w:val="0"/>
              <w:spacing w:line="276" w:lineRule="auto"/>
              <w:jc w:val="both"/>
              <w:rPr>
                <w:rFonts w:ascii="Arial" w:hAnsi="Arial" w:cs="Arial"/>
              </w:rPr>
            </w:pPr>
          </w:p>
        </w:tc>
        <w:tc>
          <w:tcPr>
            <w:tcW w:w="7195" w:type="dxa"/>
          </w:tcPr>
          <w:p w14:paraId="3F74A5B6" w14:textId="77777777" w:rsidR="00D3344B" w:rsidRDefault="00143C25">
            <w:pPr>
              <w:pStyle w:val="Sinespaciado"/>
              <w:widowControl w:val="0"/>
              <w:spacing w:line="276" w:lineRule="auto"/>
              <w:ind w:left="352"/>
              <w:rPr>
                <w:rFonts w:ascii="Arial" w:hAnsi="Arial" w:cs="Arial"/>
                <w:i/>
                <w:sz w:val="16"/>
              </w:rPr>
            </w:pPr>
            <w:r>
              <w:rPr>
                <w:rFonts w:ascii="Arial" w:hAnsi="Arial" w:cs="Arial"/>
              </w:rPr>
              <w:t xml:space="preserve">2. </w:t>
            </w:r>
            <w:r>
              <w:rPr>
                <w:rFonts w:ascii="Arial" w:hAnsi="Arial" w:cs="Arial"/>
                <w:i/>
                <w:sz w:val="16"/>
              </w:rPr>
              <w:t>(DEROGADO, P.O. 7 DE DICIEMBRE DE 2009)</w:t>
            </w:r>
          </w:p>
        </w:tc>
        <w:tc>
          <w:tcPr>
            <w:tcW w:w="1975" w:type="dxa"/>
          </w:tcPr>
          <w:p w14:paraId="79061B12" w14:textId="77777777" w:rsidR="00D3344B" w:rsidRDefault="00D3344B">
            <w:pPr>
              <w:pStyle w:val="Sinespaciado"/>
              <w:widowControl w:val="0"/>
              <w:spacing w:line="276" w:lineRule="auto"/>
              <w:ind w:left="213"/>
              <w:jc w:val="both"/>
              <w:rPr>
                <w:rFonts w:ascii="Arial" w:hAnsi="Arial" w:cs="Arial"/>
              </w:rPr>
            </w:pPr>
          </w:p>
        </w:tc>
      </w:tr>
      <w:tr w:rsidR="00D3344B" w14:paraId="37767628" w14:textId="77777777">
        <w:trPr>
          <w:cantSplit/>
          <w:trHeight w:val="425"/>
        </w:trPr>
        <w:tc>
          <w:tcPr>
            <w:tcW w:w="802" w:type="dxa"/>
          </w:tcPr>
          <w:p w14:paraId="6D09958D"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3BB23B5"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5D55965E" w14:textId="77777777" w:rsidR="00D3344B" w:rsidRDefault="00D3344B">
            <w:pPr>
              <w:pStyle w:val="Sinespaciado"/>
              <w:widowControl w:val="0"/>
              <w:spacing w:line="276" w:lineRule="auto"/>
              <w:ind w:left="213"/>
              <w:jc w:val="both"/>
              <w:rPr>
                <w:rFonts w:ascii="Arial" w:hAnsi="Arial" w:cs="Arial"/>
              </w:rPr>
            </w:pPr>
          </w:p>
        </w:tc>
      </w:tr>
      <w:tr w:rsidR="00D3344B" w14:paraId="56E09878" w14:textId="77777777">
        <w:trPr>
          <w:cantSplit/>
          <w:trHeight w:val="425"/>
        </w:trPr>
        <w:tc>
          <w:tcPr>
            <w:tcW w:w="802" w:type="dxa"/>
          </w:tcPr>
          <w:p w14:paraId="569FA67C" w14:textId="77777777" w:rsidR="00D3344B" w:rsidRDefault="00D3344B">
            <w:pPr>
              <w:pStyle w:val="Sinespaciado"/>
              <w:widowControl w:val="0"/>
              <w:spacing w:line="276" w:lineRule="auto"/>
              <w:jc w:val="both"/>
              <w:rPr>
                <w:rFonts w:ascii="Arial" w:hAnsi="Arial" w:cs="Arial"/>
              </w:rPr>
            </w:pPr>
          </w:p>
        </w:tc>
        <w:tc>
          <w:tcPr>
            <w:tcW w:w="7195" w:type="dxa"/>
          </w:tcPr>
          <w:p w14:paraId="45C2C79A" w14:textId="77777777" w:rsidR="00D3344B" w:rsidRDefault="00143C25">
            <w:pPr>
              <w:pStyle w:val="Sinespaciado"/>
              <w:widowControl w:val="0"/>
              <w:spacing w:line="276" w:lineRule="auto"/>
              <w:ind w:left="352"/>
              <w:jc w:val="both"/>
              <w:rPr>
                <w:rFonts w:ascii="Arial" w:hAnsi="Arial" w:cs="Arial"/>
                <w:i/>
                <w:sz w:val="16"/>
              </w:rPr>
            </w:pPr>
            <w:r>
              <w:rPr>
                <w:rFonts w:ascii="Arial" w:hAnsi="Arial" w:cs="Arial"/>
              </w:rPr>
              <w:t xml:space="preserve">3. Baja de </w:t>
            </w:r>
            <w:proofErr w:type="spellStart"/>
            <w:r>
              <w:rPr>
                <w:rFonts w:ascii="Arial" w:hAnsi="Arial" w:cs="Arial"/>
              </w:rPr>
              <w:t>placas</w:t>
            </w:r>
            <w:proofErr w:type="spellEnd"/>
            <w:r>
              <w:rPr>
                <w:rFonts w:ascii="Arial" w:hAnsi="Arial" w:cs="Arial"/>
              </w:rPr>
              <w:t xml:space="preserve"> por </w:t>
            </w:r>
            <w:proofErr w:type="spellStart"/>
            <w:r>
              <w:rPr>
                <w:rFonts w:ascii="Arial" w:hAnsi="Arial" w:cs="Arial"/>
              </w:rPr>
              <w:t>cambio</w:t>
            </w:r>
            <w:proofErr w:type="spellEnd"/>
            <w:r>
              <w:rPr>
                <w:rFonts w:ascii="Arial" w:hAnsi="Arial" w:cs="Arial"/>
              </w:rPr>
              <w:t xml:space="preserve"> de </w:t>
            </w:r>
            <w:proofErr w:type="spellStart"/>
            <w:r>
              <w:rPr>
                <w:rFonts w:ascii="Arial" w:hAnsi="Arial" w:cs="Arial"/>
              </w:rPr>
              <w:t>propietario</w:t>
            </w:r>
            <w:proofErr w:type="spellEnd"/>
            <w:r>
              <w:rPr>
                <w:rFonts w:ascii="Arial" w:hAnsi="Arial" w:cs="Arial"/>
              </w:rPr>
              <w:t>.</w:t>
            </w:r>
          </w:p>
        </w:tc>
        <w:tc>
          <w:tcPr>
            <w:tcW w:w="1975" w:type="dxa"/>
          </w:tcPr>
          <w:p w14:paraId="5C702FA4"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7BD64C1D" w14:textId="77777777">
        <w:trPr>
          <w:cantSplit/>
          <w:trHeight w:val="425"/>
        </w:trPr>
        <w:tc>
          <w:tcPr>
            <w:tcW w:w="802" w:type="dxa"/>
          </w:tcPr>
          <w:p w14:paraId="01461109"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780826C9" w14:textId="77777777" w:rsidR="00D3344B" w:rsidRDefault="00143C25">
            <w:pPr>
              <w:pStyle w:val="Sinespaciado"/>
              <w:widowControl w:val="0"/>
              <w:spacing w:line="276" w:lineRule="auto"/>
              <w:ind w:left="352"/>
              <w:rPr>
                <w:rFonts w:ascii="Arial" w:hAnsi="Arial" w:cs="Arial"/>
                <w:i/>
                <w:sz w:val="16"/>
              </w:rPr>
            </w:pPr>
            <w:r>
              <w:rPr>
                <w:rFonts w:ascii="Arial" w:hAnsi="Arial" w:cs="Arial"/>
                <w:i/>
                <w:sz w:val="16"/>
                <w:szCs w:val="16"/>
              </w:rPr>
              <w:t>(REFORMADO, P.O. 21 DE JUNIO DE 2021)</w:t>
            </w:r>
          </w:p>
        </w:tc>
        <w:tc>
          <w:tcPr>
            <w:tcW w:w="1975" w:type="dxa"/>
          </w:tcPr>
          <w:p w14:paraId="6BC4E6C7" w14:textId="77777777" w:rsidR="00D3344B" w:rsidRDefault="00D3344B">
            <w:pPr>
              <w:pStyle w:val="Sinespaciado"/>
              <w:widowControl w:val="0"/>
              <w:spacing w:line="276" w:lineRule="auto"/>
              <w:ind w:left="213"/>
              <w:jc w:val="both"/>
              <w:rPr>
                <w:rFonts w:ascii="Arial" w:hAnsi="Arial" w:cs="Arial"/>
              </w:rPr>
            </w:pPr>
          </w:p>
        </w:tc>
      </w:tr>
      <w:tr w:rsidR="00D3344B" w14:paraId="193A151C" w14:textId="77777777">
        <w:trPr>
          <w:cantSplit/>
          <w:trHeight w:val="479"/>
        </w:trPr>
        <w:tc>
          <w:tcPr>
            <w:tcW w:w="802" w:type="dxa"/>
          </w:tcPr>
          <w:p w14:paraId="6732DD0F" w14:textId="77777777" w:rsidR="00D3344B" w:rsidRDefault="00D3344B">
            <w:pPr>
              <w:pStyle w:val="Sinespaciado"/>
              <w:widowControl w:val="0"/>
              <w:spacing w:line="276" w:lineRule="auto"/>
              <w:jc w:val="both"/>
              <w:rPr>
                <w:rFonts w:ascii="Arial" w:hAnsi="Arial" w:cs="Arial"/>
              </w:rPr>
            </w:pPr>
          </w:p>
        </w:tc>
        <w:tc>
          <w:tcPr>
            <w:tcW w:w="7195" w:type="dxa"/>
          </w:tcPr>
          <w:p w14:paraId="25577147"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4. Baja de </w:t>
            </w:r>
            <w:proofErr w:type="spellStart"/>
            <w:r>
              <w:rPr>
                <w:rFonts w:ascii="Arial" w:hAnsi="Arial" w:cs="Arial"/>
              </w:rPr>
              <w:t>placas</w:t>
            </w:r>
            <w:proofErr w:type="spellEnd"/>
            <w:r>
              <w:rPr>
                <w:rFonts w:ascii="Arial" w:hAnsi="Arial" w:cs="Arial"/>
              </w:rPr>
              <w:t xml:space="preserve"> por </w:t>
            </w:r>
            <w:proofErr w:type="spellStart"/>
            <w:r>
              <w:rPr>
                <w:rFonts w:ascii="Arial" w:hAnsi="Arial" w:cs="Arial"/>
              </w:rPr>
              <w:t>canje</w:t>
            </w:r>
            <w:proofErr w:type="spellEnd"/>
            <w:r>
              <w:rPr>
                <w:rFonts w:ascii="Arial" w:hAnsi="Arial" w:cs="Arial"/>
              </w:rPr>
              <w:t>.</w:t>
            </w:r>
          </w:p>
        </w:tc>
        <w:tc>
          <w:tcPr>
            <w:tcW w:w="1975" w:type="dxa"/>
          </w:tcPr>
          <w:p w14:paraId="26A168B1"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01DFE05E" w14:textId="77777777">
        <w:trPr>
          <w:cantSplit/>
          <w:trHeight w:val="540"/>
        </w:trPr>
        <w:tc>
          <w:tcPr>
            <w:tcW w:w="802" w:type="dxa"/>
          </w:tcPr>
          <w:p w14:paraId="64489F99"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511F94E9"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43A090CD" w14:textId="77777777" w:rsidR="00D3344B" w:rsidRDefault="00D3344B">
            <w:pPr>
              <w:pStyle w:val="Sinespaciado"/>
              <w:widowControl w:val="0"/>
              <w:spacing w:line="276" w:lineRule="auto"/>
              <w:ind w:left="213"/>
              <w:jc w:val="both"/>
              <w:rPr>
                <w:rFonts w:ascii="Arial" w:hAnsi="Arial" w:cs="Arial"/>
              </w:rPr>
            </w:pPr>
          </w:p>
        </w:tc>
      </w:tr>
      <w:tr w:rsidR="00D3344B" w14:paraId="05467EB5" w14:textId="77777777">
        <w:trPr>
          <w:cantSplit/>
          <w:trHeight w:val="451"/>
        </w:trPr>
        <w:tc>
          <w:tcPr>
            <w:tcW w:w="802" w:type="dxa"/>
          </w:tcPr>
          <w:p w14:paraId="04AF2C1A" w14:textId="77777777" w:rsidR="00D3344B" w:rsidRDefault="00D3344B">
            <w:pPr>
              <w:pStyle w:val="Sinespaciado"/>
              <w:widowControl w:val="0"/>
              <w:spacing w:line="276" w:lineRule="auto"/>
              <w:jc w:val="both"/>
              <w:rPr>
                <w:rFonts w:ascii="Arial" w:hAnsi="Arial" w:cs="Arial"/>
              </w:rPr>
            </w:pPr>
          </w:p>
        </w:tc>
        <w:tc>
          <w:tcPr>
            <w:tcW w:w="7195" w:type="dxa"/>
          </w:tcPr>
          <w:p w14:paraId="4F3B8C88"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5. Baja de </w:t>
            </w:r>
            <w:proofErr w:type="spellStart"/>
            <w:r>
              <w:rPr>
                <w:rFonts w:ascii="Arial" w:hAnsi="Arial" w:cs="Arial"/>
              </w:rPr>
              <w:t>placas</w:t>
            </w:r>
            <w:proofErr w:type="spellEnd"/>
            <w:r>
              <w:rPr>
                <w:rFonts w:ascii="Arial" w:hAnsi="Arial" w:cs="Arial"/>
              </w:rPr>
              <w:t xml:space="preserve"> por </w:t>
            </w:r>
            <w:proofErr w:type="spellStart"/>
            <w:r>
              <w:rPr>
                <w:rFonts w:ascii="Arial" w:hAnsi="Arial" w:cs="Arial"/>
              </w:rPr>
              <w:t>pérdida</w:t>
            </w:r>
            <w:proofErr w:type="spellEnd"/>
            <w:r>
              <w:rPr>
                <w:rFonts w:ascii="Arial" w:hAnsi="Arial" w:cs="Arial"/>
              </w:rPr>
              <w:t xml:space="preserve"> de una o de las dos.</w:t>
            </w:r>
          </w:p>
        </w:tc>
        <w:tc>
          <w:tcPr>
            <w:tcW w:w="1975" w:type="dxa"/>
          </w:tcPr>
          <w:p w14:paraId="3A8B18E3"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6E4B24E2" w14:textId="77777777">
        <w:trPr>
          <w:cantSplit/>
          <w:trHeight w:val="428"/>
        </w:trPr>
        <w:tc>
          <w:tcPr>
            <w:tcW w:w="802" w:type="dxa"/>
          </w:tcPr>
          <w:p w14:paraId="7C7788BE"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0C5DA8F" w14:textId="77777777" w:rsidR="00D3344B" w:rsidRDefault="00143C25">
            <w:pPr>
              <w:pStyle w:val="Sinespaciado"/>
              <w:widowControl w:val="0"/>
              <w:spacing w:line="276" w:lineRule="auto"/>
              <w:ind w:left="352"/>
              <w:jc w:val="both"/>
              <w:rPr>
                <w:rFonts w:ascii="Arial" w:hAnsi="Arial" w:cs="Arial"/>
              </w:rPr>
            </w:pPr>
            <w:r>
              <w:rPr>
                <w:rFonts w:ascii="Arial" w:hAnsi="Arial" w:cs="Arial"/>
                <w:i/>
                <w:sz w:val="16"/>
                <w:szCs w:val="16"/>
              </w:rPr>
              <w:t>(REFORMADO, P.O. 21 DE JUNIO DE 2021)</w:t>
            </w:r>
          </w:p>
        </w:tc>
        <w:tc>
          <w:tcPr>
            <w:tcW w:w="1975" w:type="dxa"/>
          </w:tcPr>
          <w:p w14:paraId="115E6B68" w14:textId="77777777" w:rsidR="00D3344B" w:rsidRDefault="00D3344B">
            <w:pPr>
              <w:pStyle w:val="Sinespaciado"/>
              <w:widowControl w:val="0"/>
              <w:spacing w:line="276" w:lineRule="auto"/>
              <w:ind w:left="213"/>
              <w:jc w:val="both"/>
              <w:rPr>
                <w:rFonts w:ascii="Arial" w:hAnsi="Arial" w:cs="Arial"/>
              </w:rPr>
            </w:pPr>
          </w:p>
        </w:tc>
      </w:tr>
      <w:tr w:rsidR="00D3344B" w14:paraId="062348DF" w14:textId="77777777">
        <w:trPr>
          <w:cantSplit/>
          <w:trHeight w:val="692"/>
        </w:trPr>
        <w:tc>
          <w:tcPr>
            <w:tcW w:w="802" w:type="dxa"/>
          </w:tcPr>
          <w:p w14:paraId="53D2E378" w14:textId="77777777" w:rsidR="00D3344B" w:rsidRDefault="00D3344B">
            <w:pPr>
              <w:pStyle w:val="Sinespaciado"/>
              <w:widowControl w:val="0"/>
              <w:spacing w:line="276" w:lineRule="auto"/>
              <w:jc w:val="both"/>
              <w:rPr>
                <w:rFonts w:ascii="Arial" w:hAnsi="Arial" w:cs="Arial"/>
              </w:rPr>
            </w:pPr>
          </w:p>
        </w:tc>
        <w:tc>
          <w:tcPr>
            <w:tcW w:w="7195" w:type="dxa"/>
          </w:tcPr>
          <w:p w14:paraId="5C6D45B0"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6. Baja de </w:t>
            </w:r>
            <w:proofErr w:type="spellStart"/>
            <w:r>
              <w:rPr>
                <w:rFonts w:ascii="Arial" w:hAnsi="Arial" w:cs="Arial"/>
              </w:rPr>
              <w:t>placas</w:t>
            </w:r>
            <w:proofErr w:type="spellEnd"/>
            <w:r>
              <w:rPr>
                <w:rFonts w:ascii="Arial" w:hAnsi="Arial" w:cs="Arial"/>
              </w:rPr>
              <w:t xml:space="preserve"> por </w:t>
            </w:r>
            <w:proofErr w:type="spellStart"/>
            <w:r>
              <w:rPr>
                <w:rFonts w:ascii="Arial" w:hAnsi="Arial" w:cs="Arial"/>
              </w:rPr>
              <w:t>robo</w:t>
            </w:r>
            <w:proofErr w:type="spellEnd"/>
            <w:r>
              <w:rPr>
                <w:rFonts w:ascii="Arial" w:hAnsi="Arial" w:cs="Arial"/>
              </w:rPr>
              <w:t xml:space="preserve"> o </w:t>
            </w:r>
            <w:proofErr w:type="spellStart"/>
            <w:r>
              <w:rPr>
                <w:rFonts w:ascii="Arial" w:hAnsi="Arial" w:cs="Arial"/>
              </w:rPr>
              <w:t>destrucción</w:t>
            </w:r>
            <w:proofErr w:type="spellEnd"/>
            <w:r>
              <w:rPr>
                <w:rFonts w:ascii="Arial" w:hAnsi="Arial" w:cs="Arial"/>
              </w:rPr>
              <w:t xml:space="preserve"> del </w:t>
            </w:r>
            <w:proofErr w:type="spellStart"/>
            <w:r>
              <w:rPr>
                <w:rFonts w:ascii="Arial" w:hAnsi="Arial" w:cs="Arial"/>
              </w:rPr>
              <w:t>vehículo</w:t>
            </w:r>
            <w:proofErr w:type="spellEnd"/>
            <w:r>
              <w:rPr>
                <w:rFonts w:ascii="Arial" w:hAnsi="Arial" w:cs="Arial"/>
              </w:rPr>
              <w:t>.</w:t>
            </w:r>
          </w:p>
        </w:tc>
        <w:tc>
          <w:tcPr>
            <w:tcW w:w="1975" w:type="dxa"/>
          </w:tcPr>
          <w:p w14:paraId="67175BA2"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64F9212F" w14:textId="77777777">
        <w:trPr>
          <w:cantSplit/>
          <w:trHeight w:val="441"/>
        </w:trPr>
        <w:tc>
          <w:tcPr>
            <w:tcW w:w="802" w:type="dxa"/>
          </w:tcPr>
          <w:p w14:paraId="12AF3F86"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6824A71B"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612BB62F" w14:textId="77777777" w:rsidR="00D3344B" w:rsidRDefault="00D3344B">
            <w:pPr>
              <w:pStyle w:val="Sinespaciado"/>
              <w:widowControl w:val="0"/>
              <w:spacing w:line="276" w:lineRule="auto"/>
              <w:ind w:left="213"/>
              <w:jc w:val="both"/>
              <w:rPr>
                <w:rFonts w:ascii="Arial" w:hAnsi="Arial" w:cs="Arial"/>
              </w:rPr>
            </w:pPr>
          </w:p>
        </w:tc>
      </w:tr>
      <w:tr w:rsidR="00D3344B" w14:paraId="77DFB6CF" w14:textId="77777777">
        <w:trPr>
          <w:cantSplit/>
          <w:trHeight w:val="615"/>
        </w:trPr>
        <w:tc>
          <w:tcPr>
            <w:tcW w:w="802" w:type="dxa"/>
          </w:tcPr>
          <w:p w14:paraId="447AE86F" w14:textId="77777777" w:rsidR="00D3344B" w:rsidRDefault="00D3344B">
            <w:pPr>
              <w:pStyle w:val="Sinespaciado"/>
              <w:widowControl w:val="0"/>
              <w:spacing w:line="276" w:lineRule="auto"/>
              <w:jc w:val="both"/>
              <w:rPr>
                <w:rFonts w:ascii="Arial" w:hAnsi="Arial" w:cs="Arial"/>
              </w:rPr>
            </w:pPr>
          </w:p>
        </w:tc>
        <w:tc>
          <w:tcPr>
            <w:tcW w:w="7195" w:type="dxa"/>
          </w:tcPr>
          <w:p w14:paraId="3A33B46E" w14:textId="77777777" w:rsidR="00D3344B" w:rsidRDefault="00143C25">
            <w:pPr>
              <w:pStyle w:val="Sinespaciado"/>
              <w:widowControl w:val="0"/>
              <w:spacing w:line="276" w:lineRule="auto"/>
              <w:ind w:left="352"/>
              <w:jc w:val="both"/>
              <w:rPr>
                <w:rFonts w:ascii="Arial" w:hAnsi="Arial" w:cs="Arial"/>
              </w:rPr>
            </w:pPr>
            <w:r>
              <w:rPr>
                <w:rFonts w:ascii="Arial" w:hAnsi="Arial" w:cs="Arial"/>
              </w:rPr>
              <w:t xml:space="preserve">7. Baja de </w:t>
            </w:r>
            <w:proofErr w:type="spellStart"/>
            <w:r>
              <w:rPr>
                <w:rFonts w:ascii="Arial" w:hAnsi="Arial" w:cs="Arial"/>
              </w:rPr>
              <w:t>placas</w:t>
            </w:r>
            <w:proofErr w:type="spellEnd"/>
            <w:r>
              <w:rPr>
                <w:rFonts w:ascii="Arial" w:hAnsi="Arial" w:cs="Arial"/>
              </w:rPr>
              <w:t xml:space="preserve"> por </w:t>
            </w:r>
            <w:proofErr w:type="spellStart"/>
            <w:r>
              <w:rPr>
                <w:rFonts w:ascii="Arial" w:hAnsi="Arial" w:cs="Arial"/>
              </w:rPr>
              <w:t>cambio</w:t>
            </w:r>
            <w:proofErr w:type="spellEnd"/>
            <w:r>
              <w:rPr>
                <w:rFonts w:ascii="Arial" w:hAnsi="Arial" w:cs="Arial"/>
              </w:rPr>
              <w:t xml:space="preserve"> de </w:t>
            </w:r>
            <w:proofErr w:type="spellStart"/>
            <w:r>
              <w:rPr>
                <w:rFonts w:ascii="Arial" w:hAnsi="Arial" w:cs="Arial"/>
              </w:rPr>
              <w:t>Entidad</w:t>
            </w:r>
            <w:proofErr w:type="spellEnd"/>
            <w:r>
              <w:rPr>
                <w:rFonts w:ascii="Arial" w:hAnsi="Arial" w:cs="Arial"/>
              </w:rPr>
              <w:t xml:space="preserve"> </w:t>
            </w:r>
            <w:proofErr w:type="spellStart"/>
            <w:r>
              <w:rPr>
                <w:rFonts w:ascii="Arial" w:hAnsi="Arial" w:cs="Arial"/>
              </w:rPr>
              <w:t>Federativa</w:t>
            </w:r>
            <w:proofErr w:type="spellEnd"/>
            <w:r>
              <w:rPr>
                <w:rFonts w:ascii="Arial" w:hAnsi="Arial" w:cs="Arial"/>
              </w:rPr>
              <w:t>.</w:t>
            </w:r>
          </w:p>
        </w:tc>
        <w:tc>
          <w:tcPr>
            <w:tcW w:w="1975" w:type="dxa"/>
          </w:tcPr>
          <w:p w14:paraId="6C9DAC16"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2 UMA</w:t>
            </w:r>
          </w:p>
        </w:tc>
      </w:tr>
      <w:tr w:rsidR="00D3344B" w14:paraId="46A26A01" w14:textId="77777777">
        <w:trPr>
          <w:cantSplit/>
          <w:trHeight w:val="615"/>
        </w:trPr>
        <w:tc>
          <w:tcPr>
            <w:tcW w:w="802" w:type="dxa"/>
          </w:tcPr>
          <w:p w14:paraId="5C7515EA"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2D68F72" w14:textId="77777777" w:rsidR="00D3344B" w:rsidRDefault="00143C25">
            <w:pPr>
              <w:pStyle w:val="Sinespaciado"/>
              <w:widowControl w:val="0"/>
              <w:spacing w:line="276" w:lineRule="auto"/>
              <w:ind w:left="352"/>
              <w:rPr>
                <w:rFonts w:ascii="Arial" w:hAnsi="Arial" w:cs="Arial"/>
              </w:rPr>
            </w:pPr>
            <w:r>
              <w:rPr>
                <w:rFonts w:ascii="Arial" w:hAnsi="Arial" w:cs="Arial"/>
                <w:i/>
                <w:sz w:val="16"/>
                <w:szCs w:val="16"/>
              </w:rPr>
              <w:t>(REFORMADO, P.O. 21 DE JUNIO DE 2021)</w:t>
            </w:r>
          </w:p>
        </w:tc>
        <w:tc>
          <w:tcPr>
            <w:tcW w:w="1975" w:type="dxa"/>
          </w:tcPr>
          <w:p w14:paraId="4C49CF4C" w14:textId="77777777" w:rsidR="00D3344B" w:rsidRDefault="00D3344B">
            <w:pPr>
              <w:pStyle w:val="Sinespaciado"/>
              <w:widowControl w:val="0"/>
              <w:spacing w:line="276" w:lineRule="auto"/>
              <w:ind w:left="213"/>
              <w:jc w:val="both"/>
              <w:rPr>
                <w:rFonts w:ascii="Arial" w:hAnsi="Arial" w:cs="Arial"/>
              </w:rPr>
            </w:pPr>
          </w:p>
        </w:tc>
      </w:tr>
      <w:tr w:rsidR="00D3344B" w14:paraId="7C0807D9" w14:textId="77777777">
        <w:trPr>
          <w:cantSplit/>
          <w:trHeight w:val="825"/>
        </w:trPr>
        <w:tc>
          <w:tcPr>
            <w:tcW w:w="802" w:type="dxa"/>
          </w:tcPr>
          <w:p w14:paraId="5FC98892" w14:textId="77777777" w:rsidR="00D3344B" w:rsidRDefault="00D3344B">
            <w:pPr>
              <w:pStyle w:val="Sinespaciado"/>
              <w:widowControl w:val="0"/>
              <w:spacing w:line="276" w:lineRule="auto"/>
              <w:jc w:val="both"/>
              <w:rPr>
                <w:rFonts w:ascii="Arial" w:hAnsi="Arial" w:cs="Arial"/>
              </w:rPr>
            </w:pPr>
          </w:p>
        </w:tc>
        <w:tc>
          <w:tcPr>
            <w:tcW w:w="7195" w:type="dxa"/>
          </w:tcPr>
          <w:p w14:paraId="51892B92" w14:textId="77777777" w:rsidR="00D3344B" w:rsidRDefault="00143C25">
            <w:pPr>
              <w:pStyle w:val="Sinespaciado"/>
              <w:widowControl w:val="0"/>
              <w:spacing w:line="276" w:lineRule="auto"/>
              <w:ind w:left="352"/>
              <w:jc w:val="both"/>
              <w:rPr>
                <w:rFonts w:ascii="Arial" w:hAnsi="Arial" w:cs="Arial"/>
                <w:i/>
                <w:sz w:val="16"/>
              </w:rPr>
            </w:pPr>
            <w:r>
              <w:rPr>
                <w:rFonts w:ascii="Arial" w:hAnsi="Arial" w:cs="Arial"/>
              </w:rPr>
              <w:t xml:space="preserve">8. Baja de </w:t>
            </w:r>
            <w:proofErr w:type="spellStart"/>
            <w:r>
              <w:rPr>
                <w:rFonts w:ascii="Arial" w:hAnsi="Arial" w:cs="Arial"/>
              </w:rPr>
              <w:t>placas</w:t>
            </w:r>
            <w:proofErr w:type="spellEnd"/>
            <w:r>
              <w:rPr>
                <w:rFonts w:ascii="Arial" w:hAnsi="Arial" w:cs="Arial"/>
              </w:rPr>
              <w:t xml:space="preserve"> y </w:t>
            </w:r>
            <w:proofErr w:type="spellStart"/>
            <w:r>
              <w:rPr>
                <w:rFonts w:ascii="Arial" w:hAnsi="Arial" w:cs="Arial"/>
              </w:rPr>
              <w:t>vehículo</w:t>
            </w:r>
            <w:proofErr w:type="spellEnd"/>
            <w:r>
              <w:rPr>
                <w:rFonts w:ascii="Arial" w:hAnsi="Arial" w:cs="Arial"/>
              </w:rPr>
              <w:t xml:space="preserve"> a </w:t>
            </w:r>
            <w:proofErr w:type="spellStart"/>
            <w:r>
              <w:rPr>
                <w:rFonts w:ascii="Arial" w:hAnsi="Arial" w:cs="Arial"/>
              </w:rPr>
              <w:t>petición</w:t>
            </w:r>
            <w:proofErr w:type="spellEnd"/>
            <w:r>
              <w:rPr>
                <w:rFonts w:ascii="Arial" w:hAnsi="Arial" w:cs="Arial"/>
              </w:rPr>
              <w:t xml:space="preserve"> del </w:t>
            </w:r>
            <w:proofErr w:type="spellStart"/>
            <w:r>
              <w:rPr>
                <w:rFonts w:ascii="Arial" w:hAnsi="Arial" w:cs="Arial"/>
              </w:rPr>
              <w:t>interesado</w:t>
            </w:r>
            <w:proofErr w:type="spellEnd"/>
            <w:r>
              <w:rPr>
                <w:rFonts w:ascii="Arial" w:hAnsi="Arial" w:cs="Arial"/>
              </w:rPr>
              <w:t>.</w:t>
            </w:r>
          </w:p>
        </w:tc>
        <w:tc>
          <w:tcPr>
            <w:tcW w:w="1975" w:type="dxa"/>
          </w:tcPr>
          <w:p w14:paraId="16595469"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1 UMA</w:t>
            </w:r>
          </w:p>
        </w:tc>
      </w:tr>
      <w:tr w:rsidR="00D3344B" w14:paraId="588DD3F1" w14:textId="77777777">
        <w:trPr>
          <w:cantSplit/>
          <w:trHeight w:val="1005"/>
        </w:trPr>
        <w:tc>
          <w:tcPr>
            <w:tcW w:w="802" w:type="dxa"/>
          </w:tcPr>
          <w:p w14:paraId="5B22098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43D3E631" w14:textId="77777777" w:rsidR="00D3344B" w:rsidRDefault="00143C25">
            <w:pPr>
              <w:pStyle w:val="Sinespaciado"/>
              <w:widowControl w:val="0"/>
              <w:spacing w:line="276" w:lineRule="auto"/>
              <w:jc w:val="both"/>
              <w:rPr>
                <w:rFonts w:ascii="Arial" w:hAnsi="Arial" w:cs="Arial"/>
              </w:rPr>
            </w:pPr>
            <w:r>
              <w:rPr>
                <w:rFonts w:ascii="Arial" w:hAnsi="Arial" w:cs="Arial"/>
                <w:i/>
                <w:sz w:val="16"/>
              </w:rPr>
              <w:t>N. DE E. EN RELACIÓN CON LA ENTRADA EN VIGOR DE LA PRESENTE FRACCIÓN, VÉASE TRANSITORIO ÚNICO DEL DECRETO QUE MODIFICA EL CÓDIGO.</w:t>
            </w:r>
          </w:p>
          <w:p w14:paraId="3332CC74" w14:textId="77777777" w:rsidR="00D3344B" w:rsidRDefault="00143C25">
            <w:pPr>
              <w:pStyle w:val="Sinespaciado"/>
              <w:widowControl w:val="0"/>
              <w:spacing w:line="276" w:lineRule="auto"/>
              <w:jc w:val="both"/>
              <w:rPr>
                <w:rFonts w:ascii="Arial" w:hAnsi="Arial" w:cs="Arial"/>
              </w:rPr>
            </w:pPr>
            <w:r>
              <w:rPr>
                <w:rFonts w:ascii="Arial" w:hAnsi="Arial" w:cs="Arial"/>
                <w:i/>
                <w:sz w:val="16"/>
              </w:rPr>
              <w:t>(REFORMADA, P.O. 7 DE DICIEMBRE DE 2009)</w:t>
            </w:r>
          </w:p>
        </w:tc>
        <w:tc>
          <w:tcPr>
            <w:tcW w:w="1975" w:type="dxa"/>
          </w:tcPr>
          <w:p w14:paraId="3EDA5223" w14:textId="77777777" w:rsidR="00D3344B" w:rsidRDefault="00D3344B">
            <w:pPr>
              <w:pStyle w:val="Sinespaciado"/>
              <w:widowControl w:val="0"/>
              <w:spacing w:line="276" w:lineRule="auto"/>
              <w:ind w:left="213"/>
              <w:jc w:val="both"/>
              <w:rPr>
                <w:rFonts w:ascii="Arial" w:hAnsi="Arial" w:cs="Arial"/>
              </w:rPr>
            </w:pPr>
          </w:p>
        </w:tc>
      </w:tr>
      <w:tr w:rsidR="00D3344B" w14:paraId="5E8D59BF" w14:textId="77777777">
        <w:trPr>
          <w:cantSplit/>
          <w:trHeight w:val="450"/>
        </w:trPr>
        <w:tc>
          <w:tcPr>
            <w:tcW w:w="802" w:type="dxa"/>
          </w:tcPr>
          <w:p w14:paraId="5408AC7A" w14:textId="77777777" w:rsidR="00D3344B" w:rsidRDefault="00143C25">
            <w:pPr>
              <w:pStyle w:val="Sinespaciado"/>
              <w:widowControl w:val="0"/>
              <w:spacing w:line="276" w:lineRule="auto"/>
              <w:jc w:val="both"/>
              <w:rPr>
                <w:rFonts w:ascii="Arial" w:hAnsi="Arial" w:cs="Arial"/>
              </w:rPr>
            </w:pPr>
            <w:r>
              <w:rPr>
                <w:rFonts w:ascii="Arial" w:hAnsi="Arial" w:cs="Arial"/>
              </w:rPr>
              <w:t>XVII.</w:t>
            </w:r>
          </w:p>
        </w:tc>
        <w:tc>
          <w:tcPr>
            <w:tcW w:w="7195" w:type="dxa"/>
          </w:tcPr>
          <w:p w14:paraId="6BCD9BAF" w14:textId="77777777" w:rsidR="00D3344B" w:rsidRDefault="00143C25">
            <w:pPr>
              <w:pStyle w:val="Sinespaciado"/>
              <w:widowControl w:val="0"/>
              <w:spacing w:line="276" w:lineRule="auto"/>
              <w:jc w:val="both"/>
              <w:rPr>
                <w:rFonts w:ascii="Arial" w:hAnsi="Arial" w:cs="Arial"/>
              </w:rPr>
            </w:pPr>
            <w:proofErr w:type="spellStart"/>
            <w:r>
              <w:rPr>
                <w:rFonts w:ascii="Arial" w:hAnsi="Arial" w:cs="Arial"/>
              </w:rPr>
              <w:t>Permisos</w:t>
            </w:r>
            <w:proofErr w:type="spellEnd"/>
            <w:r>
              <w:rPr>
                <w:rFonts w:ascii="Arial" w:hAnsi="Arial" w:cs="Arial"/>
              </w:rPr>
              <w:t xml:space="preserve"> para circular sin </w:t>
            </w:r>
            <w:proofErr w:type="spellStart"/>
            <w:r>
              <w:rPr>
                <w:rFonts w:ascii="Arial" w:hAnsi="Arial" w:cs="Arial"/>
              </w:rPr>
              <w:t>placas</w:t>
            </w:r>
            <w:proofErr w:type="spellEnd"/>
            <w:r>
              <w:rPr>
                <w:rFonts w:ascii="Arial" w:hAnsi="Arial" w:cs="Arial"/>
              </w:rPr>
              <w:t xml:space="preserve"> o </w:t>
            </w:r>
            <w:proofErr w:type="spellStart"/>
            <w:r>
              <w:rPr>
                <w:rFonts w:ascii="Arial" w:hAnsi="Arial" w:cs="Arial"/>
              </w:rPr>
              <w:t>tarjeta</w:t>
            </w:r>
            <w:proofErr w:type="spellEnd"/>
            <w:r>
              <w:rPr>
                <w:rFonts w:ascii="Arial" w:hAnsi="Arial" w:cs="Arial"/>
              </w:rPr>
              <w:t xml:space="preserve"> de </w:t>
            </w:r>
            <w:proofErr w:type="spellStart"/>
            <w:r>
              <w:rPr>
                <w:rFonts w:ascii="Arial" w:hAnsi="Arial" w:cs="Arial"/>
              </w:rPr>
              <w:t>circulación</w:t>
            </w:r>
            <w:proofErr w:type="spellEnd"/>
            <w:r>
              <w:rPr>
                <w:rFonts w:ascii="Arial" w:hAnsi="Arial" w:cs="Arial"/>
              </w:rPr>
              <w:t>:</w:t>
            </w:r>
          </w:p>
        </w:tc>
        <w:tc>
          <w:tcPr>
            <w:tcW w:w="1975" w:type="dxa"/>
          </w:tcPr>
          <w:p w14:paraId="49DA80D5" w14:textId="77777777" w:rsidR="00D3344B" w:rsidRDefault="00D3344B">
            <w:pPr>
              <w:pStyle w:val="Sinespaciado"/>
              <w:widowControl w:val="0"/>
              <w:spacing w:line="276" w:lineRule="auto"/>
              <w:ind w:left="213"/>
              <w:jc w:val="both"/>
              <w:rPr>
                <w:rFonts w:ascii="Arial" w:hAnsi="Arial" w:cs="Arial"/>
              </w:rPr>
            </w:pPr>
          </w:p>
        </w:tc>
      </w:tr>
      <w:tr w:rsidR="00D3344B" w14:paraId="43ACBC64" w14:textId="77777777">
        <w:trPr>
          <w:cantSplit/>
          <w:trHeight w:val="450"/>
        </w:trPr>
        <w:tc>
          <w:tcPr>
            <w:tcW w:w="802" w:type="dxa"/>
          </w:tcPr>
          <w:p w14:paraId="6FB8E394"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2FF93E3"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41D92D54" w14:textId="77777777" w:rsidR="00D3344B" w:rsidRDefault="00D3344B">
            <w:pPr>
              <w:pStyle w:val="Sinespaciado"/>
              <w:widowControl w:val="0"/>
              <w:spacing w:line="276" w:lineRule="auto"/>
              <w:ind w:left="213"/>
              <w:jc w:val="both"/>
              <w:rPr>
                <w:rFonts w:ascii="Arial" w:hAnsi="Arial" w:cs="Arial"/>
              </w:rPr>
            </w:pPr>
          </w:p>
        </w:tc>
      </w:tr>
      <w:tr w:rsidR="00D3344B" w14:paraId="4B96C427" w14:textId="77777777">
        <w:trPr>
          <w:cantSplit/>
          <w:trHeight w:val="1043"/>
        </w:trPr>
        <w:tc>
          <w:tcPr>
            <w:tcW w:w="802" w:type="dxa"/>
          </w:tcPr>
          <w:p w14:paraId="54C4301A" w14:textId="77777777" w:rsidR="00D3344B" w:rsidRDefault="00D3344B">
            <w:pPr>
              <w:pStyle w:val="Sinespaciado"/>
              <w:widowControl w:val="0"/>
              <w:spacing w:line="276" w:lineRule="auto"/>
              <w:jc w:val="both"/>
              <w:rPr>
                <w:rFonts w:ascii="Arial" w:hAnsi="Arial" w:cs="Arial"/>
              </w:rPr>
            </w:pPr>
          </w:p>
        </w:tc>
        <w:tc>
          <w:tcPr>
            <w:tcW w:w="7195" w:type="dxa"/>
          </w:tcPr>
          <w:p w14:paraId="0576453E"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a) </w:t>
            </w:r>
            <w:proofErr w:type="spellStart"/>
            <w:r>
              <w:rPr>
                <w:rFonts w:ascii="Arial" w:hAnsi="Arial" w:cs="Arial"/>
              </w:rPr>
              <w:t>Permisos</w:t>
            </w:r>
            <w:proofErr w:type="spellEnd"/>
            <w:r>
              <w:rPr>
                <w:rFonts w:ascii="Arial" w:hAnsi="Arial" w:cs="Arial"/>
              </w:rPr>
              <w:t xml:space="preserve"> para </w:t>
            </w:r>
            <w:proofErr w:type="spellStart"/>
            <w:r>
              <w:rPr>
                <w:rFonts w:ascii="Arial" w:hAnsi="Arial" w:cs="Arial"/>
              </w:rPr>
              <w:t>vehículos</w:t>
            </w:r>
            <w:proofErr w:type="spellEnd"/>
            <w:r>
              <w:rPr>
                <w:rFonts w:ascii="Arial" w:hAnsi="Arial" w:cs="Arial"/>
              </w:rPr>
              <w:t xml:space="preserve"> </w:t>
            </w:r>
            <w:proofErr w:type="spellStart"/>
            <w:r>
              <w:rPr>
                <w:rFonts w:ascii="Arial" w:hAnsi="Arial" w:cs="Arial"/>
              </w:rPr>
              <w:t>nuevos</w:t>
            </w:r>
            <w:proofErr w:type="spellEnd"/>
            <w:r>
              <w:rPr>
                <w:rFonts w:ascii="Arial" w:hAnsi="Arial" w:cs="Arial"/>
              </w:rPr>
              <w:t xml:space="preserve"> o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casos</w:t>
            </w:r>
            <w:proofErr w:type="spellEnd"/>
            <w:r>
              <w:rPr>
                <w:rFonts w:ascii="Arial" w:hAnsi="Arial" w:cs="Arial"/>
              </w:rPr>
              <w:t xml:space="preserve"> de </w:t>
            </w:r>
            <w:proofErr w:type="spellStart"/>
            <w:r>
              <w:rPr>
                <w:rFonts w:ascii="Arial" w:hAnsi="Arial" w:cs="Arial"/>
              </w:rPr>
              <w:t>pérdida</w:t>
            </w:r>
            <w:proofErr w:type="spellEnd"/>
            <w:r>
              <w:rPr>
                <w:rFonts w:ascii="Arial" w:hAnsi="Arial" w:cs="Arial"/>
              </w:rPr>
              <w:t xml:space="preserve">, </w:t>
            </w:r>
            <w:proofErr w:type="spellStart"/>
            <w:r>
              <w:rPr>
                <w:rFonts w:ascii="Arial" w:hAnsi="Arial" w:cs="Arial"/>
              </w:rPr>
              <w:t>robo</w:t>
            </w:r>
            <w:proofErr w:type="spellEnd"/>
            <w:r>
              <w:rPr>
                <w:rFonts w:ascii="Arial" w:hAnsi="Arial" w:cs="Arial"/>
              </w:rPr>
              <w:t xml:space="preserve"> o </w:t>
            </w:r>
            <w:proofErr w:type="spellStart"/>
            <w:r>
              <w:rPr>
                <w:rFonts w:ascii="Arial" w:hAnsi="Arial" w:cs="Arial"/>
              </w:rPr>
              <w:t>extravío</w:t>
            </w:r>
            <w:proofErr w:type="spellEnd"/>
            <w:r>
              <w:rPr>
                <w:rFonts w:ascii="Arial" w:hAnsi="Arial" w:cs="Arial"/>
              </w:rPr>
              <w:t xml:space="preserve"> de </w:t>
            </w:r>
            <w:proofErr w:type="spellStart"/>
            <w:r>
              <w:rPr>
                <w:rFonts w:ascii="Arial" w:hAnsi="Arial" w:cs="Arial"/>
              </w:rPr>
              <w:t>documentación</w:t>
            </w:r>
            <w:proofErr w:type="spellEnd"/>
            <w:r>
              <w:rPr>
                <w:rFonts w:ascii="Arial" w:hAnsi="Arial" w:cs="Arial"/>
              </w:rPr>
              <w:t xml:space="preserve"> </w:t>
            </w:r>
            <w:proofErr w:type="spellStart"/>
            <w:r>
              <w:rPr>
                <w:rFonts w:ascii="Arial" w:hAnsi="Arial" w:cs="Arial"/>
              </w:rPr>
              <w:t>autorizada</w:t>
            </w:r>
            <w:proofErr w:type="spellEnd"/>
            <w:r>
              <w:rPr>
                <w:rFonts w:ascii="Arial" w:hAnsi="Arial" w:cs="Arial"/>
              </w:rPr>
              <w:t xml:space="preserve">, hasta por </w:t>
            </w:r>
            <w:proofErr w:type="spellStart"/>
            <w:r>
              <w:rPr>
                <w:rFonts w:ascii="Arial" w:hAnsi="Arial" w:cs="Arial"/>
              </w:rPr>
              <w:t>treinta</w:t>
            </w:r>
            <w:proofErr w:type="spellEnd"/>
            <w:r>
              <w:rPr>
                <w:rFonts w:ascii="Arial" w:hAnsi="Arial" w:cs="Arial"/>
              </w:rPr>
              <w:t xml:space="preserve"> días.</w:t>
            </w:r>
          </w:p>
        </w:tc>
        <w:tc>
          <w:tcPr>
            <w:tcW w:w="1975" w:type="dxa"/>
          </w:tcPr>
          <w:p w14:paraId="254B0F4D"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3 UMA</w:t>
            </w:r>
          </w:p>
        </w:tc>
      </w:tr>
      <w:tr w:rsidR="00D3344B" w14:paraId="5675E3A1" w14:textId="77777777">
        <w:trPr>
          <w:cantSplit/>
          <w:trHeight w:val="391"/>
        </w:trPr>
        <w:tc>
          <w:tcPr>
            <w:tcW w:w="802" w:type="dxa"/>
          </w:tcPr>
          <w:p w14:paraId="71EFFB6F"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1E8DC76A" w14:textId="77777777" w:rsidR="00D3344B" w:rsidRDefault="00143C25">
            <w:pPr>
              <w:pStyle w:val="Sinespaciado"/>
              <w:widowControl w:val="0"/>
              <w:spacing w:line="276" w:lineRule="auto"/>
              <w:ind w:left="352" w:hanging="352"/>
              <w:rPr>
                <w:rFonts w:ascii="Arial" w:hAnsi="Arial" w:cs="Arial"/>
              </w:rPr>
            </w:pPr>
            <w:r>
              <w:rPr>
                <w:rFonts w:ascii="Arial" w:hAnsi="Arial" w:cs="Arial"/>
                <w:i/>
                <w:sz w:val="16"/>
                <w:szCs w:val="16"/>
              </w:rPr>
              <w:t>(REFORMADO, P.O. 21 DE JUNIO DE 2021)</w:t>
            </w:r>
          </w:p>
        </w:tc>
        <w:tc>
          <w:tcPr>
            <w:tcW w:w="1975" w:type="dxa"/>
          </w:tcPr>
          <w:p w14:paraId="4027EB2D" w14:textId="77777777" w:rsidR="00D3344B" w:rsidRDefault="00D3344B">
            <w:pPr>
              <w:pStyle w:val="Sinespaciado"/>
              <w:widowControl w:val="0"/>
              <w:spacing w:line="276" w:lineRule="auto"/>
              <w:ind w:left="213"/>
              <w:jc w:val="both"/>
              <w:rPr>
                <w:rFonts w:ascii="Arial" w:hAnsi="Arial" w:cs="Arial"/>
                <w:b/>
              </w:rPr>
            </w:pPr>
          </w:p>
        </w:tc>
      </w:tr>
      <w:tr w:rsidR="00D3344B" w14:paraId="691BD993" w14:textId="77777777">
        <w:trPr>
          <w:cantSplit/>
          <w:trHeight w:val="870"/>
        </w:trPr>
        <w:tc>
          <w:tcPr>
            <w:tcW w:w="802" w:type="dxa"/>
          </w:tcPr>
          <w:p w14:paraId="03AA7FDE" w14:textId="77777777" w:rsidR="00D3344B" w:rsidRDefault="00D3344B">
            <w:pPr>
              <w:pStyle w:val="Sinespaciado"/>
              <w:widowControl w:val="0"/>
              <w:spacing w:line="276" w:lineRule="auto"/>
              <w:jc w:val="both"/>
              <w:rPr>
                <w:rFonts w:ascii="Arial" w:hAnsi="Arial" w:cs="Arial"/>
              </w:rPr>
            </w:pPr>
          </w:p>
        </w:tc>
        <w:tc>
          <w:tcPr>
            <w:tcW w:w="7195" w:type="dxa"/>
          </w:tcPr>
          <w:p w14:paraId="3EF81C19" w14:textId="77777777" w:rsidR="00D3344B" w:rsidRDefault="00143C25">
            <w:pPr>
              <w:pStyle w:val="Sinespaciado"/>
              <w:widowControl w:val="0"/>
              <w:spacing w:line="276" w:lineRule="auto"/>
              <w:ind w:left="352" w:hanging="352"/>
              <w:jc w:val="both"/>
              <w:rPr>
                <w:rFonts w:ascii="Arial" w:hAnsi="Arial" w:cs="Arial"/>
              </w:rPr>
            </w:pPr>
            <w:r>
              <w:rPr>
                <w:rFonts w:ascii="Arial" w:hAnsi="Arial" w:cs="Arial"/>
              </w:rPr>
              <w:t xml:space="preserve">b)   </w:t>
            </w:r>
            <w:proofErr w:type="spellStart"/>
            <w:r>
              <w:rPr>
                <w:rFonts w:ascii="Arial" w:hAnsi="Arial" w:cs="Arial"/>
              </w:rPr>
              <w:t>Permiso</w:t>
            </w:r>
            <w:proofErr w:type="spellEnd"/>
            <w:r>
              <w:rPr>
                <w:rFonts w:ascii="Arial" w:hAnsi="Arial" w:cs="Arial"/>
              </w:rPr>
              <w:t xml:space="preserve"> eventual de carga </w:t>
            </w:r>
            <w:proofErr w:type="spellStart"/>
            <w:r>
              <w:rPr>
                <w:rFonts w:ascii="Arial" w:hAnsi="Arial" w:cs="Arial"/>
              </w:rPr>
              <w:t>vigente</w:t>
            </w:r>
            <w:proofErr w:type="spellEnd"/>
            <w:r>
              <w:rPr>
                <w:rFonts w:ascii="Arial" w:hAnsi="Arial" w:cs="Arial"/>
              </w:rPr>
              <w:t xml:space="preserve"> </w:t>
            </w:r>
            <w:proofErr w:type="spellStart"/>
            <w:r>
              <w:rPr>
                <w:rFonts w:ascii="Arial" w:hAnsi="Arial" w:cs="Arial"/>
              </w:rPr>
              <w:t>durante</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ejercicio</w:t>
            </w:r>
            <w:proofErr w:type="spellEnd"/>
            <w:r>
              <w:rPr>
                <w:rFonts w:ascii="Arial" w:hAnsi="Arial" w:cs="Arial"/>
              </w:rPr>
              <w:t xml:space="preserve"> fiscal.</w:t>
            </w:r>
          </w:p>
        </w:tc>
        <w:tc>
          <w:tcPr>
            <w:tcW w:w="1975" w:type="dxa"/>
          </w:tcPr>
          <w:p w14:paraId="4F5ACA9D" w14:textId="77777777" w:rsidR="00D3344B" w:rsidRDefault="00143C25">
            <w:pPr>
              <w:pStyle w:val="Sinespaciado"/>
              <w:widowControl w:val="0"/>
              <w:spacing w:line="276" w:lineRule="auto"/>
              <w:ind w:left="214"/>
              <w:jc w:val="both"/>
              <w:rPr>
                <w:rFonts w:ascii="Arial" w:hAnsi="Arial" w:cs="Arial"/>
              </w:rPr>
            </w:pPr>
            <w:r>
              <w:rPr>
                <w:rFonts w:ascii="Arial" w:hAnsi="Arial" w:cs="Arial"/>
                <w:b/>
              </w:rPr>
              <w:t>3 UMA</w:t>
            </w:r>
          </w:p>
        </w:tc>
      </w:tr>
      <w:tr w:rsidR="00D3344B" w14:paraId="3FC57061" w14:textId="77777777">
        <w:trPr>
          <w:cantSplit/>
          <w:trHeight w:val="567"/>
        </w:trPr>
        <w:tc>
          <w:tcPr>
            <w:tcW w:w="802" w:type="dxa"/>
          </w:tcPr>
          <w:p w14:paraId="6C76D5DC" w14:textId="77777777" w:rsidR="00D3344B" w:rsidRDefault="00143C25">
            <w:pPr>
              <w:pStyle w:val="Sinespaciado"/>
              <w:widowControl w:val="0"/>
              <w:spacing w:line="276" w:lineRule="auto"/>
              <w:jc w:val="both"/>
              <w:rPr>
                <w:rFonts w:ascii="Arial" w:hAnsi="Arial" w:cs="Arial"/>
              </w:rPr>
            </w:pPr>
            <w:r>
              <w:rPr>
                <w:rFonts w:ascii="Arial" w:hAnsi="Arial" w:cs="Arial"/>
              </w:rPr>
              <w:t>XVIII.</w:t>
            </w:r>
          </w:p>
        </w:tc>
        <w:tc>
          <w:tcPr>
            <w:tcW w:w="7195" w:type="dxa"/>
          </w:tcPr>
          <w:p w14:paraId="25F7439F" w14:textId="77777777" w:rsidR="00D3344B" w:rsidRDefault="00143C25">
            <w:pPr>
              <w:pStyle w:val="Sinespaciado"/>
              <w:widowControl w:val="0"/>
              <w:spacing w:line="276" w:lineRule="auto"/>
              <w:rPr>
                <w:rFonts w:ascii="Arial" w:hAnsi="Arial" w:cs="Arial"/>
              </w:rPr>
            </w:pPr>
            <w:r>
              <w:rPr>
                <w:rFonts w:ascii="Arial" w:hAnsi="Arial" w:cs="Arial"/>
              </w:rPr>
              <w:t xml:space="preserve"> </w:t>
            </w:r>
            <w:r>
              <w:rPr>
                <w:rFonts w:ascii="Arial" w:hAnsi="Arial" w:cs="Arial"/>
                <w:i/>
                <w:sz w:val="16"/>
              </w:rPr>
              <w:t>(DEROGADA, P.O. 30 DE DICIEMBRE DE 2005)</w:t>
            </w:r>
          </w:p>
        </w:tc>
        <w:tc>
          <w:tcPr>
            <w:tcW w:w="1975" w:type="dxa"/>
          </w:tcPr>
          <w:p w14:paraId="19E9F76A" w14:textId="77777777" w:rsidR="00D3344B" w:rsidRDefault="00D3344B">
            <w:pPr>
              <w:pStyle w:val="Sinespaciado"/>
              <w:widowControl w:val="0"/>
              <w:spacing w:line="276" w:lineRule="auto"/>
              <w:rPr>
                <w:rFonts w:ascii="Arial" w:hAnsi="Arial" w:cs="Arial"/>
              </w:rPr>
            </w:pPr>
          </w:p>
        </w:tc>
      </w:tr>
      <w:tr w:rsidR="00D3344B" w14:paraId="2AC1500B" w14:textId="77777777">
        <w:trPr>
          <w:cantSplit/>
          <w:trHeight w:val="561"/>
        </w:trPr>
        <w:tc>
          <w:tcPr>
            <w:tcW w:w="802" w:type="dxa"/>
          </w:tcPr>
          <w:p w14:paraId="14750F09" w14:textId="77777777" w:rsidR="00D3344B" w:rsidRDefault="00143C25">
            <w:pPr>
              <w:pStyle w:val="Sinespaciado"/>
              <w:widowControl w:val="0"/>
              <w:spacing w:line="276" w:lineRule="auto"/>
              <w:jc w:val="both"/>
              <w:rPr>
                <w:rFonts w:ascii="Arial" w:hAnsi="Arial" w:cs="Arial"/>
              </w:rPr>
            </w:pPr>
            <w:r>
              <w:rPr>
                <w:rFonts w:ascii="Arial" w:hAnsi="Arial" w:cs="Arial"/>
              </w:rPr>
              <w:t>XIX.</w:t>
            </w:r>
          </w:p>
        </w:tc>
        <w:tc>
          <w:tcPr>
            <w:tcW w:w="7195" w:type="dxa"/>
          </w:tcPr>
          <w:p w14:paraId="69CE7EEB" w14:textId="77777777" w:rsidR="00D3344B" w:rsidRDefault="00143C25">
            <w:pPr>
              <w:pStyle w:val="Sinespaciado"/>
              <w:widowControl w:val="0"/>
              <w:spacing w:line="276" w:lineRule="auto"/>
              <w:rPr>
                <w:rFonts w:ascii="Arial" w:hAnsi="Arial" w:cs="Arial"/>
                <w:i/>
                <w:sz w:val="16"/>
              </w:rPr>
            </w:pPr>
            <w:r>
              <w:rPr>
                <w:rFonts w:ascii="Arial" w:hAnsi="Arial" w:cs="Arial"/>
              </w:rPr>
              <w:t xml:space="preserve"> </w:t>
            </w:r>
            <w:r>
              <w:rPr>
                <w:rFonts w:ascii="Arial" w:hAnsi="Arial" w:cs="Arial"/>
                <w:i/>
                <w:sz w:val="16"/>
              </w:rPr>
              <w:t>(DEROGADA, P.O. 30 DE DICIEMBRE DE 2005)</w:t>
            </w:r>
          </w:p>
        </w:tc>
        <w:tc>
          <w:tcPr>
            <w:tcW w:w="1975" w:type="dxa"/>
          </w:tcPr>
          <w:p w14:paraId="31E7F57B" w14:textId="77777777" w:rsidR="00D3344B" w:rsidRDefault="00D3344B">
            <w:pPr>
              <w:pStyle w:val="Sinespaciado"/>
              <w:widowControl w:val="0"/>
              <w:spacing w:line="276" w:lineRule="auto"/>
              <w:ind w:left="213"/>
              <w:rPr>
                <w:rFonts w:ascii="Arial" w:hAnsi="Arial" w:cs="Arial"/>
                <w:i/>
                <w:sz w:val="16"/>
              </w:rPr>
            </w:pPr>
          </w:p>
        </w:tc>
      </w:tr>
      <w:tr w:rsidR="00D3344B" w14:paraId="111F7034" w14:textId="77777777">
        <w:trPr>
          <w:cantSplit/>
          <w:trHeight w:val="561"/>
        </w:trPr>
        <w:tc>
          <w:tcPr>
            <w:tcW w:w="802" w:type="dxa"/>
          </w:tcPr>
          <w:p w14:paraId="55288019"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0DC73193"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2DC59CDC" w14:textId="77777777" w:rsidR="00D3344B" w:rsidRDefault="00D3344B">
            <w:pPr>
              <w:pStyle w:val="Sinespaciado"/>
              <w:widowControl w:val="0"/>
              <w:spacing w:line="276" w:lineRule="auto"/>
              <w:ind w:left="213"/>
              <w:rPr>
                <w:rFonts w:ascii="Arial" w:hAnsi="Arial" w:cs="Arial"/>
                <w:i/>
                <w:sz w:val="16"/>
              </w:rPr>
            </w:pPr>
          </w:p>
        </w:tc>
      </w:tr>
      <w:tr w:rsidR="00D3344B" w14:paraId="78CB2A1B" w14:textId="77777777">
        <w:trPr>
          <w:cantSplit/>
          <w:trHeight w:val="688"/>
        </w:trPr>
        <w:tc>
          <w:tcPr>
            <w:tcW w:w="802" w:type="dxa"/>
          </w:tcPr>
          <w:p w14:paraId="7E202AEB" w14:textId="77777777" w:rsidR="00D3344B" w:rsidRDefault="00143C25">
            <w:pPr>
              <w:pStyle w:val="Sinespaciado"/>
              <w:widowControl w:val="0"/>
              <w:spacing w:line="276" w:lineRule="auto"/>
              <w:jc w:val="both"/>
              <w:rPr>
                <w:rFonts w:ascii="Arial" w:hAnsi="Arial" w:cs="Arial"/>
              </w:rPr>
            </w:pPr>
            <w:r>
              <w:rPr>
                <w:rFonts w:ascii="Arial" w:hAnsi="Arial" w:cs="Arial"/>
              </w:rPr>
              <w:t>XX.</w:t>
            </w:r>
          </w:p>
        </w:tc>
        <w:tc>
          <w:tcPr>
            <w:tcW w:w="7195" w:type="dxa"/>
          </w:tcPr>
          <w:p w14:paraId="331B63C5" w14:textId="77777777" w:rsidR="00D3344B" w:rsidRDefault="00143C25">
            <w:pPr>
              <w:pStyle w:val="Sinespaciado"/>
              <w:widowControl w:val="0"/>
              <w:spacing w:line="276" w:lineRule="auto"/>
              <w:rPr>
                <w:rFonts w:ascii="Arial" w:hAnsi="Arial" w:cs="Arial"/>
                <w:i/>
                <w:sz w:val="16"/>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copias</w:t>
            </w:r>
            <w:proofErr w:type="spellEnd"/>
            <w:r>
              <w:rPr>
                <w:rFonts w:ascii="Arial" w:hAnsi="Arial" w:cs="Arial"/>
              </w:rPr>
              <w:t xml:space="preserve"> </w:t>
            </w:r>
            <w:proofErr w:type="spellStart"/>
            <w:r>
              <w:rPr>
                <w:rFonts w:ascii="Arial" w:hAnsi="Arial" w:cs="Arial"/>
              </w:rPr>
              <w:t>certificadas</w:t>
            </w:r>
            <w:proofErr w:type="spellEnd"/>
            <w:r>
              <w:rPr>
                <w:rFonts w:ascii="Arial" w:hAnsi="Arial" w:cs="Arial"/>
              </w:rPr>
              <w:t xml:space="preserve"> de </w:t>
            </w:r>
            <w:proofErr w:type="spellStart"/>
            <w:r>
              <w:rPr>
                <w:rFonts w:ascii="Arial" w:hAnsi="Arial" w:cs="Arial"/>
              </w:rPr>
              <w:t>datos</w:t>
            </w:r>
            <w:proofErr w:type="spellEnd"/>
            <w:r>
              <w:rPr>
                <w:rFonts w:ascii="Arial" w:hAnsi="Arial" w:cs="Arial"/>
              </w:rPr>
              <w:t xml:space="preserve"> o </w:t>
            </w:r>
            <w:proofErr w:type="spellStart"/>
            <w:r>
              <w:rPr>
                <w:rFonts w:ascii="Arial" w:hAnsi="Arial" w:cs="Arial"/>
              </w:rPr>
              <w:t>documentos</w:t>
            </w:r>
            <w:proofErr w:type="spellEnd"/>
          </w:p>
        </w:tc>
        <w:tc>
          <w:tcPr>
            <w:tcW w:w="1975" w:type="dxa"/>
          </w:tcPr>
          <w:p w14:paraId="3CCF53B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 xml:space="preserve">1 UMA </w:t>
            </w:r>
            <w:r>
              <w:rPr>
                <w:rFonts w:ascii="Arial" w:hAnsi="Arial" w:cs="Arial"/>
              </w:rPr>
              <w:t xml:space="preserve">por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foja</w:t>
            </w:r>
            <w:proofErr w:type="spellEnd"/>
          </w:p>
        </w:tc>
      </w:tr>
      <w:tr w:rsidR="00D3344B" w14:paraId="4F58548B" w14:textId="77777777">
        <w:trPr>
          <w:cantSplit/>
          <w:trHeight w:val="368"/>
        </w:trPr>
        <w:tc>
          <w:tcPr>
            <w:tcW w:w="802" w:type="dxa"/>
          </w:tcPr>
          <w:p w14:paraId="251B4878"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22B7E469" w14:textId="77777777" w:rsidR="00D3344B" w:rsidRDefault="00143C25">
            <w:pPr>
              <w:pStyle w:val="Sinespaciado"/>
              <w:widowControl w:val="0"/>
              <w:spacing w:line="276" w:lineRule="auto"/>
              <w:rPr>
                <w:rFonts w:ascii="Arial" w:hAnsi="Arial" w:cs="Arial"/>
              </w:rPr>
            </w:pPr>
            <w:r>
              <w:rPr>
                <w:rFonts w:ascii="Arial" w:hAnsi="Arial" w:cs="Arial"/>
                <w:i/>
                <w:sz w:val="16"/>
                <w:szCs w:val="16"/>
              </w:rPr>
              <w:t>(REFORMADO, P.O. 21 DE JUNIO DE 2021)</w:t>
            </w:r>
          </w:p>
        </w:tc>
        <w:tc>
          <w:tcPr>
            <w:tcW w:w="1975" w:type="dxa"/>
          </w:tcPr>
          <w:p w14:paraId="03C24832" w14:textId="77777777" w:rsidR="00D3344B" w:rsidRDefault="00D3344B">
            <w:pPr>
              <w:pStyle w:val="Sinespaciado"/>
              <w:widowControl w:val="0"/>
              <w:spacing w:line="276" w:lineRule="auto"/>
              <w:ind w:left="213"/>
              <w:jc w:val="both"/>
              <w:rPr>
                <w:rFonts w:ascii="Arial" w:hAnsi="Arial" w:cs="Arial"/>
              </w:rPr>
            </w:pPr>
          </w:p>
        </w:tc>
      </w:tr>
      <w:tr w:rsidR="00D3344B" w14:paraId="174D4480" w14:textId="77777777">
        <w:trPr>
          <w:cantSplit/>
          <w:trHeight w:val="930"/>
        </w:trPr>
        <w:tc>
          <w:tcPr>
            <w:tcW w:w="802" w:type="dxa"/>
          </w:tcPr>
          <w:p w14:paraId="0AB0430C" w14:textId="77777777" w:rsidR="00D3344B" w:rsidRDefault="00143C25">
            <w:pPr>
              <w:pStyle w:val="Sinespaciado"/>
              <w:widowControl w:val="0"/>
              <w:spacing w:line="276" w:lineRule="auto"/>
              <w:jc w:val="both"/>
              <w:rPr>
                <w:rFonts w:ascii="Arial" w:hAnsi="Arial" w:cs="Arial"/>
              </w:rPr>
            </w:pPr>
            <w:r>
              <w:rPr>
                <w:rFonts w:ascii="Arial" w:hAnsi="Arial" w:cs="Arial"/>
              </w:rPr>
              <w:lastRenderedPageBreak/>
              <w:t>XXI.</w:t>
            </w:r>
          </w:p>
        </w:tc>
        <w:tc>
          <w:tcPr>
            <w:tcW w:w="7195" w:type="dxa"/>
          </w:tcPr>
          <w:p w14:paraId="2708E214" w14:textId="77777777" w:rsidR="00D3344B" w:rsidRDefault="00143C25">
            <w:pPr>
              <w:pStyle w:val="Sinespaciado"/>
              <w:widowControl w:val="0"/>
              <w:spacing w:line="276" w:lineRule="auto"/>
              <w:rPr>
                <w:rFonts w:ascii="Arial" w:hAnsi="Arial" w:cs="Arial"/>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copias</w:t>
            </w:r>
            <w:proofErr w:type="spellEnd"/>
            <w:r>
              <w:rPr>
                <w:rFonts w:ascii="Arial" w:hAnsi="Arial" w:cs="Arial"/>
              </w:rPr>
              <w:t xml:space="preserve"> simples de </w:t>
            </w:r>
            <w:proofErr w:type="spellStart"/>
            <w:r>
              <w:rPr>
                <w:rFonts w:ascii="Arial" w:hAnsi="Arial" w:cs="Arial"/>
              </w:rPr>
              <w:t>datos</w:t>
            </w:r>
            <w:proofErr w:type="spellEnd"/>
            <w:r>
              <w:rPr>
                <w:rFonts w:ascii="Arial" w:hAnsi="Arial" w:cs="Arial"/>
              </w:rPr>
              <w:t xml:space="preserve"> o </w:t>
            </w:r>
            <w:proofErr w:type="spellStart"/>
            <w:r>
              <w:rPr>
                <w:rFonts w:ascii="Arial" w:hAnsi="Arial" w:cs="Arial"/>
              </w:rPr>
              <w:t>documentos</w:t>
            </w:r>
            <w:proofErr w:type="spellEnd"/>
            <w:r>
              <w:rPr>
                <w:rFonts w:ascii="Arial" w:hAnsi="Arial" w:cs="Arial"/>
              </w:rPr>
              <w:t xml:space="preserve"> de los </w:t>
            </w:r>
            <w:proofErr w:type="spellStart"/>
            <w:r>
              <w:rPr>
                <w:rFonts w:ascii="Arial" w:hAnsi="Arial" w:cs="Arial"/>
              </w:rPr>
              <w:t>servicios</w:t>
            </w:r>
            <w:proofErr w:type="spellEnd"/>
            <w:r>
              <w:rPr>
                <w:rFonts w:ascii="Arial" w:hAnsi="Arial" w:cs="Arial"/>
              </w:rPr>
              <w:t xml:space="preserve"> de </w:t>
            </w:r>
            <w:proofErr w:type="spellStart"/>
            <w:r>
              <w:rPr>
                <w:rFonts w:ascii="Arial" w:hAnsi="Arial" w:cs="Arial"/>
              </w:rPr>
              <w:t>transporte</w:t>
            </w:r>
            <w:proofErr w:type="spellEnd"/>
            <w:r>
              <w:rPr>
                <w:rFonts w:ascii="Arial" w:hAnsi="Arial" w:cs="Arial"/>
              </w:rPr>
              <w:t xml:space="preserve"> </w:t>
            </w:r>
            <w:proofErr w:type="spellStart"/>
            <w:r>
              <w:rPr>
                <w:rFonts w:ascii="Arial" w:hAnsi="Arial" w:cs="Arial"/>
              </w:rPr>
              <w:t>público</w:t>
            </w:r>
            <w:proofErr w:type="spellEnd"/>
            <w:r>
              <w:rPr>
                <w:rFonts w:ascii="Arial" w:hAnsi="Arial" w:cs="Arial"/>
              </w:rPr>
              <w:t xml:space="preserve"> o privado.</w:t>
            </w:r>
          </w:p>
        </w:tc>
        <w:tc>
          <w:tcPr>
            <w:tcW w:w="1975" w:type="dxa"/>
          </w:tcPr>
          <w:p w14:paraId="1AD5CE05" w14:textId="77777777" w:rsidR="00D3344B" w:rsidRDefault="00143C25">
            <w:pPr>
              <w:pStyle w:val="Sinespaciado"/>
              <w:widowControl w:val="0"/>
              <w:spacing w:line="276" w:lineRule="auto"/>
              <w:ind w:left="213"/>
              <w:jc w:val="both"/>
              <w:rPr>
                <w:rFonts w:ascii="Arial" w:hAnsi="Arial" w:cs="Arial"/>
              </w:rPr>
            </w:pPr>
            <w:r>
              <w:rPr>
                <w:rFonts w:ascii="Arial" w:hAnsi="Arial" w:cs="Arial"/>
                <w:b/>
              </w:rPr>
              <w:t>0.025 UMA</w:t>
            </w:r>
          </w:p>
        </w:tc>
      </w:tr>
      <w:tr w:rsidR="00D3344B" w14:paraId="6D947A4F" w14:textId="77777777">
        <w:trPr>
          <w:cantSplit/>
          <w:trHeight w:val="508"/>
        </w:trPr>
        <w:tc>
          <w:tcPr>
            <w:tcW w:w="802" w:type="dxa"/>
          </w:tcPr>
          <w:p w14:paraId="0A499C33" w14:textId="77777777" w:rsidR="00D3344B" w:rsidRDefault="00D3344B">
            <w:pPr>
              <w:pStyle w:val="Sinespaciado"/>
              <w:widowControl w:val="0"/>
              <w:spacing w:line="276" w:lineRule="auto"/>
              <w:jc w:val="both"/>
              <w:rPr>
                <w:rFonts w:ascii="Arial" w:hAnsi="Arial" w:cs="Arial"/>
              </w:rPr>
            </w:pPr>
          </w:p>
        </w:tc>
        <w:tc>
          <w:tcPr>
            <w:tcW w:w="7195" w:type="dxa"/>
            <w:vAlign w:val="bottom"/>
          </w:tcPr>
          <w:p w14:paraId="44F9FEC2"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(REFORMADO, P.O. 21 DE JUNIO DE 2021)</w:t>
            </w:r>
          </w:p>
        </w:tc>
        <w:tc>
          <w:tcPr>
            <w:tcW w:w="1975" w:type="dxa"/>
          </w:tcPr>
          <w:p w14:paraId="45AF3517" w14:textId="77777777" w:rsidR="00D3344B" w:rsidRDefault="00D3344B">
            <w:pPr>
              <w:pStyle w:val="Sinespaciado"/>
              <w:widowControl w:val="0"/>
              <w:spacing w:line="276" w:lineRule="auto"/>
              <w:ind w:left="213"/>
              <w:jc w:val="both"/>
              <w:rPr>
                <w:rFonts w:ascii="Arial" w:hAnsi="Arial" w:cs="Arial"/>
              </w:rPr>
            </w:pPr>
          </w:p>
        </w:tc>
      </w:tr>
      <w:tr w:rsidR="00D3344B" w14:paraId="20E6652F" w14:textId="77777777">
        <w:trPr>
          <w:cantSplit/>
          <w:trHeight w:val="930"/>
        </w:trPr>
        <w:tc>
          <w:tcPr>
            <w:tcW w:w="802" w:type="dxa"/>
          </w:tcPr>
          <w:p w14:paraId="7425296C" w14:textId="77777777" w:rsidR="00D3344B" w:rsidRDefault="00143C25">
            <w:pPr>
              <w:pStyle w:val="Sinespaciado"/>
              <w:widowControl w:val="0"/>
              <w:spacing w:line="276" w:lineRule="auto"/>
              <w:jc w:val="both"/>
              <w:rPr>
                <w:rFonts w:ascii="Arial" w:hAnsi="Arial" w:cs="Arial"/>
              </w:rPr>
            </w:pPr>
            <w:r>
              <w:rPr>
                <w:rFonts w:ascii="Arial" w:hAnsi="Arial" w:cs="Arial"/>
              </w:rPr>
              <w:t>XXII.</w:t>
            </w:r>
          </w:p>
        </w:tc>
        <w:tc>
          <w:tcPr>
            <w:tcW w:w="7195" w:type="dxa"/>
          </w:tcPr>
          <w:p w14:paraId="50B316D5" w14:textId="77777777" w:rsidR="00D3344B" w:rsidRDefault="00143C25">
            <w:pPr>
              <w:pStyle w:val="Sinespaciado"/>
              <w:widowControl w:val="0"/>
              <w:spacing w:line="276" w:lineRule="auto"/>
              <w:ind w:left="494" w:hanging="494"/>
              <w:jc w:val="both"/>
              <w:rPr>
                <w:rFonts w:ascii="Arial" w:hAnsi="Arial" w:cs="Arial"/>
              </w:rPr>
            </w:pP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certificados</w:t>
            </w:r>
            <w:proofErr w:type="spellEnd"/>
            <w:r>
              <w:rPr>
                <w:rFonts w:ascii="Arial" w:hAnsi="Arial" w:cs="Arial"/>
              </w:rPr>
              <w:t xml:space="preserve"> de no </w:t>
            </w:r>
            <w:proofErr w:type="spellStart"/>
            <w:r>
              <w:rPr>
                <w:rFonts w:ascii="Arial" w:hAnsi="Arial" w:cs="Arial"/>
              </w:rPr>
              <w:t>infracción</w:t>
            </w:r>
            <w:proofErr w:type="spellEnd"/>
            <w:r>
              <w:rPr>
                <w:rFonts w:ascii="Arial" w:hAnsi="Arial" w:cs="Arial"/>
              </w:rPr>
              <w:t>.</w:t>
            </w:r>
          </w:p>
        </w:tc>
        <w:tc>
          <w:tcPr>
            <w:tcW w:w="1975" w:type="dxa"/>
          </w:tcPr>
          <w:p w14:paraId="017FDA4D" w14:textId="77777777" w:rsidR="00D3344B" w:rsidRDefault="00143C25">
            <w:pPr>
              <w:widowControl w:val="0"/>
              <w:spacing w:after="121" w:line="264" w:lineRule="auto"/>
              <w:ind w:right="940"/>
              <w:jc w:val="right"/>
              <w:rPr>
                <w:rFonts w:ascii="Arial" w:hAnsi="Arial" w:cs="Arial"/>
              </w:rPr>
            </w:pPr>
            <w:r>
              <w:rPr>
                <w:rFonts w:ascii="Arial" w:hAnsi="Arial" w:cs="Arial"/>
                <w:b/>
              </w:rPr>
              <w:t>1 UMA</w:t>
            </w:r>
          </w:p>
        </w:tc>
      </w:tr>
    </w:tbl>
    <w:p w14:paraId="41C4922B" w14:textId="77777777" w:rsidR="00D3344B" w:rsidRDefault="00143C25">
      <w:pPr>
        <w:spacing w:after="0"/>
        <w:ind w:left="851" w:hanging="851"/>
        <w:jc w:val="both"/>
        <w:rPr>
          <w:rFonts w:ascii="Arial" w:hAnsi="Arial" w:cs="Arial"/>
          <w:i/>
          <w:sz w:val="16"/>
          <w:szCs w:val="16"/>
        </w:rPr>
      </w:pPr>
      <w:r>
        <w:rPr>
          <w:rFonts w:ascii="Arial" w:hAnsi="Arial" w:cs="Arial"/>
          <w:i/>
          <w:sz w:val="16"/>
          <w:szCs w:val="16"/>
        </w:rPr>
        <w:t>(ADICIONADA, P.O. 22 DE DICIEMBRE DE 2021)</w:t>
      </w:r>
    </w:p>
    <w:p w14:paraId="2D2855A6" w14:textId="77777777" w:rsidR="00D3344B" w:rsidRDefault="00143C25">
      <w:pPr>
        <w:spacing w:after="0"/>
        <w:ind w:left="851" w:hanging="851"/>
        <w:jc w:val="both"/>
        <w:rPr>
          <w:rFonts w:ascii="Arial" w:hAnsi="Arial" w:cs="Arial"/>
          <w:iCs/>
        </w:rPr>
      </w:pPr>
      <w:r>
        <w:rPr>
          <w:rFonts w:ascii="Arial" w:hAnsi="Arial" w:cs="Arial"/>
          <w:iCs/>
        </w:rPr>
        <w:t xml:space="preserve">XXIII. </w:t>
      </w:r>
      <w:r>
        <w:rPr>
          <w:rFonts w:ascii="Arial" w:hAnsi="Arial" w:cs="Arial"/>
          <w:iCs/>
        </w:rPr>
        <w:tab/>
        <w:t>Concesión para la prestación del servicio de depósito y guarda vehicular.</w:t>
      </w:r>
    </w:p>
    <w:p w14:paraId="7F6A912D" w14:textId="77777777" w:rsidR="00D3344B" w:rsidRDefault="00D3344B">
      <w:pPr>
        <w:spacing w:after="0"/>
        <w:jc w:val="both"/>
        <w:rPr>
          <w:rFonts w:ascii="Arial" w:hAnsi="Arial" w:cs="Arial"/>
          <w:iCs/>
        </w:rPr>
      </w:pPr>
    </w:p>
    <w:p w14:paraId="36505D51" w14:textId="77777777" w:rsidR="00D3344B" w:rsidRDefault="00143C25">
      <w:pPr>
        <w:spacing w:after="0"/>
        <w:ind w:left="1276" w:hanging="426"/>
        <w:jc w:val="both"/>
        <w:rPr>
          <w:rFonts w:ascii="Arial" w:hAnsi="Arial" w:cs="Arial"/>
          <w:iCs/>
        </w:rPr>
      </w:pPr>
      <w:r>
        <w:rPr>
          <w:rFonts w:ascii="Arial" w:hAnsi="Arial" w:cs="Arial"/>
          <w:iCs/>
        </w:rPr>
        <w:t xml:space="preserve">a) </w:t>
      </w:r>
      <w:r>
        <w:rPr>
          <w:rFonts w:ascii="Arial" w:hAnsi="Arial" w:cs="Arial"/>
          <w:iCs/>
        </w:rPr>
        <w:tab/>
        <w:t>Por el otorgamiento de la concesión, 500 UMA</w:t>
      </w:r>
    </w:p>
    <w:p w14:paraId="4418AA8B" w14:textId="77777777" w:rsidR="00D3344B" w:rsidRDefault="00D3344B">
      <w:pPr>
        <w:spacing w:after="0"/>
        <w:ind w:left="1276" w:hanging="426"/>
        <w:jc w:val="both"/>
        <w:rPr>
          <w:rFonts w:ascii="Arial" w:hAnsi="Arial" w:cs="Arial"/>
          <w:iCs/>
        </w:rPr>
      </w:pPr>
    </w:p>
    <w:p w14:paraId="0153603B" w14:textId="77777777" w:rsidR="00D3344B" w:rsidRDefault="00143C25">
      <w:pPr>
        <w:spacing w:after="0"/>
        <w:ind w:left="1276" w:hanging="426"/>
        <w:jc w:val="both"/>
        <w:rPr>
          <w:rFonts w:ascii="Arial" w:hAnsi="Arial" w:cs="Arial"/>
          <w:iCs/>
        </w:rPr>
      </w:pPr>
      <w:r>
        <w:rPr>
          <w:rFonts w:ascii="Arial" w:hAnsi="Arial" w:cs="Arial"/>
          <w:iCs/>
        </w:rPr>
        <w:t xml:space="preserve">b) </w:t>
      </w:r>
      <w:r>
        <w:rPr>
          <w:rFonts w:ascii="Arial" w:hAnsi="Arial" w:cs="Arial"/>
          <w:iCs/>
        </w:rPr>
        <w:tab/>
        <w:t>Por el refrendo anual de la concesión, 250 UMA</w:t>
      </w:r>
    </w:p>
    <w:p w14:paraId="769F60B7" w14:textId="77777777" w:rsidR="00D3344B" w:rsidRDefault="00D3344B">
      <w:pPr>
        <w:spacing w:after="0"/>
        <w:ind w:left="1276" w:hanging="426"/>
        <w:jc w:val="both"/>
        <w:rPr>
          <w:rFonts w:ascii="Arial" w:hAnsi="Arial" w:cs="Arial"/>
          <w:iCs/>
        </w:rPr>
      </w:pPr>
    </w:p>
    <w:p w14:paraId="5B4E4FE8" w14:textId="77777777" w:rsidR="00D3344B" w:rsidRDefault="00143C25">
      <w:pPr>
        <w:spacing w:after="0"/>
        <w:ind w:left="1276" w:hanging="426"/>
        <w:jc w:val="both"/>
        <w:rPr>
          <w:rFonts w:ascii="Arial" w:hAnsi="Arial" w:cs="Arial"/>
          <w:iCs/>
        </w:rPr>
      </w:pPr>
      <w:r>
        <w:rPr>
          <w:rFonts w:ascii="Arial" w:hAnsi="Arial" w:cs="Arial"/>
          <w:iCs/>
        </w:rPr>
        <w:t xml:space="preserve">c) </w:t>
      </w:r>
      <w:r>
        <w:rPr>
          <w:rFonts w:ascii="Arial" w:hAnsi="Arial" w:cs="Arial"/>
          <w:iCs/>
        </w:rPr>
        <w:tab/>
        <w:t>Por la trasmisión de la concesión, 150 UMA</w:t>
      </w:r>
    </w:p>
    <w:p w14:paraId="665C4D39" w14:textId="77777777" w:rsidR="00D3344B" w:rsidRDefault="00D3344B">
      <w:pPr>
        <w:spacing w:after="0"/>
        <w:jc w:val="both"/>
        <w:rPr>
          <w:rFonts w:ascii="Arial" w:hAnsi="Arial" w:cs="Arial"/>
          <w:iCs/>
        </w:rPr>
      </w:pPr>
    </w:p>
    <w:p w14:paraId="7E0B6AA8" w14:textId="77777777" w:rsidR="00D3344B" w:rsidRDefault="00143C25">
      <w:pPr>
        <w:spacing w:after="0"/>
        <w:ind w:left="851" w:hanging="851"/>
        <w:jc w:val="both"/>
        <w:rPr>
          <w:rFonts w:ascii="Arial" w:hAnsi="Arial" w:cs="Arial"/>
          <w:i/>
          <w:sz w:val="16"/>
          <w:szCs w:val="16"/>
        </w:rPr>
      </w:pPr>
      <w:r>
        <w:rPr>
          <w:rFonts w:ascii="Arial" w:hAnsi="Arial" w:cs="Arial"/>
          <w:i/>
          <w:sz w:val="16"/>
          <w:szCs w:val="16"/>
        </w:rPr>
        <w:t>(ADICIONADA, P.O. 22 DE DICIEMBRE DE 2021)</w:t>
      </w:r>
    </w:p>
    <w:p w14:paraId="17079EE7" w14:textId="77777777" w:rsidR="00D3344B" w:rsidRDefault="00143C25">
      <w:pPr>
        <w:spacing w:after="0"/>
        <w:ind w:left="851" w:hanging="851"/>
        <w:jc w:val="both"/>
        <w:rPr>
          <w:rFonts w:ascii="Arial" w:hAnsi="Arial" w:cs="Arial"/>
          <w:iCs/>
        </w:rPr>
      </w:pPr>
      <w:r>
        <w:rPr>
          <w:rFonts w:ascii="Arial" w:hAnsi="Arial" w:cs="Arial"/>
          <w:iCs/>
        </w:rPr>
        <w:t xml:space="preserve">XXIV. </w:t>
      </w:r>
      <w:r>
        <w:rPr>
          <w:rFonts w:ascii="Arial" w:hAnsi="Arial" w:cs="Arial"/>
          <w:iCs/>
        </w:rPr>
        <w:tab/>
        <w:t>Registro de Empresas de Redes de Transporte para la prestación del Servicio de Transporte Privado con chofer, vehículos y prestadores de servicio.</w:t>
      </w:r>
    </w:p>
    <w:p w14:paraId="1A67BEBD" w14:textId="77777777" w:rsidR="00D3344B" w:rsidRDefault="00D3344B">
      <w:pPr>
        <w:spacing w:after="0"/>
        <w:jc w:val="both"/>
        <w:rPr>
          <w:rFonts w:ascii="Arial" w:hAnsi="Arial" w:cs="Arial"/>
          <w:iCs/>
        </w:rPr>
      </w:pPr>
    </w:p>
    <w:p w14:paraId="190D22B1" w14:textId="77777777" w:rsidR="00D3344B" w:rsidRDefault="00143C25">
      <w:pPr>
        <w:spacing w:after="0"/>
        <w:ind w:left="1276" w:hanging="426"/>
        <w:jc w:val="both"/>
        <w:rPr>
          <w:rFonts w:ascii="Arial" w:hAnsi="Arial" w:cs="Arial"/>
          <w:iCs/>
        </w:rPr>
      </w:pPr>
      <w:r>
        <w:rPr>
          <w:rFonts w:ascii="Arial" w:hAnsi="Arial" w:cs="Arial"/>
          <w:iCs/>
        </w:rPr>
        <w:t xml:space="preserve">a) </w:t>
      </w:r>
      <w:r>
        <w:rPr>
          <w:rFonts w:ascii="Arial" w:hAnsi="Arial" w:cs="Arial"/>
          <w:iCs/>
        </w:rPr>
        <w:tab/>
        <w:t>Por el análisis jurídico, técnico y administrativo que sirva como base para el registro ante la Secretaría de Movilidad y Transporte de las Empresas de Redes de Transporte para la prestación del Servicio de Transporte Privado con chofer, que incluye Oficio de Autorización del Registro, por cada empresa, 533 UMA</w:t>
      </w:r>
    </w:p>
    <w:p w14:paraId="27F8A576" w14:textId="77777777" w:rsidR="00D3344B" w:rsidRDefault="00D3344B">
      <w:pPr>
        <w:spacing w:after="0"/>
        <w:ind w:left="1276" w:hanging="426"/>
        <w:jc w:val="both"/>
        <w:rPr>
          <w:rFonts w:ascii="Arial" w:hAnsi="Arial" w:cs="Arial"/>
          <w:iCs/>
        </w:rPr>
      </w:pPr>
    </w:p>
    <w:p w14:paraId="08F06C73" w14:textId="77777777" w:rsidR="00D3344B" w:rsidRDefault="00143C25">
      <w:pPr>
        <w:spacing w:after="0"/>
        <w:ind w:left="1276" w:hanging="426"/>
        <w:jc w:val="both"/>
        <w:rPr>
          <w:rFonts w:ascii="Arial" w:hAnsi="Arial" w:cs="Arial"/>
          <w:iCs/>
        </w:rPr>
      </w:pPr>
      <w:r>
        <w:rPr>
          <w:rFonts w:ascii="Arial" w:hAnsi="Arial" w:cs="Arial"/>
          <w:iCs/>
        </w:rPr>
        <w:t xml:space="preserve">b) </w:t>
      </w:r>
      <w:r>
        <w:rPr>
          <w:rFonts w:ascii="Arial" w:hAnsi="Arial" w:cs="Arial"/>
          <w:iCs/>
        </w:rPr>
        <w:tab/>
        <w:t>Por el refrendo anual de las Empresas de Redes de Transporte, 65 UMA</w:t>
      </w:r>
    </w:p>
    <w:p w14:paraId="0A7D1D52" w14:textId="77777777" w:rsidR="00D3344B" w:rsidRDefault="00D3344B">
      <w:pPr>
        <w:spacing w:after="0"/>
        <w:ind w:left="1276" w:hanging="426"/>
        <w:jc w:val="both"/>
        <w:rPr>
          <w:rFonts w:ascii="Arial" w:hAnsi="Arial" w:cs="Arial"/>
          <w:iCs/>
        </w:rPr>
      </w:pPr>
    </w:p>
    <w:p w14:paraId="7CDA8656" w14:textId="77777777" w:rsidR="00D3344B" w:rsidRDefault="00143C25">
      <w:pPr>
        <w:spacing w:after="0"/>
        <w:ind w:left="1276" w:hanging="426"/>
        <w:jc w:val="both"/>
        <w:rPr>
          <w:rFonts w:ascii="Arial" w:hAnsi="Arial" w:cs="Arial"/>
          <w:iCs/>
        </w:rPr>
      </w:pPr>
      <w:r>
        <w:rPr>
          <w:rFonts w:ascii="Arial" w:hAnsi="Arial" w:cs="Arial"/>
          <w:iCs/>
        </w:rPr>
        <w:t xml:space="preserve">c) </w:t>
      </w:r>
      <w:r>
        <w:rPr>
          <w:rFonts w:ascii="Arial" w:hAnsi="Arial" w:cs="Arial"/>
          <w:iCs/>
        </w:rPr>
        <w:tab/>
        <w:t>Por la expedición anual de la Constancia de Registro Vehicular de Servicio de Transporte Privado con Chofer inscrito por las Empresas de Redes de Transporte, por cada vehículo, 14 UMA</w:t>
      </w:r>
    </w:p>
    <w:p w14:paraId="6660903E" w14:textId="77777777" w:rsidR="00D3344B" w:rsidRDefault="00D3344B">
      <w:pPr>
        <w:spacing w:after="0"/>
        <w:ind w:left="1276" w:hanging="426"/>
        <w:jc w:val="both"/>
        <w:rPr>
          <w:rFonts w:ascii="Arial" w:hAnsi="Arial" w:cs="Arial"/>
          <w:iCs/>
        </w:rPr>
      </w:pPr>
    </w:p>
    <w:p w14:paraId="218A963B" w14:textId="77777777" w:rsidR="00D3344B" w:rsidRDefault="00143C25">
      <w:pPr>
        <w:spacing w:after="0"/>
        <w:ind w:left="1276" w:hanging="426"/>
        <w:jc w:val="both"/>
        <w:rPr>
          <w:rFonts w:ascii="Arial" w:hAnsi="Arial" w:cs="Arial"/>
          <w:iCs/>
        </w:rPr>
      </w:pPr>
      <w:r>
        <w:rPr>
          <w:rFonts w:ascii="Arial" w:hAnsi="Arial" w:cs="Arial"/>
          <w:iCs/>
        </w:rPr>
        <w:t xml:space="preserve">d) </w:t>
      </w:r>
      <w:r>
        <w:rPr>
          <w:rFonts w:ascii="Arial" w:hAnsi="Arial" w:cs="Arial"/>
          <w:iCs/>
        </w:rPr>
        <w:tab/>
        <w:t>Por la expedición anual de la Constancia de Registro del Prestador de Servicio de Transporte Privado con Chofer inscrito por las Empresas de Redes de Transporte, 4 UMA</w:t>
      </w:r>
    </w:p>
    <w:p w14:paraId="5CB22B00" w14:textId="77777777" w:rsidR="00D3344B" w:rsidRDefault="00D3344B">
      <w:pPr>
        <w:spacing w:after="0"/>
        <w:ind w:left="851" w:hanging="851"/>
        <w:jc w:val="both"/>
        <w:rPr>
          <w:rFonts w:ascii="Arial" w:hAnsi="Arial" w:cs="Arial"/>
          <w:i/>
          <w:sz w:val="16"/>
          <w:szCs w:val="16"/>
        </w:rPr>
      </w:pPr>
    </w:p>
    <w:p w14:paraId="3A288979" w14:textId="77777777" w:rsidR="00D3344B" w:rsidRDefault="00143C25">
      <w:pPr>
        <w:spacing w:after="0"/>
        <w:ind w:left="851" w:hanging="851"/>
        <w:jc w:val="both"/>
        <w:rPr>
          <w:rFonts w:ascii="Arial" w:hAnsi="Arial" w:cs="Arial"/>
          <w:i/>
          <w:sz w:val="16"/>
          <w:szCs w:val="16"/>
        </w:rPr>
      </w:pPr>
      <w:r>
        <w:rPr>
          <w:rFonts w:ascii="Arial" w:hAnsi="Arial" w:cs="Arial"/>
          <w:i/>
          <w:sz w:val="16"/>
          <w:szCs w:val="16"/>
        </w:rPr>
        <w:t>(ADICIONADA, P.O. 29 DE NOVIEMBRE DE 2023)</w:t>
      </w:r>
    </w:p>
    <w:p w14:paraId="402EC511" w14:textId="77777777" w:rsidR="00D3344B" w:rsidRDefault="00143C25">
      <w:pPr>
        <w:spacing w:after="0"/>
        <w:ind w:left="993" w:hanging="993"/>
        <w:jc w:val="both"/>
        <w:rPr>
          <w:rFonts w:ascii="Arial" w:hAnsi="Arial" w:cs="Arial"/>
          <w:spacing w:val="-2"/>
          <w:sz w:val="24"/>
          <w:szCs w:val="24"/>
        </w:rPr>
      </w:pPr>
      <w:r>
        <w:rPr>
          <w:rFonts w:ascii="Arial" w:hAnsi="Arial" w:cs="Arial"/>
          <w:sz w:val="24"/>
          <w:szCs w:val="24"/>
        </w:rPr>
        <w:t>XXV.</w:t>
      </w:r>
      <w:r>
        <w:rPr>
          <w:rFonts w:ascii="Arial" w:hAnsi="Arial" w:cs="Arial"/>
          <w:spacing w:val="40"/>
          <w:sz w:val="24"/>
          <w:szCs w:val="24"/>
        </w:rPr>
        <w:t xml:space="preserve"> </w:t>
      </w:r>
      <w:r>
        <w:rPr>
          <w:rFonts w:ascii="Arial" w:hAnsi="Arial" w:cs="Arial"/>
          <w:spacing w:val="40"/>
          <w:sz w:val="24"/>
          <w:szCs w:val="24"/>
        </w:rPr>
        <w:tab/>
      </w:r>
      <w:r>
        <w:rPr>
          <w:rFonts w:ascii="Arial" w:hAnsi="Arial" w:cs="Arial"/>
          <w:sz w:val="24"/>
          <w:szCs w:val="24"/>
        </w:rPr>
        <w:t>Colocación</w:t>
      </w:r>
      <w:r>
        <w:rPr>
          <w:rFonts w:ascii="Arial" w:hAnsi="Arial" w:cs="Arial"/>
          <w:spacing w:val="40"/>
          <w:sz w:val="24"/>
          <w:szCs w:val="24"/>
        </w:rPr>
        <w:t xml:space="preserve"> </w:t>
      </w:r>
      <w:r>
        <w:rPr>
          <w:rFonts w:ascii="Arial" w:hAnsi="Arial" w:cs="Arial"/>
          <w:sz w:val="24"/>
          <w:szCs w:val="24"/>
        </w:rPr>
        <w:t>de</w:t>
      </w:r>
      <w:r>
        <w:rPr>
          <w:rFonts w:ascii="Arial" w:hAnsi="Arial" w:cs="Arial"/>
          <w:spacing w:val="40"/>
          <w:sz w:val="24"/>
          <w:szCs w:val="24"/>
        </w:rPr>
        <w:t xml:space="preserve"> </w:t>
      </w:r>
      <w:r>
        <w:rPr>
          <w:rFonts w:ascii="Arial" w:hAnsi="Arial" w:cs="Arial"/>
          <w:sz w:val="24"/>
          <w:szCs w:val="24"/>
        </w:rPr>
        <w:t>anuncios</w:t>
      </w:r>
      <w:r>
        <w:rPr>
          <w:rFonts w:ascii="Arial" w:hAnsi="Arial" w:cs="Arial"/>
          <w:spacing w:val="40"/>
          <w:sz w:val="24"/>
          <w:szCs w:val="24"/>
        </w:rPr>
        <w:t xml:space="preserve"> </w:t>
      </w:r>
      <w:r>
        <w:rPr>
          <w:rFonts w:ascii="Arial" w:hAnsi="Arial" w:cs="Arial"/>
          <w:sz w:val="24"/>
          <w:szCs w:val="24"/>
        </w:rPr>
        <w:t>espectaculares</w:t>
      </w:r>
      <w:r>
        <w:rPr>
          <w:rFonts w:ascii="Arial" w:hAnsi="Arial" w:cs="Arial"/>
          <w:spacing w:val="40"/>
          <w:sz w:val="24"/>
          <w:szCs w:val="24"/>
        </w:rPr>
        <w:t xml:space="preserve"> </w:t>
      </w:r>
      <w:r>
        <w:rPr>
          <w:rFonts w:ascii="Arial" w:hAnsi="Arial" w:cs="Arial"/>
          <w:sz w:val="24"/>
          <w:szCs w:val="24"/>
        </w:rPr>
        <w:t>con</w:t>
      </w:r>
      <w:r>
        <w:rPr>
          <w:rFonts w:ascii="Arial" w:hAnsi="Arial" w:cs="Arial"/>
          <w:spacing w:val="40"/>
          <w:sz w:val="24"/>
          <w:szCs w:val="24"/>
        </w:rPr>
        <w:t xml:space="preserve"> </w:t>
      </w:r>
      <w:r>
        <w:rPr>
          <w:rFonts w:ascii="Arial" w:hAnsi="Arial" w:cs="Arial"/>
          <w:sz w:val="24"/>
          <w:szCs w:val="24"/>
        </w:rPr>
        <w:t>vista</w:t>
      </w:r>
      <w:r>
        <w:rPr>
          <w:rFonts w:ascii="Arial" w:hAnsi="Arial" w:cs="Arial"/>
          <w:spacing w:val="40"/>
          <w:sz w:val="24"/>
          <w:szCs w:val="24"/>
        </w:rPr>
        <w:t xml:space="preserve"> </w:t>
      </w:r>
      <w:r>
        <w:rPr>
          <w:rFonts w:ascii="Arial" w:hAnsi="Arial" w:cs="Arial"/>
          <w:sz w:val="24"/>
          <w:szCs w:val="24"/>
        </w:rPr>
        <w:t>a</w:t>
      </w:r>
      <w:r>
        <w:rPr>
          <w:rFonts w:ascii="Arial" w:hAnsi="Arial" w:cs="Arial"/>
          <w:spacing w:val="40"/>
          <w:sz w:val="24"/>
          <w:szCs w:val="24"/>
        </w:rPr>
        <w:t xml:space="preserve"> </w:t>
      </w:r>
      <w:r>
        <w:rPr>
          <w:rFonts w:ascii="Arial" w:hAnsi="Arial" w:cs="Arial"/>
          <w:sz w:val="24"/>
          <w:szCs w:val="24"/>
        </w:rPr>
        <w:t>vías</w:t>
      </w:r>
      <w:r>
        <w:rPr>
          <w:rFonts w:ascii="Arial" w:hAnsi="Arial" w:cs="Arial"/>
          <w:spacing w:val="40"/>
          <w:sz w:val="24"/>
          <w:szCs w:val="24"/>
        </w:rPr>
        <w:t xml:space="preserve"> </w:t>
      </w:r>
      <w:r>
        <w:rPr>
          <w:rFonts w:ascii="Arial" w:hAnsi="Arial" w:cs="Arial"/>
          <w:sz w:val="24"/>
          <w:szCs w:val="24"/>
        </w:rPr>
        <w:t>estatales</w:t>
      </w:r>
      <w:r>
        <w:rPr>
          <w:rFonts w:ascii="Arial" w:hAnsi="Arial" w:cs="Arial"/>
          <w:spacing w:val="40"/>
          <w:sz w:val="24"/>
          <w:szCs w:val="24"/>
        </w:rPr>
        <w:t xml:space="preserve"> </w:t>
      </w:r>
      <w:r>
        <w:rPr>
          <w:rFonts w:ascii="Arial" w:hAnsi="Arial" w:cs="Arial"/>
          <w:sz w:val="24"/>
          <w:szCs w:val="24"/>
        </w:rPr>
        <w:t xml:space="preserve">de </w:t>
      </w:r>
      <w:r>
        <w:rPr>
          <w:rFonts w:ascii="Arial" w:hAnsi="Arial" w:cs="Arial"/>
          <w:spacing w:val="-2"/>
          <w:sz w:val="24"/>
          <w:szCs w:val="24"/>
        </w:rPr>
        <w:t>comunicación:</w:t>
      </w:r>
    </w:p>
    <w:p w14:paraId="5D4AFC68" w14:textId="77777777" w:rsidR="00D3344B" w:rsidRDefault="00143C25">
      <w:pPr>
        <w:spacing w:after="0"/>
        <w:ind w:left="1418" w:hanging="425"/>
        <w:jc w:val="both"/>
        <w:rPr>
          <w:rFonts w:ascii="Arial" w:hAnsi="Arial" w:cs="Arial"/>
          <w:spacing w:val="-2"/>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ab/>
      </w:r>
      <w:r>
        <w:rPr>
          <w:rFonts w:ascii="Arial" w:hAnsi="Arial" w:cs="Arial"/>
          <w:spacing w:val="-2"/>
          <w:sz w:val="24"/>
          <w:szCs w:val="24"/>
        </w:rPr>
        <w:t>Colocación                                                     4.1 UMA por metro cuadrado.</w:t>
      </w:r>
    </w:p>
    <w:p w14:paraId="20C21CD1" w14:textId="77777777" w:rsidR="00D3344B" w:rsidRDefault="00143C25">
      <w:pPr>
        <w:spacing w:after="0"/>
        <w:ind w:left="1418" w:hanging="425"/>
        <w:jc w:val="both"/>
        <w:rPr>
          <w:rFonts w:ascii="Arial" w:hAnsi="Arial" w:cs="Arial"/>
          <w:iCs/>
          <w:sz w:val="24"/>
          <w:szCs w:val="24"/>
        </w:rPr>
      </w:pPr>
      <w:r>
        <w:rPr>
          <w:rFonts w:ascii="Arial" w:hAnsi="Arial" w:cs="Arial"/>
          <w:sz w:val="24"/>
          <w:szCs w:val="24"/>
        </w:rPr>
        <w:t>b)</w:t>
      </w:r>
      <w:r>
        <w:rPr>
          <w:rFonts w:ascii="Arial" w:hAnsi="Arial" w:cs="Arial"/>
          <w:spacing w:val="-3"/>
          <w:sz w:val="24"/>
          <w:szCs w:val="24"/>
        </w:rPr>
        <w:t xml:space="preserve"> </w:t>
      </w:r>
      <w:r>
        <w:rPr>
          <w:rFonts w:ascii="Arial" w:hAnsi="Arial" w:cs="Arial"/>
          <w:spacing w:val="-3"/>
          <w:sz w:val="24"/>
          <w:szCs w:val="24"/>
        </w:rPr>
        <w:tab/>
      </w:r>
      <w:r>
        <w:rPr>
          <w:rFonts w:ascii="Arial" w:hAnsi="Arial" w:cs="Arial"/>
          <w:sz w:val="24"/>
          <w:szCs w:val="24"/>
        </w:rPr>
        <w:t>Refrendo</w:t>
      </w:r>
      <w:r>
        <w:rPr>
          <w:rFonts w:ascii="Arial" w:hAnsi="Arial" w:cs="Arial"/>
          <w:spacing w:val="-2"/>
          <w:sz w:val="24"/>
          <w:szCs w:val="24"/>
        </w:rPr>
        <w:t xml:space="preserve"> anual                                            3.1 UMA por metro cuadrado. </w:t>
      </w:r>
    </w:p>
    <w:p w14:paraId="51D83B24" w14:textId="77777777" w:rsidR="00D3344B" w:rsidRDefault="00D3344B">
      <w:pPr>
        <w:spacing w:after="0"/>
        <w:jc w:val="both"/>
        <w:rPr>
          <w:rFonts w:ascii="Arial" w:hAnsi="Arial" w:cs="Arial"/>
          <w:i/>
          <w:sz w:val="16"/>
          <w:szCs w:val="16"/>
        </w:rPr>
      </w:pPr>
    </w:p>
    <w:p w14:paraId="6F61BD46" w14:textId="77777777" w:rsidR="00D3344B" w:rsidRDefault="00143C25">
      <w:pPr>
        <w:spacing w:after="0"/>
        <w:jc w:val="both"/>
        <w:rPr>
          <w:rFonts w:ascii="Arial" w:hAnsi="Arial" w:cs="Arial"/>
          <w:i/>
          <w:sz w:val="16"/>
          <w:szCs w:val="16"/>
        </w:rPr>
      </w:pPr>
      <w:r>
        <w:rPr>
          <w:rFonts w:ascii="Arial" w:hAnsi="Arial" w:cs="Arial"/>
          <w:i/>
          <w:sz w:val="16"/>
          <w:szCs w:val="16"/>
        </w:rPr>
        <w:t>(ADICIONADO, P.O. 26 DE DICIEMBRE DE 2012)</w:t>
      </w:r>
    </w:p>
    <w:p w14:paraId="13A72789" w14:textId="77777777" w:rsidR="00D3344B" w:rsidRDefault="00143C25">
      <w:pPr>
        <w:jc w:val="both"/>
        <w:rPr>
          <w:rFonts w:ascii="Arial" w:hAnsi="Arial" w:cs="Arial"/>
        </w:rPr>
      </w:pPr>
      <w:r>
        <w:rPr>
          <w:rFonts w:ascii="Arial" w:hAnsi="Arial" w:cs="Arial"/>
        </w:rPr>
        <w:lastRenderedPageBreak/>
        <w:t>Las situaciones previstas en las fracciones IV y VIII del presente artículo, que sucedan entre familiares de primer grado por consanguinidad, afinidad y civil, causarán los derechos correspondientes siguientes:</w:t>
      </w:r>
    </w:p>
    <w:p w14:paraId="0EA4650D" w14:textId="77777777" w:rsidR="00D3344B" w:rsidRDefault="00D3344B">
      <w:pPr>
        <w:jc w:val="both"/>
        <w:rPr>
          <w:rFonts w:ascii="Arial" w:hAnsi="Arial" w:cs="Arial"/>
        </w:rPr>
      </w:pPr>
    </w:p>
    <w:p w14:paraId="53C552A0" w14:textId="77777777" w:rsidR="00D3344B" w:rsidRDefault="00143C25">
      <w:pPr>
        <w:jc w:val="both"/>
        <w:rPr>
          <w:rFonts w:ascii="Arial" w:hAnsi="Arial" w:cs="Arial"/>
        </w:rPr>
      </w:pPr>
      <w:r>
        <w:rPr>
          <w:rFonts w:ascii="Arial" w:hAnsi="Arial" w:cs="Arial"/>
        </w:rPr>
        <w:t xml:space="preserve">Para el caso de la Reexpedición de la concesión: </w:t>
      </w:r>
    </w:p>
    <w:tbl>
      <w:tblPr>
        <w:tblStyle w:val="Tablaconcuadrcula"/>
        <w:tblW w:w="8828" w:type="dxa"/>
        <w:tblLayout w:type="fixed"/>
        <w:tblLook w:val="04A0" w:firstRow="1" w:lastRow="0" w:firstColumn="1" w:lastColumn="0" w:noHBand="0" w:noVBand="1"/>
      </w:tblPr>
      <w:tblGrid>
        <w:gridCol w:w="5665"/>
        <w:gridCol w:w="3163"/>
      </w:tblGrid>
      <w:tr w:rsidR="00D3344B" w14:paraId="1F01AB3B" w14:textId="77777777">
        <w:trPr>
          <w:trHeight w:val="435"/>
        </w:trPr>
        <w:tc>
          <w:tcPr>
            <w:tcW w:w="5664" w:type="dxa"/>
            <w:tcBorders>
              <w:top w:val="nil"/>
              <w:left w:val="nil"/>
              <w:bottom w:val="nil"/>
              <w:right w:val="nil"/>
            </w:tcBorders>
          </w:tcPr>
          <w:p w14:paraId="53FFB916" w14:textId="77777777" w:rsidR="00D3344B" w:rsidRDefault="00143C25">
            <w:pPr>
              <w:spacing w:after="0" w:line="240" w:lineRule="auto"/>
              <w:jc w:val="center"/>
              <w:rPr>
                <w:rFonts w:ascii="Arial" w:hAnsi="Arial" w:cs="Arial"/>
                <w:b/>
              </w:rPr>
            </w:pPr>
            <w:r>
              <w:rPr>
                <w:rFonts w:ascii="Arial" w:eastAsia="Calibri" w:hAnsi="Arial" w:cs="Arial"/>
                <w:b/>
              </w:rPr>
              <w:t>CONCEPTO</w:t>
            </w:r>
          </w:p>
        </w:tc>
        <w:tc>
          <w:tcPr>
            <w:tcW w:w="3163" w:type="dxa"/>
            <w:tcBorders>
              <w:top w:val="nil"/>
              <w:left w:val="nil"/>
              <w:bottom w:val="nil"/>
              <w:right w:val="nil"/>
            </w:tcBorders>
          </w:tcPr>
          <w:p w14:paraId="146C6F97" w14:textId="77777777" w:rsidR="00D3344B" w:rsidRDefault="00143C25">
            <w:pPr>
              <w:spacing w:after="0" w:line="240" w:lineRule="auto"/>
              <w:ind w:left="176"/>
              <w:jc w:val="center"/>
              <w:rPr>
                <w:rFonts w:ascii="Arial" w:hAnsi="Arial" w:cs="Arial"/>
                <w:b/>
              </w:rPr>
            </w:pPr>
            <w:r>
              <w:rPr>
                <w:rFonts w:ascii="Arial" w:eastAsia="Calibri" w:hAnsi="Arial" w:cs="Arial"/>
                <w:b/>
              </w:rPr>
              <w:t>DERECHOS CAUSADOS</w:t>
            </w:r>
          </w:p>
        </w:tc>
      </w:tr>
      <w:tr w:rsidR="00D3344B" w14:paraId="4E7F32CE" w14:textId="77777777">
        <w:tc>
          <w:tcPr>
            <w:tcW w:w="5664" w:type="dxa"/>
            <w:tcBorders>
              <w:top w:val="nil"/>
              <w:left w:val="nil"/>
              <w:bottom w:val="nil"/>
              <w:right w:val="nil"/>
            </w:tcBorders>
          </w:tcPr>
          <w:p w14:paraId="1E12B2D4" w14:textId="77777777" w:rsidR="00D3344B" w:rsidRDefault="00143C25">
            <w:pPr>
              <w:spacing w:after="0" w:line="240" w:lineRule="auto"/>
              <w:rPr>
                <w:rFonts w:ascii="Arial" w:hAnsi="Arial" w:cs="Arial"/>
                <w:b/>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4E6331ED" w14:textId="77777777" w:rsidR="00D3344B" w:rsidRDefault="00D3344B">
            <w:pPr>
              <w:spacing w:after="0" w:line="240" w:lineRule="auto"/>
              <w:ind w:left="176"/>
              <w:jc w:val="center"/>
              <w:rPr>
                <w:rFonts w:ascii="Arial" w:hAnsi="Arial" w:cs="Arial"/>
                <w:b/>
              </w:rPr>
            </w:pPr>
          </w:p>
        </w:tc>
      </w:tr>
      <w:tr w:rsidR="00D3344B" w14:paraId="36517795" w14:textId="77777777">
        <w:trPr>
          <w:trHeight w:val="634"/>
        </w:trPr>
        <w:tc>
          <w:tcPr>
            <w:tcW w:w="5664" w:type="dxa"/>
            <w:tcBorders>
              <w:top w:val="nil"/>
              <w:left w:val="nil"/>
              <w:bottom w:val="nil"/>
              <w:right w:val="nil"/>
            </w:tcBorders>
          </w:tcPr>
          <w:p w14:paraId="00CCDD49" w14:textId="77777777" w:rsidR="00D3344B" w:rsidRDefault="00143C25">
            <w:pPr>
              <w:spacing w:after="0" w:line="240" w:lineRule="auto"/>
              <w:ind w:left="313" w:hanging="313"/>
              <w:jc w:val="both"/>
              <w:rPr>
                <w:rFonts w:ascii="Arial" w:hAnsi="Arial" w:cs="Arial"/>
              </w:rPr>
            </w:pPr>
            <w:r>
              <w:rPr>
                <w:rFonts w:ascii="Arial" w:eastAsia="Calibri" w:hAnsi="Arial" w:cs="Arial"/>
              </w:rPr>
              <w:t>a) Vehículos automotores de hasta catorce pasajeros.</w:t>
            </w:r>
          </w:p>
        </w:tc>
        <w:tc>
          <w:tcPr>
            <w:tcW w:w="3163" w:type="dxa"/>
            <w:tcBorders>
              <w:top w:val="nil"/>
              <w:left w:val="nil"/>
              <w:bottom w:val="nil"/>
              <w:right w:val="nil"/>
            </w:tcBorders>
          </w:tcPr>
          <w:p w14:paraId="4E51E1D5" w14:textId="77777777" w:rsidR="00D3344B" w:rsidRDefault="00143C25">
            <w:pPr>
              <w:spacing w:after="0" w:line="240" w:lineRule="auto"/>
              <w:ind w:left="176"/>
              <w:jc w:val="both"/>
              <w:rPr>
                <w:rFonts w:ascii="Arial" w:hAnsi="Arial" w:cs="Arial"/>
              </w:rPr>
            </w:pPr>
            <w:r>
              <w:rPr>
                <w:rFonts w:ascii="Arial" w:eastAsia="Calibri" w:hAnsi="Arial" w:cs="Arial"/>
                <w:b/>
              </w:rPr>
              <w:t>97 UMA</w:t>
            </w:r>
          </w:p>
        </w:tc>
      </w:tr>
      <w:tr w:rsidR="00D3344B" w14:paraId="1B69532D" w14:textId="77777777">
        <w:trPr>
          <w:trHeight w:val="382"/>
        </w:trPr>
        <w:tc>
          <w:tcPr>
            <w:tcW w:w="5664" w:type="dxa"/>
            <w:tcBorders>
              <w:top w:val="nil"/>
              <w:left w:val="nil"/>
              <w:bottom w:val="nil"/>
              <w:right w:val="nil"/>
            </w:tcBorders>
            <w:vAlign w:val="bottom"/>
          </w:tcPr>
          <w:p w14:paraId="6E654DD7"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3F683295" w14:textId="77777777" w:rsidR="00D3344B" w:rsidRDefault="00D3344B">
            <w:pPr>
              <w:spacing w:after="0" w:line="240" w:lineRule="auto"/>
              <w:ind w:left="176"/>
              <w:jc w:val="both"/>
              <w:rPr>
                <w:rFonts w:ascii="Arial" w:hAnsi="Arial" w:cs="Arial"/>
                <w:b/>
              </w:rPr>
            </w:pPr>
          </w:p>
        </w:tc>
      </w:tr>
      <w:tr w:rsidR="00D3344B" w14:paraId="7A49A677" w14:textId="77777777">
        <w:trPr>
          <w:trHeight w:val="571"/>
        </w:trPr>
        <w:tc>
          <w:tcPr>
            <w:tcW w:w="5664" w:type="dxa"/>
            <w:tcBorders>
              <w:top w:val="nil"/>
              <w:left w:val="nil"/>
              <w:bottom w:val="nil"/>
              <w:right w:val="nil"/>
            </w:tcBorders>
          </w:tcPr>
          <w:p w14:paraId="32A89F0B" w14:textId="77777777" w:rsidR="00D3344B" w:rsidRDefault="00143C25">
            <w:pPr>
              <w:spacing w:after="0" w:line="240" w:lineRule="auto"/>
              <w:ind w:left="313" w:hanging="313"/>
              <w:jc w:val="both"/>
              <w:rPr>
                <w:rFonts w:ascii="Arial" w:hAnsi="Arial" w:cs="Arial"/>
              </w:rPr>
            </w:pPr>
            <w:r>
              <w:rPr>
                <w:rFonts w:ascii="Arial" w:eastAsia="Calibri" w:hAnsi="Arial" w:cs="Arial"/>
              </w:rPr>
              <w:t>b) vehículos automotores de quince hasta veinticinco pasajeros.</w:t>
            </w:r>
          </w:p>
        </w:tc>
        <w:tc>
          <w:tcPr>
            <w:tcW w:w="3163" w:type="dxa"/>
            <w:tcBorders>
              <w:top w:val="nil"/>
              <w:left w:val="nil"/>
              <w:bottom w:val="nil"/>
              <w:right w:val="nil"/>
            </w:tcBorders>
          </w:tcPr>
          <w:p w14:paraId="09EA3D98" w14:textId="77777777" w:rsidR="00D3344B" w:rsidRDefault="00143C25">
            <w:pPr>
              <w:spacing w:after="0" w:line="240" w:lineRule="auto"/>
              <w:ind w:left="176"/>
              <w:jc w:val="both"/>
              <w:rPr>
                <w:rFonts w:ascii="Arial" w:hAnsi="Arial" w:cs="Arial"/>
              </w:rPr>
            </w:pPr>
            <w:r>
              <w:rPr>
                <w:rFonts w:ascii="Arial" w:eastAsia="Calibri" w:hAnsi="Arial" w:cs="Arial"/>
                <w:b/>
              </w:rPr>
              <w:t>102 UMA</w:t>
            </w:r>
          </w:p>
        </w:tc>
      </w:tr>
      <w:tr w:rsidR="00D3344B" w14:paraId="7F40F585" w14:textId="77777777">
        <w:trPr>
          <w:trHeight w:val="411"/>
        </w:trPr>
        <w:tc>
          <w:tcPr>
            <w:tcW w:w="5664" w:type="dxa"/>
            <w:tcBorders>
              <w:top w:val="nil"/>
              <w:left w:val="nil"/>
              <w:bottom w:val="nil"/>
              <w:right w:val="nil"/>
            </w:tcBorders>
            <w:vAlign w:val="bottom"/>
          </w:tcPr>
          <w:p w14:paraId="7684108C"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437BCBA9" w14:textId="77777777" w:rsidR="00D3344B" w:rsidRDefault="00D3344B">
            <w:pPr>
              <w:spacing w:after="0" w:line="240" w:lineRule="auto"/>
              <w:ind w:left="176"/>
              <w:jc w:val="both"/>
              <w:rPr>
                <w:rFonts w:ascii="Arial" w:hAnsi="Arial" w:cs="Arial"/>
                <w:b/>
              </w:rPr>
            </w:pPr>
          </w:p>
        </w:tc>
      </w:tr>
      <w:tr w:rsidR="00D3344B" w14:paraId="297151BC" w14:textId="77777777">
        <w:trPr>
          <w:trHeight w:val="607"/>
        </w:trPr>
        <w:tc>
          <w:tcPr>
            <w:tcW w:w="5664" w:type="dxa"/>
            <w:tcBorders>
              <w:top w:val="nil"/>
              <w:left w:val="nil"/>
              <w:bottom w:val="nil"/>
              <w:right w:val="nil"/>
            </w:tcBorders>
          </w:tcPr>
          <w:p w14:paraId="7A17FB6E" w14:textId="77777777" w:rsidR="00D3344B" w:rsidRDefault="00143C25">
            <w:pPr>
              <w:spacing w:after="0" w:line="240" w:lineRule="auto"/>
              <w:ind w:left="313" w:hanging="313"/>
              <w:jc w:val="both"/>
              <w:rPr>
                <w:rFonts w:ascii="Arial" w:hAnsi="Arial" w:cs="Arial"/>
              </w:rPr>
            </w:pPr>
            <w:r>
              <w:rPr>
                <w:rFonts w:ascii="Arial" w:eastAsia="Calibri" w:hAnsi="Arial" w:cs="Arial"/>
              </w:rPr>
              <w:t>c) vehículos automotores de veintiséis pasajeros en adelante.</w:t>
            </w:r>
          </w:p>
        </w:tc>
        <w:tc>
          <w:tcPr>
            <w:tcW w:w="3163" w:type="dxa"/>
            <w:tcBorders>
              <w:top w:val="nil"/>
              <w:left w:val="nil"/>
              <w:bottom w:val="nil"/>
              <w:right w:val="nil"/>
            </w:tcBorders>
          </w:tcPr>
          <w:p w14:paraId="05159E94" w14:textId="77777777" w:rsidR="00D3344B" w:rsidRDefault="00143C25">
            <w:pPr>
              <w:spacing w:after="0" w:line="240" w:lineRule="auto"/>
              <w:ind w:left="176"/>
              <w:jc w:val="both"/>
              <w:rPr>
                <w:rFonts w:ascii="Arial" w:hAnsi="Arial" w:cs="Arial"/>
              </w:rPr>
            </w:pPr>
            <w:r>
              <w:rPr>
                <w:rFonts w:ascii="Arial" w:eastAsia="Calibri" w:hAnsi="Arial" w:cs="Arial"/>
                <w:b/>
              </w:rPr>
              <w:t>107 UMA</w:t>
            </w:r>
          </w:p>
        </w:tc>
      </w:tr>
      <w:tr w:rsidR="00D3344B" w14:paraId="12E1EC47" w14:textId="77777777">
        <w:trPr>
          <w:trHeight w:val="383"/>
        </w:trPr>
        <w:tc>
          <w:tcPr>
            <w:tcW w:w="5664" w:type="dxa"/>
            <w:tcBorders>
              <w:top w:val="nil"/>
              <w:left w:val="nil"/>
              <w:bottom w:val="nil"/>
              <w:right w:val="nil"/>
            </w:tcBorders>
            <w:vAlign w:val="bottom"/>
          </w:tcPr>
          <w:p w14:paraId="7B595516"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2D222B3F" w14:textId="77777777" w:rsidR="00D3344B" w:rsidRDefault="00D3344B">
            <w:pPr>
              <w:spacing w:after="0" w:line="240" w:lineRule="auto"/>
              <w:ind w:left="176"/>
              <w:jc w:val="both"/>
              <w:rPr>
                <w:rFonts w:ascii="Arial" w:hAnsi="Arial" w:cs="Arial"/>
                <w:b/>
              </w:rPr>
            </w:pPr>
          </w:p>
        </w:tc>
      </w:tr>
      <w:tr w:rsidR="00D3344B" w14:paraId="7FA0C320" w14:textId="77777777">
        <w:trPr>
          <w:trHeight w:val="645"/>
        </w:trPr>
        <w:tc>
          <w:tcPr>
            <w:tcW w:w="5664" w:type="dxa"/>
            <w:tcBorders>
              <w:top w:val="nil"/>
              <w:left w:val="nil"/>
              <w:bottom w:val="nil"/>
              <w:right w:val="nil"/>
            </w:tcBorders>
          </w:tcPr>
          <w:p w14:paraId="003211D9" w14:textId="77777777" w:rsidR="00D3344B" w:rsidRDefault="00143C25">
            <w:pPr>
              <w:spacing w:after="0" w:line="240" w:lineRule="auto"/>
              <w:ind w:left="313" w:hanging="313"/>
              <w:jc w:val="both"/>
              <w:rPr>
                <w:rFonts w:ascii="Arial" w:hAnsi="Arial" w:cs="Arial"/>
              </w:rPr>
            </w:pPr>
            <w:r>
              <w:rPr>
                <w:rFonts w:ascii="Arial" w:eastAsia="Calibri" w:hAnsi="Arial" w:cs="Arial"/>
              </w:rPr>
              <w:t>d) Camiones materialistas y de carga en general.</w:t>
            </w:r>
          </w:p>
        </w:tc>
        <w:tc>
          <w:tcPr>
            <w:tcW w:w="3163" w:type="dxa"/>
            <w:tcBorders>
              <w:top w:val="nil"/>
              <w:left w:val="nil"/>
              <w:bottom w:val="nil"/>
              <w:right w:val="nil"/>
            </w:tcBorders>
          </w:tcPr>
          <w:p w14:paraId="1BE37233" w14:textId="77777777" w:rsidR="00D3344B" w:rsidRDefault="00143C25">
            <w:pPr>
              <w:spacing w:after="0" w:line="240" w:lineRule="auto"/>
              <w:ind w:left="176"/>
              <w:jc w:val="both"/>
              <w:rPr>
                <w:rFonts w:ascii="Arial" w:hAnsi="Arial" w:cs="Arial"/>
              </w:rPr>
            </w:pPr>
            <w:r>
              <w:rPr>
                <w:rFonts w:ascii="Arial" w:eastAsia="Calibri" w:hAnsi="Arial" w:cs="Arial"/>
                <w:b/>
              </w:rPr>
              <w:t>20 UMA</w:t>
            </w:r>
          </w:p>
        </w:tc>
      </w:tr>
      <w:tr w:rsidR="00D3344B" w14:paraId="44FFCB8A" w14:textId="77777777">
        <w:trPr>
          <w:trHeight w:val="354"/>
        </w:trPr>
        <w:tc>
          <w:tcPr>
            <w:tcW w:w="5664" w:type="dxa"/>
            <w:tcBorders>
              <w:top w:val="nil"/>
              <w:left w:val="nil"/>
              <w:bottom w:val="nil"/>
              <w:right w:val="nil"/>
            </w:tcBorders>
            <w:vAlign w:val="bottom"/>
          </w:tcPr>
          <w:p w14:paraId="556A9E7B"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764EB843" w14:textId="77777777" w:rsidR="00D3344B" w:rsidRDefault="00D3344B">
            <w:pPr>
              <w:spacing w:after="0" w:line="240" w:lineRule="auto"/>
              <w:ind w:left="176"/>
              <w:jc w:val="both"/>
              <w:rPr>
                <w:rFonts w:ascii="Arial" w:hAnsi="Arial" w:cs="Arial"/>
                <w:b/>
              </w:rPr>
            </w:pPr>
          </w:p>
        </w:tc>
      </w:tr>
      <w:tr w:rsidR="00D3344B" w14:paraId="60361210" w14:textId="77777777">
        <w:tc>
          <w:tcPr>
            <w:tcW w:w="5664" w:type="dxa"/>
            <w:tcBorders>
              <w:top w:val="nil"/>
              <w:left w:val="nil"/>
              <w:bottom w:val="nil"/>
              <w:right w:val="nil"/>
            </w:tcBorders>
          </w:tcPr>
          <w:p w14:paraId="243047DF" w14:textId="77777777" w:rsidR="00D3344B" w:rsidRDefault="00143C25">
            <w:pPr>
              <w:spacing w:after="0" w:line="240" w:lineRule="auto"/>
              <w:ind w:left="313" w:hanging="313"/>
              <w:jc w:val="both"/>
              <w:rPr>
                <w:rFonts w:ascii="Arial" w:hAnsi="Arial" w:cs="Arial"/>
              </w:rPr>
            </w:pPr>
            <w:r>
              <w:rPr>
                <w:rFonts w:ascii="Arial" w:eastAsia="Calibri" w:hAnsi="Arial" w:cs="Arial"/>
              </w:rPr>
              <w:t>e) Grúas para arrastre y salvamento.</w:t>
            </w:r>
            <w:r>
              <w:rPr>
                <w:rFonts w:ascii="Arial" w:eastAsia="Calibri" w:hAnsi="Arial" w:cs="Arial"/>
              </w:rPr>
              <w:tab/>
            </w:r>
          </w:p>
        </w:tc>
        <w:tc>
          <w:tcPr>
            <w:tcW w:w="3163" w:type="dxa"/>
            <w:tcBorders>
              <w:top w:val="nil"/>
              <w:left w:val="nil"/>
              <w:bottom w:val="nil"/>
              <w:right w:val="nil"/>
            </w:tcBorders>
          </w:tcPr>
          <w:p w14:paraId="6B420E93" w14:textId="77777777" w:rsidR="00D3344B" w:rsidRDefault="00143C25">
            <w:pPr>
              <w:spacing w:after="0" w:line="240" w:lineRule="auto"/>
              <w:ind w:left="176"/>
              <w:jc w:val="both"/>
              <w:rPr>
                <w:rFonts w:ascii="Arial" w:hAnsi="Arial" w:cs="Arial"/>
              </w:rPr>
            </w:pPr>
            <w:r>
              <w:rPr>
                <w:rFonts w:ascii="Arial" w:eastAsia="Calibri" w:hAnsi="Arial" w:cs="Arial"/>
                <w:b/>
              </w:rPr>
              <w:t>47 UMA</w:t>
            </w:r>
          </w:p>
        </w:tc>
      </w:tr>
    </w:tbl>
    <w:p w14:paraId="155FE8F9" w14:textId="77777777" w:rsidR="00D3344B" w:rsidRDefault="00D3344B">
      <w:pPr>
        <w:jc w:val="both"/>
        <w:rPr>
          <w:rFonts w:ascii="Arial" w:hAnsi="Arial" w:cs="Arial"/>
        </w:rPr>
      </w:pPr>
    </w:p>
    <w:p w14:paraId="1B796749" w14:textId="77777777" w:rsidR="00D3344B" w:rsidRDefault="00143C25">
      <w:pPr>
        <w:jc w:val="both"/>
        <w:rPr>
          <w:rFonts w:ascii="Arial" w:hAnsi="Arial" w:cs="Arial"/>
        </w:rPr>
      </w:pPr>
      <w:r>
        <w:rPr>
          <w:rFonts w:ascii="Arial" w:hAnsi="Arial" w:cs="Arial"/>
        </w:rPr>
        <w:t>Para el caso de la Transmisión de la concesión:</w:t>
      </w:r>
    </w:p>
    <w:tbl>
      <w:tblPr>
        <w:tblStyle w:val="Tablaconcuadrcula"/>
        <w:tblW w:w="8828" w:type="dxa"/>
        <w:tblLayout w:type="fixed"/>
        <w:tblLook w:val="04A0" w:firstRow="1" w:lastRow="0" w:firstColumn="1" w:lastColumn="0" w:noHBand="0" w:noVBand="1"/>
      </w:tblPr>
      <w:tblGrid>
        <w:gridCol w:w="5665"/>
        <w:gridCol w:w="3163"/>
      </w:tblGrid>
      <w:tr w:rsidR="00D3344B" w14:paraId="20A9C948" w14:textId="77777777">
        <w:trPr>
          <w:trHeight w:val="462"/>
        </w:trPr>
        <w:tc>
          <w:tcPr>
            <w:tcW w:w="5664" w:type="dxa"/>
            <w:tcBorders>
              <w:top w:val="nil"/>
              <w:left w:val="nil"/>
              <w:bottom w:val="nil"/>
              <w:right w:val="nil"/>
            </w:tcBorders>
          </w:tcPr>
          <w:p w14:paraId="1B7C124B" w14:textId="77777777" w:rsidR="00D3344B" w:rsidRDefault="00143C25">
            <w:pPr>
              <w:spacing w:after="0" w:line="240" w:lineRule="auto"/>
              <w:jc w:val="center"/>
              <w:rPr>
                <w:rFonts w:ascii="Arial" w:hAnsi="Arial" w:cs="Arial"/>
                <w:b/>
              </w:rPr>
            </w:pPr>
            <w:r>
              <w:rPr>
                <w:rFonts w:ascii="Arial" w:eastAsia="Calibri" w:hAnsi="Arial" w:cs="Arial"/>
                <w:b/>
              </w:rPr>
              <w:t>CONCEPTO</w:t>
            </w:r>
          </w:p>
        </w:tc>
        <w:tc>
          <w:tcPr>
            <w:tcW w:w="3163" w:type="dxa"/>
            <w:tcBorders>
              <w:top w:val="nil"/>
              <w:left w:val="nil"/>
              <w:bottom w:val="nil"/>
              <w:right w:val="nil"/>
            </w:tcBorders>
          </w:tcPr>
          <w:p w14:paraId="01D6989F" w14:textId="77777777" w:rsidR="00D3344B" w:rsidRDefault="00143C25">
            <w:pPr>
              <w:spacing w:after="0" w:line="240" w:lineRule="auto"/>
              <w:ind w:left="176"/>
              <w:jc w:val="center"/>
              <w:rPr>
                <w:rFonts w:ascii="Arial" w:hAnsi="Arial" w:cs="Arial"/>
                <w:b/>
              </w:rPr>
            </w:pPr>
            <w:r>
              <w:rPr>
                <w:rFonts w:ascii="Arial" w:eastAsia="Calibri" w:hAnsi="Arial" w:cs="Arial"/>
                <w:b/>
              </w:rPr>
              <w:t>DERECHOS CAUSADOS</w:t>
            </w:r>
          </w:p>
        </w:tc>
      </w:tr>
      <w:tr w:rsidR="00D3344B" w14:paraId="4F911342" w14:textId="77777777">
        <w:tc>
          <w:tcPr>
            <w:tcW w:w="5664" w:type="dxa"/>
            <w:tcBorders>
              <w:top w:val="nil"/>
              <w:left w:val="nil"/>
              <w:bottom w:val="nil"/>
              <w:right w:val="nil"/>
            </w:tcBorders>
          </w:tcPr>
          <w:p w14:paraId="2C9B8782" w14:textId="77777777" w:rsidR="00D3344B" w:rsidRDefault="00143C25">
            <w:pPr>
              <w:spacing w:after="0" w:line="240" w:lineRule="auto"/>
              <w:rPr>
                <w:rFonts w:ascii="Arial" w:hAnsi="Arial" w:cs="Arial"/>
                <w:b/>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65AA411E" w14:textId="77777777" w:rsidR="00D3344B" w:rsidRDefault="00D3344B">
            <w:pPr>
              <w:spacing w:after="0" w:line="240" w:lineRule="auto"/>
              <w:ind w:left="176"/>
              <w:jc w:val="center"/>
              <w:rPr>
                <w:rFonts w:ascii="Arial" w:hAnsi="Arial" w:cs="Arial"/>
                <w:b/>
              </w:rPr>
            </w:pPr>
          </w:p>
        </w:tc>
      </w:tr>
      <w:tr w:rsidR="00D3344B" w14:paraId="1E38202F" w14:textId="77777777">
        <w:trPr>
          <w:trHeight w:val="634"/>
        </w:trPr>
        <w:tc>
          <w:tcPr>
            <w:tcW w:w="5664" w:type="dxa"/>
            <w:tcBorders>
              <w:top w:val="nil"/>
              <w:left w:val="nil"/>
              <w:bottom w:val="nil"/>
              <w:right w:val="nil"/>
            </w:tcBorders>
          </w:tcPr>
          <w:p w14:paraId="0B9CB262" w14:textId="77777777" w:rsidR="00D3344B" w:rsidRDefault="00143C25">
            <w:pPr>
              <w:spacing w:after="0" w:line="240" w:lineRule="auto"/>
              <w:ind w:left="313" w:hanging="313"/>
              <w:jc w:val="both"/>
              <w:rPr>
                <w:rFonts w:ascii="Arial" w:hAnsi="Arial" w:cs="Arial"/>
              </w:rPr>
            </w:pPr>
            <w:r>
              <w:rPr>
                <w:rFonts w:ascii="Arial" w:eastAsia="Calibri" w:hAnsi="Arial" w:cs="Arial"/>
              </w:rPr>
              <w:t>a) Vehículos automotores de hasta catorce pasajeros.</w:t>
            </w:r>
          </w:p>
        </w:tc>
        <w:tc>
          <w:tcPr>
            <w:tcW w:w="3163" w:type="dxa"/>
            <w:tcBorders>
              <w:top w:val="nil"/>
              <w:left w:val="nil"/>
              <w:bottom w:val="nil"/>
              <w:right w:val="nil"/>
            </w:tcBorders>
          </w:tcPr>
          <w:p w14:paraId="15740031" w14:textId="77777777" w:rsidR="00D3344B" w:rsidRDefault="00143C25">
            <w:pPr>
              <w:spacing w:after="0" w:line="240" w:lineRule="auto"/>
              <w:ind w:left="176"/>
              <w:jc w:val="both"/>
              <w:rPr>
                <w:rFonts w:ascii="Arial" w:hAnsi="Arial" w:cs="Arial"/>
              </w:rPr>
            </w:pPr>
            <w:r>
              <w:rPr>
                <w:rFonts w:ascii="Arial" w:eastAsia="Calibri" w:hAnsi="Arial" w:cs="Arial"/>
                <w:b/>
              </w:rPr>
              <w:t>40 UMA</w:t>
            </w:r>
          </w:p>
        </w:tc>
      </w:tr>
      <w:tr w:rsidR="00D3344B" w14:paraId="6DC5548E" w14:textId="77777777">
        <w:trPr>
          <w:trHeight w:val="383"/>
        </w:trPr>
        <w:tc>
          <w:tcPr>
            <w:tcW w:w="5664" w:type="dxa"/>
            <w:tcBorders>
              <w:top w:val="nil"/>
              <w:left w:val="nil"/>
              <w:bottom w:val="nil"/>
              <w:right w:val="nil"/>
            </w:tcBorders>
            <w:vAlign w:val="bottom"/>
          </w:tcPr>
          <w:p w14:paraId="6A377061"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6BDF3A1D" w14:textId="77777777" w:rsidR="00D3344B" w:rsidRDefault="00D3344B">
            <w:pPr>
              <w:spacing w:after="0" w:line="240" w:lineRule="auto"/>
              <w:ind w:left="176"/>
              <w:jc w:val="both"/>
              <w:rPr>
                <w:rFonts w:ascii="Arial" w:hAnsi="Arial" w:cs="Arial"/>
                <w:b/>
              </w:rPr>
            </w:pPr>
          </w:p>
        </w:tc>
      </w:tr>
      <w:tr w:rsidR="00D3344B" w14:paraId="2A3F8709" w14:textId="77777777">
        <w:trPr>
          <w:trHeight w:val="571"/>
        </w:trPr>
        <w:tc>
          <w:tcPr>
            <w:tcW w:w="5664" w:type="dxa"/>
            <w:tcBorders>
              <w:top w:val="nil"/>
              <w:left w:val="nil"/>
              <w:bottom w:val="nil"/>
              <w:right w:val="nil"/>
            </w:tcBorders>
          </w:tcPr>
          <w:p w14:paraId="4649CCB0" w14:textId="77777777" w:rsidR="00D3344B" w:rsidRDefault="00143C25">
            <w:pPr>
              <w:spacing w:after="0" w:line="240" w:lineRule="auto"/>
              <w:ind w:left="313" w:hanging="313"/>
              <w:jc w:val="both"/>
              <w:rPr>
                <w:rFonts w:ascii="Arial" w:hAnsi="Arial" w:cs="Arial"/>
              </w:rPr>
            </w:pPr>
            <w:r>
              <w:rPr>
                <w:rFonts w:ascii="Arial" w:eastAsia="Calibri" w:hAnsi="Arial" w:cs="Arial"/>
              </w:rPr>
              <w:t>b) vehículos automotores de quince hasta veinticinco pasajeros.</w:t>
            </w:r>
          </w:p>
        </w:tc>
        <w:tc>
          <w:tcPr>
            <w:tcW w:w="3163" w:type="dxa"/>
            <w:tcBorders>
              <w:top w:val="nil"/>
              <w:left w:val="nil"/>
              <w:bottom w:val="nil"/>
              <w:right w:val="nil"/>
            </w:tcBorders>
          </w:tcPr>
          <w:p w14:paraId="183E5495" w14:textId="77777777" w:rsidR="00D3344B" w:rsidRDefault="00143C25">
            <w:pPr>
              <w:spacing w:after="0" w:line="240" w:lineRule="auto"/>
              <w:ind w:left="176"/>
              <w:jc w:val="both"/>
              <w:rPr>
                <w:rFonts w:ascii="Arial" w:hAnsi="Arial" w:cs="Arial"/>
              </w:rPr>
            </w:pPr>
            <w:r>
              <w:rPr>
                <w:rFonts w:ascii="Arial" w:eastAsia="Calibri" w:hAnsi="Arial" w:cs="Arial"/>
                <w:b/>
              </w:rPr>
              <w:t>42 UMA</w:t>
            </w:r>
          </w:p>
        </w:tc>
      </w:tr>
      <w:tr w:rsidR="00D3344B" w14:paraId="5A0DF142" w14:textId="77777777">
        <w:trPr>
          <w:trHeight w:val="410"/>
        </w:trPr>
        <w:tc>
          <w:tcPr>
            <w:tcW w:w="5664" w:type="dxa"/>
            <w:tcBorders>
              <w:top w:val="nil"/>
              <w:left w:val="nil"/>
              <w:bottom w:val="nil"/>
              <w:right w:val="nil"/>
            </w:tcBorders>
            <w:vAlign w:val="bottom"/>
          </w:tcPr>
          <w:p w14:paraId="622C32DE"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54A85D3E" w14:textId="77777777" w:rsidR="00D3344B" w:rsidRDefault="00D3344B">
            <w:pPr>
              <w:spacing w:after="0" w:line="240" w:lineRule="auto"/>
              <w:ind w:left="176"/>
              <w:jc w:val="both"/>
              <w:rPr>
                <w:rFonts w:ascii="Arial" w:hAnsi="Arial" w:cs="Arial"/>
                <w:b/>
              </w:rPr>
            </w:pPr>
          </w:p>
        </w:tc>
      </w:tr>
      <w:tr w:rsidR="00D3344B" w14:paraId="250AD0F6" w14:textId="77777777">
        <w:trPr>
          <w:trHeight w:val="607"/>
        </w:trPr>
        <w:tc>
          <w:tcPr>
            <w:tcW w:w="5664" w:type="dxa"/>
            <w:tcBorders>
              <w:top w:val="nil"/>
              <w:left w:val="nil"/>
              <w:bottom w:val="nil"/>
              <w:right w:val="nil"/>
            </w:tcBorders>
          </w:tcPr>
          <w:p w14:paraId="63ED53BB" w14:textId="77777777" w:rsidR="00D3344B" w:rsidRDefault="00143C25">
            <w:pPr>
              <w:spacing w:after="0" w:line="240" w:lineRule="auto"/>
              <w:ind w:left="313" w:hanging="313"/>
              <w:jc w:val="both"/>
              <w:rPr>
                <w:rFonts w:ascii="Arial" w:hAnsi="Arial" w:cs="Arial"/>
              </w:rPr>
            </w:pPr>
            <w:r>
              <w:rPr>
                <w:rFonts w:ascii="Arial" w:eastAsia="Calibri" w:hAnsi="Arial" w:cs="Arial"/>
              </w:rPr>
              <w:t>c) vehículos automotores de veintiséis pasajeros en adelante.</w:t>
            </w:r>
          </w:p>
        </w:tc>
        <w:tc>
          <w:tcPr>
            <w:tcW w:w="3163" w:type="dxa"/>
            <w:tcBorders>
              <w:top w:val="nil"/>
              <w:left w:val="nil"/>
              <w:bottom w:val="nil"/>
              <w:right w:val="nil"/>
            </w:tcBorders>
          </w:tcPr>
          <w:p w14:paraId="22B21636" w14:textId="77777777" w:rsidR="00D3344B" w:rsidRDefault="00143C25">
            <w:pPr>
              <w:spacing w:after="0" w:line="240" w:lineRule="auto"/>
              <w:ind w:left="176"/>
              <w:jc w:val="both"/>
              <w:rPr>
                <w:rFonts w:ascii="Arial" w:hAnsi="Arial" w:cs="Arial"/>
              </w:rPr>
            </w:pPr>
            <w:r>
              <w:rPr>
                <w:rFonts w:ascii="Arial" w:eastAsia="Calibri" w:hAnsi="Arial" w:cs="Arial"/>
                <w:b/>
              </w:rPr>
              <w:t>44 UMA</w:t>
            </w:r>
          </w:p>
        </w:tc>
      </w:tr>
      <w:tr w:rsidR="00D3344B" w14:paraId="3592CE5C" w14:textId="77777777">
        <w:trPr>
          <w:trHeight w:val="396"/>
        </w:trPr>
        <w:tc>
          <w:tcPr>
            <w:tcW w:w="5664" w:type="dxa"/>
            <w:tcBorders>
              <w:top w:val="nil"/>
              <w:left w:val="nil"/>
              <w:bottom w:val="nil"/>
              <w:right w:val="nil"/>
            </w:tcBorders>
            <w:vAlign w:val="bottom"/>
          </w:tcPr>
          <w:p w14:paraId="2AFF41D0"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1D8C973D" w14:textId="77777777" w:rsidR="00D3344B" w:rsidRDefault="00D3344B">
            <w:pPr>
              <w:spacing w:after="0" w:line="240" w:lineRule="auto"/>
              <w:ind w:left="176"/>
              <w:jc w:val="both"/>
              <w:rPr>
                <w:rFonts w:ascii="Arial" w:hAnsi="Arial" w:cs="Arial"/>
                <w:b/>
              </w:rPr>
            </w:pPr>
          </w:p>
        </w:tc>
      </w:tr>
      <w:tr w:rsidR="00D3344B" w14:paraId="223EFBCF" w14:textId="77777777">
        <w:trPr>
          <w:trHeight w:val="645"/>
        </w:trPr>
        <w:tc>
          <w:tcPr>
            <w:tcW w:w="5664" w:type="dxa"/>
            <w:tcBorders>
              <w:top w:val="nil"/>
              <w:left w:val="nil"/>
              <w:bottom w:val="nil"/>
              <w:right w:val="nil"/>
            </w:tcBorders>
          </w:tcPr>
          <w:p w14:paraId="5C037909" w14:textId="77777777" w:rsidR="00D3344B" w:rsidRDefault="00143C25">
            <w:pPr>
              <w:spacing w:after="0" w:line="240" w:lineRule="auto"/>
              <w:ind w:left="313" w:hanging="313"/>
              <w:jc w:val="both"/>
              <w:rPr>
                <w:rFonts w:ascii="Arial" w:hAnsi="Arial" w:cs="Arial"/>
              </w:rPr>
            </w:pPr>
            <w:r>
              <w:rPr>
                <w:rFonts w:ascii="Arial" w:eastAsia="Calibri" w:hAnsi="Arial" w:cs="Arial"/>
              </w:rPr>
              <w:t>d) Camiones materialistas y de carga en general.</w:t>
            </w:r>
          </w:p>
        </w:tc>
        <w:tc>
          <w:tcPr>
            <w:tcW w:w="3163" w:type="dxa"/>
            <w:tcBorders>
              <w:top w:val="nil"/>
              <w:left w:val="nil"/>
              <w:bottom w:val="nil"/>
              <w:right w:val="nil"/>
            </w:tcBorders>
          </w:tcPr>
          <w:p w14:paraId="0C473167" w14:textId="77777777" w:rsidR="00D3344B" w:rsidRDefault="00143C25">
            <w:pPr>
              <w:spacing w:after="0" w:line="240" w:lineRule="auto"/>
              <w:ind w:left="176"/>
              <w:jc w:val="both"/>
              <w:rPr>
                <w:rFonts w:ascii="Arial" w:hAnsi="Arial" w:cs="Arial"/>
              </w:rPr>
            </w:pPr>
            <w:r>
              <w:rPr>
                <w:rFonts w:ascii="Arial" w:eastAsia="Calibri" w:hAnsi="Arial" w:cs="Arial"/>
                <w:b/>
              </w:rPr>
              <w:t>8 UMA</w:t>
            </w:r>
          </w:p>
        </w:tc>
      </w:tr>
      <w:tr w:rsidR="00D3344B" w14:paraId="2EF7A350" w14:textId="77777777">
        <w:trPr>
          <w:trHeight w:val="432"/>
        </w:trPr>
        <w:tc>
          <w:tcPr>
            <w:tcW w:w="5664" w:type="dxa"/>
            <w:tcBorders>
              <w:top w:val="nil"/>
              <w:left w:val="nil"/>
              <w:bottom w:val="nil"/>
              <w:right w:val="nil"/>
            </w:tcBorders>
            <w:vAlign w:val="bottom"/>
          </w:tcPr>
          <w:p w14:paraId="654F014C" w14:textId="77777777" w:rsidR="00D3344B" w:rsidRDefault="00143C25">
            <w:pPr>
              <w:spacing w:after="0" w:line="240" w:lineRule="auto"/>
              <w:ind w:left="313" w:hanging="313"/>
              <w:rPr>
                <w:rFonts w:ascii="Arial" w:hAnsi="Arial" w:cs="Arial"/>
              </w:rPr>
            </w:pPr>
            <w:r>
              <w:rPr>
                <w:rFonts w:ascii="Arial" w:eastAsia="Calibri" w:hAnsi="Arial" w:cs="Arial"/>
                <w:i/>
                <w:sz w:val="16"/>
                <w:szCs w:val="16"/>
              </w:rPr>
              <w:t>(REFORMADO, P.O. 21 DE JUNIO DE 2021)</w:t>
            </w:r>
          </w:p>
        </w:tc>
        <w:tc>
          <w:tcPr>
            <w:tcW w:w="3163" w:type="dxa"/>
            <w:tcBorders>
              <w:top w:val="nil"/>
              <w:left w:val="nil"/>
              <w:bottom w:val="nil"/>
              <w:right w:val="nil"/>
            </w:tcBorders>
          </w:tcPr>
          <w:p w14:paraId="22F1BD4B" w14:textId="77777777" w:rsidR="00D3344B" w:rsidRDefault="00D3344B">
            <w:pPr>
              <w:spacing w:after="0" w:line="240" w:lineRule="auto"/>
              <w:ind w:left="176"/>
              <w:jc w:val="both"/>
              <w:rPr>
                <w:rFonts w:ascii="Arial" w:hAnsi="Arial" w:cs="Arial"/>
                <w:b/>
              </w:rPr>
            </w:pPr>
          </w:p>
        </w:tc>
      </w:tr>
      <w:tr w:rsidR="00D3344B" w14:paraId="36BEDE3E" w14:textId="77777777">
        <w:tc>
          <w:tcPr>
            <w:tcW w:w="5664" w:type="dxa"/>
            <w:tcBorders>
              <w:top w:val="nil"/>
              <w:left w:val="nil"/>
              <w:bottom w:val="nil"/>
              <w:right w:val="nil"/>
            </w:tcBorders>
          </w:tcPr>
          <w:p w14:paraId="6D410F53" w14:textId="77777777" w:rsidR="00D3344B" w:rsidRDefault="00143C25">
            <w:pPr>
              <w:spacing w:after="0" w:line="240" w:lineRule="auto"/>
              <w:ind w:left="313" w:hanging="313"/>
              <w:jc w:val="both"/>
              <w:rPr>
                <w:rFonts w:ascii="Arial" w:hAnsi="Arial" w:cs="Arial"/>
              </w:rPr>
            </w:pPr>
            <w:r>
              <w:rPr>
                <w:rFonts w:ascii="Arial" w:eastAsia="Calibri" w:hAnsi="Arial" w:cs="Arial"/>
              </w:rPr>
              <w:lastRenderedPageBreak/>
              <w:t>e) Grúas para arrastre y salvamento.</w:t>
            </w:r>
            <w:r>
              <w:rPr>
                <w:rFonts w:ascii="Arial" w:eastAsia="Calibri" w:hAnsi="Arial" w:cs="Arial"/>
              </w:rPr>
              <w:tab/>
            </w:r>
          </w:p>
        </w:tc>
        <w:tc>
          <w:tcPr>
            <w:tcW w:w="3163" w:type="dxa"/>
            <w:tcBorders>
              <w:top w:val="nil"/>
              <w:left w:val="nil"/>
              <w:bottom w:val="nil"/>
              <w:right w:val="nil"/>
            </w:tcBorders>
          </w:tcPr>
          <w:p w14:paraId="73F5C621" w14:textId="77777777" w:rsidR="00D3344B" w:rsidRDefault="00143C25">
            <w:pPr>
              <w:spacing w:after="0" w:line="240" w:lineRule="auto"/>
              <w:ind w:left="176"/>
              <w:jc w:val="both"/>
              <w:rPr>
                <w:rFonts w:ascii="Arial" w:hAnsi="Arial" w:cs="Arial"/>
              </w:rPr>
            </w:pPr>
            <w:r>
              <w:rPr>
                <w:rFonts w:ascii="Arial" w:eastAsia="Calibri" w:hAnsi="Arial" w:cs="Arial"/>
                <w:b/>
              </w:rPr>
              <w:t>19 UMA</w:t>
            </w:r>
          </w:p>
        </w:tc>
      </w:tr>
    </w:tbl>
    <w:p w14:paraId="5360CCE9" w14:textId="77777777" w:rsidR="00D3344B" w:rsidRDefault="00D3344B">
      <w:pPr>
        <w:pStyle w:val="Estilo"/>
        <w:jc w:val="center"/>
        <w:rPr>
          <w:rFonts w:cs="Arial"/>
          <w:b/>
        </w:rPr>
      </w:pPr>
    </w:p>
    <w:p w14:paraId="43A1DF0F" w14:textId="77777777" w:rsidR="00D3344B" w:rsidRDefault="00143C25">
      <w:pPr>
        <w:spacing w:after="0" w:line="247" w:lineRule="auto"/>
        <w:ind w:right="3"/>
        <w:jc w:val="center"/>
        <w:rPr>
          <w:rFonts w:ascii="Arial" w:hAnsi="Arial" w:cs="Arial"/>
          <w:b/>
          <w:sz w:val="24"/>
          <w:szCs w:val="24"/>
        </w:rPr>
      </w:pPr>
      <w:r>
        <w:rPr>
          <w:rFonts w:ascii="Arial" w:hAnsi="Arial" w:cs="Arial"/>
          <w:i/>
          <w:sz w:val="16"/>
          <w:szCs w:val="16"/>
        </w:rPr>
        <w:t>(REFORMADA, DENOMINACIÓN, P.O. 22 DE DICIEMBRE DE 2021)</w:t>
      </w:r>
    </w:p>
    <w:p w14:paraId="33F7292D" w14:textId="77777777" w:rsidR="00D3344B" w:rsidRDefault="00143C25">
      <w:pPr>
        <w:pStyle w:val="Estilo"/>
        <w:jc w:val="center"/>
        <w:rPr>
          <w:rFonts w:cs="Arial"/>
          <w:b/>
          <w:szCs w:val="24"/>
        </w:rPr>
      </w:pPr>
      <w:r>
        <w:rPr>
          <w:rFonts w:cs="Arial"/>
          <w:b/>
          <w:szCs w:val="24"/>
        </w:rPr>
        <w:t>Subsección Tercera</w:t>
      </w:r>
    </w:p>
    <w:p w14:paraId="2BF37E50" w14:textId="77777777" w:rsidR="00D3344B" w:rsidRDefault="00143C25">
      <w:pPr>
        <w:pStyle w:val="Estilo"/>
        <w:jc w:val="center"/>
        <w:rPr>
          <w:rFonts w:cs="Arial"/>
          <w:b/>
          <w:szCs w:val="24"/>
        </w:rPr>
      </w:pPr>
      <w:r>
        <w:rPr>
          <w:rFonts w:cs="Arial"/>
          <w:b/>
          <w:szCs w:val="24"/>
        </w:rPr>
        <w:t>Derechos por los Servicios Prestados por la</w:t>
      </w:r>
    </w:p>
    <w:p w14:paraId="37418A2C" w14:textId="77777777" w:rsidR="00D3344B" w:rsidRDefault="00143C25">
      <w:pPr>
        <w:pStyle w:val="Estilo"/>
        <w:jc w:val="center"/>
        <w:rPr>
          <w:rFonts w:cs="Arial"/>
          <w:b/>
          <w:szCs w:val="24"/>
        </w:rPr>
      </w:pPr>
      <w:r>
        <w:rPr>
          <w:rFonts w:cs="Arial"/>
          <w:b/>
          <w:szCs w:val="24"/>
        </w:rPr>
        <w:t>Secretaría de Finanzas</w:t>
      </w:r>
    </w:p>
    <w:p w14:paraId="685E7BEB" w14:textId="77777777" w:rsidR="00D3344B" w:rsidRDefault="00D3344B">
      <w:pPr>
        <w:pStyle w:val="Estilo"/>
        <w:rPr>
          <w:rFonts w:cs="Arial"/>
        </w:rPr>
      </w:pPr>
    </w:p>
    <w:p w14:paraId="0BC4E095" w14:textId="77777777" w:rsidR="00D3344B" w:rsidRDefault="00D3344B">
      <w:pPr>
        <w:pStyle w:val="Estilo"/>
        <w:rPr>
          <w:rFonts w:cs="Arial"/>
        </w:rPr>
      </w:pPr>
    </w:p>
    <w:p w14:paraId="1AE8716C" w14:textId="77777777" w:rsidR="00D3344B" w:rsidRDefault="00143C25">
      <w:pPr>
        <w:spacing w:after="0" w:line="247" w:lineRule="auto"/>
        <w:ind w:right="3"/>
        <w:rPr>
          <w:rFonts w:ascii="Arial" w:hAnsi="Arial" w:cs="Arial"/>
          <w:b/>
          <w:sz w:val="24"/>
          <w:szCs w:val="24"/>
        </w:rPr>
      </w:pPr>
      <w:r>
        <w:rPr>
          <w:rFonts w:ascii="Arial" w:hAnsi="Arial" w:cs="Arial"/>
          <w:i/>
          <w:sz w:val="16"/>
          <w:szCs w:val="16"/>
        </w:rPr>
        <w:t xml:space="preserve">(REFORMADA PRIMER </w:t>
      </w:r>
      <w:proofErr w:type="gramStart"/>
      <w:r>
        <w:rPr>
          <w:rFonts w:ascii="Arial" w:hAnsi="Arial" w:cs="Arial"/>
          <w:i/>
          <w:sz w:val="16"/>
          <w:szCs w:val="16"/>
        </w:rPr>
        <w:t>PÁRRAFO,  P.O.</w:t>
      </w:r>
      <w:proofErr w:type="gramEnd"/>
      <w:r>
        <w:rPr>
          <w:rFonts w:ascii="Arial" w:hAnsi="Arial" w:cs="Arial"/>
          <w:i/>
          <w:sz w:val="16"/>
          <w:szCs w:val="16"/>
        </w:rPr>
        <w:t xml:space="preserve"> 22 DE DICIEMBRE DE 2021)</w:t>
      </w:r>
    </w:p>
    <w:p w14:paraId="62540609" w14:textId="77777777" w:rsidR="00D3344B" w:rsidRDefault="00143C25">
      <w:pPr>
        <w:pStyle w:val="Estilo"/>
        <w:rPr>
          <w:rFonts w:cs="Arial"/>
        </w:rPr>
      </w:pPr>
      <w:r>
        <w:rPr>
          <w:rFonts w:cs="Arial"/>
          <w:b/>
        </w:rPr>
        <w:t>Artículo 154.</w:t>
      </w:r>
      <w:r>
        <w:rPr>
          <w:rFonts w:cs="Arial"/>
        </w:rPr>
        <w:t xml:space="preserve"> Los derechos por los servicios que preste la Secretaría de Finanzas, serán los siguientes:</w:t>
      </w:r>
    </w:p>
    <w:p w14:paraId="4C788440" w14:textId="77777777" w:rsidR="00D3344B" w:rsidRDefault="00D3344B">
      <w:pPr>
        <w:pStyle w:val="Estilo"/>
        <w:rPr>
          <w:rFonts w:cs="Arial"/>
        </w:rPr>
      </w:pPr>
    </w:p>
    <w:tbl>
      <w:tblPr>
        <w:tblStyle w:val="Tablaconcuadrcula"/>
        <w:tblW w:w="8828" w:type="dxa"/>
        <w:tblLayout w:type="fixed"/>
        <w:tblLook w:val="04A0" w:firstRow="1" w:lastRow="0" w:firstColumn="1" w:lastColumn="0" w:noHBand="0" w:noVBand="1"/>
      </w:tblPr>
      <w:tblGrid>
        <w:gridCol w:w="6374"/>
        <w:gridCol w:w="2454"/>
      </w:tblGrid>
      <w:tr w:rsidR="00D3344B" w14:paraId="4547F03F" w14:textId="77777777">
        <w:tc>
          <w:tcPr>
            <w:tcW w:w="6373" w:type="dxa"/>
            <w:tcBorders>
              <w:top w:val="nil"/>
              <w:left w:val="nil"/>
              <w:bottom w:val="nil"/>
              <w:right w:val="nil"/>
            </w:tcBorders>
          </w:tcPr>
          <w:p w14:paraId="46766431" w14:textId="77777777" w:rsidR="00D3344B" w:rsidRDefault="00143C25">
            <w:pPr>
              <w:pStyle w:val="Estilo"/>
              <w:jc w:val="center"/>
              <w:rPr>
                <w:rFonts w:cs="Arial"/>
                <w:b/>
              </w:rPr>
            </w:pPr>
            <w:r>
              <w:rPr>
                <w:rFonts w:eastAsia="Calibri" w:cs="Arial"/>
                <w:b/>
              </w:rPr>
              <w:t>CONCEPTO</w:t>
            </w:r>
          </w:p>
        </w:tc>
        <w:tc>
          <w:tcPr>
            <w:tcW w:w="2454" w:type="dxa"/>
            <w:tcBorders>
              <w:top w:val="nil"/>
              <w:left w:val="nil"/>
              <w:bottom w:val="nil"/>
              <w:right w:val="nil"/>
            </w:tcBorders>
          </w:tcPr>
          <w:p w14:paraId="46EE7694" w14:textId="77777777" w:rsidR="00D3344B" w:rsidRDefault="00143C25">
            <w:pPr>
              <w:pStyle w:val="Estilo"/>
              <w:jc w:val="center"/>
              <w:rPr>
                <w:rFonts w:cs="Arial"/>
                <w:b/>
              </w:rPr>
            </w:pPr>
            <w:r>
              <w:rPr>
                <w:rFonts w:eastAsia="Calibri" w:cs="Arial"/>
                <w:b/>
              </w:rPr>
              <w:t>DERECHOS CAUSADOS</w:t>
            </w:r>
          </w:p>
        </w:tc>
      </w:tr>
      <w:tr w:rsidR="00D3344B" w14:paraId="4EE2E01B" w14:textId="77777777">
        <w:tc>
          <w:tcPr>
            <w:tcW w:w="6373" w:type="dxa"/>
            <w:tcBorders>
              <w:top w:val="nil"/>
              <w:left w:val="nil"/>
              <w:bottom w:val="nil"/>
              <w:right w:val="nil"/>
            </w:tcBorders>
          </w:tcPr>
          <w:p w14:paraId="73D86A9D" w14:textId="77777777" w:rsidR="00D3344B" w:rsidRDefault="00143C25">
            <w:pPr>
              <w:pStyle w:val="Estilo"/>
              <w:rPr>
                <w:rFonts w:cs="Arial"/>
              </w:rPr>
            </w:pPr>
            <w:r>
              <w:rPr>
                <w:rFonts w:eastAsia="Calibri" w:cs="Arial"/>
              </w:rPr>
              <w:t>I. Servicios proporcionados a través</w:t>
            </w:r>
          </w:p>
          <w:p w14:paraId="507EFF0C" w14:textId="77777777" w:rsidR="00D3344B" w:rsidRDefault="00143C25">
            <w:pPr>
              <w:pStyle w:val="Estilo"/>
              <w:rPr>
                <w:rFonts w:cs="Arial"/>
              </w:rPr>
            </w:pPr>
            <w:r>
              <w:rPr>
                <w:rFonts w:eastAsia="Calibri" w:cs="Arial"/>
              </w:rPr>
              <w:t>de la Dirección de Ingresos y Fiscalización:</w:t>
            </w:r>
          </w:p>
          <w:p w14:paraId="330B4C7F" w14:textId="77777777" w:rsidR="00D3344B" w:rsidRDefault="00D3344B">
            <w:pPr>
              <w:pStyle w:val="Estilo"/>
              <w:rPr>
                <w:rFonts w:cs="Arial"/>
              </w:rPr>
            </w:pPr>
          </w:p>
        </w:tc>
        <w:tc>
          <w:tcPr>
            <w:tcW w:w="2454" w:type="dxa"/>
            <w:tcBorders>
              <w:top w:val="nil"/>
              <w:left w:val="nil"/>
              <w:bottom w:val="nil"/>
              <w:right w:val="nil"/>
            </w:tcBorders>
          </w:tcPr>
          <w:p w14:paraId="53827582" w14:textId="77777777" w:rsidR="00D3344B" w:rsidRDefault="00D3344B">
            <w:pPr>
              <w:pStyle w:val="Estilo"/>
              <w:rPr>
                <w:rFonts w:cs="Arial"/>
              </w:rPr>
            </w:pPr>
          </w:p>
        </w:tc>
      </w:tr>
      <w:tr w:rsidR="00D3344B" w14:paraId="0DCDAD2E" w14:textId="77777777">
        <w:tc>
          <w:tcPr>
            <w:tcW w:w="6373" w:type="dxa"/>
            <w:tcBorders>
              <w:top w:val="nil"/>
              <w:left w:val="nil"/>
              <w:bottom w:val="nil"/>
              <w:right w:val="nil"/>
            </w:tcBorders>
          </w:tcPr>
          <w:p w14:paraId="70BC4A84" w14:textId="77777777" w:rsidR="00D3344B" w:rsidRDefault="00D3344B">
            <w:pPr>
              <w:pStyle w:val="Estilo"/>
              <w:rPr>
                <w:rFonts w:cs="Arial"/>
              </w:rPr>
            </w:pPr>
          </w:p>
        </w:tc>
        <w:tc>
          <w:tcPr>
            <w:tcW w:w="2454" w:type="dxa"/>
            <w:tcBorders>
              <w:top w:val="nil"/>
              <w:left w:val="nil"/>
              <w:bottom w:val="nil"/>
              <w:right w:val="nil"/>
            </w:tcBorders>
          </w:tcPr>
          <w:p w14:paraId="02839A93" w14:textId="77777777" w:rsidR="00D3344B" w:rsidRDefault="00D3344B">
            <w:pPr>
              <w:pStyle w:val="Estilo"/>
              <w:rPr>
                <w:rFonts w:cs="Arial"/>
              </w:rPr>
            </w:pPr>
          </w:p>
        </w:tc>
      </w:tr>
      <w:tr w:rsidR="00D3344B" w14:paraId="67C5772E" w14:textId="77777777">
        <w:tc>
          <w:tcPr>
            <w:tcW w:w="6373" w:type="dxa"/>
            <w:tcBorders>
              <w:top w:val="nil"/>
              <w:left w:val="nil"/>
              <w:bottom w:val="nil"/>
              <w:right w:val="nil"/>
            </w:tcBorders>
          </w:tcPr>
          <w:p w14:paraId="267984E6" w14:textId="77777777" w:rsidR="00D3344B" w:rsidRDefault="00143C25">
            <w:pPr>
              <w:spacing w:after="0" w:line="247" w:lineRule="auto"/>
              <w:ind w:right="3"/>
              <w:rPr>
                <w:rFonts w:ascii="Arial" w:hAnsi="Arial" w:cs="Arial"/>
                <w:b/>
                <w:sz w:val="24"/>
                <w:szCs w:val="24"/>
              </w:rPr>
            </w:pPr>
            <w:r>
              <w:rPr>
                <w:rFonts w:ascii="Arial" w:eastAsia="Calibri" w:hAnsi="Arial" w:cs="Arial"/>
                <w:i/>
                <w:sz w:val="16"/>
                <w:szCs w:val="16"/>
              </w:rPr>
              <w:t>(</w:t>
            </w:r>
            <w:proofErr w:type="gramStart"/>
            <w:r>
              <w:rPr>
                <w:rFonts w:ascii="Arial" w:eastAsia="Calibri" w:hAnsi="Arial" w:cs="Arial"/>
                <w:i/>
                <w:sz w:val="16"/>
                <w:szCs w:val="16"/>
              </w:rPr>
              <w:t>REFORMADO,  P.O.</w:t>
            </w:r>
            <w:proofErr w:type="gramEnd"/>
            <w:r>
              <w:rPr>
                <w:rFonts w:ascii="Arial" w:eastAsia="Calibri" w:hAnsi="Arial" w:cs="Arial"/>
                <w:i/>
                <w:sz w:val="16"/>
                <w:szCs w:val="16"/>
              </w:rPr>
              <w:t xml:space="preserve"> 21 DE JUNIO DE 2021)</w:t>
            </w:r>
          </w:p>
          <w:p w14:paraId="1EEC251A" w14:textId="77777777" w:rsidR="00D3344B" w:rsidRDefault="00143C25">
            <w:pPr>
              <w:pStyle w:val="Estilo"/>
              <w:rPr>
                <w:rFonts w:cs="Arial"/>
              </w:rPr>
            </w:pPr>
            <w:r>
              <w:rPr>
                <w:rFonts w:eastAsia="Calibri" w:cs="Arial"/>
              </w:rPr>
              <w:t>a) Expedición de copia certificada de declaraciones de impuestos y pago de derechos estatales.</w:t>
            </w:r>
          </w:p>
          <w:p w14:paraId="64581D1A" w14:textId="77777777" w:rsidR="00D3344B" w:rsidRDefault="00D3344B">
            <w:pPr>
              <w:pStyle w:val="Estilo"/>
              <w:rPr>
                <w:rFonts w:cs="Arial"/>
              </w:rPr>
            </w:pPr>
          </w:p>
        </w:tc>
        <w:tc>
          <w:tcPr>
            <w:tcW w:w="2454" w:type="dxa"/>
            <w:tcBorders>
              <w:top w:val="nil"/>
              <w:left w:val="nil"/>
              <w:bottom w:val="nil"/>
              <w:right w:val="nil"/>
            </w:tcBorders>
          </w:tcPr>
          <w:p w14:paraId="2361534D" w14:textId="77777777" w:rsidR="00D3344B" w:rsidRDefault="00143C25">
            <w:pPr>
              <w:pStyle w:val="Estilo"/>
              <w:rPr>
                <w:rFonts w:cs="Arial"/>
              </w:rPr>
            </w:pPr>
            <w:r>
              <w:rPr>
                <w:rFonts w:eastAsia="Calibri" w:cs="Arial"/>
                <w:b/>
              </w:rPr>
              <w:t>1 UMA por cada una.</w:t>
            </w:r>
          </w:p>
        </w:tc>
      </w:tr>
      <w:tr w:rsidR="00D3344B" w14:paraId="7AD15C89" w14:textId="77777777">
        <w:tc>
          <w:tcPr>
            <w:tcW w:w="6373" w:type="dxa"/>
            <w:tcBorders>
              <w:top w:val="nil"/>
              <w:left w:val="nil"/>
              <w:bottom w:val="nil"/>
              <w:right w:val="nil"/>
            </w:tcBorders>
          </w:tcPr>
          <w:p w14:paraId="1D7A011F" w14:textId="77777777" w:rsidR="00D3344B" w:rsidRDefault="00D3344B">
            <w:pPr>
              <w:pStyle w:val="Estilo"/>
              <w:rPr>
                <w:rFonts w:cs="Arial"/>
              </w:rPr>
            </w:pPr>
          </w:p>
        </w:tc>
        <w:tc>
          <w:tcPr>
            <w:tcW w:w="2454" w:type="dxa"/>
            <w:tcBorders>
              <w:top w:val="nil"/>
              <w:left w:val="nil"/>
              <w:bottom w:val="nil"/>
              <w:right w:val="nil"/>
            </w:tcBorders>
          </w:tcPr>
          <w:p w14:paraId="6C89BAD5" w14:textId="77777777" w:rsidR="00D3344B" w:rsidRDefault="00D3344B">
            <w:pPr>
              <w:pStyle w:val="Estilo"/>
              <w:rPr>
                <w:rFonts w:cs="Arial"/>
                <w:b/>
              </w:rPr>
            </w:pPr>
          </w:p>
        </w:tc>
      </w:tr>
      <w:tr w:rsidR="00D3344B" w14:paraId="2DCED0EA" w14:textId="77777777">
        <w:tc>
          <w:tcPr>
            <w:tcW w:w="6373" w:type="dxa"/>
            <w:tcBorders>
              <w:top w:val="nil"/>
              <w:left w:val="nil"/>
              <w:bottom w:val="nil"/>
              <w:right w:val="nil"/>
            </w:tcBorders>
          </w:tcPr>
          <w:p w14:paraId="4CD7E7FC" w14:textId="77777777" w:rsidR="00D3344B" w:rsidRDefault="00143C25">
            <w:pPr>
              <w:spacing w:after="0" w:line="247" w:lineRule="auto"/>
              <w:ind w:right="3"/>
              <w:rPr>
                <w:rFonts w:ascii="Arial" w:hAnsi="Arial" w:cs="Arial"/>
                <w:b/>
                <w:sz w:val="24"/>
                <w:szCs w:val="24"/>
              </w:rPr>
            </w:pPr>
            <w:r>
              <w:rPr>
                <w:rFonts w:ascii="Arial" w:eastAsia="Calibri" w:hAnsi="Arial" w:cs="Arial"/>
                <w:i/>
                <w:sz w:val="16"/>
                <w:szCs w:val="16"/>
              </w:rPr>
              <w:t>(</w:t>
            </w:r>
            <w:proofErr w:type="gramStart"/>
            <w:r>
              <w:rPr>
                <w:rFonts w:ascii="Arial" w:eastAsia="Calibri" w:hAnsi="Arial" w:cs="Arial"/>
                <w:i/>
                <w:sz w:val="16"/>
                <w:szCs w:val="16"/>
              </w:rPr>
              <w:t>REFORMADO,  P.O.</w:t>
            </w:r>
            <w:proofErr w:type="gramEnd"/>
            <w:r>
              <w:rPr>
                <w:rFonts w:ascii="Arial" w:eastAsia="Calibri" w:hAnsi="Arial" w:cs="Arial"/>
                <w:i/>
                <w:sz w:val="16"/>
                <w:szCs w:val="16"/>
              </w:rPr>
              <w:t xml:space="preserve"> 21 DE JUNIO DE 2021)</w:t>
            </w:r>
          </w:p>
          <w:p w14:paraId="11EB7DE6" w14:textId="77777777" w:rsidR="00D3344B" w:rsidRDefault="00143C25">
            <w:pPr>
              <w:pStyle w:val="Estilo"/>
              <w:rPr>
                <w:rFonts w:cs="Arial"/>
              </w:rPr>
            </w:pPr>
            <w:r>
              <w:rPr>
                <w:rFonts w:eastAsia="Calibri" w:cs="Arial"/>
              </w:rPr>
              <w:t>b) Expedición de copias simples de datos o documentos.</w:t>
            </w:r>
          </w:p>
        </w:tc>
        <w:tc>
          <w:tcPr>
            <w:tcW w:w="2454" w:type="dxa"/>
            <w:tcBorders>
              <w:top w:val="nil"/>
              <w:left w:val="nil"/>
              <w:bottom w:val="nil"/>
              <w:right w:val="nil"/>
            </w:tcBorders>
          </w:tcPr>
          <w:p w14:paraId="1249A1BF" w14:textId="77777777" w:rsidR="00D3344B" w:rsidRDefault="00143C25">
            <w:pPr>
              <w:pStyle w:val="Estilo"/>
              <w:rPr>
                <w:rFonts w:cs="Arial"/>
              </w:rPr>
            </w:pPr>
            <w:r>
              <w:rPr>
                <w:rFonts w:eastAsia="Calibri" w:cs="Arial"/>
                <w:b/>
              </w:rPr>
              <w:t>0.25 UMA por cada foja.</w:t>
            </w:r>
          </w:p>
        </w:tc>
      </w:tr>
      <w:tr w:rsidR="00D3344B" w14:paraId="2AEF55D5" w14:textId="77777777">
        <w:tc>
          <w:tcPr>
            <w:tcW w:w="6373" w:type="dxa"/>
            <w:tcBorders>
              <w:top w:val="nil"/>
              <w:left w:val="nil"/>
              <w:bottom w:val="nil"/>
              <w:right w:val="nil"/>
            </w:tcBorders>
          </w:tcPr>
          <w:p w14:paraId="72316125" w14:textId="77777777" w:rsidR="00D3344B" w:rsidRDefault="00D3344B">
            <w:pPr>
              <w:pStyle w:val="Estilo"/>
              <w:rPr>
                <w:rFonts w:cs="Arial"/>
              </w:rPr>
            </w:pPr>
          </w:p>
        </w:tc>
        <w:tc>
          <w:tcPr>
            <w:tcW w:w="2454" w:type="dxa"/>
            <w:tcBorders>
              <w:top w:val="nil"/>
              <w:left w:val="nil"/>
              <w:bottom w:val="nil"/>
              <w:right w:val="nil"/>
            </w:tcBorders>
          </w:tcPr>
          <w:p w14:paraId="6B68B4DC" w14:textId="77777777" w:rsidR="00D3344B" w:rsidRDefault="00D3344B">
            <w:pPr>
              <w:pStyle w:val="Estilo"/>
              <w:rPr>
                <w:rFonts w:cs="Arial"/>
                <w:b/>
              </w:rPr>
            </w:pPr>
          </w:p>
        </w:tc>
      </w:tr>
      <w:tr w:rsidR="00D3344B" w14:paraId="677181CD" w14:textId="77777777">
        <w:tc>
          <w:tcPr>
            <w:tcW w:w="6373" w:type="dxa"/>
            <w:tcBorders>
              <w:top w:val="nil"/>
              <w:left w:val="nil"/>
              <w:bottom w:val="nil"/>
              <w:right w:val="nil"/>
            </w:tcBorders>
          </w:tcPr>
          <w:p w14:paraId="3ABC943C" w14:textId="77777777" w:rsidR="00D3344B" w:rsidRDefault="00143C25">
            <w:pPr>
              <w:spacing w:after="0" w:line="247" w:lineRule="auto"/>
              <w:ind w:right="3"/>
              <w:rPr>
                <w:rFonts w:ascii="Arial" w:hAnsi="Arial" w:cs="Arial"/>
                <w:b/>
                <w:sz w:val="24"/>
                <w:szCs w:val="24"/>
              </w:rPr>
            </w:pPr>
            <w:r>
              <w:rPr>
                <w:rFonts w:ascii="Arial" w:eastAsia="Calibri" w:hAnsi="Arial" w:cs="Arial"/>
                <w:i/>
                <w:sz w:val="16"/>
                <w:szCs w:val="16"/>
              </w:rPr>
              <w:t>(</w:t>
            </w:r>
            <w:proofErr w:type="gramStart"/>
            <w:r>
              <w:rPr>
                <w:rFonts w:ascii="Arial" w:eastAsia="Calibri" w:hAnsi="Arial" w:cs="Arial"/>
                <w:i/>
                <w:sz w:val="16"/>
                <w:szCs w:val="16"/>
              </w:rPr>
              <w:t>REFORMADO,  P.O.</w:t>
            </w:r>
            <w:proofErr w:type="gramEnd"/>
            <w:r>
              <w:rPr>
                <w:rFonts w:ascii="Arial" w:eastAsia="Calibri" w:hAnsi="Arial" w:cs="Arial"/>
                <w:i/>
                <w:sz w:val="16"/>
                <w:szCs w:val="16"/>
              </w:rPr>
              <w:t xml:space="preserve"> 21 DE JUNIO DE 2021)</w:t>
            </w:r>
          </w:p>
          <w:p w14:paraId="6F8FA30D" w14:textId="77777777" w:rsidR="00D3344B" w:rsidRDefault="00143C25">
            <w:pPr>
              <w:pStyle w:val="Estilo"/>
              <w:rPr>
                <w:rFonts w:cs="Arial"/>
              </w:rPr>
            </w:pPr>
            <w:r>
              <w:rPr>
                <w:rFonts w:eastAsia="Calibri" w:cs="Arial"/>
              </w:rPr>
              <w:t>c) Búsqueda de datos o documentos para la expedición de copias certificadas o simples, por cada periodo de cinco años o fracción del mismo.</w:t>
            </w:r>
          </w:p>
          <w:p w14:paraId="746F2115" w14:textId="77777777" w:rsidR="00D3344B" w:rsidRDefault="00D3344B">
            <w:pPr>
              <w:pStyle w:val="Estilo"/>
              <w:rPr>
                <w:rFonts w:cs="Arial"/>
              </w:rPr>
            </w:pPr>
          </w:p>
        </w:tc>
        <w:tc>
          <w:tcPr>
            <w:tcW w:w="2454" w:type="dxa"/>
            <w:tcBorders>
              <w:top w:val="nil"/>
              <w:left w:val="nil"/>
              <w:bottom w:val="nil"/>
              <w:right w:val="nil"/>
            </w:tcBorders>
          </w:tcPr>
          <w:p w14:paraId="66550A1A" w14:textId="77777777" w:rsidR="00D3344B" w:rsidRDefault="00143C25">
            <w:pPr>
              <w:pStyle w:val="Estilo"/>
              <w:rPr>
                <w:rFonts w:cs="Arial"/>
              </w:rPr>
            </w:pPr>
            <w:r>
              <w:rPr>
                <w:rFonts w:eastAsia="Calibri" w:cs="Arial"/>
                <w:b/>
              </w:rPr>
              <w:t>1 UMA.</w:t>
            </w:r>
          </w:p>
        </w:tc>
      </w:tr>
      <w:tr w:rsidR="00D3344B" w14:paraId="21F02207" w14:textId="77777777">
        <w:tc>
          <w:tcPr>
            <w:tcW w:w="6373" w:type="dxa"/>
            <w:tcBorders>
              <w:top w:val="nil"/>
              <w:left w:val="nil"/>
              <w:bottom w:val="nil"/>
              <w:right w:val="nil"/>
            </w:tcBorders>
          </w:tcPr>
          <w:p w14:paraId="088D8711" w14:textId="77777777" w:rsidR="00D3344B" w:rsidRDefault="00D3344B">
            <w:pPr>
              <w:pStyle w:val="Estilo"/>
              <w:rPr>
                <w:rFonts w:cs="Arial"/>
              </w:rPr>
            </w:pPr>
          </w:p>
        </w:tc>
        <w:tc>
          <w:tcPr>
            <w:tcW w:w="2454" w:type="dxa"/>
            <w:tcBorders>
              <w:top w:val="nil"/>
              <w:left w:val="nil"/>
              <w:bottom w:val="nil"/>
              <w:right w:val="nil"/>
            </w:tcBorders>
          </w:tcPr>
          <w:p w14:paraId="388358BD" w14:textId="77777777" w:rsidR="00D3344B" w:rsidRDefault="00D3344B">
            <w:pPr>
              <w:pStyle w:val="Estilo"/>
              <w:rPr>
                <w:rFonts w:cs="Arial"/>
                <w:b/>
              </w:rPr>
            </w:pPr>
          </w:p>
        </w:tc>
      </w:tr>
      <w:tr w:rsidR="00D3344B" w14:paraId="50E16171" w14:textId="77777777">
        <w:tc>
          <w:tcPr>
            <w:tcW w:w="6373" w:type="dxa"/>
            <w:tcBorders>
              <w:top w:val="nil"/>
              <w:left w:val="nil"/>
              <w:bottom w:val="nil"/>
              <w:right w:val="nil"/>
            </w:tcBorders>
          </w:tcPr>
          <w:p w14:paraId="14563871" w14:textId="77777777" w:rsidR="00D3344B" w:rsidRDefault="00143C25">
            <w:pPr>
              <w:spacing w:after="0" w:line="247" w:lineRule="auto"/>
              <w:ind w:right="3"/>
              <w:rPr>
                <w:rFonts w:ascii="Arial" w:hAnsi="Arial" w:cs="Arial"/>
                <w:b/>
                <w:sz w:val="24"/>
                <w:szCs w:val="24"/>
              </w:rPr>
            </w:pPr>
            <w:r>
              <w:rPr>
                <w:rFonts w:ascii="Arial" w:eastAsia="Calibri" w:hAnsi="Arial" w:cs="Arial"/>
                <w:i/>
                <w:sz w:val="16"/>
                <w:szCs w:val="16"/>
              </w:rPr>
              <w:t>(</w:t>
            </w:r>
            <w:proofErr w:type="gramStart"/>
            <w:r>
              <w:rPr>
                <w:rFonts w:ascii="Arial" w:eastAsia="Calibri" w:hAnsi="Arial" w:cs="Arial"/>
                <w:i/>
                <w:sz w:val="16"/>
                <w:szCs w:val="16"/>
              </w:rPr>
              <w:t>REFORMADO,  P.O.</w:t>
            </w:r>
            <w:proofErr w:type="gramEnd"/>
            <w:r>
              <w:rPr>
                <w:rFonts w:ascii="Arial" w:eastAsia="Calibri" w:hAnsi="Arial" w:cs="Arial"/>
                <w:i/>
                <w:sz w:val="16"/>
                <w:szCs w:val="16"/>
              </w:rPr>
              <w:t xml:space="preserve"> 21 DE JUNIO DE 2021)</w:t>
            </w:r>
          </w:p>
          <w:p w14:paraId="4AC00EFB" w14:textId="77777777" w:rsidR="00D3344B" w:rsidRDefault="00143C25">
            <w:pPr>
              <w:pStyle w:val="Estilo"/>
              <w:rPr>
                <w:rFonts w:cs="Arial"/>
              </w:rPr>
            </w:pPr>
            <w:r>
              <w:rPr>
                <w:rFonts w:eastAsia="Calibri" w:cs="Arial"/>
              </w:rPr>
              <w:t>d) Expedición de copia certificada de otro tipo de documentos.</w:t>
            </w:r>
          </w:p>
        </w:tc>
        <w:tc>
          <w:tcPr>
            <w:tcW w:w="2454" w:type="dxa"/>
            <w:tcBorders>
              <w:top w:val="nil"/>
              <w:left w:val="nil"/>
              <w:bottom w:val="nil"/>
              <w:right w:val="nil"/>
            </w:tcBorders>
          </w:tcPr>
          <w:p w14:paraId="450B9B69" w14:textId="77777777" w:rsidR="00D3344B" w:rsidRDefault="00143C25">
            <w:pPr>
              <w:spacing w:after="0" w:line="235" w:lineRule="auto"/>
              <w:ind w:left="142" w:hanging="78"/>
              <w:rPr>
                <w:rFonts w:ascii="Arial" w:eastAsia="Calibri" w:hAnsi="Arial" w:cs="Arial"/>
              </w:rPr>
            </w:pPr>
            <w:r>
              <w:rPr>
                <w:rFonts w:ascii="Arial" w:eastAsia="Calibri" w:hAnsi="Arial" w:cs="Arial"/>
                <w:b/>
              </w:rPr>
              <w:t xml:space="preserve">1 UMA, por las primeras diez </w:t>
            </w:r>
          </w:p>
          <w:p w14:paraId="6955D805" w14:textId="77777777" w:rsidR="00D3344B" w:rsidRDefault="00143C25">
            <w:pPr>
              <w:spacing w:after="0" w:line="235" w:lineRule="auto"/>
              <w:ind w:left="314" w:hanging="278"/>
              <w:rPr>
                <w:rFonts w:ascii="Arial" w:eastAsia="Calibri" w:hAnsi="Arial" w:cs="Arial"/>
              </w:rPr>
            </w:pPr>
            <w:r>
              <w:rPr>
                <w:rFonts w:ascii="Arial" w:eastAsia="Calibri" w:hAnsi="Arial" w:cs="Arial"/>
                <w:b/>
              </w:rPr>
              <w:t xml:space="preserve">fojas y por cada una de las </w:t>
            </w:r>
          </w:p>
          <w:p w14:paraId="1D4D1F98" w14:textId="77777777" w:rsidR="00D3344B" w:rsidRDefault="00143C25">
            <w:pPr>
              <w:spacing w:after="0" w:line="259" w:lineRule="auto"/>
              <w:ind w:left="46"/>
              <w:rPr>
                <w:rFonts w:ascii="Arial" w:eastAsia="Calibri" w:hAnsi="Arial" w:cs="Arial"/>
              </w:rPr>
            </w:pPr>
            <w:r>
              <w:rPr>
                <w:rFonts w:ascii="Arial" w:eastAsia="Calibri" w:hAnsi="Arial" w:cs="Arial"/>
                <w:b/>
              </w:rPr>
              <w:t xml:space="preserve">adicionales 0.25 </w:t>
            </w:r>
          </w:p>
          <w:p w14:paraId="32C1D3A6" w14:textId="77777777" w:rsidR="00D3344B" w:rsidRDefault="00143C25">
            <w:pPr>
              <w:pStyle w:val="Estilo"/>
              <w:rPr>
                <w:rFonts w:cs="Arial"/>
              </w:rPr>
            </w:pPr>
            <w:r>
              <w:rPr>
                <w:rFonts w:eastAsia="Calibri" w:cs="Arial"/>
                <w:b/>
              </w:rPr>
              <w:t>UMA.</w:t>
            </w:r>
          </w:p>
        </w:tc>
      </w:tr>
    </w:tbl>
    <w:p w14:paraId="71641998" w14:textId="77777777" w:rsidR="00D3344B" w:rsidRDefault="00D3344B">
      <w:pPr>
        <w:pStyle w:val="Estilo"/>
        <w:rPr>
          <w:rFonts w:cs="Arial"/>
        </w:rPr>
      </w:pPr>
    </w:p>
    <w:p w14:paraId="2836CB7D" w14:textId="77777777" w:rsidR="00D3344B" w:rsidRDefault="00D3344B">
      <w:pPr>
        <w:pStyle w:val="Estilo"/>
        <w:rPr>
          <w:rFonts w:cs="Arial"/>
        </w:rPr>
      </w:pPr>
    </w:p>
    <w:p w14:paraId="59294A35" w14:textId="77777777" w:rsidR="00D3344B" w:rsidRDefault="00143C25">
      <w:pPr>
        <w:pStyle w:val="Estilo"/>
        <w:rPr>
          <w:rFonts w:cs="Arial"/>
        </w:rPr>
      </w:pPr>
      <w:r>
        <w:rPr>
          <w:rFonts w:cs="Arial"/>
          <w:i/>
          <w:sz w:val="16"/>
        </w:rPr>
        <w:t>N. DE E. EN RELACIÓN CON LA ENTRADA EN VIGOR DE LA PRESENTE FRACCIÓN, VÉASE ARTÍCULO ÚNICO TRANSITORIO DEL DECRETO QUE MODIFICA EL CÓDIGO.</w:t>
      </w:r>
    </w:p>
    <w:p w14:paraId="2010BE41" w14:textId="77777777" w:rsidR="00D3344B" w:rsidRDefault="00143C25">
      <w:pPr>
        <w:pStyle w:val="Estilo"/>
        <w:rPr>
          <w:rFonts w:cs="Arial"/>
          <w:i/>
          <w:sz w:val="16"/>
        </w:rPr>
      </w:pPr>
      <w:r>
        <w:rPr>
          <w:rFonts w:cs="Arial"/>
        </w:rPr>
        <w:t xml:space="preserve">II. </w:t>
      </w:r>
      <w:r>
        <w:rPr>
          <w:rFonts w:cs="Arial"/>
          <w:i/>
          <w:sz w:val="16"/>
        </w:rPr>
        <w:t>(DEROGADA, P.O. 23 DE DICIEMBRE DE 2008)</w:t>
      </w:r>
    </w:p>
    <w:p w14:paraId="3D5F85C7" w14:textId="77777777" w:rsidR="00D3344B" w:rsidRDefault="00D3344B">
      <w:pPr>
        <w:pStyle w:val="Estilo"/>
        <w:rPr>
          <w:rFonts w:cs="Arial"/>
        </w:rPr>
      </w:pPr>
    </w:p>
    <w:p w14:paraId="149BE5AF" w14:textId="77777777" w:rsidR="00D3344B" w:rsidRDefault="00143C25">
      <w:pPr>
        <w:pStyle w:val="Estilo"/>
        <w:rPr>
          <w:rFonts w:cs="Arial"/>
        </w:rPr>
      </w:pPr>
      <w:r>
        <w:rPr>
          <w:rFonts w:cs="Arial"/>
          <w:i/>
          <w:sz w:val="16"/>
        </w:rPr>
        <w:t>(ADICIONADA, P.O. 26 DE DICIEMBRE DE 2022)</w:t>
      </w:r>
    </w:p>
    <w:p w14:paraId="3BC71B81" w14:textId="77777777" w:rsidR="00D3344B" w:rsidRDefault="00143C25">
      <w:pPr>
        <w:pStyle w:val="Estilo"/>
        <w:ind w:left="567" w:hanging="567"/>
        <w:rPr>
          <w:rFonts w:cs="Arial"/>
        </w:rPr>
      </w:pPr>
      <w:r>
        <w:rPr>
          <w:rFonts w:cs="Arial"/>
        </w:rPr>
        <w:t xml:space="preserve">III. </w:t>
      </w:r>
      <w:r>
        <w:rPr>
          <w:rFonts w:cs="Arial"/>
        </w:rPr>
        <w:tab/>
        <w:t>Para el caso de validación de documentos que acrediten la propiedad y/o legal estancia de vehículos nacionales y extranjeros:</w:t>
      </w:r>
    </w:p>
    <w:p w14:paraId="6076EECA" w14:textId="77777777" w:rsidR="00D3344B" w:rsidRDefault="00D3344B">
      <w:pPr>
        <w:pStyle w:val="Estilo"/>
        <w:rPr>
          <w:rFonts w:cs="Arial"/>
        </w:rPr>
      </w:pPr>
    </w:p>
    <w:p w14:paraId="4DB3ADCC" w14:textId="77777777" w:rsidR="00D3344B" w:rsidRDefault="00143C25">
      <w:pPr>
        <w:pStyle w:val="Estilo"/>
        <w:ind w:left="993" w:hanging="426"/>
        <w:rPr>
          <w:rFonts w:cs="Arial"/>
        </w:rPr>
      </w:pPr>
      <w:r>
        <w:rPr>
          <w:rFonts w:cs="Arial"/>
        </w:rPr>
        <w:t xml:space="preserve">a) </w:t>
      </w:r>
      <w:r>
        <w:rPr>
          <w:rFonts w:cs="Arial"/>
        </w:rPr>
        <w:tab/>
        <w:t>Validación de documentos de vehículo nacional. 1 UMA</w:t>
      </w:r>
    </w:p>
    <w:p w14:paraId="011F52F7" w14:textId="77777777" w:rsidR="00D3344B" w:rsidRDefault="00D3344B">
      <w:pPr>
        <w:pStyle w:val="Estilo"/>
        <w:ind w:left="993" w:hanging="426"/>
        <w:rPr>
          <w:rFonts w:cs="Arial"/>
        </w:rPr>
      </w:pPr>
    </w:p>
    <w:p w14:paraId="29BE77C4" w14:textId="77777777" w:rsidR="00D3344B" w:rsidRDefault="00143C25">
      <w:pPr>
        <w:pStyle w:val="Estilo"/>
        <w:ind w:left="993" w:hanging="426"/>
        <w:rPr>
          <w:rFonts w:cs="Arial"/>
        </w:rPr>
      </w:pPr>
      <w:r>
        <w:rPr>
          <w:rFonts w:cs="Arial"/>
        </w:rPr>
        <w:t xml:space="preserve">b) </w:t>
      </w:r>
      <w:r>
        <w:rPr>
          <w:rFonts w:cs="Arial"/>
        </w:rPr>
        <w:tab/>
        <w:t>Validación de documentos de vehículo extranjero. 1 UMA</w:t>
      </w:r>
    </w:p>
    <w:p w14:paraId="0B05703A" w14:textId="77777777" w:rsidR="00D3344B" w:rsidRDefault="00D3344B">
      <w:pPr>
        <w:pStyle w:val="Estilo"/>
        <w:ind w:left="993" w:hanging="426"/>
        <w:rPr>
          <w:rFonts w:cs="Arial"/>
        </w:rPr>
      </w:pPr>
    </w:p>
    <w:p w14:paraId="6AAF0DC3" w14:textId="77777777" w:rsidR="00D3344B" w:rsidRDefault="00143C25">
      <w:pPr>
        <w:pStyle w:val="Estilo"/>
        <w:ind w:left="993" w:hanging="426"/>
        <w:rPr>
          <w:rFonts w:cs="Arial"/>
        </w:rPr>
      </w:pPr>
      <w:r>
        <w:rPr>
          <w:rFonts w:cs="Arial"/>
        </w:rPr>
        <w:t xml:space="preserve">c) </w:t>
      </w:r>
      <w:r>
        <w:rPr>
          <w:rFonts w:cs="Arial"/>
        </w:rPr>
        <w:tab/>
        <w:t>Expedición de cédula extranjera del año 1990 al 2009. 15 UMA</w:t>
      </w:r>
    </w:p>
    <w:p w14:paraId="58AFEC3C" w14:textId="77777777" w:rsidR="00D3344B" w:rsidRDefault="00D3344B">
      <w:pPr>
        <w:pStyle w:val="Estilo"/>
        <w:ind w:left="993" w:hanging="426"/>
        <w:rPr>
          <w:rFonts w:cs="Arial"/>
        </w:rPr>
      </w:pPr>
    </w:p>
    <w:p w14:paraId="70069BA7" w14:textId="77777777" w:rsidR="00D3344B" w:rsidRDefault="00143C25">
      <w:pPr>
        <w:pStyle w:val="Estilo"/>
        <w:ind w:left="993" w:hanging="426"/>
        <w:rPr>
          <w:rFonts w:cs="Arial"/>
        </w:rPr>
      </w:pPr>
      <w:r>
        <w:rPr>
          <w:rFonts w:cs="Arial"/>
        </w:rPr>
        <w:t xml:space="preserve">d) </w:t>
      </w:r>
      <w:r>
        <w:rPr>
          <w:rFonts w:cs="Arial"/>
        </w:rPr>
        <w:tab/>
        <w:t>Expedición de cédula extranjera del año 2010 al 2017. 20 UMA</w:t>
      </w:r>
    </w:p>
    <w:p w14:paraId="488E380C" w14:textId="77777777" w:rsidR="00D3344B" w:rsidRDefault="00D3344B">
      <w:pPr>
        <w:pStyle w:val="Estilo"/>
        <w:ind w:left="993" w:hanging="426"/>
        <w:rPr>
          <w:rFonts w:cs="Arial"/>
        </w:rPr>
      </w:pPr>
    </w:p>
    <w:p w14:paraId="1309113C" w14:textId="77777777" w:rsidR="00D3344B" w:rsidRDefault="00143C25">
      <w:pPr>
        <w:pStyle w:val="Estilo"/>
        <w:ind w:left="993" w:hanging="426"/>
        <w:rPr>
          <w:rFonts w:cs="Arial"/>
        </w:rPr>
      </w:pPr>
      <w:r>
        <w:rPr>
          <w:rFonts w:cs="Arial"/>
        </w:rPr>
        <w:t xml:space="preserve">e) </w:t>
      </w:r>
      <w:r>
        <w:rPr>
          <w:rFonts w:cs="Arial"/>
        </w:rPr>
        <w:tab/>
        <w:t>Expedición de cédula extranjera de vehículo clásico. 25 UMA</w:t>
      </w:r>
    </w:p>
    <w:p w14:paraId="5DE6DB59" w14:textId="77777777" w:rsidR="00D3344B" w:rsidRDefault="00D3344B">
      <w:pPr>
        <w:pStyle w:val="Estilo"/>
        <w:ind w:left="993" w:hanging="426"/>
        <w:rPr>
          <w:rFonts w:cs="Arial"/>
        </w:rPr>
      </w:pPr>
    </w:p>
    <w:p w14:paraId="7C79DA24" w14:textId="77777777" w:rsidR="00D3344B" w:rsidRDefault="00143C25">
      <w:pPr>
        <w:pStyle w:val="Estilo"/>
        <w:ind w:left="993" w:hanging="426"/>
        <w:rPr>
          <w:rFonts w:cs="Arial"/>
        </w:rPr>
      </w:pPr>
      <w:r>
        <w:rPr>
          <w:rFonts w:cs="Arial"/>
        </w:rPr>
        <w:t xml:space="preserve">f) </w:t>
      </w:r>
      <w:r>
        <w:rPr>
          <w:rFonts w:cs="Arial"/>
        </w:rPr>
        <w:tab/>
        <w:t>Actualización de cédula extranjera. 3 UMA</w:t>
      </w:r>
    </w:p>
    <w:p w14:paraId="69B29E19" w14:textId="77777777" w:rsidR="00D3344B" w:rsidRDefault="00D3344B">
      <w:pPr>
        <w:pStyle w:val="Estilo"/>
        <w:ind w:left="993" w:hanging="426"/>
        <w:rPr>
          <w:rFonts w:cs="Arial"/>
        </w:rPr>
      </w:pPr>
    </w:p>
    <w:p w14:paraId="04680B37" w14:textId="77777777" w:rsidR="00D3344B" w:rsidRDefault="00143C25">
      <w:pPr>
        <w:pStyle w:val="Estilo"/>
        <w:ind w:left="993" w:hanging="426"/>
        <w:rPr>
          <w:rFonts w:cs="Arial"/>
        </w:rPr>
      </w:pPr>
      <w:r>
        <w:rPr>
          <w:rFonts w:cs="Arial"/>
        </w:rPr>
        <w:t xml:space="preserve">g) </w:t>
      </w:r>
      <w:r>
        <w:rPr>
          <w:rFonts w:cs="Arial"/>
        </w:rPr>
        <w:tab/>
        <w:t>Cambio de propietario de vehículo extranjero. 10 UMA</w:t>
      </w:r>
    </w:p>
    <w:p w14:paraId="2682E033" w14:textId="77777777" w:rsidR="00D3344B" w:rsidRDefault="00D3344B">
      <w:pPr>
        <w:pStyle w:val="Estilo"/>
        <w:rPr>
          <w:rFonts w:cs="Arial"/>
        </w:rPr>
      </w:pPr>
    </w:p>
    <w:p w14:paraId="05DFC63E" w14:textId="77777777" w:rsidR="00D3344B" w:rsidRDefault="00143C25">
      <w:pPr>
        <w:pStyle w:val="Estilo"/>
        <w:rPr>
          <w:rFonts w:cs="Arial"/>
        </w:rPr>
      </w:pPr>
      <w:r>
        <w:rPr>
          <w:rFonts w:cs="Arial"/>
          <w:i/>
          <w:sz w:val="16"/>
        </w:rPr>
        <w:t>(ADICIONADA, P.O. 29 DE NOVIEMBRE DE 2023)</w:t>
      </w:r>
    </w:p>
    <w:p w14:paraId="74C4F776" w14:textId="77777777" w:rsidR="00D3344B" w:rsidRDefault="00143C25">
      <w:pPr>
        <w:pStyle w:val="Estilo"/>
        <w:ind w:left="709" w:hanging="709"/>
        <w:rPr>
          <w:rFonts w:cs="Arial"/>
        </w:rPr>
      </w:pPr>
      <w:r>
        <w:rPr>
          <w:rFonts w:cs="Arial"/>
        </w:rPr>
        <w:t>IV.</w:t>
      </w:r>
      <w:r>
        <w:rPr>
          <w:rFonts w:cs="Arial"/>
        </w:rPr>
        <w:tab/>
        <w:t>Servicios proporcionados a través de la Dirección de Administración.</w:t>
      </w:r>
    </w:p>
    <w:p w14:paraId="435659E3" w14:textId="77777777" w:rsidR="00D3344B" w:rsidRDefault="00D3344B">
      <w:pPr>
        <w:pStyle w:val="Estilo"/>
        <w:rPr>
          <w:rFonts w:cs="Arial"/>
        </w:rPr>
      </w:pPr>
    </w:p>
    <w:p w14:paraId="62C32238" w14:textId="77777777" w:rsidR="00D3344B" w:rsidRDefault="00143C25">
      <w:pPr>
        <w:pStyle w:val="Estilo"/>
        <w:ind w:left="709"/>
        <w:rPr>
          <w:rFonts w:cs="Arial"/>
        </w:rPr>
      </w:pPr>
      <w:r>
        <w:rPr>
          <w:rFonts w:cs="Arial"/>
        </w:rPr>
        <w:t>Respecto del padrón de proveedores y contratistas de obra pública del Gobierno del Estado y los municipios del Estado:</w:t>
      </w:r>
    </w:p>
    <w:p w14:paraId="7304A67E" w14:textId="77777777" w:rsidR="00D3344B" w:rsidRDefault="00143C25">
      <w:pPr>
        <w:pStyle w:val="Estilo"/>
        <w:ind w:left="1134" w:hanging="425"/>
        <w:rPr>
          <w:rFonts w:cs="Arial"/>
        </w:rPr>
      </w:pPr>
      <w:r>
        <w:rPr>
          <w:rFonts w:cs="Arial"/>
        </w:rPr>
        <w:t>a)</w:t>
      </w:r>
      <w:r>
        <w:rPr>
          <w:rFonts w:cs="Arial"/>
        </w:rPr>
        <w:tab/>
        <w:t>Inscripción</w:t>
      </w:r>
      <w:r>
        <w:rPr>
          <w:rFonts w:cs="Arial"/>
        </w:rPr>
        <w:tab/>
        <w:t xml:space="preserve">                                        12 UMA</w:t>
      </w:r>
    </w:p>
    <w:p w14:paraId="14741C0C" w14:textId="77777777" w:rsidR="00D3344B" w:rsidRDefault="00143C25">
      <w:pPr>
        <w:pStyle w:val="Estilo"/>
        <w:ind w:left="1134" w:hanging="425"/>
        <w:rPr>
          <w:rFonts w:cs="Arial"/>
        </w:rPr>
      </w:pPr>
      <w:r>
        <w:rPr>
          <w:rFonts w:cs="Arial"/>
        </w:rPr>
        <w:t>b)</w:t>
      </w:r>
      <w:r>
        <w:rPr>
          <w:rFonts w:cs="Arial"/>
        </w:rPr>
        <w:tab/>
        <w:t>Refrendo</w:t>
      </w:r>
      <w:r>
        <w:rPr>
          <w:rFonts w:cs="Arial"/>
        </w:rPr>
        <w:tab/>
        <w:t xml:space="preserve">                                                     8 UMA</w:t>
      </w:r>
    </w:p>
    <w:p w14:paraId="4564BDF8" w14:textId="77777777" w:rsidR="00D3344B" w:rsidRDefault="00D3344B">
      <w:pPr>
        <w:pStyle w:val="Estilo"/>
        <w:rPr>
          <w:rFonts w:cs="Arial"/>
        </w:rPr>
      </w:pPr>
    </w:p>
    <w:p w14:paraId="44D8A31E"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45F68F70" w14:textId="77777777" w:rsidR="00D3344B" w:rsidRDefault="00143C25">
      <w:pPr>
        <w:pStyle w:val="Estilo"/>
        <w:rPr>
          <w:rFonts w:cs="Arial"/>
        </w:rPr>
      </w:pPr>
      <w:r>
        <w:rPr>
          <w:rFonts w:cs="Arial"/>
          <w:i/>
          <w:sz w:val="16"/>
        </w:rPr>
        <w:t>(REFORMADO PRIMER PÁRRAFO, P.O. 7 DE DICIEMBRE DE 2009)</w:t>
      </w:r>
    </w:p>
    <w:p w14:paraId="1EE997DA" w14:textId="77777777" w:rsidR="00D3344B" w:rsidRDefault="00143C25">
      <w:pPr>
        <w:pStyle w:val="Estilo"/>
        <w:rPr>
          <w:rFonts w:cs="Arial"/>
        </w:rPr>
      </w:pPr>
      <w:r>
        <w:rPr>
          <w:rFonts w:cs="Arial"/>
          <w:b/>
        </w:rPr>
        <w:t>Artículo 155.</w:t>
      </w:r>
      <w:r>
        <w:rPr>
          <w:rFonts w:cs="Arial"/>
        </w:rPr>
        <w:t xml:space="preserve"> La Secretaría, a través de la Dirección de Ingresos y Fiscalización, expedirá las licencias o refrendo para el funcionamiento de establecimientos o locales, cuyos giros sean la enajenación de bebidas alcohólicas o la prestación de servicios que incluyan el expendio de dichas bebidas, siempre que se efectúen total o parcialmente con el público en general, conforme a la siguiente tarifa:</w:t>
      </w:r>
    </w:p>
    <w:p w14:paraId="027349B6" w14:textId="77777777" w:rsidR="00D3344B" w:rsidRDefault="00D3344B">
      <w:pPr>
        <w:pStyle w:val="Estilo"/>
        <w:rPr>
          <w:rFonts w:cs="Arial"/>
        </w:rPr>
      </w:pPr>
    </w:p>
    <w:tbl>
      <w:tblPr>
        <w:tblW w:w="8931" w:type="dxa"/>
        <w:jc w:val="center"/>
        <w:tblLayout w:type="fixed"/>
        <w:tblCellMar>
          <w:left w:w="70" w:type="dxa"/>
          <w:right w:w="70" w:type="dxa"/>
        </w:tblCellMar>
        <w:tblLook w:val="0000" w:firstRow="0" w:lastRow="0" w:firstColumn="0" w:lastColumn="0" w:noHBand="0" w:noVBand="0"/>
      </w:tblPr>
      <w:tblGrid>
        <w:gridCol w:w="6299"/>
        <w:gridCol w:w="1354"/>
        <w:gridCol w:w="141"/>
        <w:gridCol w:w="1137"/>
      </w:tblGrid>
      <w:tr w:rsidR="00D3344B" w14:paraId="633793A6" w14:textId="77777777">
        <w:trPr>
          <w:cantSplit/>
          <w:trHeight w:val="217"/>
          <w:jc w:val="center"/>
        </w:trPr>
        <w:tc>
          <w:tcPr>
            <w:tcW w:w="6299" w:type="dxa"/>
          </w:tcPr>
          <w:p w14:paraId="1BDF717C" w14:textId="77777777" w:rsidR="00D3344B" w:rsidRDefault="00143C25">
            <w:pPr>
              <w:widowControl w:val="0"/>
              <w:jc w:val="center"/>
              <w:rPr>
                <w:rFonts w:ascii="Arial" w:hAnsi="Arial" w:cs="Arial"/>
                <w:b/>
              </w:rPr>
            </w:pPr>
            <w:r>
              <w:rPr>
                <w:rFonts w:ascii="Arial" w:hAnsi="Arial" w:cs="Arial"/>
                <w:b/>
              </w:rPr>
              <w:t>CONCEPTO</w:t>
            </w:r>
          </w:p>
        </w:tc>
        <w:tc>
          <w:tcPr>
            <w:tcW w:w="2632" w:type="dxa"/>
            <w:gridSpan w:val="3"/>
          </w:tcPr>
          <w:p w14:paraId="66115586" w14:textId="77777777" w:rsidR="00D3344B" w:rsidRDefault="00143C25">
            <w:pPr>
              <w:widowControl w:val="0"/>
              <w:tabs>
                <w:tab w:val="center" w:pos="3232"/>
                <w:tab w:val="center" w:pos="7932"/>
              </w:tabs>
              <w:spacing w:after="159" w:line="264" w:lineRule="auto"/>
              <w:rPr>
                <w:rFonts w:ascii="Arial" w:hAnsi="Arial" w:cs="Arial"/>
              </w:rPr>
            </w:pPr>
            <w:r>
              <w:rPr>
                <w:rFonts w:ascii="Arial" w:hAnsi="Arial" w:cs="Arial"/>
                <w:b/>
              </w:rPr>
              <w:t xml:space="preserve">DERECHOS CAUSADOS  </w:t>
            </w:r>
          </w:p>
          <w:p w14:paraId="420ADE5B" w14:textId="77777777" w:rsidR="00D3344B" w:rsidRDefault="00143C25">
            <w:pPr>
              <w:widowControl w:val="0"/>
              <w:spacing w:after="152" w:line="264" w:lineRule="auto"/>
              <w:ind w:right="1495"/>
              <w:jc w:val="right"/>
              <w:rPr>
                <w:rFonts w:ascii="Arial" w:hAnsi="Arial" w:cs="Arial"/>
              </w:rPr>
            </w:pPr>
            <w:r>
              <w:rPr>
                <w:rFonts w:ascii="Arial" w:hAnsi="Arial" w:cs="Arial"/>
                <w:b/>
              </w:rPr>
              <w:t xml:space="preserve">UMA </w:t>
            </w:r>
          </w:p>
          <w:p w14:paraId="36011962" w14:textId="77777777" w:rsidR="00D3344B" w:rsidRDefault="00D3344B">
            <w:pPr>
              <w:widowControl w:val="0"/>
              <w:jc w:val="center"/>
              <w:rPr>
                <w:rFonts w:ascii="Arial" w:hAnsi="Arial" w:cs="Arial"/>
                <w:b/>
              </w:rPr>
            </w:pPr>
          </w:p>
        </w:tc>
      </w:tr>
      <w:tr w:rsidR="00D3344B" w14:paraId="387CFD17" w14:textId="77777777">
        <w:trPr>
          <w:trHeight w:val="217"/>
          <w:jc w:val="center"/>
        </w:trPr>
        <w:tc>
          <w:tcPr>
            <w:tcW w:w="6299" w:type="dxa"/>
          </w:tcPr>
          <w:p w14:paraId="66283958" w14:textId="77777777" w:rsidR="00D3344B" w:rsidRDefault="00143C25">
            <w:pPr>
              <w:widowControl w:val="0"/>
              <w:rPr>
                <w:rFonts w:ascii="Arial" w:hAnsi="Arial" w:cs="Arial"/>
              </w:rPr>
            </w:pPr>
            <w:r>
              <w:rPr>
                <w:rFonts w:ascii="Arial" w:hAnsi="Arial" w:cs="Arial"/>
                <w:i/>
                <w:sz w:val="16"/>
              </w:rPr>
              <w:t>(REFORMADA, P.O. 30 DE DICIEMBRE DE 2005)</w:t>
            </w:r>
          </w:p>
          <w:p w14:paraId="302CD058" w14:textId="77777777" w:rsidR="00D3344B" w:rsidRDefault="00143C25">
            <w:pPr>
              <w:widowControl w:val="0"/>
              <w:rPr>
                <w:rFonts w:ascii="Arial" w:hAnsi="Arial" w:cs="Arial"/>
              </w:rPr>
            </w:pPr>
            <w:r>
              <w:rPr>
                <w:rFonts w:ascii="Arial" w:hAnsi="Arial" w:cs="Arial"/>
              </w:rPr>
              <w:t>I. ENAJENACIÓN</w:t>
            </w:r>
          </w:p>
        </w:tc>
        <w:tc>
          <w:tcPr>
            <w:tcW w:w="1495" w:type="dxa"/>
            <w:gridSpan w:val="2"/>
          </w:tcPr>
          <w:p w14:paraId="42417E9C" w14:textId="77777777" w:rsidR="00D3344B" w:rsidRDefault="00D3344B">
            <w:pPr>
              <w:widowControl w:val="0"/>
              <w:rPr>
                <w:rFonts w:ascii="Arial" w:hAnsi="Arial" w:cs="Arial"/>
              </w:rPr>
            </w:pPr>
          </w:p>
        </w:tc>
        <w:tc>
          <w:tcPr>
            <w:tcW w:w="1137" w:type="dxa"/>
          </w:tcPr>
          <w:p w14:paraId="65A2FAD0" w14:textId="77777777" w:rsidR="00D3344B" w:rsidRDefault="00D3344B">
            <w:pPr>
              <w:widowControl w:val="0"/>
              <w:rPr>
                <w:rFonts w:ascii="Arial" w:hAnsi="Arial" w:cs="Arial"/>
              </w:rPr>
            </w:pPr>
          </w:p>
        </w:tc>
      </w:tr>
      <w:tr w:rsidR="00D3344B" w14:paraId="4013C6C0" w14:textId="77777777">
        <w:trPr>
          <w:cantSplit/>
          <w:trHeight w:val="501"/>
          <w:jc w:val="center"/>
        </w:trPr>
        <w:tc>
          <w:tcPr>
            <w:tcW w:w="8931" w:type="dxa"/>
            <w:gridSpan w:val="4"/>
            <w:vAlign w:val="bottom"/>
          </w:tcPr>
          <w:p w14:paraId="2E063B0A" w14:textId="77777777" w:rsidR="00D3344B" w:rsidRDefault="00143C25">
            <w:pPr>
              <w:widowControl w:val="0"/>
              <w:spacing w:after="0" w:line="247" w:lineRule="auto"/>
              <w:ind w:right="3"/>
              <w:rPr>
                <w:rFonts w:ascii="Arial" w:hAnsi="Arial" w:cs="Arial"/>
                <w:b/>
                <w:sz w:val="24"/>
                <w:szCs w:val="24"/>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tc>
      </w:tr>
      <w:tr w:rsidR="00D3344B" w14:paraId="4751C564" w14:textId="77777777">
        <w:trPr>
          <w:cantSplit/>
          <w:trHeight w:val="501"/>
          <w:jc w:val="center"/>
        </w:trPr>
        <w:tc>
          <w:tcPr>
            <w:tcW w:w="8931" w:type="dxa"/>
            <w:gridSpan w:val="4"/>
          </w:tcPr>
          <w:p w14:paraId="51BC7E9A" w14:textId="77777777" w:rsidR="00D3344B" w:rsidRDefault="00143C25">
            <w:pPr>
              <w:widowControl w:val="0"/>
              <w:ind w:left="351"/>
              <w:rPr>
                <w:rFonts w:ascii="Arial" w:hAnsi="Arial" w:cs="Arial"/>
              </w:rPr>
            </w:pPr>
            <w:r>
              <w:rPr>
                <w:rFonts w:ascii="Arial" w:hAnsi="Arial" w:cs="Arial"/>
              </w:rPr>
              <w:t>a) Por expedición de licencias comerciales en locales ubicados dentro y fuera de mercados:</w:t>
            </w:r>
          </w:p>
        </w:tc>
      </w:tr>
      <w:tr w:rsidR="00D3344B" w14:paraId="04A3A897" w14:textId="77777777">
        <w:trPr>
          <w:trHeight w:val="217"/>
          <w:jc w:val="center"/>
        </w:trPr>
        <w:tc>
          <w:tcPr>
            <w:tcW w:w="6299" w:type="dxa"/>
          </w:tcPr>
          <w:p w14:paraId="270E794D" w14:textId="77777777" w:rsidR="00D3344B" w:rsidRDefault="00D3344B">
            <w:pPr>
              <w:widowControl w:val="0"/>
              <w:ind w:left="351"/>
              <w:rPr>
                <w:rFonts w:ascii="Arial" w:hAnsi="Arial" w:cs="Arial"/>
              </w:rPr>
            </w:pPr>
          </w:p>
        </w:tc>
        <w:tc>
          <w:tcPr>
            <w:tcW w:w="1354" w:type="dxa"/>
          </w:tcPr>
          <w:p w14:paraId="71504EFE" w14:textId="77777777" w:rsidR="00D3344B" w:rsidRDefault="00143C25">
            <w:pPr>
              <w:widowControl w:val="0"/>
              <w:ind w:left="351"/>
              <w:jc w:val="center"/>
              <w:rPr>
                <w:rFonts w:ascii="Arial" w:hAnsi="Arial" w:cs="Arial"/>
              </w:rPr>
            </w:pPr>
            <w:r>
              <w:rPr>
                <w:rFonts w:ascii="Arial" w:hAnsi="Arial" w:cs="Arial"/>
              </w:rPr>
              <w:t>MÍNIMO</w:t>
            </w:r>
          </w:p>
        </w:tc>
        <w:tc>
          <w:tcPr>
            <w:tcW w:w="1278" w:type="dxa"/>
            <w:gridSpan w:val="2"/>
          </w:tcPr>
          <w:p w14:paraId="30F3662D" w14:textId="77777777" w:rsidR="00D3344B" w:rsidRDefault="00143C25">
            <w:pPr>
              <w:widowControl w:val="0"/>
              <w:ind w:left="351"/>
              <w:jc w:val="center"/>
              <w:rPr>
                <w:rFonts w:ascii="Arial" w:hAnsi="Arial" w:cs="Arial"/>
              </w:rPr>
            </w:pPr>
            <w:r>
              <w:rPr>
                <w:rFonts w:ascii="Arial" w:hAnsi="Arial" w:cs="Arial"/>
              </w:rPr>
              <w:t>MÁXIMO</w:t>
            </w:r>
          </w:p>
        </w:tc>
      </w:tr>
      <w:tr w:rsidR="00D3344B" w14:paraId="73E737B1" w14:textId="77777777">
        <w:trPr>
          <w:trHeight w:val="567"/>
          <w:jc w:val="center"/>
        </w:trPr>
        <w:tc>
          <w:tcPr>
            <w:tcW w:w="6299" w:type="dxa"/>
          </w:tcPr>
          <w:p w14:paraId="15874CF9" w14:textId="77777777" w:rsidR="00D3344B" w:rsidRDefault="00143C25">
            <w:pPr>
              <w:widowControl w:val="0"/>
              <w:ind w:left="776"/>
              <w:rPr>
                <w:rFonts w:ascii="Arial" w:hAnsi="Arial" w:cs="Arial"/>
              </w:rPr>
            </w:pPr>
            <w:r>
              <w:rPr>
                <w:rFonts w:ascii="Arial" w:hAnsi="Arial" w:cs="Arial"/>
                <w:b/>
              </w:rPr>
              <w:lastRenderedPageBreak/>
              <w:t xml:space="preserve">1. </w:t>
            </w:r>
            <w:r>
              <w:rPr>
                <w:rFonts w:ascii="Arial" w:hAnsi="Arial" w:cs="Arial"/>
              </w:rPr>
              <w:t xml:space="preserve">Abarrotes en general con venta de vinos y licores en botella cerrada al mayoreo. </w:t>
            </w:r>
          </w:p>
        </w:tc>
        <w:tc>
          <w:tcPr>
            <w:tcW w:w="1354" w:type="dxa"/>
          </w:tcPr>
          <w:p w14:paraId="02A0B511" w14:textId="77777777" w:rsidR="00D3344B" w:rsidRDefault="00143C25">
            <w:pPr>
              <w:widowControl w:val="0"/>
              <w:ind w:left="351"/>
              <w:jc w:val="center"/>
              <w:rPr>
                <w:rFonts w:ascii="Arial" w:hAnsi="Arial" w:cs="Arial"/>
              </w:rPr>
            </w:pPr>
            <w:r>
              <w:rPr>
                <w:rFonts w:ascii="Arial" w:hAnsi="Arial" w:cs="Arial"/>
              </w:rPr>
              <w:t xml:space="preserve">75 </w:t>
            </w:r>
          </w:p>
        </w:tc>
        <w:tc>
          <w:tcPr>
            <w:tcW w:w="1278" w:type="dxa"/>
            <w:gridSpan w:val="2"/>
          </w:tcPr>
          <w:p w14:paraId="6A4F0106" w14:textId="77777777" w:rsidR="00D3344B" w:rsidRDefault="00143C25">
            <w:pPr>
              <w:widowControl w:val="0"/>
              <w:ind w:left="351"/>
              <w:jc w:val="center"/>
              <w:rPr>
                <w:rFonts w:ascii="Arial" w:hAnsi="Arial" w:cs="Arial"/>
              </w:rPr>
            </w:pPr>
            <w:r>
              <w:rPr>
                <w:rFonts w:ascii="Arial" w:hAnsi="Arial" w:cs="Arial"/>
              </w:rPr>
              <w:t xml:space="preserve">200  </w:t>
            </w:r>
          </w:p>
        </w:tc>
      </w:tr>
      <w:tr w:rsidR="00D3344B" w14:paraId="72461A48" w14:textId="77777777">
        <w:trPr>
          <w:trHeight w:val="567"/>
          <w:jc w:val="center"/>
        </w:trPr>
        <w:tc>
          <w:tcPr>
            <w:tcW w:w="6299" w:type="dxa"/>
          </w:tcPr>
          <w:p w14:paraId="08508374" w14:textId="77777777" w:rsidR="00D3344B" w:rsidRDefault="00143C25">
            <w:pPr>
              <w:widowControl w:val="0"/>
              <w:ind w:left="776"/>
              <w:rPr>
                <w:rFonts w:ascii="Arial" w:hAnsi="Arial" w:cs="Arial"/>
              </w:rPr>
            </w:pPr>
            <w:r>
              <w:rPr>
                <w:rFonts w:ascii="Arial" w:hAnsi="Arial" w:cs="Arial"/>
                <w:b/>
              </w:rPr>
              <w:t xml:space="preserve">2. </w:t>
            </w:r>
            <w:r>
              <w:rPr>
                <w:rFonts w:ascii="Arial" w:hAnsi="Arial" w:cs="Arial"/>
              </w:rPr>
              <w:t xml:space="preserve">Abarrotes en general con venta de vinos y licores en botella cerrada al menudeo. </w:t>
            </w:r>
          </w:p>
        </w:tc>
        <w:tc>
          <w:tcPr>
            <w:tcW w:w="1354" w:type="dxa"/>
          </w:tcPr>
          <w:p w14:paraId="13CFC040" w14:textId="77777777" w:rsidR="00D3344B" w:rsidRDefault="00143C25">
            <w:pPr>
              <w:widowControl w:val="0"/>
              <w:ind w:left="351"/>
              <w:jc w:val="center"/>
              <w:rPr>
                <w:rFonts w:ascii="Arial" w:hAnsi="Arial" w:cs="Arial"/>
              </w:rPr>
            </w:pPr>
            <w:r>
              <w:rPr>
                <w:rFonts w:ascii="Arial" w:hAnsi="Arial" w:cs="Arial"/>
              </w:rPr>
              <w:t xml:space="preserve">30 </w:t>
            </w:r>
          </w:p>
        </w:tc>
        <w:tc>
          <w:tcPr>
            <w:tcW w:w="1278" w:type="dxa"/>
            <w:gridSpan w:val="2"/>
          </w:tcPr>
          <w:p w14:paraId="240F1930" w14:textId="77777777" w:rsidR="00D3344B" w:rsidRDefault="00143C25">
            <w:pPr>
              <w:widowControl w:val="0"/>
              <w:ind w:left="351"/>
              <w:jc w:val="center"/>
              <w:rPr>
                <w:rFonts w:ascii="Arial" w:hAnsi="Arial" w:cs="Arial"/>
              </w:rPr>
            </w:pPr>
            <w:r>
              <w:rPr>
                <w:rFonts w:ascii="Arial" w:hAnsi="Arial" w:cs="Arial"/>
              </w:rPr>
              <w:t xml:space="preserve">150  </w:t>
            </w:r>
          </w:p>
        </w:tc>
      </w:tr>
      <w:tr w:rsidR="00D3344B" w14:paraId="413ABFED" w14:textId="77777777">
        <w:trPr>
          <w:trHeight w:val="567"/>
          <w:jc w:val="center"/>
        </w:trPr>
        <w:tc>
          <w:tcPr>
            <w:tcW w:w="6299" w:type="dxa"/>
          </w:tcPr>
          <w:p w14:paraId="066B1FD1" w14:textId="77777777" w:rsidR="00D3344B" w:rsidRDefault="00143C25">
            <w:pPr>
              <w:widowControl w:val="0"/>
              <w:ind w:left="776"/>
              <w:rPr>
                <w:rFonts w:ascii="Arial" w:hAnsi="Arial" w:cs="Arial"/>
              </w:rPr>
            </w:pPr>
            <w:r>
              <w:rPr>
                <w:rFonts w:ascii="Arial" w:hAnsi="Arial" w:cs="Arial"/>
                <w:b/>
              </w:rPr>
              <w:t xml:space="preserve">3. </w:t>
            </w:r>
            <w:r>
              <w:rPr>
                <w:rFonts w:ascii="Arial" w:hAnsi="Arial" w:cs="Arial"/>
              </w:rPr>
              <w:t xml:space="preserve">Agencias o depósitos de cerveza en botella cerrada. </w:t>
            </w:r>
          </w:p>
        </w:tc>
        <w:tc>
          <w:tcPr>
            <w:tcW w:w="1354" w:type="dxa"/>
          </w:tcPr>
          <w:p w14:paraId="56B03884" w14:textId="77777777" w:rsidR="00D3344B" w:rsidRDefault="00143C25">
            <w:pPr>
              <w:widowControl w:val="0"/>
              <w:ind w:left="351"/>
              <w:jc w:val="center"/>
              <w:rPr>
                <w:rFonts w:ascii="Arial" w:hAnsi="Arial" w:cs="Arial"/>
              </w:rPr>
            </w:pPr>
            <w:r>
              <w:rPr>
                <w:rFonts w:ascii="Arial" w:hAnsi="Arial" w:cs="Arial"/>
              </w:rPr>
              <w:t xml:space="preserve">250  </w:t>
            </w:r>
          </w:p>
        </w:tc>
        <w:tc>
          <w:tcPr>
            <w:tcW w:w="1278" w:type="dxa"/>
            <w:gridSpan w:val="2"/>
          </w:tcPr>
          <w:p w14:paraId="41750482" w14:textId="77777777" w:rsidR="00D3344B" w:rsidRDefault="00143C25">
            <w:pPr>
              <w:widowControl w:val="0"/>
              <w:ind w:left="351"/>
              <w:jc w:val="center"/>
              <w:rPr>
                <w:rFonts w:ascii="Arial" w:hAnsi="Arial" w:cs="Arial"/>
              </w:rPr>
            </w:pPr>
            <w:r>
              <w:rPr>
                <w:rFonts w:ascii="Arial" w:hAnsi="Arial" w:cs="Arial"/>
              </w:rPr>
              <w:t xml:space="preserve">400  </w:t>
            </w:r>
          </w:p>
        </w:tc>
      </w:tr>
      <w:tr w:rsidR="00D3344B" w14:paraId="2231A990" w14:textId="77777777">
        <w:trPr>
          <w:trHeight w:val="567"/>
          <w:jc w:val="center"/>
        </w:trPr>
        <w:tc>
          <w:tcPr>
            <w:tcW w:w="6299" w:type="dxa"/>
            <w:vAlign w:val="center"/>
          </w:tcPr>
          <w:p w14:paraId="05E1B2A1" w14:textId="77777777" w:rsidR="00D3344B" w:rsidRDefault="00143C25">
            <w:pPr>
              <w:widowControl w:val="0"/>
              <w:ind w:left="776"/>
              <w:rPr>
                <w:rFonts w:ascii="Arial" w:hAnsi="Arial" w:cs="Arial"/>
              </w:rPr>
            </w:pPr>
            <w:r>
              <w:rPr>
                <w:rFonts w:ascii="Arial" w:hAnsi="Arial" w:cs="Arial"/>
                <w:b/>
              </w:rPr>
              <w:t xml:space="preserve">4. </w:t>
            </w:r>
            <w:r>
              <w:rPr>
                <w:rFonts w:ascii="Arial" w:hAnsi="Arial" w:cs="Arial"/>
              </w:rPr>
              <w:t xml:space="preserve">Bodegas con actividad comercial y venta de vinos y licores. </w:t>
            </w:r>
          </w:p>
        </w:tc>
        <w:tc>
          <w:tcPr>
            <w:tcW w:w="1354" w:type="dxa"/>
            <w:vAlign w:val="center"/>
          </w:tcPr>
          <w:p w14:paraId="3E8E8190" w14:textId="77777777" w:rsidR="00D3344B" w:rsidRDefault="00143C25">
            <w:pPr>
              <w:widowControl w:val="0"/>
              <w:ind w:left="351"/>
              <w:jc w:val="center"/>
              <w:rPr>
                <w:rFonts w:ascii="Arial" w:hAnsi="Arial" w:cs="Arial"/>
              </w:rPr>
            </w:pPr>
            <w:r>
              <w:rPr>
                <w:rFonts w:ascii="Arial" w:hAnsi="Arial" w:cs="Arial"/>
              </w:rPr>
              <w:t xml:space="preserve">595  </w:t>
            </w:r>
          </w:p>
        </w:tc>
        <w:tc>
          <w:tcPr>
            <w:tcW w:w="1278" w:type="dxa"/>
            <w:gridSpan w:val="2"/>
            <w:vAlign w:val="center"/>
          </w:tcPr>
          <w:p w14:paraId="7C0D3831" w14:textId="77777777" w:rsidR="00D3344B" w:rsidRDefault="00143C25">
            <w:pPr>
              <w:widowControl w:val="0"/>
              <w:ind w:left="351"/>
              <w:jc w:val="center"/>
              <w:rPr>
                <w:rFonts w:ascii="Arial" w:hAnsi="Arial" w:cs="Arial"/>
              </w:rPr>
            </w:pPr>
            <w:r>
              <w:rPr>
                <w:rFonts w:ascii="Arial" w:hAnsi="Arial" w:cs="Arial"/>
              </w:rPr>
              <w:t xml:space="preserve">650  </w:t>
            </w:r>
          </w:p>
        </w:tc>
      </w:tr>
      <w:tr w:rsidR="00D3344B" w14:paraId="6A995CFB" w14:textId="77777777">
        <w:trPr>
          <w:trHeight w:val="567"/>
          <w:jc w:val="center"/>
        </w:trPr>
        <w:tc>
          <w:tcPr>
            <w:tcW w:w="6299" w:type="dxa"/>
            <w:vAlign w:val="center"/>
          </w:tcPr>
          <w:p w14:paraId="6642B33B" w14:textId="77777777" w:rsidR="00D3344B" w:rsidRDefault="00143C25">
            <w:pPr>
              <w:widowControl w:val="0"/>
              <w:ind w:left="776"/>
              <w:rPr>
                <w:rFonts w:ascii="Arial" w:hAnsi="Arial" w:cs="Arial"/>
              </w:rPr>
            </w:pPr>
            <w:r>
              <w:rPr>
                <w:rFonts w:ascii="Arial" w:hAnsi="Arial" w:cs="Arial"/>
                <w:b/>
              </w:rPr>
              <w:t xml:space="preserve">5. </w:t>
            </w:r>
            <w:r>
              <w:rPr>
                <w:rFonts w:ascii="Arial" w:hAnsi="Arial" w:cs="Arial"/>
              </w:rPr>
              <w:t>Mini súper con venta de vinos y licores.</w:t>
            </w:r>
            <w:r>
              <w:rPr>
                <w:rFonts w:ascii="Arial" w:hAnsi="Arial" w:cs="Arial"/>
                <w:b/>
              </w:rPr>
              <w:t xml:space="preserve"> </w:t>
            </w:r>
          </w:p>
        </w:tc>
        <w:tc>
          <w:tcPr>
            <w:tcW w:w="1354" w:type="dxa"/>
            <w:vAlign w:val="center"/>
          </w:tcPr>
          <w:p w14:paraId="27E2C7EF" w14:textId="77777777" w:rsidR="00D3344B" w:rsidRDefault="00143C25">
            <w:pPr>
              <w:widowControl w:val="0"/>
              <w:ind w:left="351"/>
              <w:jc w:val="center"/>
              <w:rPr>
                <w:rFonts w:ascii="Arial" w:hAnsi="Arial" w:cs="Arial"/>
              </w:rPr>
            </w:pPr>
            <w:r>
              <w:rPr>
                <w:rFonts w:ascii="Arial" w:hAnsi="Arial" w:cs="Arial"/>
              </w:rPr>
              <w:t xml:space="preserve">250  </w:t>
            </w:r>
          </w:p>
        </w:tc>
        <w:tc>
          <w:tcPr>
            <w:tcW w:w="1278" w:type="dxa"/>
            <w:gridSpan w:val="2"/>
            <w:vAlign w:val="center"/>
          </w:tcPr>
          <w:p w14:paraId="421CEC13" w14:textId="77777777" w:rsidR="00D3344B" w:rsidRDefault="00143C25">
            <w:pPr>
              <w:widowControl w:val="0"/>
              <w:ind w:left="351"/>
              <w:jc w:val="center"/>
              <w:rPr>
                <w:rFonts w:ascii="Arial" w:hAnsi="Arial" w:cs="Arial"/>
              </w:rPr>
            </w:pPr>
            <w:r>
              <w:rPr>
                <w:rFonts w:ascii="Arial" w:hAnsi="Arial" w:cs="Arial"/>
              </w:rPr>
              <w:t xml:space="preserve">400  </w:t>
            </w:r>
          </w:p>
        </w:tc>
      </w:tr>
      <w:tr w:rsidR="00D3344B" w14:paraId="46FEC75D" w14:textId="77777777">
        <w:trPr>
          <w:trHeight w:val="567"/>
          <w:jc w:val="center"/>
        </w:trPr>
        <w:tc>
          <w:tcPr>
            <w:tcW w:w="6299" w:type="dxa"/>
            <w:vAlign w:val="bottom"/>
          </w:tcPr>
          <w:p w14:paraId="1890FF59" w14:textId="77777777" w:rsidR="00D3344B" w:rsidRDefault="00143C25">
            <w:pPr>
              <w:widowControl w:val="0"/>
              <w:ind w:left="776"/>
              <w:rPr>
                <w:rFonts w:ascii="Arial" w:hAnsi="Arial" w:cs="Arial"/>
              </w:rPr>
            </w:pPr>
            <w:r>
              <w:rPr>
                <w:rFonts w:ascii="Arial" w:hAnsi="Arial" w:cs="Arial"/>
                <w:b/>
              </w:rPr>
              <w:t xml:space="preserve">6. </w:t>
            </w:r>
            <w:r>
              <w:rPr>
                <w:rFonts w:ascii="Arial" w:hAnsi="Arial" w:cs="Arial"/>
              </w:rPr>
              <w:t xml:space="preserve">Miscelánea con venta de vinos y licores y cerveza en botella cerrada. </w:t>
            </w:r>
          </w:p>
        </w:tc>
        <w:tc>
          <w:tcPr>
            <w:tcW w:w="1354" w:type="dxa"/>
            <w:vAlign w:val="center"/>
          </w:tcPr>
          <w:p w14:paraId="0DA0BDF8" w14:textId="77777777" w:rsidR="00D3344B" w:rsidRDefault="00143C25">
            <w:pPr>
              <w:widowControl w:val="0"/>
              <w:ind w:left="351"/>
              <w:jc w:val="center"/>
              <w:rPr>
                <w:rFonts w:ascii="Arial" w:hAnsi="Arial" w:cs="Arial"/>
              </w:rPr>
            </w:pPr>
            <w:r>
              <w:rPr>
                <w:rFonts w:ascii="Arial" w:hAnsi="Arial" w:cs="Arial"/>
              </w:rPr>
              <w:t xml:space="preserve">30  </w:t>
            </w:r>
          </w:p>
        </w:tc>
        <w:tc>
          <w:tcPr>
            <w:tcW w:w="1278" w:type="dxa"/>
            <w:gridSpan w:val="2"/>
            <w:vAlign w:val="center"/>
          </w:tcPr>
          <w:p w14:paraId="6AA49541" w14:textId="77777777" w:rsidR="00D3344B" w:rsidRDefault="00143C25">
            <w:pPr>
              <w:widowControl w:val="0"/>
              <w:ind w:left="351"/>
              <w:jc w:val="center"/>
              <w:rPr>
                <w:rFonts w:ascii="Arial" w:hAnsi="Arial" w:cs="Arial"/>
              </w:rPr>
            </w:pPr>
            <w:r>
              <w:rPr>
                <w:rFonts w:ascii="Arial" w:hAnsi="Arial" w:cs="Arial"/>
              </w:rPr>
              <w:t xml:space="preserve">100  </w:t>
            </w:r>
          </w:p>
        </w:tc>
      </w:tr>
      <w:tr w:rsidR="00D3344B" w14:paraId="6206FBD4" w14:textId="77777777">
        <w:trPr>
          <w:trHeight w:val="567"/>
          <w:jc w:val="center"/>
        </w:trPr>
        <w:tc>
          <w:tcPr>
            <w:tcW w:w="6299" w:type="dxa"/>
          </w:tcPr>
          <w:p w14:paraId="37331214" w14:textId="77777777" w:rsidR="00D3344B" w:rsidRDefault="00143C25">
            <w:pPr>
              <w:widowControl w:val="0"/>
              <w:ind w:left="776"/>
              <w:rPr>
                <w:rFonts w:ascii="Arial" w:hAnsi="Arial" w:cs="Arial"/>
              </w:rPr>
            </w:pPr>
            <w:r>
              <w:rPr>
                <w:rFonts w:ascii="Arial" w:hAnsi="Arial" w:cs="Arial"/>
                <w:b/>
              </w:rPr>
              <w:t xml:space="preserve">7. </w:t>
            </w:r>
            <w:r>
              <w:rPr>
                <w:rFonts w:ascii="Arial" w:hAnsi="Arial" w:cs="Arial"/>
              </w:rPr>
              <w:t>Supermercados.</w:t>
            </w:r>
            <w:r>
              <w:rPr>
                <w:rFonts w:ascii="Arial" w:hAnsi="Arial" w:cs="Arial"/>
                <w:b/>
              </w:rPr>
              <w:t xml:space="preserve"> </w:t>
            </w:r>
          </w:p>
        </w:tc>
        <w:tc>
          <w:tcPr>
            <w:tcW w:w="1354" w:type="dxa"/>
          </w:tcPr>
          <w:p w14:paraId="3D495432" w14:textId="77777777" w:rsidR="00D3344B" w:rsidRDefault="00143C25">
            <w:pPr>
              <w:widowControl w:val="0"/>
              <w:ind w:left="351"/>
              <w:jc w:val="center"/>
              <w:rPr>
                <w:rFonts w:ascii="Arial" w:hAnsi="Arial" w:cs="Arial"/>
              </w:rPr>
            </w:pPr>
            <w:r>
              <w:rPr>
                <w:rFonts w:ascii="Arial" w:hAnsi="Arial" w:cs="Arial"/>
              </w:rPr>
              <w:t xml:space="preserve">595 </w:t>
            </w:r>
          </w:p>
        </w:tc>
        <w:tc>
          <w:tcPr>
            <w:tcW w:w="1278" w:type="dxa"/>
            <w:gridSpan w:val="2"/>
          </w:tcPr>
          <w:p w14:paraId="412FCE37" w14:textId="77777777" w:rsidR="00D3344B" w:rsidRDefault="00143C25">
            <w:pPr>
              <w:widowControl w:val="0"/>
              <w:ind w:left="351"/>
              <w:jc w:val="center"/>
              <w:rPr>
                <w:rFonts w:ascii="Arial" w:hAnsi="Arial" w:cs="Arial"/>
              </w:rPr>
            </w:pPr>
            <w:r>
              <w:rPr>
                <w:rFonts w:ascii="Arial" w:hAnsi="Arial" w:cs="Arial"/>
              </w:rPr>
              <w:t xml:space="preserve">700  </w:t>
            </w:r>
          </w:p>
        </w:tc>
      </w:tr>
      <w:tr w:rsidR="00D3344B" w14:paraId="1C694726" w14:textId="77777777">
        <w:trPr>
          <w:trHeight w:val="567"/>
          <w:jc w:val="center"/>
        </w:trPr>
        <w:tc>
          <w:tcPr>
            <w:tcW w:w="6299" w:type="dxa"/>
            <w:vAlign w:val="center"/>
          </w:tcPr>
          <w:p w14:paraId="40F7EAC7" w14:textId="77777777" w:rsidR="00D3344B" w:rsidRDefault="00143C25">
            <w:pPr>
              <w:widowControl w:val="0"/>
              <w:ind w:left="776"/>
              <w:rPr>
                <w:rFonts w:ascii="Arial" w:hAnsi="Arial" w:cs="Arial"/>
              </w:rPr>
            </w:pPr>
            <w:r>
              <w:rPr>
                <w:rFonts w:ascii="Arial" w:hAnsi="Arial" w:cs="Arial"/>
                <w:b/>
              </w:rPr>
              <w:t xml:space="preserve">8. </w:t>
            </w:r>
            <w:proofErr w:type="spellStart"/>
            <w:r>
              <w:rPr>
                <w:rFonts w:ascii="Arial" w:hAnsi="Arial" w:cs="Arial"/>
              </w:rPr>
              <w:t>Tendajones</w:t>
            </w:r>
            <w:proofErr w:type="spellEnd"/>
            <w:r>
              <w:rPr>
                <w:rFonts w:ascii="Arial" w:hAnsi="Arial" w:cs="Arial"/>
              </w:rPr>
              <w:t xml:space="preserve">, con venta de cerveza en botella cerrada. </w:t>
            </w:r>
          </w:p>
        </w:tc>
        <w:tc>
          <w:tcPr>
            <w:tcW w:w="1354" w:type="dxa"/>
            <w:vAlign w:val="center"/>
          </w:tcPr>
          <w:p w14:paraId="01F6AA51" w14:textId="77777777" w:rsidR="00D3344B" w:rsidRDefault="00143C25">
            <w:pPr>
              <w:widowControl w:val="0"/>
              <w:ind w:left="351"/>
              <w:jc w:val="center"/>
              <w:rPr>
                <w:rFonts w:ascii="Arial" w:hAnsi="Arial" w:cs="Arial"/>
              </w:rPr>
            </w:pPr>
            <w:r>
              <w:rPr>
                <w:rFonts w:ascii="Arial" w:hAnsi="Arial" w:cs="Arial"/>
              </w:rPr>
              <w:t xml:space="preserve">20  </w:t>
            </w:r>
          </w:p>
        </w:tc>
        <w:tc>
          <w:tcPr>
            <w:tcW w:w="1278" w:type="dxa"/>
            <w:gridSpan w:val="2"/>
            <w:vAlign w:val="center"/>
          </w:tcPr>
          <w:p w14:paraId="6EF0869E" w14:textId="77777777" w:rsidR="00D3344B" w:rsidRDefault="00143C25">
            <w:pPr>
              <w:widowControl w:val="0"/>
              <w:ind w:left="351"/>
              <w:jc w:val="center"/>
              <w:rPr>
                <w:rFonts w:ascii="Arial" w:hAnsi="Arial" w:cs="Arial"/>
              </w:rPr>
            </w:pPr>
            <w:r>
              <w:rPr>
                <w:rFonts w:ascii="Arial" w:hAnsi="Arial" w:cs="Arial"/>
              </w:rPr>
              <w:t xml:space="preserve">60 </w:t>
            </w:r>
          </w:p>
        </w:tc>
      </w:tr>
      <w:tr w:rsidR="00D3344B" w14:paraId="4CBDE024" w14:textId="77777777">
        <w:trPr>
          <w:trHeight w:val="567"/>
          <w:jc w:val="center"/>
        </w:trPr>
        <w:tc>
          <w:tcPr>
            <w:tcW w:w="6299" w:type="dxa"/>
            <w:vAlign w:val="center"/>
          </w:tcPr>
          <w:p w14:paraId="0DDB4F01" w14:textId="77777777" w:rsidR="00D3344B" w:rsidRDefault="00143C25">
            <w:pPr>
              <w:widowControl w:val="0"/>
              <w:ind w:left="776"/>
              <w:rPr>
                <w:rFonts w:ascii="Arial" w:hAnsi="Arial" w:cs="Arial"/>
              </w:rPr>
            </w:pPr>
            <w:r>
              <w:rPr>
                <w:rFonts w:ascii="Arial" w:hAnsi="Arial" w:cs="Arial"/>
                <w:b/>
              </w:rPr>
              <w:t xml:space="preserve">9. </w:t>
            </w:r>
            <w:r>
              <w:rPr>
                <w:rFonts w:ascii="Arial" w:hAnsi="Arial" w:cs="Arial"/>
              </w:rPr>
              <w:t>Vinaterías.</w:t>
            </w:r>
            <w:r>
              <w:rPr>
                <w:rFonts w:ascii="Arial" w:hAnsi="Arial" w:cs="Arial"/>
                <w:b/>
              </w:rPr>
              <w:t xml:space="preserve"> </w:t>
            </w:r>
          </w:p>
        </w:tc>
        <w:tc>
          <w:tcPr>
            <w:tcW w:w="1354" w:type="dxa"/>
            <w:vAlign w:val="center"/>
          </w:tcPr>
          <w:p w14:paraId="317296CE" w14:textId="77777777" w:rsidR="00D3344B" w:rsidRDefault="00143C25">
            <w:pPr>
              <w:widowControl w:val="0"/>
              <w:ind w:left="351"/>
              <w:jc w:val="center"/>
              <w:rPr>
                <w:rFonts w:ascii="Arial" w:hAnsi="Arial" w:cs="Arial"/>
              </w:rPr>
            </w:pPr>
            <w:r>
              <w:rPr>
                <w:rFonts w:ascii="Arial" w:hAnsi="Arial" w:cs="Arial"/>
              </w:rPr>
              <w:t xml:space="preserve">350  </w:t>
            </w:r>
          </w:p>
        </w:tc>
        <w:tc>
          <w:tcPr>
            <w:tcW w:w="1278" w:type="dxa"/>
            <w:gridSpan w:val="2"/>
            <w:vAlign w:val="center"/>
          </w:tcPr>
          <w:p w14:paraId="14103494" w14:textId="77777777" w:rsidR="00D3344B" w:rsidRDefault="00143C25">
            <w:pPr>
              <w:widowControl w:val="0"/>
              <w:ind w:left="351"/>
              <w:jc w:val="center"/>
              <w:rPr>
                <w:rFonts w:ascii="Arial" w:hAnsi="Arial" w:cs="Arial"/>
              </w:rPr>
            </w:pPr>
            <w:r>
              <w:rPr>
                <w:rFonts w:ascii="Arial" w:hAnsi="Arial" w:cs="Arial"/>
              </w:rPr>
              <w:t xml:space="preserve">450  </w:t>
            </w:r>
          </w:p>
        </w:tc>
      </w:tr>
      <w:tr w:rsidR="00D3344B" w14:paraId="03EC4DCA" w14:textId="77777777">
        <w:trPr>
          <w:trHeight w:val="567"/>
          <w:jc w:val="center"/>
        </w:trPr>
        <w:tc>
          <w:tcPr>
            <w:tcW w:w="6299" w:type="dxa"/>
            <w:vAlign w:val="center"/>
          </w:tcPr>
          <w:p w14:paraId="2B4C9EC5" w14:textId="77777777" w:rsidR="00D3344B" w:rsidRDefault="00143C25">
            <w:pPr>
              <w:widowControl w:val="0"/>
              <w:ind w:left="776"/>
              <w:rPr>
                <w:rFonts w:ascii="Arial" w:hAnsi="Arial" w:cs="Arial"/>
              </w:rPr>
            </w:pPr>
            <w:r>
              <w:rPr>
                <w:rFonts w:ascii="Arial" w:hAnsi="Arial" w:cs="Arial"/>
                <w:b/>
              </w:rPr>
              <w:t xml:space="preserve">10. </w:t>
            </w:r>
            <w:r>
              <w:rPr>
                <w:rFonts w:ascii="Arial" w:hAnsi="Arial" w:cs="Arial"/>
              </w:rPr>
              <w:t>Ultramarinos.</w:t>
            </w:r>
            <w:r>
              <w:rPr>
                <w:rFonts w:ascii="Arial" w:hAnsi="Arial" w:cs="Arial"/>
                <w:b/>
              </w:rPr>
              <w:t xml:space="preserve"> </w:t>
            </w:r>
          </w:p>
        </w:tc>
        <w:tc>
          <w:tcPr>
            <w:tcW w:w="1354" w:type="dxa"/>
            <w:vAlign w:val="center"/>
          </w:tcPr>
          <w:p w14:paraId="3573AF4D" w14:textId="77777777" w:rsidR="00D3344B" w:rsidRDefault="00143C25">
            <w:pPr>
              <w:widowControl w:val="0"/>
              <w:ind w:left="351"/>
              <w:jc w:val="center"/>
              <w:rPr>
                <w:rFonts w:ascii="Arial" w:hAnsi="Arial" w:cs="Arial"/>
              </w:rPr>
            </w:pPr>
            <w:r>
              <w:rPr>
                <w:rFonts w:ascii="Arial" w:hAnsi="Arial" w:cs="Arial"/>
              </w:rPr>
              <w:t xml:space="preserve">250  </w:t>
            </w:r>
          </w:p>
        </w:tc>
        <w:tc>
          <w:tcPr>
            <w:tcW w:w="1278" w:type="dxa"/>
            <w:gridSpan w:val="2"/>
            <w:vAlign w:val="center"/>
          </w:tcPr>
          <w:p w14:paraId="3218FE9B" w14:textId="77777777" w:rsidR="00D3344B" w:rsidRDefault="00143C25">
            <w:pPr>
              <w:widowControl w:val="0"/>
              <w:ind w:left="351"/>
              <w:jc w:val="center"/>
              <w:rPr>
                <w:rFonts w:ascii="Arial" w:hAnsi="Arial" w:cs="Arial"/>
              </w:rPr>
            </w:pPr>
            <w:r>
              <w:rPr>
                <w:rFonts w:ascii="Arial" w:hAnsi="Arial" w:cs="Arial"/>
              </w:rPr>
              <w:t xml:space="preserve">350  </w:t>
            </w:r>
          </w:p>
        </w:tc>
      </w:tr>
      <w:tr w:rsidR="00D3344B" w14:paraId="0EA461D7" w14:textId="77777777">
        <w:trPr>
          <w:trHeight w:val="567"/>
          <w:jc w:val="center"/>
        </w:trPr>
        <w:tc>
          <w:tcPr>
            <w:tcW w:w="6299" w:type="dxa"/>
          </w:tcPr>
          <w:p w14:paraId="1B70EAD1" w14:textId="77777777" w:rsidR="00D3344B" w:rsidRDefault="00143C25">
            <w:pPr>
              <w:widowControl w:val="0"/>
              <w:ind w:left="351"/>
              <w:rPr>
                <w:rFonts w:ascii="Arial" w:hAnsi="Arial" w:cs="Arial"/>
              </w:rPr>
            </w:pPr>
            <w:proofErr w:type="gramStart"/>
            <w:r>
              <w:rPr>
                <w:rFonts w:ascii="Arial" w:hAnsi="Arial" w:cs="Arial"/>
              </w:rPr>
              <w:t xml:space="preserve">b)  </w:t>
            </w:r>
            <w:r>
              <w:rPr>
                <w:rFonts w:ascii="Arial" w:hAnsi="Arial" w:cs="Arial"/>
                <w:i/>
                <w:sz w:val="16"/>
                <w:szCs w:val="16"/>
              </w:rPr>
              <w:t>(</w:t>
            </w:r>
            <w:proofErr w:type="gramEnd"/>
            <w:r>
              <w:rPr>
                <w:rFonts w:ascii="Arial" w:hAnsi="Arial" w:cs="Arial"/>
                <w:i/>
                <w:sz w:val="16"/>
                <w:szCs w:val="16"/>
              </w:rPr>
              <w:t>DEROGADO, P.O. 30 DE DICIEMBRE DE 2005)</w:t>
            </w:r>
          </w:p>
        </w:tc>
        <w:tc>
          <w:tcPr>
            <w:tcW w:w="1354" w:type="dxa"/>
          </w:tcPr>
          <w:p w14:paraId="55ED22C0" w14:textId="77777777" w:rsidR="00D3344B" w:rsidRDefault="00D3344B">
            <w:pPr>
              <w:widowControl w:val="0"/>
              <w:ind w:left="351"/>
              <w:jc w:val="center"/>
              <w:rPr>
                <w:rFonts w:ascii="Arial" w:hAnsi="Arial" w:cs="Arial"/>
              </w:rPr>
            </w:pPr>
          </w:p>
        </w:tc>
        <w:tc>
          <w:tcPr>
            <w:tcW w:w="1278" w:type="dxa"/>
            <w:gridSpan w:val="2"/>
          </w:tcPr>
          <w:p w14:paraId="055AFCE4" w14:textId="77777777" w:rsidR="00D3344B" w:rsidRDefault="00D3344B">
            <w:pPr>
              <w:widowControl w:val="0"/>
              <w:ind w:left="351"/>
              <w:jc w:val="center"/>
              <w:rPr>
                <w:rFonts w:ascii="Arial" w:hAnsi="Arial" w:cs="Arial"/>
              </w:rPr>
            </w:pPr>
          </w:p>
        </w:tc>
      </w:tr>
    </w:tbl>
    <w:p w14:paraId="534A329F" w14:textId="77777777" w:rsidR="00D3344B" w:rsidRDefault="00D3344B">
      <w:pPr>
        <w:pStyle w:val="Estilo"/>
        <w:rPr>
          <w:rFonts w:cs="Arial"/>
        </w:rPr>
      </w:pPr>
    </w:p>
    <w:tbl>
      <w:tblPr>
        <w:tblW w:w="8931" w:type="dxa"/>
        <w:jc w:val="center"/>
        <w:tblLayout w:type="fixed"/>
        <w:tblCellMar>
          <w:left w:w="70" w:type="dxa"/>
          <w:right w:w="70" w:type="dxa"/>
        </w:tblCellMar>
        <w:tblLook w:val="0000" w:firstRow="0" w:lastRow="0" w:firstColumn="0" w:lastColumn="0" w:noHBand="0" w:noVBand="0"/>
      </w:tblPr>
      <w:tblGrid>
        <w:gridCol w:w="6480"/>
        <w:gridCol w:w="1173"/>
        <w:gridCol w:w="1278"/>
      </w:tblGrid>
      <w:tr w:rsidR="00D3344B" w14:paraId="640AD836" w14:textId="77777777">
        <w:trPr>
          <w:trHeight w:val="238"/>
          <w:jc w:val="center"/>
        </w:trPr>
        <w:tc>
          <w:tcPr>
            <w:tcW w:w="8931" w:type="dxa"/>
            <w:gridSpan w:val="3"/>
          </w:tcPr>
          <w:p w14:paraId="6084DC78" w14:textId="77777777" w:rsidR="00D3344B" w:rsidRDefault="00143C25">
            <w:pPr>
              <w:widowControl w:val="0"/>
              <w:rPr>
                <w:rFonts w:ascii="Arial" w:hAnsi="Arial" w:cs="Arial"/>
                <w:i/>
                <w:sz w:val="16"/>
                <w:szCs w:val="16"/>
              </w:rPr>
            </w:pPr>
            <w:r>
              <w:rPr>
                <w:rFonts w:ascii="Arial" w:hAnsi="Arial" w:cs="Arial"/>
                <w:i/>
                <w:sz w:val="16"/>
                <w:szCs w:val="16"/>
              </w:rPr>
              <w:t>(REFORMADA, P.O. 30 DE DICIEMBRE DE 2005)</w:t>
            </w:r>
          </w:p>
        </w:tc>
      </w:tr>
      <w:tr w:rsidR="00D3344B" w14:paraId="43841ECA" w14:textId="77777777">
        <w:trPr>
          <w:trHeight w:val="567"/>
          <w:jc w:val="center"/>
        </w:trPr>
        <w:tc>
          <w:tcPr>
            <w:tcW w:w="8931" w:type="dxa"/>
            <w:gridSpan w:val="3"/>
          </w:tcPr>
          <w:p w14:paraId="0F1569AF" w14:textId="77777777" w:rsidR="00D3344B" w:rsidRDefault="00143C25">
            <w:pPr>
              <w:widowControl w:val="0"/>
              <w:rPr>
                <w:rFonts w:ascii="Arial" w:hAnsi="Arial" w:cs="Arial"/>
              </w:rPr>
            </w:pPr>
            <w:r>
              <w:rPr>
                <w:rFonts w:ascii="Arial" w:hAnsi="Arial" w:cs="Arial"/>
              </w:rPr>
              <w:t>II. PRESTACIÓN DE SERVICIOS</w:t>
            </w:r>
          </w:p>
        </w:tc>
      </w:tr>
      <w:tr w:rsidR="00D3344B" w14:paraId="4D4FA37E" w14:textId="77777777">
        <w:trPr>
          <w:trHeight w:val="567"/>
          <w:jc w:val="center"/>
        </w:trPr>
        <w:tc>
          <w:tcPr>
            <w:tcW w:w="8931" w:type="dxa"/>
            <w:gridSpan w:val="3"/>
            <w:vAlign w:val="bottom"/>
          </w:tcPr>
          <w:p w14:paraId="3E9DF869" w14:textId="77777777" w:rsidR="00D3344B" w:rsidRDefault="00143C25">
            <w:pPr>
              <w:widowControl w:val="0"/>
              <w:spacing w:after="0" w:line="247" w:lineRule="auto"/>
              <w:ind w:right="3"/>
              <w:rPr>
                <w:rFonts w:ascii="Arial" w:hAnsi="Arial" w:cs="Arial"/>
                <w:b/>
                <w:sz w:val="24"/>
                <w:szCs w:val="24"/>
              </w:rPr>
            </w:pPr>
            <w:r>
              <w:rPr>
                <w:rFonts w:ascii="Arial" w:hAnsi="Arial" w:cs="Arial"/>
                <w:i/>
                <w:sz w:val="16"/>
                <w:szCs w:val="16"/>
              </w:rPr>
              <w:t>(</w:t>
            </w:r>
            <w:proofErr w:type="gramStart"/>
            <w:r>
              <w:rPr>
                <w:rFonts w:ascii="Arial" w:hAnsi="Arial" w:cs="Arial"/>
                <w:i/>
                <w:sz w:val="16"/>
                <w:szCs w:val="16"/>
              </w:rPr>
              <w:t>REFORMADO,  P.O.</w:t>
            </w:r>
            <w:proofErr w:type="gramEnd"/>
            <w:r>
              <w:rPr>
                <w:rFonts w:ascii="Arial" w:hAnsi="Arial" w:cs="Arial"/>
                <w:i/>
                <w:sz w:val="16"/>
                <w:szCs w:val="16"/>
              </w:rPr>
              <w:t xml:space="preserve"> 21 DE JUNIO DE 2021)</w:t>
            </w:r>
          </w:p>
        </w:tc>
      </w:tr>
      <w:tr w:rsidR="00D3344B" w14:paraId="0AEC0CC8" w14:textId="77777777">
        <w:trPr>
          <w:trHeight w:val="567"/>
          <w:jc w:val="center"/>
        </w:trPr>
        <w:tc>
          <w:tcPr>
            <w:tcW w:w="6480" w:type="dxa"/>
          </w:tcPr>
          <w:p w14:paraId="03400054" w14:textId="77777777" w:rsidR="00D3344B" w:rsidRDefault="00143C25">
            <w:pPr>
              <w:widowControl w:val="0"/>
              <w:rPr>
                <w:rFonts w:ascii="Arial" w:hAnsi="Arial" w:cs="Arial"/>
              </w:rPr>
            </w:pPr>
            <w:r>
              <w:rPr>
                <w:rFonts w:ascii="Arial" w:hAnsi="Arial" w:cs="Arial"/>
              </w:rPr>
              <w:t>a) Por expedición de licencias:</w:t>
            </w:r>
          </w:p>
        </w:tc>
        <w:tc>
          <w:tcPr>
            <w:tcW w:w="1173" w:type="dxa"/>
          </w:tcPr>
          <w:p w14:paraId="49594B0A" w14:textId="77777777" w:rsidR="00D3344B" w:rsidRDefault="00D3344B">
            <w:pPr>
              <w:widowControl w:val="0"/>
              <w:jc w:val="center"/>
              <w:rPr>
                <w:rFonts w:ascii="Arial" w:hAnsi="Arial" w:cs="Arial"/>
              </w:rPr>
            </w:pPr>
          </w:p>
        </w:tc>
        <w:tc>
          <w:tcPr>
            <w:tcW w:w="1278" w:type="dxa"/>
          </w:tcPr>
          <w:p w14:paraId="01A0A524" w14:textId="77777777" w:rsidR="00D3344B" w:rsidRDefault="00D3344B">
            <w:pPr>
              <w:widowControl w:val="0"/>
              <w:jc w:val="center"/>
              <w:rPr>
                <w:rFonts w:ascii="Arial" w:hAnsi="Arial" w:cs="Arial"/>
              </w:rPr>
            </w:pPr>
          </w:p>
        </w:tc>
      </w:tr>
      <w:tr w:rsidR="00D3344B" w14:paraId="07DCE8B7" w14:textId="77777777">
        <w:trPr>
          <w:trHeight w:val="567"/>
          <w:jc w:val="center"/>
        </w:trPr>
        <w:tc>
          <w:tcPr>
            <w:tcW w:w="6480" w:type="dxa"/>
          </w:tcPr>
          <w:p w14:paraId="1CB2F8B3" w14:textId="77777777" w:rsidR="00D3344B" w:rsidRDefault="00143C25">
            <w:pPr>
              <w:widowControl w:val="0"/>
              <w:ind w:left="351"/>
              <w:rPr>
                <w:rFonts w:ascii="Arial" w:hAnsi="Arial" w:cs="Arial"/>
              </w:rPr>
            </w:pPr>
            <w:r>
              <w:rPr>
                <w:rFonts w:ascii="Arial" w:hAnsi="Arial" w:cs="Arial"/>
              </w:rPr>
              <w:t>1. Bares y video-bares.</w:t>
            </w:r>
          </w:p>
        </w:tc>
        <w:tc>
          <w:tcPr>
            <w:tcW w:w="1173" w:type="dxa"/>
          </w:tcPr>
          <w:p w14:paraId="18FBB82B" w14:textId="77777777" w:rsidR="00D3344B" w:rsidRDefault="00143C25">
            <w:pPr>
              <w:widowControl w:val="0"/>
              <w:jc w:val="center"/>
              <w:rPr>
                <w:rFonts w:ascii="Arial" w:hAnsi="Arial" w:cs="Arial"/>
              </w:rPr>
            </w:pPr>
            <w:r>
              <w:rPr>
                <w:rFonts w:ascii="Arial" w:hAnsi="Arial" w:cs="Arial"/>
              </w:rPr>
              <w:t>300</w:t>
            </w:r>
          </w:p>
        </w:tc>
        <w:tc>
          <w:tcPr>
            <w:tcW w:w="1278" w:type="dxa"/>
          </w:tcPr>
          <w:p w14:paraId="0BD5103F" w14:textId="77777777" w:rsidR="00D3344B" w:rsidRDefault="00143C25">
            <w:pPr>
              <w:widowControl w:val="0"/>
              <w:jc w:val="center"/>
              <w:rPr>
                <w:rFonts w:ascii="Arial" w:hAnsi="Arial" w:cs="Arial"/>
              </w:rPr>
            </w:pPr>
            <w:r>
              <w:rPr>
                <w:rFonts w:ascii="Arial" w:hAnsi="Arial" w:cs="Arial"/>
              </w:rPr>
              <w:t>500</w:t>
            </w:r>
          </w:p>
        </w:tc>
      </w:tr>
      <w:tr w:rsidR="00D3344B" w14:paraId="5D74F7CF" w14:textId="77777777">
        <w:trPr>
          <w:trHeight w:val="567"/>
          <w:jc w:val="center"/>
        </w:trPr>
        <w:tc>
          <w:tcPr>
            <w:tcW w:w="6480" w:type="dxa"/>
          </w:tcPr>
          <w:p w14:paraId="40D86991" w14:textId="77777777" w:rsidR="00D3344B" w:rsidRDefault="00143C25">
            <w:pPr>
              <w:widowControl w:val="0"/>
              <w:ind w:left="351"/>
              <w:rPr>
                <w:rFonts w:ascii="Arial" w:hAnsi="Arial" w:cs="Arial"/>
              </w:rPr>
            </w:pPr>
            <w:r>
              <w:rPr>
                <w:rFonts w:ascii="Arial" w:hAnsi="Arial" w:cs="Arial"/>
              </w:rPr>
              <w:t xml:space="preserve">2. Cantinas y centros </w:t>
            </w:r>
            <w:proofErr w:type="spellStart"/>
            <w:r>
              <w:rPr>
                <w:rFonts w:ascii="Arial" w:hAnsi="Arial" w:cs="Arial"/>
              </w:rPr>
              <w:t>botaneros</w:t>
            </w:r>
            <w:proofErr w:type="spellEnd"/>
          </w:p>
        </w:tc>
        <w:tc>
          <w:tcPr>
            <w:tcW w:w="1173" w:type="dxa"/>
          </w:tcPr>
          <w:p w14:paraId="4956C0E5" w14:textId="77777777" w:rsidR="00D3344B" w:rsidRDefault="00143C25">
            <w:pPr>
              <w:widowControl w:val="0"/>
              <w:jc w:val="center"/>
              <w:rPr>
                <w:rFonts w:ascii="Arial" w:hAnsi="Arial" w:cs="Arial"/>
              </w:rPr>
            </w:pPr>
            <w:r>
              <w:rPr>
                <w:rFonts w:ascii="Arial" w:hAnsi="Arial" w:cs="Arial"/>
              </w:rPr>
              <w:t>250</w:t>
            </w:r>
          </w:p>
        </w:tc>
        <w:tc>
          <w:tcPr>
            <w:tcW w:w="1278" w:type="dxa"/>
          </w:tcPr>
          <w:p w14:paraId="2032F1DA" w14:textId="77777777" w:rsidR="00D3344B" w:rsidRDefault="00143C25">
            <w:pPr>
              <w:widowControl w:val="0"/>
              <w:jc w:val="center"/>
              <w:rPr>
                <w:rFonts w:ascii="Arial" w:hAnsi="Arial" w:cs="Arial"/>
              </w:rPr>
            </w:pPr>
            <w:r>
              <w:rPr>
                <w:rFonts w:ascii="Arial" w:hAnsi="Arial" w:cs="Arial"/>
              </w:rPr>
              <w:t>350</w:t>
            </w:r>
          </w:p>
        </w:tc>
      </w:tr>
      <w:tr w:rsidR="00D3344B" w14:paraId="14E613C6" w14:textId="77777777">
        <w:trPr>
          <w:trHeight w:val="567"/>
          <w:jc w:val="center"/>
        </w:trPr>
        <w:tc>
          <w:tcPr>
            <w:tcW w:w="6480" w:type="dxa"/>
            <w:vAlign w:val="center"/>
          </w:tcPr>
          <w:p w14:paraId="6B53A234" w14:textId="77777777" w:rsidR="00D3344B" w:rsidRDefault="00143C25">
            <w:pPr>
              <w:widowControl w:val="0"/>
              <w:ind w:left="351"/>
              <w:rPr>
                <w:rFonts w:ascii="Arial" w:hAnsi="Arial" w:cs="Arial"/>
              </w:rPr>
            </w:pPr>
            <w:r>
              <w:rPr>
                <w:rFonts w:ascii="Arial" w:hAnsi="Arial" w:cs="Arial"/>
              </w:rPr>
              <w:t>3. Discotecas.</w:t>
            </w:r>
          </w:p>
        </w:tc>
        <w:tc>
          <w:tcPr>
            <w:tcW w:w="1173" w:type="dxa"/>
          </w:tcPr>
          <w:p w14:paraId="02829536" w14:textId="77777777" w:rsidR="00D3344B" w:rsidRDefault="00143C25">
            <w:pPr>
              <w:widowControl w:val="0"/>
              <w:jc w:val="center"/>
              <w:rPr>
                <w:rFonts w:ascii="Arial" w:hAnsi="Arial" w:cs="Arial"/>
              </w:rPr>
            </w:pPr>
            <w:r>
              <w:rPr>
                <w:rFonts w:ascii="Arial" w:hAnsi="Arial" w:cs="Arial"/>
              </w:rPr>
              <w:t>250</w:t>
            </w:r>
          </w:p>
        </w:tc>
        <w:tc>
          <w:tcPr>
            <w:tcW w:w="1278" w:type="dxa"/>
          </w:tcPr>
          <w:p w14:paraId="66A2F6E1" w14:textId="77777777" w:rsidR="00D3344B" w:rsidRDefault="00143C25">
            <w:pPr>
              <w:widowControl w:val="0"/>
              <w:jc w:val="center"/>
              <w:rPr>
                <w:rFonts w:ascii="Arial" w:hAnsi="Arial" w:cs="Arial"/>
              </w:rPr>
            </w:pPr>
            <w:r>
              <w:rPr>
                <w:rFonts w:ascii="Arial" w:hAnsi="Arial" w:cs="Arial"/>
              </w:rPr>
              <w:t>800</w:t>
            </w:r>
          </w:p>
        </w:tc>
      </w:tr>
      <w:tr w:rsidR="00D3344B" w14:paraId="45EBF800" w14:textId="77777777">
        <w:trPr>
          <w:trHeight w:val="567"/>
          <w:jc w:val="center"/>
        </w:trPr>
        <w:tc>
          <w:tcPr>
            <w:tcW w:w="6480" w:type="dxa"/>
          </w:tcPr>
          <w:p w14:paraId="59914AFA" w14:textId="77777777" w:rsidR="00D3344B" w:rsidRDefault="00143C25">
            <w:pPr>
              <w:widowControl w:val="0"/>
              <w:ind w:left="351"/>
              <w:rPr>
                <w:rFonts w:ascii="Arial" w:hAnsi="Arial" w:cs="Arial"/>
              </w:rPr>
            </w:pPr>
            <w:r>
              <w:rPr>
                <w:rFonts w:ascii="Arial" w:hAnsi="Arial" w:cs="Arial"/>
              </w:rPr>
              <w:t>4. Cervecerías.</w:t>
            </w:r>
          </w:p>
        </w:tc>
        <w:tc>
          <w:tcPr>
            <w:tcW w:w="1173" w:type="dxa"/>
          </w:tcPr>
          <w:p w14:paraId="35F62D91" w14:textId="77777777" w:rsidR="00D3344B" w:rsidRDefault="00143C25">
            <w:pPr>
              <w:widowControl w:val="0"/>
              <w:jc w:val="center"/>
              <w:rPr>
                <w:rFonts w:ascii="Arial" w:hAnsi="Arial" w:cs="Arial"/>
              </w:rPr>
            </w:pPr>
            <w:r>
              <w:rPr>
                <w:rFonts w:ascii="Arial" w:hAnsi="Arial" w:cs="Arial"/>
              </w:rPr>
              <w:t>100</w:t>
            </w:r>
          </w:p>
        </w:tc>
        <w:tc>
          <w:tcPr>
            <w:tcW w:w="1278" w:type="dxa"/>
          </w:tcPr>
          <w:p w14:paraId="403ED7DC" w14:textId="77777777" w:rsidR="00D3344B" w:rsidRDefault="00143C25">
            <w:pPr>
              <w:widowControl w:val="0"/>
              <w:jc w:val="center"/>
              <w:rPr>
                <w:rFonts w:ascii="Arial" w:hAnsi="Arial" w:cs="Arial"/>
              </w:rPr>
            </w:pPr>
            <w:r>
              <w:rPr>
                <w:rFonts w:ascii="Arial" w:hAnsi="Arial" w:cs="Arial"/>
              </w:rPr>
              <w:t>300</w:t>
            </w:r>
          </w:p>
        </w:tc>
      </w:tr>
      <w:tr w:rsidR="00D3344B" w14:paraId="46514065" w14:textId="77777777">
        <w:trPr>
          <w:trHeight w:val="567"/>
          <w:jc w:val="center"/>
        </w:trPr>
        <w:tc>
          <w:tcPr>
            <w:tcW w:w="6480" w:type="dxa"/>
          </w:tcPr>
          <w:p w14:paraId="0895F31E" w14:textId="77777777" w:rsidR="00D3344B" w:rsidRDefault="00143C25">
            <w:pPr>
              <w:widowControl w:val="0"/>
              <w:ind w:left="351"/>
              <w:rPr>
                <w:rFonts w:ascii="Arial" w:hAnsi="Arial" w:cs="Arial"/>
              </w:rPr>
            </w:pPr>
            <w:r>
              <w:rPr>
                <w:rFonts w:ascii="Arial" w:hAnsi="Arial" w:cs="Arial"/>
              </w:rPr>
              <w:t>Cuando esta actividad se realice en forma esporádica.</w:t>
            </w:r>
          </w:p>
        </w:tc>
        <w:tc>
          <w:tcPr>
            <w:tcW w:w="1173" w:type="dxa"/>
          </w:tcPr>
          <w:p w14:paraId="7B9C7493" w14:textId="77777777" w:rsidR="00D3344B" w:rsidRDefault="00143C25">
            <w:pPr>
              <w:widowControl w:val="0"/>
              <w:jc w:val="center"/>
              <w:rPr>
                <w:rFonts w:ascii="Arial" w:hAnsi="Arial" w:cs="Arial"/>
              </w:rPr>
            </w:pPr>
            <w:r>
              <w:rPr>
                <w:rFonts w:ascii="Arial" w:hAnsi="Arial" w:cs="Arial"/>
              </w:rPr>
              <w:t>30</w:t>
            </w:r>
          </w:p>
        </w:tc>
        <w:tc>
          <w:tcPr>
            <w:tcW w:w="1278" w:type="dxa"/>
          </w:tcPr>
          <w:p w14:paraId="3C3131D3" w14:textId="77777777" w:rsidR="00D3344B" w:rsidRDefault="00143C25">
            <w:pPr>
              <w:widowControl w:val="0"/>
              <w:jc w:val="center"/>
              <w:rPr>
                <w:rFonts w:ascii="Arial" w:hAnsi="Arial" w:cs="Arial"/>
              </w:rPr>
            </w:pPr>
            <w:r>
              <w:rPr>
                <w:rFonts w:ascii="Arial" w:hAnsi="Arial" w:cs="Arial"/>
              </w:rPr>
              <w:t>100</w:t>
            </w:r>
          </w:p>
        </w:tc>
      </w:tr>
      <w:tr w:rsidR="00D3344B" w14:paraId="37AA8779" w14:textId="77777777">
        <w:trPr>
          <w:trHeight w:val="567"/>
          <w:jc w:val="center"/>
        </w:trPr>
        <w:tc>
          <w:tcPr>
            <w:tcW w:w="6480" w:type="dxa"/>
          </w:tcPr>
          <w:p w14:paraId="36204D3E" w14:textId="77777777" w:rsidR="00D3344B" w:rsidRDefault="00143C25">
            <w:pPr>
              <w:widowControl w:val="0"/>
              <w:ind w:left="351"/>
              <w:rPr>
                <w:rFonts w:ascii="Arial" w:hAnsi="Arial" w:cs="Arial"/>
              </w:rPr>
            </w:pPr>
            <w:r>
              <w:rPr>
                <w:rFonts w:ascii="Arial" w:hAnsi="Arial" w:cs="Arial"/>
              </w:rPr>
              <w:lastRenderedPageBreak/>
              <w:t>5. Cevicherías, ostionerías, y similares con venta de cerveza en alimentos.</w:t>
            </w:r>
          </w:p>
        </w:tc>
        <w:tc>
          <w:tcPr>
            <w:tcW w:w="1173" w:type="dxa"/>
          </w:tcPr>
          <w:p w14:paraId="1040023E" w14:textId="77777777" w:rsidR="00D3344B" w:rsidRDefault="00143C25">
            <w:pPr>
              <w:widowControl w:val="0"/>
              <w:jc w:val="center"/>
              <w:rPr>
                <w:rFonts w:ascii="Arial" w:hAnsi="Arial" w:cs="Arial"/>
              </w:rPr>
            </w:pPr>
            <w:r>
              <w:rPr>
                <w:rFonts w:ascii="Arial" w:hAnsi="Arial" w:cs="Arial"/>
              </w:rPr>
              <w:t>100</w:t>
            </w:r>
          </w:p>
        </w:tc>
        <w:tc>
          <w:tcPr>
            <w:tcW w:w="1278" w:type="dxa"/>
          </w:tcPr>
          <w:p w14:paraId="02A2B947" w14:textId="77777777" w:rsidR="00D3344B" w:rsidRDefault="00143C25">
            <w:pPr>
              <w:widowControl w:val="0"/>
              <w:jc w:val="center"/>
              <w:rPr>
                <w:rFonts w:ascii="Arial" w:hAnsi="Arial" w:cs="Arial"/>
              </w:rPr>
            </w:pPr>
            <w:r>
              <w:rPr>
                <w:rFonts w:ascii="Arial" w:hAnsi="Arial" w:cs="Arial"/>
              </w:rPr>
              <w:t>170</w:t>
            </w:r>
          </w:p>
        </w:tc>
      </w:tr>
      <w:tr w:rsidR="00D3344B" w14:paraId="6A5BBAD8" w14:textId="77777777">
        <w:trPr>
          <w:trHeight w:val="567"/>
          <w:jc w:val="center"/>
        </w:trPr>
        <w:tc>
          <w:tcPr>
            <w:tcW w:w="6480" w:type="dxa"/>
          </w:tcPr>
          <w:p w14:paraId="241C0D05" w14:textId="77777777" w:rsidR="00D3344B" w:rsidRDefault="00143C25">
            <w:pPr>
              <w:widowControl w:val="0"/>
              <w:ind w:left="351"/>
              <w:rPr>
                <w:rFonts w:ascii="Arial" w:hAnsi="Arial" w:cs="Arial"/>
              </w:rPr>
            </w:pPr>
            <w:r>
              <w:rPr>
                <w:rFonts w:ascii="Arial" w:hAnsi="Arial" w:cs="Arial"/>
              </w:rPr>
              <w:t>6. Cevicherías, ostionerías, y similares con venta de vinos y licores en alimentos.</w:t>
            </w:r>
          </w:p>
        </w:tc>
        <w:tc>
          <w:tcPr>
            <w:tcW w:w="1173" w:type="dxa"/>
          </w:tcPr>
          <w:p w14:paraId="632C3E0C" w14:textId="77777777" w:rsidR="00D3344B" w:rsidRDefault="00143C25">
            <w:pPr>
              <w:widowControl w:val="0"/>
              <w:jc w:val="center"/>
              <w:rPr>
                <w:rFonts w:ascii="Arial" w:hAnsi="Arial" w:cs="Arial"/>
              </w:rPr>
            </w:pPr>
            <w:r>
              <w:rPr>
                <w:rFonts w:ascii="Arial" w:hAnsi="Arial" w:cs="Arial"/>
              </w:rPr>
              <w:t>150</w:t>
            </w:r>
          </w:p>
        </w:tc>
        <w:tc>
          <w:tcPr>
            <w:tcW w:w="1278" w:type="dxa"/>
          </w:tcPr>
          <w:p w14:paraId="33554C45" w14:textId="77777777" w:rsidR="00D3344B" w:rsidRDefault="00143C25">
            <w:pPr>
              <w:widowControl w:val="0"/>
              <w:jc w:val="center"/>
              <w:rPr>
                <w:rFonts w:ascii="Arial" w:hAnsi="Arial" w:cs="Arial"/>
              </w:rPr>
            </w:pPr>
            <w:r>
              <w:rPr>
                <w:rFonts w:ascii="Arial" w:hAnsi="Arial" w:cs="Arial"/>
              </w:rPr>
              <w:t>250</w:t>
            </w:r>
          </w:p>
        </w:tc>
      </w:tr>
      <w:tr w:rsidR="00D3344B" w14:paraId="784D302C" w14:textId="77777777">
        <w:trPr>
          <w:trHeight w:val="567"/>
          <w:jc w:val="center"/>
        </w:trPr>
        <w:tc>
          <w:tcPr>
            <w:tcW w:w="6480" w:type="dxa"/>
          </w:tcPr>
          <w:p w14:paraId="5C1BF11F" w14:textId="77777777" w:rsidR="00D3344B" w:rsidRDefault="00143C25">
            <w:pPr>
              <w:widowControl w:val="0"/>
              <w:ind w:left="351"/>
              <w:rPr>
                <w:rFonts w:ascii="Arial" w:hAnsi="Arial" w:cs="Arial"/>
              </w:rPr>
            </w:pPr>
            <w:r>
              <w:rPr>
                <w:rFonts w:ascii="Arial" w:hAnsi="Arial" w:cs="Arial"/>
              </w:rPr>
              <w:t>7. Fondas con venta de cerveza en los alimentos.</w:t>
            </w:r>
          </w:p>
        </w:tc>
        <w:tc>
          <w:tcPr>
            <w:tcW w:w="1173" w:type="dxa"/>
          </w:tcPr>
          <w:p w14:paraId="36FE0762" w14:textId="77777777" w:rsidR="00D3344B" w:rsidRDefault="00143C25">
            <w:pPr>
              <w:widowControl w:val="0"/>
              <w:jc w:val="center"/>
              <w:rPr>
                <w:rFonts w:ascii="Arial" w:hAnsi="Arial" w:cs="Arial"/>
              </w:rPr>
            </w:pPr>
            <w:r>
              <w:rPr>
                <w:rFonts w:ascii="Arial" w:hAnsi="Arial" w:cs="Arial"/>
              </w:rPr>
              <w:t>30</w:t>
            </w:r>
          </w:p>
        </w:tc>
        <w:tc>
          <w:tcPr>
            <w:tcW w:w="1278" w:type="dxa"/>
          </w:tcPr>
          <w:p w14:paraId="4A6DFB44" w14:textId="77777777" w:rsidR="00D3344B" w:rsidRDefault="00143C25">
            <w:pPr>
              <w:widowControl w:val="0"/>
              <w:jc w:val="center"/>
              <w:rPr>
                <w:rFonts w:ascii="Arial" w:hAnsi="Arial" w:cs="Arial"/>
              </w:rPr>
            </w:pPr>
            <w:r>
              <w:rPr>
                <w:rFonts w:ascii="Arial" w:hAnsi="Arial" w:cs="Arial"/>
              </w:rPr>
              <w:t>80</w:t>
            </w:r>
          </w:p>
        </w:tc>
      </w:tr>
      <w:tr w:rsidR="00D3344B" w14:paraId="1A2476F2" w14:textId="77777777">
        <w:trPr>
          <w:trHeight w:val="567"/>
          <w:jc w:val="center"/>
        </w:trPr>
        <w:tc>
          <w:tcPr>
            <w:tcW w:w="6480" w:type="dxa"/>
          </w:tcPr>
          <w:p w14:paraId="443E0B55" w14:textId="77777777" w:rsidR="00D3344B" w:rsidRDefault="00143C25">
            <w:pPr>
              <w:widowControl w:val="0"/>
              <w:ind w:left="351"/>
              <w:rPr>
                <w:rFonts w:ascii="Arial" w:hAnsi="Arial" w:cs="Arial"/>
              </w:rPr>
            </w:pPr>
            <w:r>
              <w:rPr>
                <w:rFonts w:ascii="Arial" w:hAnsi="Arial" w:cs="Arial"/>
              </w:rPr>
              <w:t xml:space="preserve">8. Loncherías, taquerías, torterías, </w:t>
            </w:r>
            <w:proofErr w:type="spellStart"/>
            <w:r>
              <w:rPr>
                <w:rFonts w:ascii="Arial" w:hAnsi="Arial" w:cs="Arial"/>
              </w:rPr>
              <w:t>pozolerías</w:t>
            </w:r>
            <w:proofErr w:type="spellEnd"/>
            <w:r>
              <w:rPr>
                <w:rFonts w:ascii="Arial" w:hAnsi="Arial" w:cs="Arial"/>
              </w:rPr>
              <w:t xml:space="preserve"> y antojitos con venta de cerveza en alimentos.</w:t>
            </w:r>
          </w:p>
        </w:tc>
        <w:tc>
          <w:tcPr>
            <w:tcW w:w="1173" w:type="dxa"/>
          </w:tcPr>
          <w:p w14:paraId="1B45A5C1" w14:textId="77777777" w:rsidR="00D3344B" w:rsidRDefault="00143C25">
            <w:pPr>
              <w:widowControl w:val="0"/>
              <w:jc w:val="center"/>
              <w:rPr>
                <w:rFonts w:ascii="Arial" w:hAnsi="Arial" w:cs="Arial"/>
              </w:rPr>
            </w:pPr>
            <w:r>
              <w:rPr>
                <w:rFonts w:ascii="Arial" w:hAnsi="Arial" w:cs="Arial"/>
              </w:rPr>
              <w:t>30</w:t>
            </w:r>
          </w:p>
        </w:tc>
        <w:tc>
          <w:tcPr>
            <w:tcW w:w="1278" w:type="dxa"/>
          </w:tcPr>
          <w:p w14:paraId="59F4A9D7" w14:textId="77777777" w:rsidR="00D3344B" w:rsidRDefault="00143C25">
            <w:pPr>
              <w:widowControl w:val="0"/>
              <w:jc w:val="center"/>
              <w:rPr>
                <w:rFonts w:ascii="Arial" w:hAnsi="Arial" w:cs="Arial"/>
              </w:rPr>
            </w:pPr>
            <w:r>
              <w:rPr>
                <w:rFonts w:ascii="Arial" w:hAnsi="Arial" w:cs="Arial"/>
              </w:rPr>
              <w:t>80</w:t>
            </w:r>
          </w:p>
        </w:tc>
      </w:tr>
      <w:tr w:rsidR="00D3344B" w14:paraId="2B34C845" w14:textId="77777777">
        <w:trPr>
          <w:trHeight w:val="567"/>
          <w:jc w:val="center"/>
        </w:trPr>
        <w:tc>
          <w:tcPr>
            <w:tcW w:w="6480" w:type="dxa"/>
          </w:tcPr>
          <w:p w14:paraId="03F3F397" w14:textId="77777777" w:rsidR="00D3344B" w:rsidRDefault="00143C25">
            <w:pPr>
              <w:widowControl w:val="0"/>
              <w:ind w:left="351"/>
              <w:rPr>
                <w:rFonts w:ascii="Arial" w:hAnsi="Arial" w:cs="Arial"/>
              </w:rPr>
            </w:pPr>
            <w:r>
              <w:rPr>
                <w:rFonts w:ascii="Arial" w:hAnsi="Arial" w:cs="Arial"/>
              </w:rPr>
              <w:t>9. Restaurantes con servicio de bar.</w:t>
            </w:r>
          </w:p>
        </w:tc>
        <w:tc>
          <w:tcPr>
            <w:tcW w:w="1173" w:type="dxa"/>
          </w:tcPr>
          <w:p w14:paraId="40D49AE2" w14:textId="77777777" w:rsidR="00D3344B" w:rsidRDefault="00143C25">
            <w:pPr>
              <w:widowControl w:val="0"/>
              <w:jc w:val="center"/>
              <w:rPr>
                <w:rFonts w:ascii="Arial" w:hAnsi="Arial" w:cs="Arial"/>
              </w:rPr>
            </w:pPr>
            <w:r>
              <w:rPr>
                <w:rFonts w:ascii="Arial" w:hAnsi="Arial" w:cs="Arial"/>
              </w:rPr>
              <w:t>300</w:t>
            </w:r>
          </w:p>
        </w:tc>
        <w:tc>
          <w:tcPr>
            <w:tcW w:w="1278" w:type="dxa"/>
          </w:tcPr>
          <w:p w14:paraId="37469E54" w14:textId="77777777" w:rsidR="00D3344B" w:rsidRDefault="00143C25">
            <w:pPr>
              <w:widowControl w:val="0"/>
              <w:jc w:val="center"/>
              <w:rPr>
                <w:rFonts w:ascii="Arial" w:hAnsi="Arial" w:cs="Arial"/>
              </w:rPr>
            </w:pPr>
            <w:r>
              <w:rPr>
                <w:rFonts w:ascii="Arial" w:hAnsi="Arial" w:cs="Arial"/>
              </w:rPr>
              <w:t>500</w:t>
            </w:r>
          </w:p>
        </w:tc>
      </w:tr>
      <w:tr w:rsidR="00D3344B" w14:paraId="4B77C29F" w14:textId="77777777">
        <w:trPr>
          <w:trHeight w:val="567"/>
          <w:jc w:val="center"/>
        </w:trPr>
        <w:tc>
          <w:tcPr>
            <w:tcW w:w="6480" w:type="dxa"/>
          </w:tcPr>
          <w:p w14:paraId="22F3CB0C" w14:textId="77777777" w:rsidR="00D3344B" w:rsidRDefault="00143C25">
            <w:pPr>
              <w:widowControl w:val="0"/>
              <w:ind w:left="351"/>
              <w:rPr>
                <w:rFonts w:ascii="Arial" w:hAnsi="Arial" w:cs="Arial"/>
              </w:rPr>
            </w:pPr>
            <w:r>
              <w:rPr>
                <w:rFonts w:ascii="Arial" w:hAnsi="Arial" w:cs="Arial"/>
              </w:rPr>
              <w:t>10. Billares con venta de cerveza.</w:t>
            </w:r>
          </w:p>
        </w:tc>
        <w:tc>
          <w:tcPr>
            <w:tcW w:w="1173" w:type="dxa"/>
          </w:tcPr>
          <w:p w14:paraId="7DC145E0" w14:textId="77777777" w:rsidR="00D3344B" w:rsidRDefault="00143C25">
            <w:pPr>
              <w:widowControl w:val="0"/>
              <w:jc w:val="center"/>
              <w:rPr>
                <w:rFonts w:ascii="Arial" w:hAnsi="Arial" w:cs="Arial"/>
              </w:rPr>
            </w:pPr>
            <w:r>
              <w:rPr>
                <w:rFonts w:ascii="Arial" w:hAnsi="Arial" w:cs="Arial"/>
              </w:rPr>
              <w:t>50</w:t>
            </w:r>
          </w:p>
        </w:tc>
        <w:tc>
          <w:tcPr>
            <w:tcW w:w="1278" w:type="dxa"/>
          </w:tcPr>
          <w:p w14:paraId="7AA29D41" w14:textId="77777777" w:rsidR="00D3344B" w:rsidRDefault="00143C25">
            <w:pPr>
              <w:widowControl w:val="0"/>
              <w:jc w:val="center"/>
              <w:rPr>
                <w:rFonts w:ascii="Arial" w:hAnsi="Arial" w:cs="Arial"/>
              </w:rPr>
            </w:pPr>
            <w:r>
              <w:rPr>
                <w:rFonts w:ascii="Arial" w:hAnsi="Arial" w:cs="Arial"/>
              </w:rPr>
              <w:t>300</w:t>
            </w:r>
          </w:p>
        </w:tc>
      </w:tr>
      <w:tr w:rsidR="00D3344B" w14:paraId="58D8E9DD" w14:textId="77777777">
        <w:trPr>
          <w:trHeight w:val="567"/>
          <w:jc w:val="center"/>
        </w:trPr>
        <w:tc>
          <w:tcPr>
            <w:tcW w:w="6480" w:type="dxa"/>
          </w:tcPr>
          <w:p w14:paraId="4C7218EA" w14:textId="77777777" w:rsidR="00D3344B" w:rsidRDefault="00143C25">
            <w:pPr>
              <w:widowControl w:val="0"/>
              <w:ind w:left="351"/>
              <w:rPr>
                <w:rFonts w:ascii="Arial" w:hAnsi="Arial" w:cs="Arial"/>
              </w:rPr>
            </w:pPr>
            <w:r>
              <w:rPr>
                <w:rFonts w:ascii="Arial" w:hAnsi="Arial" w:cs="Arial"/>
              </w:rPr>
              <w:t>11. Salón con servicio de vinos y licores.</w:t>
            </w:r>
          </w:p>
        </w:tc>
        <w:tc>
          <w:tcPr>
            <w:tcW w:w="1173" w:type="dxa"/>
          </w:tcPr>
          <w:p w14:paraId="5032A9F7" w14:textId="77777777" w:rsidR="00D3344B" w:rsidRDefault="00143C25">
            <w:pPr>
              <w:widowControl w:val="0"/>
              <w:jc w:val="center"/>
              <w:rPr>
                <w:rFonts w:ascii="Arial" w:hAnsi="Arial" w:cs="Arial"/>
              </w:rPr>
            </w:pPr>
            <w:r>
              <w:rPr>
                <w:rFonts w:ascii="Arial" w:hAnsi="Arial" w:cs="Arial"/>
              </w:rPr>
              <w:t>350</w:t>
            </w:r>
          </w:p>
        </w:tc>
        <w:tc>
          <w:tcPr>
            <w:tcW w:w="1278" w:type="dxa"/>
          </w:tcPr>
          <w:p w14:paraId="42AF4438" w14:textId="77777777" w:rsidR="00D3344B" w:rsidRDefault="00143C25">
            <w:pPr>
              <w:widowControl w:val="0"/>
              <w:jc w:val="center"/>
              <w:rPr>
                <w:rFonts w:ascii="Arial" w:hAnsi="Arial" w:cs="Arial"/>
              </w:rPr>
            </w:pPr>
            <w:r>
              <w:rPr>
                <w:rFonts w:ascii="Arial" w:hAnsi="Arial" w:cs="Arial"/>
              </w:rPr>
              <w:t>500</w:t>
            </w:r>
          </w:p>
        </w:tc>
      </w:tr>
      <w:tr w:rsidR="00D3344B" w14:paraId="58858E1C" w14:textId="77777777">
        <w:trPr>
          <w:trHeight w:val="567"/>
          <w:jc w:val="center"/>
        </w:trPr>
        <w:tc>
          <w:tcPr>
            <w:tcW w:w="6480" w:type="dxa"/>
          </w:tcPr>
          <w:p w14:paraId="1490B51B" w14:textId="77777777" w:rsidR="00D3344B" w:rsidRDefault="00143C25">
            <w:pPr>
              <w:widowControl w:val="0"/>
              <w:ind w:left="351"/>
              <w:rPr>
                <w:rFonts w:ascii="Arial" w:hAnsi="Arial" w:cs="Arial"/>
              </w:rPr>
            </w:pPr>
            <w:r>
              <w:rPr>
                <w:rFonts w:ascii="Arial" w:hAnsi="Arial" w:cs="Arial"/>
              </w:rPr>
              <w:t>12. Motel con venta de vinos y licores.</w:t>
            </w:r>
          </w:p>
        </w:tc>
        <w:tc>
          <w:tcPr>
            <w:tcW w:w="1173" w:type="dxa"/>
          </w:tcPr>
          <w:p w14:paraId="0E807CEA" w14:textId="77777777" w:rsidR="00D3344B" w:rsidRDefault="00143C25">
            <w:pPr>
              <w:widowControl w:val="0"/>
              <w:jc w:val="center"/>
              <w:rPr>
                <w:rFonts w:ascii="Arial" w:hAnsi="Arial" w:cs="Arial"/>
              </w:rPr>
            </w:pPr>
            <w:r>
              <w:rPr>
                <w:rFonts w:ascii="Arial" w:hAnsi="Arial" w:cs="Arial"/>
              </w:rPr>
              <w:t>400</w:t>
            </w:r>
          </w:p>
        </w:tc>
        <w:tc>
          <w:tcPr>
            <w:tcW w:w="1278" w:type="dxa"/>
          </w:tcPr>
          <w:p w14:paraId="7244E802" w14:textId="77777777" w:rsidR="00D3344B" w:rsidRDefault="00143C25">
            <w:pPr>
              <w:widowControl w:val="0"/>
              <w:jc w:val="center"/>
              <w:rPr>
                <w:rFonts w:ascii="Arial" w:hAnsi="Arial" w:cs="Arial"/>
              </w:rPr>
            </w:pPr>
            <w:r>
              <w:rPr>
                <w:rFonts w:ascii="Arial" w:hAnsi="Arial" w:cs="Arial"/>
              </w:rPr>
              <w:t>500</w:t>
            </w:r>
          </w:p>
        </w:tc>
      </w:tr>
      <w:tr w:rsidR="00D3344B" w14:paraId="2DE2186D" w14:textId="77777777">
        <w:trPr>
          <w:trHeight w:val="567"/>
          <w:jc w:val="center"/>
        </w:trPr>
        <w:tc>
          <w:tcPr>
            <w:tcW w:w="6480" w:type="dxa"/>
          </w:tcPr>
          <w:p w14:paraId="16A9ABE7" w14:textId="77777777" w:rsidR="00D3344B" w:rsidRDefault="00143C25">
            <w:pPr>
              <w:widowControl w:val="0"/>
              <w:ind w:left="351"/>
              <w:rPr>
                <w:rFonts w:ascii="Arial" w:hAnsi="Arial" w:cs="Arial"/>
              </w:rPr>
            </w:pPr>
            <w:r>
              <w:rPr>
                <w:rFonts w:ascii="Arial" w:hAnsi="Arial" w:cs="Arial"/>
              </w:rPr>
              <w:t>13. Hotel con venta de vinos y licores.</w:t>
            </w:r>
          </w:p>
        </w:tc>
        <w:tc>
          <w:tcPr>
            <w:tcW w:w="1173" w:type="dxa"/>
          </w:tcPr>
          <w:p w14:paraId="06348DB2" w14:textId="77777777" w:rsidR="00D3344B" w:rsidRDefault="00143C25">
            <w:pPr>
              <w:widowControl w:val="0"/>
              <w:jc w:val="center"/>
              <w:rPr>
                <w:rFonts w:ascii="Arial" w:hAnsi="Arial" w:cs="Arial"/>
              </w:rPr>
            </w:pPr>
            <w:r>
              <w:rPr>
                <w:rFonts w:ascii="Arial" w:hAnsi="Arial" w:cs="Arial"/>
              </w:rPr>
              <w:t>450</w:t>
            </w:r>
          </w:p>
        </w:tc>
        <w:tc>
          <w:tcPr>
            <w:tcW w:w="1278" w:type="dxa"/>
          </w:tcPr>
          <w:p w14:paraId="292C91CC" w14:textId="77777777" w:rsidR="00D3344B" w:rsidRDefault="00143C25">
            <w:pPr>
              <w:widowControl w:val="0"/>
              <w:jc w:val="center"/>
              <w:rPr>
                <w:rFonts w:ascii="Arial" w:hAnsi="Arial" w:cs="Arial"/>
              </w:rPr>
            </w:pPr>
            <w:r>
              <w:rPr>
                <w:rFonts w:ascii="Arial" w:hAnsi="Arial" w:cs="Arial"/>
              </w:rPr>
              <w:t>550</w:t>
            </w:r>
          </w:p>
        </w:tc>
      </w:tr>
      <w:tr w:rsidR="00D3344B" w14:paraId="3F6E8E80" w14:textId="77777777">
        <w:trPr>
          <w:trHeight w:val="567"/>
          <w:jc w:val="center"/>
        </w:trPr>
        <w:tc>
          <w:tcPr>
            <w:tcW w:w="6480" w:type="dxa"/>
          </w:tcPr>
          <w:p w14:paraId="55CFD4DA" w14:textId="77777777" w:rsidR="00D3344B" w:rsidRDefault="00143C25">
            <w:pPr>
              <w:widowControl w:val="0"/>
              <w:ind w:left="351"/>
              <w:rPr>
                <w:rFonts w:ascii="Arial" w:hAnsi="Arial" w:cs="Arial"/>
              </w:rPr>
            </w:pPr>
            <w:r>
              <w:rPr>
                <w:rFonts w:ascii="Arial" w:hAnsi="Arial" w:cs="Arial"/>
              </w:rPr>
              <w:t>14. Pulquerías.</w:t>
            </w:r>
          </w:p>
        </w:tc>
        <w:tc>
          <w:tcPr>
            <w:tcW w:w="1173" w:type="dxa"/>
          </w:tcPr>
          <w:p w14:paraId="2125A56F" w14:textId="77777777" w:rsidR="00D3344B" w:rsidRDefault="00143C25">
            <w:pPr>
              <w:widowControl w:val="0"/>
              <w:jc w:val="center"/>
              <w:rPr>
                <w:rFonts w:ascii="Arial" w:hAnsi="Arial" w:cs="Arial"/>
              </w:rPr>
            </w:pPr>
            <w:r>
              <w:rPr>
                <w:rFonts w:ascii="Arial" w:hAnsi="Arial" w:cs="Arial"/>
              </w:rPr>
              <w:t>60</w:t>
            </w:r>
          </w:p>
        </w:tc>
        <w:tc>
          <w:tcPr>
            <w:tcW w:w="1278" w:type="dxa"/>
          </w:tcPr>
          <w:p w14:paraId="3C485EED" w14:textId="77777777" w:rsidR="00D3344B" w:rsidRDefault="00143C25">
            <w:pPr>
              <w:widowControl w:val="0"/>
              <w:jc w:val="center"/>
              <w:rPr>
                <w:rFonts w:ascii="Arial" w:hAnsi="Arial" w:cs="Arial"/>
              </w:rPr>
            </w:pPr>
            <w:r>
              <w:rPr>
                <w:rFonts w:ascii="Arial" w:hAnsi="Arial" w:cs="Arial"/>
              </w:rPr>
              <w:t>120</w:t>
            </w:r>
          </w:p>
        </w:tc>
      </w:tr>
      <w:tr w:rsidR="00D3344B" w14:paraId="7D3A34A9" w14:textId="77777777">
        <w:trPr>
          <w:trHeight w:val="567"/>
          <w:jc w:val="center"/>
        </w:trPr>
        <w:tc>
          <w:tcPr>
            <w:tcW w:w="6480" w:type="dxa"/>
          </w:tcPr>
          <w:p w14:paraId="0F5DADA1" w14:textId="77777777" w:rsidR="00D3344B" w:rsidRDefault="00143C25">
            <w:pPr>
              <w:widowControl w:val="0"/>
              <w:ind w:left="351"/>
              <w:rPr>
                <w:rFonts w:ascii="Arial" w:hAnsi="Arial" w:cs="Arial"/>
              </w:rPr>
            </w:pPr>
            <w:r>
              <w:rPr>
                <w:rFonts w:ascii="Arial" w:hAnsi="Arial" w:cs="Arial"/>
              </w:rPr>
              <w:t>15. Salón con centro de espectáculo.</w:t>
            </w:r>
          </w:p>
        </w:tc>
        <w:tc>
          <w:tcPr>
            <w:tcW w:w="1173" w:type="dxa"/>
          </w:tcPr>
          <w:p w14:paraId="17DAA6E6" w14:textId="77777777" w:rsidR="00D3344B" w:rsidRDefault="00143C25">
            <w:pPr>
              <w:widowControl w:val="0"/>
              <w:jc w:val="center"/>
              <w:rPr>
                <w:rFonts w:ascii="Arial" w:hAnsi="Arial" w:cs="Arial"/>
              </w:rPr>
            </w:pPr>
            <w:r>
              <w:rPr>
                <w:rFonts w:ascii="Arial" w:hAnsi="Arial" w:cs="Arial"/>
              </w:rPr>
              <w:t>1,300</w:t>
            </w:r>
          </w:p>
        </w:tc>
        <w:tc>
          <w:tcPr>
            <w:tcW w:w="1278" w:type="dxa"/>
          </w:tcPr>
          <w:p w14:paraId="3A417BE1" w14:textId="77777777" w:rsidR="00D3344B" w:rsidRDefault="00143C25">
            <w:pPr>
              <w:widowControl w:val="0"/>
              <w:jc w:val="center"/>
              <w:rPr>
                <w:rFonts w:ascii="Arial" w:hAnsi="Arial" w:cs="Arial"/>
              </w:rPr>
            </w:pPr>
            <w:r>
              <w:rPr>
                <w:rFonts w:ascii="Arial" w:hAnsi="Arial" w:cs="Arial"/>
              </w:rPr>
              <w:t>1,500</w:t>
            </w:r>
          </w:p>
        </w:tc>
      </w:tr>
      <w:tr w:rsidR="00D3344B" w14:paraId="59BF39BF" w14:textId="77777777">
        <w:trPr>
          <w:trHeight w:val="567"/>
          <w:jc w:val="center"/>
        </w:trPr>
        <w:tc>
          <w:tcPr>
            <w:tcW w:w="6480" w:type="dxa"/>
          </w:tcPr>
          <w:p w14:paraId="3D033400" w14:textId="77777777" w:rsidR="00D3344B" w:rsidRDefault="00143C25">
            <w:pPr>
              <w:widowControl w:val="0"/>
              <w:ind w:left="351"/>
              <w:rPr>
                <w:rFonts w:ascii="Arial" w:hAnsi="Arial" w:cs="Arial"/>
              </w:rPr>
            </w:pPr>
            <w:r>
              <w:rPr>
                <w:rFonts w:ascii="Arial" w:hAnsi="Arial" w:cs="Arial"/>
              </w:rPr>
              <w:t>16. Café Bar</w:t>
            </w:r>
          </w:p>
        </w:tc>
        <w:tc>
          <w:tcPr>
            <w:tcW w:w="1173" w:type="dxa"/>
          </w:tcPr>
          <w:p w14:paraId="3EEEC089" w14:textId="77777777" w:rsidR="00D3344B" w:rsidRDefault="00143C25">
            <w:pPr>
              <w:widowControl w:val="0"/>
              <w:jc w:val="center"/>
              <w:rPr>
                <w:rFonts w:ascii="Arial" w:hAnsi="Arial" w:cs="Arial"/>
              </w:rPr>
            </w:pPr>
            <w:r>
              <w:rPr>
                <w:rFonts w:ascii="Arial" w:hAnsi="Arial" w:cs="Arial"/>
              </w:rPr>
              <w:t>50</w:t>
            </w:r>
          </w:p>
        </w:tc>
        <w:tc>
          <w:tcPr>
            <w:tcW w:w="1278" w:type="dxa"/>
          </w:tcPr>
          <w:p w14:paraId="685D2E1F" w14:textId="77777777" w:rsidR="00D3344B" w:rsidRDefault="00143C25">
            <w:pPr>
              <w:widowControl w:val="0"/>
              <w:jc w:val="center"/>
              <w:rPr>
                <w:rFonts w:ascii="Arial" w:hAnsi="Arial" w:cs="Arial"/>
              </w:rPr>
            </w:pPr>
            <w:r>
              <w:rPr>
                <w:rFonts w:ascii="Arial" w:hAnsi="Arial" w:cs="Arial"/>
              </w:rPr>
              <w:t>100</w:t>
            </w:r>
          </w:p>
        </w:tc>
      </w:tr>
      <w:tr w:rsidR="00D3344B" w14:paraId="0F0047CE" w14:textId="77777777">
        <w:trPr>
          <w:trHeight w:val="567"/>
          <w:jc w:val="center"/>
        </w:trPr>
        <w:tc>
          <w:tcPr>
            <w:tcW w:w="6480" w:type="dxa"/>
          </w:tcPr>
          <w:p w14:paraId="1817301A" w14:textId="77777777" w:rsidR="00D3344B" w:rsidRDefault="00143C25">
            <w:pPr>
              <w:widowControl w:val="0"/>
              <w:ind w:left="351"/>
              <w:rPr>
                <w:rFonts w:ascii="Arial" w:hAnsi="Arial" w:cs="Arial"/>
              </w:rPr>
            </w:pPr>
            <w:r>
              <w:rPr>
                <w:rFonts w:ascii="Arial" w:hAnsi="Arial" w:cs="Arial"/>
              </w:rPr>
              <w:t>17. Pizzería con venta de cerveza</w:t>
            </w:r>
          </w:p>
        </w:tc>
        <w:tc>
          <w:tcPr>
            <w:tcW w:w="1173" w:type="dxa"/>
          </w:tcPr>
          <w:p w14:paraId="4C9D1582" w14:textId="77777777" w:rsidR="00D3344B" w:rsidRDefault="00143C25">
            <w:pPr>
              <w:widowControl w:val="0"/>
              <w:jc w:val="center"/>
              <w:rPr>
                <w:rFonts w:ascii="Arial" w:hAnsi="Arial" w:cs="Arial"/>
              </w:rPr>
            </w:pPr>
            <w:r>
              <w:rPr>
                <w:rFonts w:ascii="Arial" w:hAnsi="Arial" w:cs="Arial"/>
              </w:rPr>
              <w:t>50</w:t>
            </w:r>
          </w:p>
        </w:tc>
        <w:tc>
          <w:tcPr>
            <w:tcW w:w="1278" w:type="dxa"/>
          </w:tcPr>
          <w:p w14:paraId="414F01AE" w14:textId="77777777" w:rsidR="00D3344B" w:rsidRDefault="00143C25">
            <w:pPr>
              <w:widowControl w:val="0"/>
              <w:jc w:val="center"/>
              <w:rPr>
                <w:rFonts w:ascii="Arial" w:hAnsi="Arial" w:cs="Arial"/>
              </w:rPr>
            </w:pPr>
            <w:r>
              <w:rPr>
                <w:rFonts w:ascii="Arial" w:hAnsi="Arial" w:cs="Arial"/>
              </w:rPr>
              <w:t>100</w:t>
            </w:r>
          </w:p>
        </w:tc>
      </w:tr>
      <w:tr w:rsidR="00D3344B" w14:paraId="36A2C13E" w14:textId="77777777">
        <w:trPr>
          <w:trHeight w:val="567"/>
          <w:jc w:val="center"/>
        </w:trPr>
        <w:tc>
          <w:tcPr>
            <w:tcW w:w="6480" w:type="dxa"/>
          </w:tcPr>
          <w:p w14:paraId="18CF6A47" w14:textId="77777777" w:rsidR="00D3344B" w:rsidRDefault="00143C25">
            <w:pPr>
              <w:widowControl w:val="0"/>
              <w:ind w:left="351"/>
              <w:rPr>
                <w:rFonts w:ascii="Arial" w:hAnsi="Arial" w:cs="Arial"/>
              </w:rPr>
            </w:pPr>
            <w:r>
              <w:rPr>
                <w:rFonts w:ascii="Arial" w:hAnsi="Arial" w:cs="Arial"/>
              </w:rPr>
              <w:t>18. Canta bar</w:t>
            </w:r>
          </w:p>
        </w:tc>
        <w:tc>
          <w:tcPr>
            <w:tcW w:w="1173" w:type="dxa"/>
          </w:tcPr>
          <w:p w14:paraId="682CE15C" w14:textId="77777777" w:rsidR="00D3344B" w:rsidRDefault="00143C25">
            <w:pPr>
              <w:widowControl w:val="0"/>
              <w:jc w:val="center"/>
              <w:rPr>
                <w:rFonts w:ascii="Arial" w:hAnsi="Arial" w:cs="Arial"/>
              </w:rPr>
            </w:pPr>
            <w:r>
              <w:rPr>
                <w:rFonts w:ascii="Arial" w:hAnsi="Arial" w:cs="Arial"/>
              </w:rPr>
              <w:t>300</w:t>
            </w:r>
          </w:p>
        </w:tc>
        <w:tc>
          <w:tcPr>
            <w:tcW w:w="1278" w:type="dxa"/>
          </w:tcPr>
          <w:p w14:paraId="1CCE6FC6" w14:textId="77777777" w:rsidR="00D3344B" w:rsidRDefault="00143C25">
            <w:pPr>
              <w:widowControl w:val="0"/>
              <w:jc w:val="center"/>
              <w:rPr>
                <w:rFonts w:ascii="Arial" w:hAnsi="Arial" w:cs="Arial"/>
              </w:rPr>
            </w:pPr>
            <w:r>
              <w:rPr>
                <w:rFonts w:ascii="Arial" w:hAnsi="Arial" w:cs="Arial"/>
              </w:rPr>
              <w:t>500</w:t>
            </w:r>
          </w:p>
        </w:tc>
      </w:tr>
      <w:tr w:rsidR="00D3344B" w14:paraId="125660AB" w14:textId="77777777">
        <w:trPr>
          <w:trHeight w:val="567"/>
          <w:jc w:val="center"/>
        </w:trPr>
        <w:tc>
          <w:tcPr>
            <w:tcW w:w="6480" w:type="dxa"/>
          </w:tcPr>
          <w:p w14:paraId="1CDC37D9" w14:textId="77777777" w:rsidR="00D3344B" w:rsidRDefault="00143C25">
            <w:pPr>
              <w:widowControl w:val="0"/>
              <w:ind w:left="351"/>
              <w:rPr>
                <w:rFonts w:ascii="Arial" w:hAnsi="Arial" w:cs="Arial"/>
              </w:rPr>
            </w:pPr>
            <w:r>
              <w:rPr>
                <w:rFonts w:ascii="Arial" w:hAnsi="Arial" w:cs="Arial"/>
              </w:rPr>
              <w:t>19. Cabaret y Centro Nocturno</w:t>
            </w:r>
          </w:p>
        </w:tc>
        <w:tc>
          <w:tcPr>
            <w:tcW w:w="1173" w:type="dxa"/>
          </w:tcPr>
          <w:p w14:paraId="47574EE2" w14:textId="77777777" w:rsidR="00D3344B" w:rsidRDefault="00143C25">
            <w:pPr>
              <w:widowControl w:val="0"/>
              <w:jc w:val="center"/>
              <w:rPr>
                <w:rFonts w:ascii="Arial" w:hAnsi="Arial" w:cs="Arial"/>
              </w:rPr>
            </w:pPr>
            <w:r>
              <w:rPr>
                <w:rFonts w:ascii="Arial" w:hAnsi="Arial" w:cs="Arial"/>
              </w:rPr>
              <w:t>300</w:t>
            </w:r>
          </w:p>
        </w:tc>
        <w:tc>
          <w:tcPr>
            <w:tcW w:w="1278" w:type="dxa"/>
          </w:tcPr>
          <w:p w14:paraId="7B79FFC7" w14:textId="77777777" w:rsidR="00D3344B" w:rsidRDefault="00143C25">
            <w:pPr>
              <w:widowControl w:val="0"/>
              <w:jc w:val="center"/>
              <w:rPr>
                <w:rFonts w:ascii="Arial" w:hAnsi="Arial" w:cs="Arial"/>
              </w:rPr>
            </w:pPr>
            <w:r>
              <w:rPr>
                <w:rFonts w:ascii="Arial" w:hAnsi="Arial" w:cs="Arial"/>
              </w:rPr>
              <w:t>500</w:t>
            </w:r>
          </w:p>
        </w:tc>
      </w:tr>
      <w:tr w:rsidR="00D3344B" w14:paraId="0A32C415" w14:textId="77777777">
        <w:trPr>
          <w:trHeight w:val="567"/>
          <w:jc w:val="center"/>
        </w:trPr>
        <w:tc>
          <w:tcPr>
            <w:tcW w:w="6480" w:type="dxa"/>
          </w:tcPr>
          <w:p w14:paraId="16C73ED7" w14:textId="77777777" w:rsidR="00D3344B" w:rsidRDefault="00143C25">
            <w:pPr>
              <w:widowControl w:val="0"/>
              <w:rPr>
                <w:rFonts w:ascii="Arial" w:hAnsi="Arial" w:cs="Arial"/>
              </w:rPr>
            </w:pPr>
            <w:r>
              <w:rPr>
                <w:rFonts w:ascii="Arial" w:hAnsi="Arial" w:cs="Arial"/>
              </w:rPr>
              <w:t xml:space="preserve">b) </w:t>
            </w:r>
            <w:r>
              <w:rPr>
                <w:rFonts w:ascii="Arial" w:hAnsi="Arial" w:cs="Arial"/>
                <w:i/>
                <w:sz w:val="16"/>
                <w:szCs w:val="16"/>
              </w:rPr>
              <w:t>(DEROGADO, P.O. 30 DE DICIEMBRE DE 2005)</w:t>
            </w:r>
          </w:p>
        </w:tc>
        <w:tc>
          <w:tcPr>
            <w:tcW w:w="1173" w:type="dxa"/>
          </w:tcPr>
          <w:p w14:paraId="74C272DA" w14:textId="77777777" w:rsidR="00D3344B" w:rsidRDefault="00D3344B">
            <w:pPr>
              <w:widowControl w:val="0"/>
              <w:jc w:val="center"/>
              <w:rPr>
                <w:rFonts w:ascii="Arial" w:hAnsi="Arial" w:cs="Arial"/>
              </w:rPr>
            </w:pPr>
          </w:p>
        </w:tc>
        <w:tc>
          <w:tcPr>
            <w:tcW w:w="1278" w:type="dxa"/>
          </w:tcPr>
          <w:p w14:paraId="62BD109A" w14:textId="77777777" w:rsidR="00D3344B" w:rsidRDefault="00D3344B">
            <w:pPr>
              <w:widowControl w:val="0"/>
              <w:jc w:val="center"/>
              <w:rPr>
                <w:rFonts w:ascii="Arial" w:hAnsi="Arial" w:cs="Arial"/>
              </w:rPr>
            </w:pPr>
          </w:p>
        </w:tc>
      </w:tr>
    </w:tbl>
    <w:p w14:paraId="58990ED4" w14:textId="77777777" w:rsidR="00D3344B" w:rsidRDefault="00D3344B">
      <w:pPr>
        <w:rPr>
          <w:rFonts w:ascii="Arial" w:hAnsi="Arial" w:cs="Arial"/>
        </w:rPr>
      </w:pPr>
    </w:p>
    <w:p w14:paraId="02DAB383" w14:textId="77777777" w:rsidR="00D3344B" w:rsidRDefault="00143C25">
      <w:pPr>
        <w:rPr>
          <w:rFonts w:ascii="Arial" w:hAnsi="Arial" w:cs="Arial"/>
          <w:i/>
          <w:sz w:val="16"/>
          <w:szCs w:val="16"/>
        </w:rPr>
      </w:pPr>
      <w:r>
        <w:rPr>
          <w:rFonts w:ascii="Arial" w:hAnsi="Arial" w:cs="Arial"/>
          <w:i/>
          <w:sz w:val="16"/>
          <w:szCs w:val="16"/>
        </w:rPr>
        <w:t>(ADICIONADO, P.O. 30 DE DICIEMBRE DE 2005)</w:t>
      </w:r>
    </w:p>
    <w:p w14:paraId="1B254990" w14:textId="77777777" w:rsidR="00D3344B" w:rsidRDefault="00143C25">
      <w:pPr>
        <w:jc w:val="both"/>
        <w:rPr>
          <w:rFonts w:ascii="Arial" w:hAnsi="Arial" w:cs="Arial"/>
        </w:rPr>
      </w:pPr>
      <w:r>
        <w:rPr>
          <w:rFonts w:ascii="Arial" w:hAnsi="Arial" w:cs="Arial"/>
        </w:rPr>
        <w:t xml:space="preserve">Por la autorización de refrendo anual de las Licencias de Funcionamiento para establecimientos comerciales con venta de bebidas alcohólicas enunciadas en este capítulo se aplicará el 30 % proporcional al costo como </w:t>
      </w:r>
      <w:proofErr w:type="gramStart"/>
      <w:r>
        <w:rPr>
          <w:rFonts w:ascii="Arial" w:hAnsi="Arial" w:cs="Arial"/>
        </w:rPr>
        <w:t>expedición aplicado</w:t>
      </w:r>
      <w:proofErr w:type="gramEnd"/>
      <w:r>
        <w:rPr>
          <w:rFonts w:ascii="Arial" w:hAnsi="Arial" w:cs="Arial"/>
        </w:rPr>
        <w:t xml:space="preserve"> sobre el mínimo.</w:t>
      </w:r>
    </w:p>
    <w:p w14:paraId="0083C9CC" w14:textId="77777777" w:rsidR="00D3344B" w:rsidRDefault="00D3344B">
      <w:pPr>
        <w:jc w:val="both"/>
        <w:rPr>
          <w:rFonts w:ascii="Arial" w:hAnsi="Arial" w:cs="Arial"/>
        </w:rPr>
      </w:pPr>
    </w:p>
    <w:p w14:paraId="5AE14F3B" w14:textId="77777777" w:rsidR="00D3344B" w:rsidRDefault="00143C25">
      <w:pPr>
        <w:jc w:val="both"/>
        <w:rPr>
          <w:rFonts w:ascii="Arial" w:hAnsi="Arial" w:cs="Arial"/>
          <w:i/>
          <w:sz w:val="16"/>
          <w:szCs w:val="16"/>
        </w:rPr>
      </w:pPr>
      <w:r>
        <w:rPr>
          <w:rFonts w:ascii="Arial" w:hAnsi="Arial" w:cs="Arial"/>
          <w:i/>
          <w:sz w:val="16"/>
          <w:szCs w:val="16"/>
        </w:rPr>
        <w:t>(REFORMADA, P.O. 30 DE DICIEMBRE DE 2005)</w:t>
      </w:r>
    </w:p>
    <w:p w14:paraId="10A96626" w14:textId="77777777" w:rsidR="00D3344B" w:rsidRDefault="00143C25">
      <w:pPr>
        <w:jc w:val="both"/>
        <w:rPr>
          <w:rFonts w:ascii="Arial" w:hAnsi="Arial" w:cs="Arial"/>
        </w:rPr>
      </w:pPr>
      <w:r>
        <w:rPr>
          <w:rFonts w:ascii="Arial" w:hAnsi="Arial" w:cs="Arial"/>
        </w:rPr>
        <w:lastRenderedPageBreak/>
        <w:t>III. Por cualquier modificación que sufra la licencia o empadronamiento, se causarán los derechos siguientes:</w:t>
      </w:r>
    </w:p>
    <w:p w14:paraId="4DC08B55" w14:textId="77777777" w:rsidR="00D3344B" w:rsidRDefault="00D3344B">
      <w:pPr>
        <w:jc w:val="both"/>
        <w:rPr>
          <w:rFonts w:ascii="Arial" w:hAnsi="Arial" w:cs="Arial"/>
        </w:rPr>
      </w:pPr>
    </w:p>
    <w:tbl>
      <w:tblPr>
        <w:tblW w:w="8789" w:type="dxa"/>
        <w:jc w:val="center"/>
        <w:tblLayout w:type="fixed"/>
        <w:tblCellMar>
          <w:left w:w="70" w:type="dxa"/>
          <w:right w:w="70" w:type="dxa"/>
        </w:tblCellMar>
        <w:tblLook w:val="0000" w:firstRow="0" w:lastRow="0" w:firstColumn="0" w:lastColumn="0" w:noHBand="0" w:noVBand="0"/>
      </w:tblPr>
      <w:tblGrid>
        <w:gridCol w:w="5970"/>
        <w:gridCol w:w="1453"/>
        <w:gridCol w:w="1366"/>
      </w:tblGrid>
      <w:tr w:rsidR="00D3344B" w14:paraId="258831AC" w14:textId="77777777">
        <w:trPr>
          <w:trHeight w:val="391"/>
          <w:jc w:val="center"/>
        </w:trPr>
        <w:tc>
          <w:tcPr>
            <w:tcW w:w="5970" w:type="dxa"/>
          </w:tcPr>
          <w:p w14:paraId="6EAE1950" w14:textId="77777777" w:rsidR="00D3344B" w:rsidRDefault="00D3344B">
            <w:pPr>
              <w:widowControl w:val="0"/>
              <w:rPr>
                <w:rFonts w:ascii="Arial" w:hAnsi="Arial" w:cs="Arial"/>
              </w:rPr>
            </w:pPr>
          </w:p>
        </w:tc>
        <w:tc>
          <w:tcPr>
            <w:tcW w:w="1453" w:type="dxa"/>
          </w:tcPr>
          <w:p w14:paraId="280DFF4F" w14:textId="77777777" w:rsidR="00D3344B" w:rsidRDefault="00143C25">
            <w:pPr>
              <w:widowControl w:val="0"/>
              <w:jc w:val="center"/>
              <w:rPr>
                <w:rFonts w:ascii="Arial" w:hAnsi="Arial" w:cs="Arial"/>
              </w:rPr>
            </w:pPr>
            <w:r>
              <w:rPr>
                <w:rFonts w:ascii="Arial" w:hAnsi="Arial" w:cs="Arial"/>
              </w:rPr>
              <w:t>MÍNIMOS</w:t>
            </w:r>
          </w:p>
        </w:tc>
        <w:tc>
          <w:tcPr>
            <w:tcW w:w="1366" w:type="dxa"/>
          </w:tcPr>
          <w:p w14:paraId="3C084D3F" w14:textId="77777777" w:rsidR="00D3344B" w:rsidRDefault="00143C25">
            <w:pPr>
              <w:widowControl w:val="0"/>
              <w:jc w:val="center"/>
              <w:rPr>
                <w:rFonts w:ascii="Arial" w:hAnsi="Arial" w:cs="Arial"/>
              </w:rPr>
            </w:pPr>
            <w:r>
              <w:rPr>
                <w:rFonts w:ascii="Arial" w:hAnsi="Arial" w:cs="Arial"/>
              </w:rPr>
              <w:t>MÁXIMOS</w:t>
            </w:r>
          </w:p>
        </w:tc>
      </w:tr>
      <w:tr w:rsidR="00D3344B" w14:paraId="1EA8AFA0" w14:textId="77777777">
        <w:trPr>
          <w:trHeight w:val="446"/>
          <w:jc w:val="center"/>
        </w:trPr>
        <w:tc>
          <w:tcPr>
            <w:tcW w:w="5970" w:type="dxa"/>
          </w:tcPr>
          <w:p w14:paraId="74E64768" w14:textId="77777777" w:rsidR="00D3344B" w:rsidRDefault="00143C25">
            <w:pPr>
              <w:widowControl w:val="0"/>
              <w:rPr>
                <w:rFonts w:ascii="Arial" w:hAnsi="Arial" w:cs="Arial"/>
              </w:rPr>
            </w:pPr>
            <w:r>
              <w:rPr>
                <w:rFonts w:ascii="Arial" w:hAnsi="Arial" w:cs="Arial"/>
              </w:rPr>
              <w:t>a)  Cambio de domicilio</w:t>
            </w:r>
          </w:p>
        </w:tc>
        <w:tc>
          <w:tcPr>
            <w:tcW w:w="1453" w:type="dxa"/>
          </w:tcPr>
          <w:p w14:paraId="414E5C43" w14:textId="77777777" w:rsidR="00D3344B" w:rsidRDefault="00143C25">
            <w:pPr>
              <w:widowControl w:val="0"/>
              <w:jc w:val="center"/>
              <w:rPr>
                <w:rFonts w:ascii="Arial" w:hAnsi="Arial" w:cs="Arial"/>
              </w:rPr>
            </w:pPr>
            <w:r>
              <w:rPr>
                <w:rFonts w:ascii="Arial" w:hAnsi="Arial" w:cs="Arial"/>
              </w:rPr>
              <w:t>30</w:t>
            </w:r>
          </w:p>
        </w:tc>
        <w:tc>
          <w:tcPr>
            <w:tcW w:w="1366" w:type="dxa"/>
          </w:tcPr>
          <w:p w14:paraId="76365D5D" w14:textId="77777777" w:rsidR="00D3344B" w:rsidRDefault="00143C25">
            <w:pPr>
              <w:widowControl w:val="0"/>
              <w:jc w:val="center"/>
              <w:rPr>
                <w:rFonts w:ascii="Arial" w:hAnsi="Arial" w:cs="Arial"/>
              </w:rPr>
            </w:pPr>
            <w:r>
              <w:rPr>
                <w:rFonts w:ascii="Arial" w:hAnsi="Arial" w:cs="Arial"/>
              </w:rPr>
              <w:t>50</w:t>
            </w:r>
          </w:p>
        </w:tc>
      </w:tr>
      <w:tr w:rsidR="00D3344B" w14:paraId="2AB09788" w14:textId="77777777">
        <w:trPr>
          <w:trHeight w:val="538"/>
          <w:jc w:val="center"/>
        </w:trPr>
        <w:tc>
          <w:tcPr>
            <w:tcW w:w="5970" w:type="dxa"/>
          </w:tcPr>
          <w:p w14:paraId="486643E6" w14:textId="77777777" w:rsidR="00D3344B" w:rsidRDefault="00143C25">
            <w:pPr>
              <w:widowControl w:val="0"/>
              <w:rPr>
                <w:rFonts w:ascii="Arial" w:hAnsi="Arial" w:cs="Arial"/>
              </w:rPr>
            </w:pPr>
            <w:r>
              <w:rPr>
                <w:rFonts w:ascii="Arial" w:hAnsi="Arial" w:cs="Arial"/>
              </w:rPr>
              <w:t>b)  Cambio de nombre o razón social</w:t>
            </w:r>
          </w:p>
        </w:tc>
        <w:tc>
          <w:tcPr>
            <w:tcW w:w="1453" w:type="dxa"/>
          </w:tcPr>
          <w:p w14:paraId="16479FEE" w14:textId="77777777" w:rsidR="00D3344B" w:rsidRDefault="00143C25">
            <w:pPr>
              <w:widowControl w:val="0"/>
              <w:jc w:val="center"/>
              <w:rPr>
                <w:rFonts w:ascii="Arial" w:hAnsi="Arial" w:cs="Arial"/>
              </w:rPr>
            </w:pPr>
            <w:r>
              <w:rPr>
                <w:rFonts w:ascii="Arial" w:hAnsi="Arial" w:cs="Arial"/>
              </w:rPr>
              <w:t>30</w:t>
            </w:r>
          </w:p>
        </w:tc>
        <w:tc>
          <w:tcPr>
            <w:tcW w:w="1366" w:type="dxa"/>
          </w:tcPr>
          <w:p w14:paraId="54CF2AFA" w14:textId="77777777" w:rsidR="00D3344B" w:rsidRDefault="00143C25">
            <w:pPr>
              <w:widowControl w:val="0"/>
              <w:jc w:val="center"/>
              <w:rPr>
                <w:rFonts w:ascii="Arial" w:hAnsi="Arial" w:cs="Arial"/>
              </w:rPr>
            </w:pPr>
            <w:r>
              <w:rPr>
                <w:rFonts w:ascii="Arial" w:hAnsi="Arial" w:cs="Arial"/>
              </w:rPr>
              <w:t>50</w:t>
            </w:r>
          </w:p>
        </w:tc>
      </w:tr>
      <w:tr w:rsidR="00D3344B" w14:paraId="35F4B8BB" w14:textId="77777777">
        <w:trPr>
          <w:trHeight w:val="353"/>
          <w:jc w:val="center"/>
        </w:trPr>
        <w:tc>
          <w:tcPr>
            <w:tcW w:w="5970" w:type="dxa"/>
          </w:tcPr>
          <w:p w14:paraId="53B206A9" w14:textId="77777777" w:rsidR="00D3344B" w:rsidRDefault="00143C25">
            <w:pPr>
              <w:widowControl w:val="0"/>
              <w:ind w:left="356" w:hanging="356"/>
              <w:rPr>
                <w:rFonts w:ascii="Arial" w:hAnsi="Arial" w:cs="Arial"/>
              </w:rPr>
            </w:pPr>
            <w:r>
              <w:rPr>
                <w:rFonts w:ascii="Arial" w:hAnsi="Arial" w:cs="Arial"/>
              </w:rPr>
              <w:t>c)  Cambio de giro, se aplicará la tarifa de expedición de licencia</w:t>
            </w:r>
          </w:p>
        </w:tc>
        <w:tc>
          <w:tcPr>
            <w:tcW w:w="1453" w:type="dxa"/>
          </w:tcPr>
          <w:p w14:paraId="6FB65B75" w14:textId="77777777" w:rsidR="00D3344B" w:rsidRDefault="00D3344B">
            <w:pPr>
              <w:widowControl w:val="0"/>
              <w:jc w:val="center"/>
              <w:rPr>
                <w:rFonts w:ascii="Arial" w:hAnsi="Arial" w:cs="Arial"/>
              </w:rPr>
            </w:pPr>
          </w:p>
        </w:tc>
        <w:tc>
          <w:tcPr>
            <w:tcW w:w="1366" w:type="dxa"/>
          </w:tcPr>
          <w:p w14:paraId="41DF7E15" w14:textId="77777777" w:rsidR="00D3344B" w:rsidRDefault="00D3344B">
            <w:pPr>
              <w:widowControl w:val="0"/>
              <w:jc w:val="center"/>
              <w:rPr>
                <w:rFonts w:ascii="Arial" w:hAnsi="Arial" w:cs="Arial"/>
              </w:rPr>
            </w:pPr>
          </w:p>
        </w:tc>
      </w:tr>
      <w:tr w:rsidR="00D3344B" w14:paraId="6CCDC8EF" w14:textId="77777777">
        <w:trPr>
          <w:trHeight w:val="804"/>
          <w:jc w:val="center"/>
        </w:trPr>
        <w:tc>
          <w:tcPr>
            <w:tcW w:w="5970" w:type="dxa"/>
          </w:tcPr>
          <w:p w14:paraId="085FB441" w14:textId="77777777" w:rsidR="00D3344B" w:rsidRDefault="00143C25">
            <w:pPr>
              <w:widowControl w:val="0"/>
              <w:ind w:left="356" w:hanging="356"/>
              <w:rPr>
                <w:rFonts w:ascii="Arial" w:hAnsi="Arial" w:cs="Arial"/>
              </w:rPr>
            </w:pPr>
            <w:r>
              <w:rPr>
                <w:rFonts w:ascii="Arial" w:hAnsi="Arial" w:cs="Arial"/>
              </w:rPr>
              <w:t>d)   Por el traspaso o cambio de propietario se aplicará lo dispuesto en el último párrafo de la fracción II de este artículo. Si es entre familiares la cuota será al 50 %</w:t>
            </w:r>
          </w:p>
        </w:tc>
        <w:tc>
          <w:tcPr>
            <w:tcW w:w="1453" w:type="dxa"/>
          </w:tcPr>
          <w:p w14:paraId="5A92DEAE" w14:textId="77777777" w:rsidR="00D3344B" w:rsidRDefault="00D3344B">
            <w:pPr>
              <w:widowControl w:val="0"/>
              <w:jc w:val="center"/>
              <w:rPr>
                <w:rFonts w:ascii="Arial" w:hAnsi="Arial" w:cs="Arial"/>
              </w:rPr>
            </w:pPr>
          </w:p>
        </w:tc>
        <w:tc>
          <w:tcPr>
            <w:tcW w:w="1366" w:type="dxa"/>
          </w:tcPr>
          <w:p w14:paraId="4F759479" w14:textId="77777777" w:rsidR="00D3344B" w:rsidRDefault="00D3344B">
            <w:pPr>
              <w:widowControl w:val="0"/>
              <w:jc w:val="center"/>
              <w:rPr>
                <w:rFonts w:ascii="Arial" w:hAnsi="Arial" w:cs="Arial"/>
              </w:rPr>
            </w:pPr>
          </w:p>
        </w:tc>
      </w:tr>
    </w:tbl>
    <w:p w14:paraId="2DA27701" w14:textId="77777777" w:rsidR="00D3344B" w:rsidRDefault="00D3344B">
      <w:pPr>
        <w:rPr>
          <w:rFonts w:ascii="Arial" w:hAnsi="Arial" w:cs="Arial"/>
        </w:rPr>
      </w:pPr>
    </w:p>
    <w:p w14:paraId="4CBC36B5" w14:textId="77777777" w:rsidR="00D3344B" w:rsidRDefault="00143C25">
      <w:pPr>
        <w:spacing w:after="0"/>
        <w:rPr>
          <w:rFonts w:ascii="Arial" w:hAnsi="Arial" w:cs="Arial"/>
          <w:i/>
          <w:sz w:val="16"/>
          <w:szCs w:val="16"/>
        </w:rPr>
      </w:pPr>
      <w:r>
        <w:rPr>
          <w:rFonts w:ascii="Arial" w:hAnsi="Arial" w:cs="Arial"/>
          <w:i/>
          <w:sz w:val="16"/>
          <w:szCs w:val="16"/>
        </w:rPr>
        <w:t>(REFORMADA, P.O. 30 DE DICIEMBRE DE 2005)</w:t>
      </w:r>
    </w:p>
    <w:p w14:paraId="6B8B9352" w14:textId="77777777" w:rsidR="00D3344B" w:rsidRDefault="00143C25">
      <w:pPr>
        <w:spacing w:after="0"/>
        <w:jc w:val="both"/>
        <w:rPr>
          <w:rFonts w:ascii="Arial" w:hAnsi="Arial" w:cs="Arial"/>
        </w:rPr>
      </w:pPr>
      <w:r>
        <w:rPr>
          <w:rFonts w:ascii="Arial" w:hAnsi="Arial" w:cs="Arial"/>
        </w:rPr>
        <w:t>IV. Por los permisos provisionales, por un día, para la venta de bebidas alcohólicas:</w:t>
      </w:r>
    </w:p>
    <w:p w14:paraId="649F9B43" w14:textId="77777777" w:rsidR="00D3344B" w:rsidRDefault="00D3344B">
      <w:pPr>
        <w:rPr>
          <w:rFonts w:ascii="Arial" w:hAnsi="Arial" w:cs="Arial"/>
        </w:rPr>
      </w:pPr>
    </w:p>
    <w:tbl>
      <w:tblPr>
        <w:tblW w:w="8647" w:type="dxa"/>
        <w:jc w:val="center"/>
        <w:tblLayout w:type="fixed"/>
        <w:tblCellMar>
          <w:left w:w="70" w:type="dxa"/>
          <w:right w:w="70" w:type="dxa"/>
        </w:tblCellMar>
        <w:tblLook w:val="0000" w:firstRow="0" w:lastRow="0" w:firstColumn="0" w:lastColumn="0" w:noHBand="0" w:noVBand="0"/>
      </w:tblPr>
      <w:tblGrid>
        <w:gridCol w:w="5803"/>
        <w:gridCol w:w="1508"/>
        <w:gridCol w:w="1336"/>
      </w:tblGrid>
      <w:tr w:rsidR="00D3344B" w14:paraId="76C25742" w14:textId="77777777">
        <w:trPr>
          <w:trHeight w:val="218"/>
          <w:jc w:val="center"/>
        </w:trPr>
        <w:tc>
          <w:tcPr>
            <w:tcW w:w="5803" w:type="dxa"/>
          </w:tcPr>
          <w:p w14:paraId="5A143786" w14:textId="77777777" w:rsidR="00D3344B" w:rsidRDefault="00D3344B">
            <w:pPr>
              <w:widowControl w:val="0"/>
              <w:rPr>
                <w:rFonts w:ascii="Arial" w:hAnsi="Arial" w:cs="Arial"/>
              </w:rPr>
            </w:pPr>
          </w:p>
        </w:tc>
        <w:tc>
          <w:tcPr>
            <w:tcW w:w="1508" w:type="dxa"/>
          </w:tcPr>
          <w:p w14:paraId="54A2F5E2" w14:textId="77777777" w:rsidR="00D3344B" w:rsidRDefault="00143C25">
            <w:pPr>
              <w:widowControl w:val="0"/>
              <w:jc w:val="center"/>
              <w:rPr>
                <w:rFonts w:ascii="Arial" w:hAnsi="Arial" w:cs="Arial"/>
              </w:rPr>
            </w:pPr>
            <w:r>
              <w:rPr>
                <w:rFonts w:ascii="Arial" w:hAnsi="Arial" w:cs="Arial"/>
              </w:rPr>
              <w:t>MÍNIMO</w:t>
            </w:r>
          </w:p>
        </w:tc>
        <w:tc>
          <w:tcPr>
            <w:tcW w:w="1336" w:type="dxa"/>
          </w:tcPr>
          <w:p w14:paraId="0ABFAFA7" w14:textId="77777777" w:rsidR="00D3344B" w:rsidRDefault="00143C25">
            <w:pPr>
              <w:widowControl w:val="0"/>
              <w:jc w:val="center"/>
              <w:rPr>
                <w:rFonts w:ascii="Arial" w:hAnsi="Arial" w:cs="Arial"/>
              </w:rPr>
            </w:pPr>
            <w:r>
              <w:rPr>
                <w:rFonts w:ascii="Arial" w:hAnsi="Arial" w:cs="Arial"/>
              </w:rPr>
              <w:t>MÁXIMO</w:t>
            </w:r>
          </w:p>
        </w:tc>
      </w:tr>
      <w:tr w:rsidR="00D3344B" w14:paraId="054424D6" w14:textId="77777777">
        <w:trPr>
          <w:trHeight w:val="670"/>
          <w:jc w:val="center"/>
        </w:trPr>
        <w:tc>
          <w:tcPr>
            <w:tcW w:w="5803" w:type="dxa"/>
          </w:tcPr>
          <w:p w14:paraId="189A64A8" w14:textId="77777777" w:rsidR="00D3344B" w:rsidRDefault="00143C25">
            <w:pPr>
              <w:widowControl w:val="0"/>
              <w:spacing w:after="0"/>
              <w:rPr>
                <w:rFonts w:ascii="Arial" w:hAnsi="Arial" w:cs="Arial"/>
                <w:i/>
                <w:sz w:val="16"/>
                <w:szCs w:val="16"/>
              </w:rPr>
            </w:pPr>
            <w:r>
              <w:rPr>
                <w:rFonts w:ascii="Arial" w:hAnsi="Arial" w:cs="Arial"/>
                <w:i/>
                <w:sz w:val="16"/>
                <w:szCs w:val="16"/>
              </w:rPr>
              <w:t>(REFORMADO, P.O. 26 DE DICIEMBRE DE 2022)</w:t>
            </w:r>
          </w:p>
          <w:p w14:paraId="7614473C" w14:textId="77777777" w:rsidR="00D3344B" w:rsidRDefault="00143C25">
            <w:pPr>
              <w:widowControl w:val="0"/>
              <w:spacing w:after="0"/>
              <w:rPr>
                <w:rFonts w:ascii="Arial" w:hAnsi="Arial" w:cs="Arial"/>
              </w:rPr>
            </w:pPr>
            <w:r>
              <w:rPr>
                <w:rFonts w:ascii="Arial" w:hAnsi="Arial" w:cs="Arial"/>
              </w:rPr>
              <w:t>a) Bailes populares.</w:t>
            </w:r>
          </w:p>
        </w:tc>
        <w:tc>
          <w:tcPr>
            <w:tcW w:w="1508" w:type="dxa"/>
          </w:tcPr>
          <w:p w14:paraId="02FDD092" w14:textId="77777777" w:rsidR="00D3344B" w:rsidRDefault="00143C25">
            <w:pPr>
              <w:widowControl w:val="0"/>
              <w:spacing w:after="0"/>
              <w:jc w:val="center"/>
              <w:rPr>
                <w:rFonts w:ascii="Arial" w:hAnsi="Arial" w:cs="Arial"/>
              </w:rPr>
            </w:pPr>
            <w:r>
              <w:rPr>
                <w:rFonts w:ascii="Arial" w:hAnsi="Arial" w:cs="Arial"/>
              </w:rPr>
              <w:t>40</w:t>
            </w:r>
          </w:p>
        </w:tc>
        <w:tc>
          <w:tcPr>
            <w:tcW w:w="1336" w:type="dxa"/>
          </w:tcPr>
          <w:p w14:paraId="5E37299C" w14:textId="77777777" w:rsidR="00D3344B" w:rsidRDefault="00143C25">
            <w:pPr>
              <w:widowControl w:val="0"/>
              <w:spacing w:after="0"/>
              <w:jc w:val="center"/>
              <w:rPr>
                <w:rFonts w:ascii="Arial" w:hAnsi="Arial" w:cs="Arial"/>
              </w:rPr>
            </w:pPr>
            <w:r>
              <w:rPr>
                <w:rFonts w:ascii="Arial" w:hAnsi="Arial" w:cs="Arial"/>
              </w:rPr>
              <w:t>100</w:t>
            </w:r>
          </w:p>
        </w:tc>
      </w:tr>
      <w:tr w:rsidR="00D3344B" w14:paraId="79DFE9BC" w14:textId="77777777">
        <w:trPr>
          <w:trHeight w:val="580"/>
          <w:jc w:val="center"/>
        </w:trPr>
        <w:tc>
          <w:tcPr>
            <w:tcW w:w="5803" w:type="dxa"/>
          </w:tcPr>
          <w:p w14:paraId="2245E416" w14:textId="77777777" w:rsidR="00D3344B" w:rsidRDefault="00143C25">
            <w:pPr>
              <w:widowControl w:val="0"/>
              <w:spacing w:after="0"/>
              <w:rPr>
                <w:rFonts w:ascii="Arial" w:hAnsi="Arial" w:cs="Arial"/>
                <w:i/>
                <w:sz w:val="16"/>
                <w:szCs w:val="16"/>
              </w:rPr>
            </w:pPr>
            <w:r>
              <w:rPr>
                <w:rFonts w:ascii="Arial" w:hAnsi="Arial" w:cs="Arial"/>
                <w:i/>
                <w:sz w:val="16"/>
                <w:szCs w:val="16"/>
              </w:rPr>
              <w:t>(REFORMADO, P.O. 26 DE DICIEMBRE DE 2022)</w:t>
            </w:r>
          </w:p>
          <w:p w14:paraId="6E4BD843" w14:textId="77777777" w:rsidR="00D3344B" w:rsidRDefault="00143C25">
            <w:pPr>
              <w:widowControl w:val="0"/>
              <w:spacing w:after="0"/>
              <w:rPr>
                <w:rFonts w:ascii="Arial" w:hAnsi="Arial" w:cs="Arial"/>
              </w:rPr>
            </w:pPr>
            <w:r>
              <w:rPr>
                <w:rFonts w:ascii="Arial" w:hAnsi="Arial" w:cs="Arial"/>
              </w:rPr>
              <w:t>b) Corridas de toros.</w:t>
            </w:r>
          </w:p>
        </w:tc>
        <w:tc>
          <w:tcPr>
            <w:tcW w:w="1508" w:type="dxa"/>
          </w:tcPr>
          <w:p w14:paraId="6EB46BFC" w14:textId="77777777" w:rsidR="00D3344B" w:rsidRDefault="00143C25">
            <w:pPr>
              <w:widowControl w:val="0"/>
              <w:spacing w:after="0"/>
              <w:jc w:val="center"/>
              <w:rPr>
                <w:rFonts w:ascii="Arial" w:hAnsi="Arial" w:cs="Arial"/>
              </w:rPr>
            </w:pPr>
            <w:r>
              <w:rPr>
                <w:rFonts w:ascii="Arial" w:hAnsi="Arial" w:cs="Arial"/>
              </w:rPr>
              <w:t>40</w:t>
            </w:r>
          </w:p>
        </w:tc>
        <w:tc>
          <w:tcPr>
            <w:tcW w:w="1336" w:type="dxa"/>
          </w:tcPr>
          <w:p w14:paraId="1A9FA73F" w14:textId="77777777" w:rsidR="00D3344B" w:rsidRDefault="00143C25">
            <w:pPr>
              <w:widowControl w:val="0"/>
              <w:spacing w:after="0"/>
              <w:jc w:val="center"/>
              <w:rPr>
                <w:rFonts w:ascii="Arial" w:hAnsi="Arial" w:cs="Arial"/>
              </w:rPr>
            </w:pPr>
            <w:r>
              <w:rPr>
                <w:rFonts w:ascii="Arial" w:hAnsi="Arial" w:cs="Arial"/>
              </w:rPr>
              <w:t>100</w:t>
            </w:r>
          </w:p>
        </w:tc>
      </w:tr>
      <w:tr w:rsidR="00D3344B" w14:paraId="2F479951" w14:textId="77777777">
        <w:trPr>
          <w:trHeight w:val="703"/>
          <w:jc w:val="center"/>
        </w:trPr>
        <w:tc>
          <w:tcPr>
            <w:tcW w:w="5803" w:type="dxa"/>
          </w:tcPr>
          <w:p w14:paraId="1E16C6F0" w14:textId="77777777" w:rsidR="00D3344B" w:rsidRDefault="00143C25">
            <w:pPr>
              <w:widowControl w:val="0"/>
              <w:spacing w:after="0"/>
              <w:rPr>
                <w:rFonts w:ascii="Arial" w:hAnsi="Arial" w:cs="Arial"/>
                <w:i/>
                <w:sz w:val="16"/>
                <w:szCs w:val="16"/>
              </w:rPr>
            </w:pPr>
            <w:r>
              <w:rPr>
                <w:rFonts w:ascii="Arial" w:hAnsi="Arial" w:cs="Arial"/>
                <w:i/>
                <w:sz w:val="16"/>
                <w:szCs w:val="16"/>
              </w:rPr>
              <w:t>(REFORMADO, P.O. 26 DE DICIEMBRE DE 2022)</w:t>
            </w:r>
          </w:p>
          <w:p w14:paraId="6ADA9F8E" w14:textId="77777777" w:rsidR="00D3344B" w:rsidRDefault="00143C25">
            <w:pPr>
              <w:widowControl w:val="0"/>
              <w:spacing w:after="0"/>
              <w:rPr>
                <w:rFonts w:ascii="Arial" w:hAnsi="Arial" w:cs="Arial"/>
              </w:rPr>
            </w:pPr>
            <w:r>
              <w:rPr>
                <w:rFonts w:ascii="Arial" w:hAnsi="Arial" w:cs="Arial"/>
              </w:rPr>
              <w:t>c) Espectáculos deportivos profesionales.</w:t>
            </w:r>
          </w:p>
        </w:tc>
        <w:tc>
          <w:tcPr>
            <w:tcW w:w="1508" w:type="dxa"/>
          </w:tcPr>
          <w:p w14:paraId="6027F788" w14:textId="77777777" w:rsidR="00D3344B" w:rsidRDefault="00143C25">
            <w:pPr>
              <w:widowControl w:val="0"/>
              <w:spacing w:after="0"/>
              <w:jc w:val="center"/>
              <w:rPr>
                <w:rFonts w:ascii="Arial" w:hAnsi="Arial" w:cs="Arial"/>
              </w:rPr>
            </w:pPr>
            <w:r>
              <w:rPr>
                <w:rFonts w:ascii="Arial" w:hAnsi="Arial" w:cs="Arial"/>
              </w:rPr>
              <w:t>40</w:t>
            </w:r>
          </w:p>
        </w:tc>
        <w:tc>
          <w:tcPr>
            <w:tcW w:w="1336" w:type="dxa"/>
          </w:tcPr>
          <w:p w14:paraId="784FFA70" w14:textId="77777777" w:rsidR="00D3344B" w:rsidRDefault="00143C25">
            <w:pPr>
              <w:widowControl w:val="0"/>
              <w:spacing w:after="0"/>
              <w:jc w:val="center"/>
              <w:rPr>
                <w:rFonts w:ascii="Arial" w:hAnsi="Arial" w:cs="Arial"/>
              </w:rPr>
            </w:pPr>
            <w:r>
              <w:rPr>
                <w:rFonts w:ascii="Arial" w:hAnsi="Arial" w:cs="Arial"/>
              </w:rPr>
              <w:t>100</w:t>
            </w:r>
          </w:p>
        </w:tc>
      </w:tr>
      <w:tr w:rsidR="00D3344B" w14:paraId="003BFBCA" w14:textId="77777777">
        <w:trPr>
          <w:trHeight w:val="218"/>
          <w:jc w:val="center"/>
        </w:trPr>
        <w:tc>
          <w:tcPr>
            <w:tcW w:w="5803" w:type="dxa"/>
          </w:tcPr>
          <w:p w14:paraId="68D1915D" w14:textId="77777777" w:rsidR="00D3344B" w:rsidRDefault="00143C25">
            <w:pPr>
              <w:widowControl w:val="0"/>
              <w:spacing w:after="0"/>
              <w:rPr>
                <w:rFonts w:ascii="Arial" w:hAnsi="Arial" w:cs="Arial"/>
                <w:i/>
                <w:sz w:val="16"/>
                <w:szCs w:val="16"/>
              </w:rPr>
            </w:pPr>
            <w:r>
              <w:rPr>
                <w:rFonts w:ascii="Arial" w:hAnsi="Arial" w:cs="Arial"/>
                <w:i/>
                <w:sz w:val="16"/>
                <w:szCs w:val="16"/>
              </w:rPr>
              <w:t>(REFORMADO, P.O. 26 DE DICIEMBRE DE 2022)</w:t>
            </w:r>
          </w:p>
          <w:p w14:paraId="4AC28DED" w14:textId="77777777" w:rsidR="00D3344B" w:rsidRDefault="00143C25">
            <w:pPr>
              <w:widowControl w:val="0"/>
              <w:spacing w:after="0"/>
              <w:rPr>
                <w:rFonts w:ascii="Arial" w:hAnsi="Arial" w:cs="Arial"/>
              </w:rPr>
            </w:pPr>
            <w:r>
              <w:rPr>
                <w:rFonts w:ascii="Arial" w:hAnsi="Arial" w:cs="Arial"/>
              </w:rPr>
              <w:t>d) Otros diversos.</w:t>
            </w:r>
          </w:p>
        </w:tc>
        <w:tc>
          <w:tcPr>
            <w:tcW w:w="1508" w:type="dxa"/>
          </w:tcPr>
          <w:p w14:paraId="24CBA194" w14:textId="77777777" w:rsidR="00D3344B" w:rsidRDefault="00143C25">
            <w:pPr>
              <w:widowControl w:val="0"/>
              <w:spacing w:after="0"/>
              <w:jc w:val="center"/>
              <w:rPr>
                <w:rFonts w:ascii="Arial" w:hAnsi="Arial" w:cs="Arial"/>
              </w:rPr>
            </w:pPr>
            <w:r>
              <w:rPr>
                <w:rFonts w:ascii="Arial" w:hAnsi="Arial" w:cs="Arial"/>
              </w:rPr>
              <w:t>30</w:t>
            </w:r>
          </w:p>
        </w:tc>
        <w:tc>
          <w:tcPr>
            <w:tcW w:w="1336" w:type="dxa"/>
          </w:tcPr>
          <w:p w14:paraId="3302747F" w14:textId="77777777" w:rsidR="00D3344B" w:rsidRDefault="00143C25">
            <w:pPr>
              <w:widowControl w:val="0"/>
              <w:spacing w:after="0"/>
              <w:jc w:val="center"/>
              <w:rPr>
                <w:rFonts w:ascii="Arial" w:hAnsi="Arial" w:cs="Arial"/>
              </w:rPr>
            </w:pPr>
            <w:r>
              <w:rPr>
                <w:rFonts w:ascii="Arial" w:hAnsi="Arial" w:cs="Arial"/>
              </w:rPr>
              <w:t>100</w:t>
            </w:r>
          </w:p>
        </w:tc>
      </w:tr>
    </w:tbl>
    <w:p w14:paraId="18372B15" w14:textId="77777777" w:rsidR="00D3344B" w:rsidRDefault="00D3344B">
      <w:pPr>
        <w:rPr>
          <w:rFonts w:ascii="Arial" w:hAnsi="Arial" w:cs="Arial"/>
        </w:rPr>
      </w:pPr>
    </w:p>
    <w:p w14:paraId="177C8F09" w14:textId="77777777" w:rsidR="00D3344B" w:rsidRDefault="00143C25">
      <w:pPr>
        <w:rPr>
          <w:rFonts w:ascii="Arial" w:hAnsi="Arial" w:cs="Arial"/>
        </w:rPr>
      </w:pPr>
      <w:r>
        <w:rPr>
          <w:rFonts w:ascii="Arial" w:hAnsi="Arial" w:cs="Arial"/>
        </w:rPr>
        <w:t xml:space="preserve">La expedición de la licencia antes señalada, deberá solicitarse dentro de los treinta días siguientes a la apertura del establecimiento, misma que tendrá vigencia de un año fiscal. </w:t>
      </w:r>
    </w:p>
    <w:p w14:paraId="20881C47" w14:textId="77777777" w:rsidR="00D3344B" w:rsidRDefault="00143C25">
      <w:pPr>
        <w:rPr>
          <w:rFonts w:ascii="Arial" w:hAnsi="Arial" w:cs="Arial"/>
        </w:rPr>
      </w:pPr>
      <w:r>
        <w:rPr>
          <w:rFonts w:ascii="Arial" w:hAnsi="Arial" w:cs="Arial"/>
        </w:rPr>
        <w:t>El refrendo de dicha licencia deberá realizarse dentro de los tres primeros meses de cada año.</w:t>
      </w:r>
    </w:p>
    <w:tbl>
      <w:tblPr>
        <w:tblW w:w="8647" w:type="dxa"/>
        <w:jc w:val="center"/>
        <w:tblLayout w:type="fixed"/>
        <w:tblCellMar>
          <w:left w:w="70" w:type="dxa"/>
          <w:right w:w="70" w:type="dxa"/>
        </w:tblCellMar>
        <w:tblLook w:val="0000" w:firstRow="0" w:lastRow="0" w:firstColumn="0" w:lastColumn="0" w:noHBand="0" w:noVBand="0"/>
      </w:tblPr>
      <w:tblGrid>
        <w:gridCol w:w="5810"/>
        <w:gridCol w:w="1559"/>
        <w:gridCol w:w="1278"/>
      </w:tblGrid>
      <w:tr w:rsidR="00D3344B" w14:paraId="5DEBDED9" w14:textId="77777777">
        <w:trPr>
          <w:trHeight w:val="218"/>
          <w:jc w:val="center"/>
        </w:trPr>
        <w:tc>
          <w:tcPr>
            <w:tcW w:w="5810" w:type="dxa"/>
          </w:tcPr>
          <w:p w14:paraId="20B18AD2" w14:textId="77777777" w:rsidR="00D3344B" w:rsidRDefault="00D3344B">
            <w:pPr>
              <w:widowControl w:val="0"/>
              <w:spacing w:after="0"/>
              <w:jc w:val="both"/>
              <w:rPr>
                <w:rFonts w:ascii="Arial" w:hAnsi="Arial" w:cs="Arial"/>
              </w:rPr>
            </w:pPr>
          </w:p>
        </w:tc>
        <w:tc>
          <w:tcPr>
            <w:tcW w:w="1559" w:type="dxa"/>
          </w:tcPr>
          <w:p w14:paraId="56275ABA" w14:textId="77777777" w:rsidR="00D3344B" w:rsidRDefault="00143C25">
            <w:pPr>
              <w:widowControl w:val="0"/>
              <w:jc w:val="center"/>
              <w:rPr>
                <w:rFonts w:ascii="Arial" w:hAnsi="Arial" w:cs="Arial"/>
              </w:rPr>
            </w:pPr>
            <w:r>
              <w:rPr>
                <w:rFonts w:ascii="Arial" w:hAnsi="Arial" w:cs="Arial"/>
              </w:rPr>
              <w:t>MÍNIMO</w:t>
            </w:r>
          </w:p>
        </w:tc>
        <w:tc>
          <w:tcPr>
            <w:tcW w:w="1278" w:type="dxa"/>
          </w:tcPr>
          <w:p w14:paraId="3ED07381" w14:textId="77777777" w:rsidR="00D3344B" w:rsidRDefault="00143C25">
            <w:pPr>
              <w:widowControl w:val="0"/>
              <w:jc w:val="center"/>
              <w:rPr>
                <w:rFonts w:ascii="Arial" w:hAnsi="Arial" w:cs="Arial"/>
              </w:rPr>
            </w:pPr>
            <w:r>
              <w:rPr>
                <w:rFonts w:ascii="Arial" w:hAnsi="Arial" w:cs="Arial"/>
              </w:rPr>
              <w:t>MAXIMO</w:t>
            </w:r>
          </w:p>
        </w:tc>
      </w:tr>
      <w:tr w:rsidR="00D3344B" w14:paraId="0BC0E62F" w14:textId="77777777">
        <w:trPr>
          <w:trHeight w:val="1606"/>
          <w:jc w:val="center"/>
        </w:trPr>
        <w:tc>
          <w:tcPr>
            <w:tcW w:w="5810" w:type="dxa"/>
          </w:tcPr>
          <w:p w14:paraId="3CD11382" w14:textId="77777777" w:rsidR="00D3344B" w:rsidRDefault="00143C25">
            <w:pPr>
              <w:widowControl w:val="0"/>
              <w:spacing w:after="0"/>
              <w:jc w:val="both"/>
              <w:rPr>
                <w:rFonts w:ascii="Arial" w:hAnsi="Arial" w:cs="Arial"/>
                <w:i/>
                <w:sz w:val="16"/>
                <w:szCs w:val="16"/>
              </w:rPr>
            </w:pPr>
            <w:r>
              <w:rPr>
                <w:rFonts w:ascii="Arial" w:hAnsi="Arial" w:cs="Arial"/>
                <w:i/>
                <w:sz w:val="16"/>
                <w:szCs w:val="16"/>
              </w:rPr>
              <w:lastRenderedPageBreak/>
              <w:t>(REFORMADA, P.O. 26 DE DICIEMBRE DE 2022)</w:t>
            </w:r>
          </w:p>
          <w:p w14:paraId="3BE6328D" w14:textId="77777777" w:rsidR="00D3344B" w:rsidRDefault="00143C25">
            <w:pPr>
              <w:widowControl w:val="0"/>
              <w:spacing w:after="0"/>
              <w:jc w:val="both"/>
              <w:rPr>
                <w:rFonts w:ascii="Arial" w:hAnsi="Arial" w:cs="Arial"/>
                <w:i/>
                <w:sz w:val="16"/>
                <w:szCs w:val="16"/>
              </w:rPr>
            </w:pPr>
            <w:r>
              <w:rPr>
                <w:rFonts w:ascii="Arial" w:hAnsi="Arial" w:cs="Arial"/>
              </w:rPr>
              <w:t>V. Establecimientos o puestos provisionales ubicados en ferias o palenques u otros eventos con fines de lucro, con venta de bebidas alcohólicas al copeo, o botella cerrada por evento.</w:t>
            </w:r>
          </w:p>
        </w:tc>
        <w:tc>
          <w:tcPr>
            <w:tcW w:w="1559" w:type="dxa"/>
          </w:tcPr>
          <w:p w14:paraId="092E1A47" w14:textId="77777777" w:rsidR="00D3344B" w:rsidRDefault="00143C25">
            <w:pPr>
              <w:widowControl w:val="0"/>
              <w:jc w:val="center"/>
              <w:rPr>
                <w:rFonts w:ascii="Arial" w:hAnsi="Arial" w:cs="Arial"/>
              </w:rPr>
            </w:pPr>
            <w:r>
              <w:rPr>
                <w:rFonts w:ascii="Arial" w:hAnsi="Arial" w:cs="Arial"/>
              </w:rPr>
              <w:t>140</w:t>
            </w:r>
          </w:p>
        </w:tc>
        <w:tc>
          <w:tcPr>
            <w:tcW w:w="1278" w:type="dxa"/>
          </w:tcPr>
          <w:p w14:paraId="48B2BB1B" w14:textId="77777777" w:rsidR="00D3344B" w:rsidRDefault="00143C25">
            <w:pPr>
              <w:widowControl w:val="0"/>
              <w:jc w:val="center"/>
              <w:rPr>
                <w:rFonts w:ascii="Arial" w:hAnsi="Arial" w:cs="Arial"/>
              </w:rPr>
            </w:pPr>
            <w:r>
              <w:rPr>
                <w:rFonts w:ascii="Arial" w:hAnsi="Arial" w:cs="Arial"/>
              </w:rPr>
              <w:t>240</w:t>
            </w:r>
          </w:p>
        </w:tc>
      </w:tr>
      <w:tr w:rsidR="00D3344B" w14:paraId="3ACA5B17" w14:textId="77777777">
        <w:trPr>
          <w:trHeight w:val="218"/>
          <w:jc w:val="center"/>
        </w:trPr>
        <w:tc>
          <w:tcPr>
            <w:tcW w:w="5810" w:type="dxa"/>
          </w:tcPr>
          <w:p w14:paraId="024B57B8" w14:textId="77777777" w:rsidR="00D3344B" w:rsidRDefault="00143C25">
            <w:pPr>
              <w:widowControl w:val="0"/>
              <w:spacing w:after="0"/>
              <w:jc w:val="both"/>
              <w:rPr>
                <w:rFonts w:ascii="Arial" w:hAnsi="Arial" w:cs="Arial"/>
                <w:i/>
                <w:sz w:val="16"/>
                <w:szCs w:val="16"/>
              </w:rPr>
            </w:pPr>
            <w:r>
              <w:rPr>
                <w:rFonts w:ascii="Arial" w:hAnsi="Arial" w:cs="Arial"/>
                <w:i/>
                <w:sz w:val="16"/>
                <w:szCs w:val="16"/>
              </w:rPr>
              <w:t>(ADICIONADA, P.O. 26 DE DICIEMBRE DE 2022)</w:t>
            </w:r>
          </w:p>
          <w:p w14:paraId="1F70DBA1" w14:textId="77777777" w:rsidR="00D3344B" w:rsidRDefault="00143C25">
            <w:pPr>
              <w:widowControl w:val="0"/>
              <w:rPr>
                <w:rFonts w:ascii="Arial" w:hAnsi="Arial" w:cs="Arial"/>
              </w:rPr>
            </w:pPr>
            <w:r>
              <w:rPr>
                <w:rFonts w:ascii="Arial" w:hAnsi="Arial" w:cs="Arial"/>
              </w:rPr>
              <w:t>VI. Establecimientos o puestos provisionales establecidos en ferias con venta de bebidas alcohólicas, por un periodo máximo de treinta días.</w:t>
            </w:r>
          </w:p>
        </w:tc>
        <w:tc>
          <w:tcPr>
            <w:tcW w:w="1559" w:type="dxa"/>
          </w:tcPr>
          <w:p w14:paraId="47A6624B" w14:textId="77777777" w:rsidR="00D3344B" w:rsidRDefault="00143C25">
            <w:pPr>
              <w:widowControl w:val="0"/>
              <w:jc w:val="center"/>
              <w:rPr>
                <w:rFonts w:ascii="Arial" w:hAnsi="Arial" w:cs="Arial"/>
              </w:rPr>
            </w:pPr>
            <w:r>
              <w:rPr>
                <w:rFonts w:ascii="Arial" w:hAnsi="Arial" w:cs="Arial"/>
              </w:rPr>
              <w:t>110</w:t>
            </w:r>
          </w:p>
        </w:tc>
        <w:tc>
          <w:tcPr>
            <w:tcW w:w="1278" w:type="dxa"/>
          </w:tcPr>
          <w:p w14:paraId="5515A791" w14:textId="77777777" w:rsidR="00D3344B" w:rsidRDefault="00143C25">
            <w:pPr>
              <w:widowControl w:val="0"/>
              <w:jc w:val="center"/>
              <w:rPr>
                <w:rFonts w:ascii="Arial" w:hAnsi="Arial" w:cs="Arial"/>
              </w:rPr>
            </w:pPr>
            <w:r>
              <w:rPr>
                <w:rFonts w:ascii="Arial" w:hAnsi="Arial" w:cs="Arial"/>
              </w:rPr>
              <w:t>150</w:t>
            </w:r>
          </w:p>
        </w:tc>
      </w:tr>
    </w:tbl>
    <w:p w14:paraId="00154D0A" w14:textId="77777777" w:rsidR="00D3344B" w:rsidRDefault="00D3344B">
      <w:pPr>
        <w:rPr>
          <w:rFonts w:ascii="Arial" w:hAnsi="Arial" w:cs="Arial"/>
        </w:rPr>
      </w:pPr>
    </w:p>
    <w:p w14:paraId="4C391747" w14:textId="77777777" w:rsidR="00D3344B" w:rsidRDefault="00143C25">
      <w:pPr>
        <w:pStyle w:val="Estilo"/>
        <w:rPr>
          <w:rFonts w:cs="Arial"/>
        </w:rPr>
      </w:pPr>
      <w:r>
        <w:rPr>
          <w:rFonts w:cs="Arial"/>
          <w:i/>
          <w:sz w:val="16"/>
        </w:rPr>
        <w:t>(ADICIONADO, P.O. 30 DE DICIEMBRE DE 2005)</w:t>
      </w:r>
    </w:p>
    <w:p w14:paraId="453EE3CC" w14:textId="77777777" w:rsidR="00D3344B" w:rsidRDefault="00143C25">
      <w:pPr>
        <w:pStyle w:val="Estilo"/>
        <w:rPr>
          <w:rFonts w:cs="Arial"/>
        </w:rPr>
      </w:pPr>
      <w:r>
        <w:rPr>
          <w:rFonts w:cs="Arial"/>
          <w:b/>
        </w:rPr>
        <w:t>Artículo 155 A.</w:t>
      </w:r>
      <w:r>
        <w:rPr>
          <w:rFonts w:cs="Arial"/>
        </w:rPr>
        <w:t xml:space="preserve"> Las cuotas a que se refiere el artículo anterior serán fijadas por la Secretaría de Finanzas del Estado, por conducto de la Dirección de Ingresos y Fiscalización entre los límites mínimo y máximo, tomando en cuenta las circunstancias y condiciones de cada negociación en lo particular tales como ubicación, calidad de las mercancías y servicios, tipo de instalaciones o la declaración anual del ejercicio inmediato anterior o las que comprendan el ejercicio. Para las negociaciones ubicadas dentro de la jurisdicción territorial de los municipios del Estado que hayan firmado Convenio de Colaboración en la materia, serán fijadas por las tesorerías municipales, observando las cuotas establecidas en el artículo anterior.</w:t>
      </w:r>
    </w:p>
    <w:p w14:paraId="18B5EAE5" w14:textId="77777777" w:rsidR="00D3344B" w:rsidRDefault="00D3344B">
      <w:pPr>
        <w:pStyle w:val="Estilo"/>
        <w:rPr>
          <w:rFonts w:cs="Arial"/>
        </w:rPr>
      </w:pPr>
    </w:p>
    <w:p w14:paraId="1601083E" w14:textId="77777777" w:rsidR="00D3344B" w:rsidRDefault="00143C25">
      <w:pPr>
        <w:pStyle w:val="Estilo"/>
        <w:rPr>
          <w:rFonts w:cs="Arial"/>
        </w:rPr>
      </w:pPr>
      <w:r>
        <w:rPr>
          <w:rFonts w:cs="Arial"/>
          <w:i/>
          <w:sz w:val="16"/>
        </w:rPr>
        <w:t>N. DE E. EN RELACIÓN CON LA ENTRADA EN VIGOR DEL PRESENTE ARTÍCULO, VÉASE TRANSITORIO ÚNICO DEL DECRETO QUE MODIFICA EL CÓDIGO.</w:t>
      </w:r>
    </w:p>
    <w:p w14:paraId="40A5FD14" w14:textId="77777777" w:rsidR="00D3344B" w:rsidRDefault="00143C25">
      <w:pPr>
        <w:pStyle w:val="Estilo"/>
        <w:rPr>
          <w:rFonts w:cs="Arial"/>
        </w:rPr>
      </w:pPr>
      <w:r>
        <w:rPr>
          <w:rFonts w:cs="Arial"/>
          <w:i/>
          <w:sz w:val="16"/>
        </w:rPr>
        <w:t>(ADICIONADO, P.O. 7 DE DICIEMBRE DE 2009)</w:t>
      </w:r>
    </w:p>
    <w:p w14:paraId="3AEAB7D7" w14:textId="77777777" w:rsidR="00D3344B" w:rsidRDefault="00143C25">
      <w:pPr>
        <w:pStyle w:val="Estilo"/>
        <w:rPr>
          <w:rFonts w:cs="Arial"/>
        </w:rPr>
      </w:pPr>
      <w:r>
        <w:rPr>
          <w:rFonts w:cs="Arial"/>
          <w:b/>
        </w:rPr>
        <w:t>Artículo 155-B.</w:t>
      </w:r>
      <w:r>
        <w:rPr>
          <w:rFonts w:cs="Arial"/>
        </w:rPr>
        <w:t xml:space="preserve"> Por ningún motivo se podrán encontrar en el interior de los establecimientos citados en la fracción II del artículo 155 de este Código, uniformados pertenecientes a cuerpos de seguridad pública, y menores de edad.</w:t>
      </w:r>
    </w:p>
    <w:p w14:paraId="599B8932" w14:textId="77777777" w:rsidR="00D3344B" w:rsidRDefault="00D3344B">
      <w:pPr>
        <w:pStyle w:val="Estilo"/>
        <w:rPr>
          <w:rFonts w:cs="Arial"/>
        </w:rPr>
      </w:pPr>
    </w:p>
    <w:p w14:paraId="3EEB380D" w14:textId="77777777" w:rsidR="00D3344B" w:rsidRDefault="00143C25">
      <w:pPr>
        <w:pStyle w:val="Estilo"/>
        <w:rPr>
          <w:rFonts w:cs="Arial"/>
        </w:rPr>
      </w:pPr>
      <w:r>
        <w:rPr>
          <w:rFonts w:cs="Arial"/>
          <w:b/>
        </w:rPr>
        <w:t>Artículo 156.</w:t>
      </w:r>
      <w:r>
        <w:rPr>
          <w:rFonts w:cs="Arial"/>
        </w:rPr>
        <w:t xml:space="preserve"> Para efectos del artículo anterior, los establecimientos o locales, se definen como siguen:</w:t>
      </w:r>
    </w:p>
    <w:p w14:paraId="60D23259" w14:textId="77777777" w:rsidR="00D3344B" w:rsidRDefault="00D3344B">
      <w:pPr>
        <w:pStyle w:val="Estilo"/>
        <w:rPr>
          <w:rFonts w:cs="Arial"/>
        </w:rPr>
      </w:pPr>
    </w:p>
    <w:p w14:paraId="7AE2622F" w14:textId="77777777" w:rsidR="00D3344B" w:rsidRDefault="00143C25">
      <w:pPr>
        <w:pStyle w:val="Estilo"/>
        <w:ind w:left="567" w:hanging="567"/>
        <w:rPr>
          <w:rFonts w:cs="Arial"/>
        </w:rPr>
      </w:pPr>
      <w:r>
        <w:rPr>
          <w:rFonts w:cs="Arial"/>
        </w:rPr>
        <w:t xml:space="preserve">I. </w:t>
      </w:r>
      <w:r>
        <w:rPr>
          <w:rFonts w:cs="Arial"/>
        </w:rPr>
        <w:tab/>
        <w:t>ENAJENACIÓN.</w:t>
      </w:r>
    </w:p>
    <w:p w14:paraId="59DDADD1" w14:textId="77777777" w:rsidR="00D3344B" w:rsidRDefault="00D3344B">
      <w:pPr>
        <w:pStyle w:val="Estilo"/>
        <w:rPr>
          <w:rFonts w:cs="Arial"/>
        </w:rPr>
      </w:pPr>
    </w:p>
    <w:p w14:paraId="286217CC" w14:textId="77777777" w:rsidR="00D3344B" w:rsidRDefault="00143C25">
      <w:pPr>
        <w:pStyle w:val="Estilo"/>
        <w:ind w:left="1134" w:hanging="567"/>
        <w:rPr>
          <w:rFonts w:cs="Arial"/>
        </w:rPr>
      </w:pPr>
      <w:r>
        <w:rPr>
          <w:rFonts w:cs="Arial"/>
        </w:rPr>
        <w:t xml:space="preserve">a) </w:t>
      </w:r>
      <w:r>
        <w:rPr>
          <w:rFonts w:cs="Arial"/>
        </w:rPr>
        <w:tab/>
        <w:t>Abarrotes en general con venta de vinos y licores en botella cerrada al mayoreo. Local o establecimiento donde se venden productos comerciales, ya sea en empaque o a granel y que además preponderantemente vendan vinos y licores en caja cerrada al mayoreo.</w:t>
      </w:r>
    </w:p>
    <w:p w14:paraId="5637C406" w14:textId="77777777" w:rsidR="00D3344B" w:rsidRDefault="00D3344B">
      <w:pPr>
        <w:pStyle w:val="Estilo"/>
        <w:ind w:left="1134" w:hanging="567"/>
        <w:rPr>
          <w:rFonts w:cs="Arial"/>
        </w:rPr>
      </w:pPr>
    </w:p>
    <w:p w14:paraId="34680EFE" w14:textId="77777777" w:rsidR="00D3344B" w:rsidRDefault="00143C25">
      <w:pPr>
        <w:pStyle w:val="Estilo"/>
        <w:ind w:left="1134" w:hanging="567"/>
        <w:rPr>
          <w:rFonts w:cs="Arial"/>
        </w:rPr>
      </w:pPr>
      <w:r>
        <w:rPr>
          <w:rFonts w:cs="Arial"/>
        </w:rPr>
        <w:t xml:space="preserve">b) </w:t>
      </w:r>
      <w:r>
        <w:rPr>
          <w:rFonts w:cs="Arial"/>
        </w:rPr>
        <w:tab/>
        <w:t>Abarrotes en general con venta de vinos y licores en botella cerrada al menudeo. Local o establecimiento donde se venden productos comerciales, ya sea en empaque o a granel y que además preponderantemente vendan vinos y licores en botella cerrada al menudeo.</w:t>
      </w:r>
    </w:p>
    <w:p w14:paraId="171406EF" w14:textId="77777777" w:rsidR="00D3344B" w:rsidRDefault="00D3344B">
      <w:pPr>
        <w:pStyle w:val="Estilo"/>
        <w:ind w:left="1134" w:hanging="567"/>
        <w:rPr>
          <w:rFonts w:cs="Arial"/>
        </w:rPr>
      </w:pPr>
    </w:p>
    <w:p w14:paraId="765ABE6F" w14:textId="77777777" w:rsidR="00D3344B" w:rsidRDefault="00143C25">
      <w:pPr>
        <w:pStyle w:val="Estilo"/>
        <w:ind w:left="1134" w:hanging="567"/>
        <w:rPr>
          <w:rFonts w:cs="Arial"/>
        </w:rPr>
      </w:pPr>
      <w:r>
        <w:rPr>
          <w:rFonts w:cs="Arial"/>
        </w:rPr>
        <w:lastRenderedPageBreak/>
        <w:t xml:space="preserve">c) </w:t>
      </w:r>
      <w:r>
        <w:rPr>
          <w:rFonts w:cs="Arial"/>
        </w:rPr>
        <w:tab/>
        <w:t>Agencias o depósitos de cerveza en botella cerrada.</w:t>
      </w:r>
    </w:p>
    <w:p w14:paraId="1248B0B2" w14:textId="77777777" w:rsidR="00D3344B" w:rsidRDefault="00D3344B">
      <w:pPr>
        <w:pStyle w:val="Estilo"/>
        <w:ind w:left="1134" w:hanging="567"/>
        <w:rPr>
          <w:rFonts w:cs="Arial"/>
        </w:rPr>
      </w:pPr>
    </w:p>
    <w:p w14:paraId="09AF669F" w14:textId="77777777" w:rsidR="00D3344B" w:rsidRDefault="00143C25">
      <w:pPr>
        <w:pStyle w:val="Estilo"/>
        <w:ind w:left="1134"/>
        <w:rPr>
          <w:rFonts w:cs="Arial"/>
        </w:rPr>
      </w:pPr>
      <w:r>
        <w:rPr>
          <w:rFonts w:cs="Arial"/>
        </w:rPr>
        <w:t xml:space="preserve">Agencias de cerveza en botella cerrada. Establecimientos o locales donde se realiza la distribución de cerveza de barril, en bote o botella cerrada a detallistas, al mayoreo. </w:t>
      </w:r>
      <w:proofErr w:type="gramStart"/>
      <w:r>
        <w:rPr>
          <w:rFonts w:cs="Arial"/>
        </w:rPr>
        <w:t>Además</w:t>
      </w:r>
      <w:proofErr w:type="gramEnd"/>
      <w:r>
        <w:rPr>
          <w:rFonts w:cs="Arial"/>
        </w:rPr>
        <w:t xml:space="preserve"> se concentra toda la información de las ventas realizadas por las sucursales.</w:t>
      </w:r>
    </w:p>
    <w:p w14:paraId="29009FF4" w14:textId="77777777" w:rsidR="00D3344B" w:rsidRDefault="00D3344B">
      <w:pPr>
        <w:pStyle w:val="Estilo"/>
        <w:ind w:left="1134" w:hanging="567"/>
        <w:rPr>
          <w:rFonts w:cs="Arial"/>
        </w:rPr>
      </w:pPr>
    </w:p>
    <w:p w14:paraId="18052457" w14:textId="77777777" w:rsidR="00D3344B" w:rsidRDefault="00143C25">
      <w:pPr>
        <w:pStyle w:val="Estilo"/>
        <w:ind w:left="1134"/>
        <w:rPr>
          <w:rFonts w:cs="Arial"/>
        </w:rPr>
      </w:pPr>
      <w:r>
        <w:rPr>
          <w:rFonts w:cs="Arial"/>
        </w:rPr>
        <w:t>Depósito de cerveza en botella cerrada. Establecimientos o locales donde se realiza la venta de cervezas de barril en bote o botella cerrada al mayoreo o menudeo.</w:t>
      </w:r>
    </w:p>
    <w:p w14:paraId="184FE923" w14:textId="77777777" w:rsidR="00D3344B" w:rsidRDefault="00D3344B">
      <w:pPr>
        <w:pStyle w:val="Estilo"/>
        <w:ind w:left="1134" w:hanging="567"/>
        <w:rPr>
          <w:rFonts w:cs="Arial"/>
        </w:rPr>
      </w:pPr>
    </w:p>
    <w:p w14:paraId="4CAF9AC9" w14:textId="77777777" w:rsidR="00D3344B" w:rsidRDefault="00143C25">
      <w:pPr>
        <w:pStyle w:val="Estilo"/>
        <w:ind w:left="1134" w:hanging="567"/>
        <w:rPr>
          <w:rFonts w:cs="Arial"/>
        </w:rPr>
      </w:pPr>
      <w:r>
        <w:rPr>
          <w:rFonts w:cs="Arial"/>
        </w:rPr>
        <w:t xml:space="preserve">d) </w:t>
      </w:r>
      <w:r>
        <w:rPr>
          <w:rFonts w:cs="Arial"/>
        </w:rPr>
        <w:tab/>
        <w:t>Bodegas con actividad comercial y venta de vinos y licores. Lugar o establecimiento en el que se guardan o almacenan productos comerciales y vinos y licores para posteriormente ser vendidos al mayoreo exclusivamente.</w:t>
      </w:r>
    </w:p>
    <w:p w14:paraId="07D1FE45" w14:textId="77777777" w:rsidR="00D3344B" w:rsidRDefault="00D3344B">
      <w:pPr>
        <w:pStyle w:val="Estilo"/>
        <w:ind w:left="1134" w:hanging="567"/>
        <w:rPr>
          <w:rFonts w:cs="Arial"/>
        </w:rPr>
      </w:pPr>
    </w:p>
    <w:p w14:paraId="1E144A1A" w14:textId="77777777" w:rsidR="00D3344B" w:rsidRDefault="00143C25">
      <w:pPr>
        <w:pStyle w:val="Estilo"/>
        <w:ind w:left="1134" w:hanging="567"/>
        <w:rPr>
          <w:rFonts w:cs="Arial"/>
        </w:rPr>
      </w:pPr>
      <w:r>
        <w:rPr>
          <w:rFonts w:cs="Arial"/>
        </w:rPr>
        <w:t xml:space="preserve">e) </w:t>
      </w:r>
      <w:r>
        <w:rPr>
          <w:rFonts w:cs="Arial"/>
        </w:rPr>
        <w:tab/>
        <w:t>Mini súper con venta de vinos y licores. Establecimiento donde se venden diversos productos comerciales además de vinos y licores y cerveza en bote o botella cerrada al menudeo principalmente; además de que la clientela se puede o no servir así misma los productos.</w:t>
      </w:r>
    </w:p>
    <w:p w14:paraId="0B6B814B" w14:textId="77777777" w:rsidR="00D3344B" w:rsidRDefault="00D3344B">
      <w:pPr>
        <w:pStyle w:val="Estilo"/>
        <w:ind w:left="1134" w:hanging="567"/>
        <w:rPr>
          <w:rFonts w:cs="Arial"/>
        </w:rPr>
      </w:pPr>
    </w:p>
    <w:p w14:paraId="364BD66A" w14:textId="77777777" w:rsidR="00D3344B" w:rsidRDefault="00143C25">
      <w:pPr>
        <w:pStyle w:val="Estilo"/>
        <w:ind w:left="1134" w:hanging="567"/>
        <w:rPr>
          <w:rFonts w:cs="Arial"/>
        </w:rPr>
      </w:pPr>
      <w:r>
        <w:rPr>
          <w:rFonts w:cs="Arial"/>
        </w:rPr>
        <w:t xml:space="preserve">f) </w:t>
      </w:r>
      <w:r>
        <w:rPr>
          <w:rFonts w:cs="Arial"/>
        </w:rPr>
        <w:tab/>
        <w:t>Miscelánea con venta de vinos y licores y cerveza en botella cerrada. Establecimiento donde se venden diversos productos comerciales además de vinos y licores y cerveza en bote o botella cerrada al menudeo principalmente.</w:t>
      </w:r>
    </w:p>
    <w:p w14:paraId="166D74E1" w14:textId="77777777" w:rsidR="00D3344B" w:rsidRDefault="00D3344B">
      <w:pPr>
        <w:pStyle w:val="Estilo"/>
        <w:ind w:left="1134" w:hanging="567"/>
        <w:rPr>
          <w:rFonts w:cs="Arial"/>
        </w:rPr>
      </w:pPr>
    </w:p>
    <w:p w14:paraId="0029A373" w14:textId="77777777" w:rsidR="00D3344B" w:rsidRDefault="00143C25">
      <w:pPr>
        <w:pStyle w:val="Estilo"/>
        <w:ind w:left="1134" w:hanging="567"/>
        <w:rPr>
          <w:rFonts w:cs="Arial"/>
        </w:rPr>
      </w:pPr>
      <w:r>
        <w:rPr>
          <w:rFonts w:cs="Arial"/>
        </w:rPr>
        <w:t xml:space="preserve">g) </w:t>
      </w:r>
      <w:r>
        <w:rPr>
          <w:rFonts w:cs="Arial"/>
        </w:rPr>
        <w:tab/>
        <w:t>Supermercados. Establecimientos comerciales donde la clientela se sirve a sí misma los diversos productos que se venden ahí, perecederos y no perecederos, ya sea al mayoreo o al menudeo, y que incluyen la venta de vinos, licores y cerveza en bote o botella cerrada.</w:t>
      </w:r>
    </w:p>
    <w:p w14:paraId="58701FBC" w14:textId="77777777" w:rsidR="00D3344B" w:rsidRDefault="00D3344B">
      <w:pPr>
        <w:pStyle w:val="Estilo"/>
        <w:ind w:left="1134" w:hanging="567"/>
        <w:rPr>
          <w:rFonts w:cs="Arial"/>
        </w:rPr>
      </w:pPr>
    </w:p>
    <w:p w14:paraId="607E4889" w14:textId="77777777" w:rsidR="00D3344B" w:rsidRDefault="00143C25">
      <w:pPr>
        <w:pStyle w:val="Estilo"/>
        <w:ind w:left="1134" w:hanging="567"/>
        <w:rPr>
          <w:rFonts w:cs="Arial"/>
        </w:rPr>
      </w:pPr>
      <w:r>
        <w:rPr>
          <w:rFonts w:cs="Arial"/>
        </w:rPr>
        <w:t xml:space="preserve">h) </w:t>
      </w:r>
      <w:r>
        <w:rPr>
          <w:rFonts w:cs="Arial"/>
        </w:rPr>
        <w:tab/>
      </w:r>
      <w:proofErr w:type="spellStart"/>
      <w:r>
        <w:rPr>
          <w:rFonts w:cs="Arial"/>
        </w:rPr>
        <w:t>Tendajones</w:t>
      </w:r>
      <w:proofErr w:type="spellEnd"/>
      <w:r>
        <w:rPr>
          <w:rFonts w:cs="Arial"/>
        </w:rPr>
        <w:t>, con venta de cerveza en botella cerrada. Establecimientos o locales comerciales donde se venden productos comerciales perecederos y que además venden cervezas en bote o botella cerrada.</w:t>
      </w:r>
    </w:p>
    <w:p w14:paraId="67B1A4CE" w14:textId="77777777" w:rsidR="00D3344B" w:rsidRDefault="00D3344B">
      <w:pPr>
        <w:pStyle w:val="Estilo"/>
        <w:ind w:left="1134" w:hanging="567"/>
        <w:rPr>
          <w:rFonts w:cs="Arial"/>
        </w:rPr>
      </w:pPr>
    </w:p>
    <w:p w14:paraId="250C6867" w14:textId="77777777" w:rsidR="00D3344B" w:rsidRDefault="00143C25">
      <w:pPr>
        <w:pStyle w:val="Estilo"/>
        <w:ind w:left="1134" w:hanging="567"/>
        <w:rPr>
          <w:rFonts w:cs="Arial"/>
        </w:rPr>
      </w:pPr>
      <w:r>
        <w:rPr>
          <w:rFonts w:cs="Arial"/>
        </w:rPr>
        <w:t xml:space="preserve">i) </w:t>
      </w:r>
      <w:r>
        <w:rPr>
          <w:rFonts w:cs="Arial"/>
        </w:rPr>
        <w:tab/>
        <w:t>Vinaterías. Establecimientos o locales donde se venden exclusivamente vinos y licores en envase cerrado principalmente, al público en general, ya sea en botella o caja cerrada al mayoreo o menudeo.</w:t>
      </w:r>
    </w:p>
    <w:p w14:paraId="680DEAAB" w14:textId="77777777" w:rsidR="00D3344B" w:rsidRDefault="00D3344B">
      <w:pPr>
        <w:pStyle w:val="Estilo"/>
        <w:ind w:left="1134" w:hanging="567"/>
        <w:rPr>
          <w:rFonts w:cs="Arial"/>
        </w:rPr>
      </w:pPr>
    </w:p>
    <w:p w14:paraId="78F08540" w14:textId="77777777" w:rsidR="00D3344B" w:rsidRDefault="00143C25">
      <w:pPr>
        <w:pStyle w:val="Estilo"/>
        <w:ind w:left="1134" w:hanging="567"/>
        <w:rPr>
          <w:rFonts w:cs="Arial"/>
        </w:rPr>
      </w:pPr>
      <w:r>
        <w:rPr>
          <w:rFonts w:cs="Arial"/>
        </w:rPr>
        <w:t xml:space="preserve">j) </w:t>
      </w:r>
      <w:r>
        <w:rPr>
          <w:rFonts w:cs="Arial"/>
        </w:rPr>
        <w:tab/>
        <w:t>Ultramarinos. Establecimientos o locales donde se venden carnes frías y otros productos, así como vinos, licores, cerveza en bote o botella en envase cerrado al público en general.</w:t>
      </w:r>
    </w:p>
    <w:p w14:paraId="3E34CE01" w14:textId="77777777" w:rsidR="00D3344B" w:rsidRDefault="00D3344B">
      <w:pPr>
        <w:pStyle w:val="Estilo"/>
        <w:rPr>
          <w:rFonts w:cs="Arial"/>
        </w:rPr>
      </w:pPr>
    </w:p>
    <w:p w14:paraId="0ACFC99E" w14:textId="77777777" w:rsidR="00D3344B" w:rsidRDefault="00143C25">
      <w:pPr>
        <w:pStyle w:val="Estilo"/>
        <w:ind w:left="567" w:hanging="567"/>
        <w:rPr>
          <w:rFonts w:cs="Arial"/>
        </w:rPr>
      </w:pPr>
      <w:r>
        <w:rPr>
          <w:rFonts w:cs="Arial"/>
        </w:rPr>
        <w:t xml:space="preserve">II. </w:t>
      </w:r>
      <w:r>
        <w:rPr>
          <w:rFonts w:cs="Arial"/>
        </w:rPr>
        <w:tab/>
        <w:t>PRESTACIÓN DE SERVICIOS.</w:t>
      </w:r>
    </w:p>
    <w:p w14:paraId="6076704A" w14:textId="77777777" w:rsidR="00D3344B" w:rsidRDefault="00D3344B">
      <w:pPr>
        <w:pStyle w:val="Estilo"/>
        <w:rPr>
          <w:rFonts w:cs="Arial"/>
        </w:rPr>
      </w:pPr>
    </w:p>
    <w:p w14:paraId="3ABEA212" w14:textId="77777777" w:rsidR="00D3344B" w:rsidRDefault="00143C25">
      <w:pPr>
        <w:pStyle w:val="Estilo"/>
        <w:ind w:left="1134" w:hanging="567"/>
        <w:rPr>
          <w:rFonts w:cs="Arial"/>
        </w:rPr>
      </w:pPr>
      <w:r>
        <w:rPr>
          <w:rFonts w:cs="Arial"/>
        </w:rPr>
        <w:lastRenderedPageBreak/>
        <w:t xml:space="preserve">a) </w:t>
      </w:r>
      <w:r>
        <w:rPr>
          <w:rFonts w:cs="Arial"/>
        </w:rPr>
        <w:tab/>
        <w:t>Bares. Establecimientos o locales donde se sirven preponderantemente bebidas alcohólicas al copeo, para su consumo en el mismo lugar, incluyendo o no botana, pudiendo de manera adicional presentar música viva, grabada o video grabada al público en general.</w:t>
      </w:r>
    </w:p>
    <w:p w14:paraId="3E5C688D" w14:textId="77777777" w:rsidR="00D3344B" w:rsidRDefault="00D3344B">
      <w:pPr>
        <w:pStyle w:val="Estilo"/>
        <w:ind w:left="1134" w:hanging="567"/>
        <w:rPr>
          <w:rFonts w:cs="Arial"/>
        </w:rPr>
      </w:pPr>
    </w:p>
    <w:p w14:paraId="7A23C528" w14:textId="77777777" w:rsidR="00D3344B" w:rsidRDefault="00143C25">
      <w:pPr>
        <w:pStyle w:val="Estilo"/>
        <w:ind w:left="1134" w:hanging="567"/>
        <w:rPr>
          <w:rFonts w:cs="Arial"/>
        </w:rPr>
      </w:pPr>
      <w:r>
        <w:rPr>
          <w:rFonts w:cs="Arial"/>
        </w:rPr>
        <w:t xml:space="preserve">b) </w:t>
      </w:r>
      <w:r>
        <w:rPr>
          <w:rFonts w:cs="Arial"/>
        </w:rPr>
        <w:tab/>
        <w:t>Cantina. Establecimiento o local donde se sirven bebidas alcohólicas al copeo o en botella, para su consumo en el mismo lugar al público en general.</w:t>
      </w:r>
    </w:p>
    <w:p w14:paraId="494F8ADD" w14:textId="77777777" w:rsidR="00D3344B" w:rsidRDefault="00D3344B">
      <w:pPr>
        <w:pStyle w:val="Estilo"/>
        <w:ind w:left="1134" w:hanging="567"/>
        <w:rPr>
          <w:rFonts w:cs="Arial"/>
        </w:rPr>
      </w:pPr>
    </w:p>
    <w:p w14:paraId="0B8F1987" w14:textId="77777777" w:rsidR="00D3344B" w:rsidRDefault="00143C25">
      <w:pPr>
        <w:pStyle w:val="Estilo"/>
        <w:ind w:left="1134" w:hanging="567"/>
        <w:rPr>
          <w:rFonts w:cs="Arial"/>
        </w:rPr>
      </w:pPr>
      <w:r>
        <w:rPr>
          <w:rFonts w:cs="Arial"/>
        </w:rPr>
        <w:t xml:space="preserve">c) </w:t>
      </w:r>
      <w:r>
        <w:rPr>
          <w:rFonts w:cs="Arial"/>
        </w:rPr>
        <w:tab/>
        <w:t>Discotecas. Establecimiento o local de baile con música grabada y que además se sirven bebidas alcohólicas.</w:t>
      </w:r>
    </w:p>
    <w:p w14:paraId="0BD31056" w14:textId="77777777" w:rsidR="00D3344B" w:rsidRDefault="00D3344B">
      <w:pPr>
        <w:pStyle w:val="Estilo"/>
        <w:ind w:left="1134" w:hanging="567"/>
        <w:rPr>
          <w:rFonts w:cs="Arial"/>
        </w:rPr>
      </w:pPr>
    </w:p>
    <w:p w14:paraId="3B2660E0" w14:textId="77777777" w:rsidR="00D3344B" w:rsidRDefault="00143C25">
      <w:pPr>
        <w:pStyle w:val="Estilo"/>
        <w:ind w:left="1134" w:hanging="567"/>
        <w:rPr>
          <w:rFonts w:cs="Arial"/>
        </w:rPr>
      </w:pPr>
      <w:r>
        <w:rPr>
          <w:rFonts w:cs="Arial"/>
        </w:rPr>
        <w:t xml:space="preserve">d) </w:t>
      </w:r>
      <w:r>
        <w:rPr>
          <w:rFonts w:cs="Arial"/>
        </w:rPr>
        <w:tab/>
        <w:t>Cervecerías. Establecimiento donde se sirven exclusivamente cervezas de cualquier tipo y forma de envase, para consumirse en el interior de dicho establecimiento, al público en general, siempre y cuando sean mayores de edad.</w:t>
      </w:r>
    </w:p>
    <w:p w14:paraId="4A5F3C9A" w14:textId="77777777" w:rsidR="00D3344B" w:rsidRDefault="00D3344B">
      <w:pPr>
        <w:pStyle w:val="Estilo"/>
        <w:ind w:left="1134" w:hanging="567"/>
        <w:rPr>
          <w:rFonts w:cs="Arial"/>
        </w:rPr>
      </w:pPr>
    </w:p>
    <w:p w14:paraId="42A4C7DF" w14:textId="77777777" w:rsidR="00D3344B" w:rsidRDefault="00143C25">
      <w:pPr>
        <w:pStyle w:val="Estilo"/>
        <w:ind w:left="1134" w:hanging="567"/>
        <w:rPr>
          <w:rFonts w:cs="Arial"/>
        </w:rPr>
      </w:pPr>
      <w:r>
        <w:rPr>
          <w:rFonts w:cs="Arial"/>
        </w:rPr>
        <w:t xml:space="preserve">e) </w:t>
      </w:r>
      <w:r>
        <w:rPr>
          <w:rFonts w:cs="Arial"/>
        </w:rPr>
        <w:tab/>
        <w:t>Cevicherías, ostionerías y similares con venta de cerveza en alimentos. Establecimiento o local, donde se sirven mariscos de cualquier tipo además de cerveza en envase de cualquier tipo, al público en general.</w:t>
      </w:r>
    </w:p>
    <w:p w14:paraId="46948D61" w14:textId="77777777" w:rsidR="00D3344B" w:rsidRDefault="00D3344B">
      <w:pPr>
        <w:pStyle w:val="Estilo"/>
        <w:ind w:left="1134" w:hanging="567"/>
        <w:rPr>
          <w:rFonts w:cs="Arial"/>
        </w:rPr>
      </w:pPr>
    </w:p>
    <w:p w14:paraId="4C009422" w14:textId="77777777" w:rsidR="00D3344B" w:rsidRDefault="00143C25">
      <w:pPr>
        <w:pStyle w:val="Estilo"/>
        <w:ind w:left="1134" w:hanging="567"/>
        <w:rPr>
          <w:rFonts w:cs="Arial"/>
        </w:rPr>
      </w:pPr>
      <w:r>
        <w:rPr>
          <w:rFonts w:cs="Arial"/>
        </w:rPr>
        <w:t xml:space="preserve">f) </w:t>
      </w:r>
      <w:r>
        <w:rPr>
          <w:rFonts w:cs="Arial"/>
        </w:rPr>
        <w:tab/>
        <w:t>Cevicherías, ostionerías y similares con venta de vinos y licores en alimentos. Establecimiento o local, donde se sirven mariscos de cualquier tipo además de vinos y licores en cualquier presentación, ya sea en botella cerrada o al copeo, al público en general.</w:t>
      </w:r>
    </w:p>
    <w:p w14:paraId="4D3FCAA5" w14:textId="77777777" w:rsidR="00D3344B" w:rsidRDefault="00D3344B">
      <w:pPr>
        <w:pStyle w:val="Estilo"/>
        <w:ind w:left="1134" w:hanging="567"/>
        <w:rPr>
          <w:rFonts w:cs="Arial"/>
        </w:rPr>
      </w:pPr>
    </w:p>
    <w:p w14:paraId="234E042B" w14:textId="77777777" w:rsidR="00D3344B" w:rsidRDefault="00143C25">
      <w:pPr>
        <w:pStyle w:val="Estilo"/>
        <w:ind w:left="1134" w:hanging="567"/>
        <w:rPr>
          <w:rFonts w:cs="Arial"/>
        </w:rPr>
      </w:pPr>
      <w:r>
        <w:rPr>
          <w:rFonts w:cs="Arial"/>
        </w:rPr>
        <w:t xml:space="preserve">g) </w:t>
      </w:r>
      <w:r>
        <w:rPr>
          <w:rFonts w:cs="Arial"/>
        </w:rPr>
        <w:tab/>
        <w:t>Fonda con venta de cervezas en los alimentos. Establecimiento o local público donde se sirven alimentos de cualquier tipo, así como cerveza en bote o botella al público en general.</w:t>
      </w:r>
    </w:p>
    <w:p w14:paraId="0302B280" w14:textId="77777777" w:rsidR="00D3344B" w:rsidRDefault="00D3344B">
      <w:pPr>
        <w:pStyle w:val="Estilo"/>
        <w:ind w:left="1134" w:hanging="567"/>
        <w:rPr>
          <w:rFonts w:cs="Arial"/>
        </w:rPr>
      </w:pPr>
    </w:p>
    <w:p w14:paraId="198699EA" w14:textId="77777777" w:rsidR="00D3344B" w:rsidRDefault="00143C25">
      <w:pPr>
        <w:pStyle w:val="Estilo"/>
        <w:ind w:left="1134" w:hanging="567"/>
        <w:rPr>
          <w:rFonts w:cs="Arial"/>
        </w:rPr>
      </w:pPr>
      <w:r>
        <w:rPr>
          <w:rFonts w:cs="Arial"/>
        </w:rPr>
        <w:t xml:space="preserve">h) </w:t>
      </w:r>
      <w:r>
        <w:rPr>
          <w:rFonts w:cs="Arial"/>
        </w:rPr>
        <w:tab/>
        <w:t xml:space="preserve">Loncherías, taquerías, torterías, </w:t>
      </w:r>
      <w:proofErr w:type="spellStart"/>
      <w:r>
        <w:rPr>
          <w:rFonts w:cs="Arial"/>
        </w:rPr>
        <w:t>pozolerías</w:t>
      </w:r>
      <w:proofErr w:type="spellEnd"/>
      <w:r>
        <w:rPr>
          <w:rFonts w:cs="Arial"/>
        </w:rPr>
        <w:t xml:space="preserve"> y antojitos con venta de cerveza en alimentos. Lugar o establecimiento donde se venden alimentos tales como tacos, tortas, pozole y otros antojitos, así como cerveza ya sea en bote o botella, para ser consumidos en el mismo lugar de su venta.</w:t>
      </w:r>
    </w:p>
    <w:p w14:paraId="5BCB6F70" w14:textId="77777777" w:rsidR="00D3344B" w:rsidRDefault="00D3344B">
      <w:pPr>
        <w:pStyle w:val="Estilo"/>
        <w:ind w:left="1134" w:hanging="567"/>
        <w:rPr>
          <w:rFonts w:cs="Arial"/>
        </w:rPr>
      </w:pPr>
    </w:p>
    <w:p w14:paraId="267F0CD5" w14:textId="77777777" w:rsidR="00D3344B" w:rsidRDefault="00143C25">
      <w:pPr>
        <w:pStyle w:val="Estilo"/>
        <w:ind w:left="1134" w:hanging="567"/>
        <w:rPr>
          <w:rFonts w:cs="Arial"/>
        </w:rPr>
      </w:pPr>
      <w:r>
        <w:rPr>
          <w:rFonts w:cs="Arial"/>
        </w:rPr>
        <w:t xml:space="preserve">i) </w:t>
      </w:r>
      <w:r>
        <w:rPr>
          <w:rFonts w:cs="Arial"/>
        </w:rPr>
        <w:tab/>
        <w:t>Restaurante con servicio de bar. Establecimientos o lugares donde se sirven alimentos de cualquier tipo y bebidas alcohólicas conjunta o separadamente con alimentos para ser consumidos en el mismo lugar al público en general.</w:t>
      </w:r>
    </w:p>
    <w:p w14:paraId="731C057E" w14:textId="77777777" w:rsidR="00D3344B" w:rsidRDefault="00D3344B">
      <w:pPr>
        <w:pStyle w:val="Estilo"/>
        <w:ind w:left="1134" w:hanging="567"/>
        <w:rPr>
          <w:rFonts w:cs="Arial"/>
        </w:rPr>
      </w:pPr>
    </w:p>
    <w:p w14:paraId="150BA2DE" w14:textId="77777777" w:rsidR="00D3344B" w:rsidRDefault="00143C25">
      <w:pPr>
        <w:pStyle w:val="Estilo"/>
        <w:ind w:left="1134" w:hanging="567"/>
        <w:rPr>
          <w:rFonts w:cs="Arial"/>
        </w:rPr>
      </w:pPr>
      <w:r>
        <w:rPr>
          <w:rFonts w:cs="Arial"/>
        </w:rPr>
        <w:t xml:space="preserve">j) </w:t>
      </w:r>
      <w:r>
        <w:rPr>
          <w:rFonts w:cs="Arial"/>
        </w:rPr>
        <w:tab/>
        <w:t>Billares. Establecimientos o lugares de recreación donde se llevan a cabo diversos juegos de mesa y además se consumen cervezas en bote o botella en el interior de dichos establecimientos o locales.</w:t>
      </w:r>
    </w:p>
    <w:p w14:paraId="7A73EE4B" w14:textId="77777777" w:rsidR="00D3344B" w:rsidRDefault="00D3344B">
      <w:pPr>
        <w:pStyle w:val="Estilo"/>
        <w:ind w:left="1134" w:hanging="567"/>
        <w:rPr>
          <w:rFonts w:cs="Arial"/>
        </w:rPr>
      </w:pPr>
    </w:p>
    <w:p w14:paraId="4C89B6AB" w14:textId="77777777" w:rsidR="00D3344B" w:rsidRDefault="00143C25">
      <w:pPr>
        <w:pStyle w:val="Estilo"/>
        <w:ind w:left="1134" w:hanging="567"/>
        <w:rPr>
          <w:rFonts w:cs="Arial"/>
        </w:rPr>
      </w:pPr>
      <w:r>
        <w:rPr>
          <w:rFonts w:cs="Arial"/>
          <w:i/>
          <w:sz w:val="16"/>
        </w:rPr>
        <w:t>(ADICIONADO, P.O. 31 DE DICIEMBRE DE 2007)</w:t>
      </w:r>
    </w:p>
    <w:p w14:paraId="5A31AF09" w14:textId="77777777" w:rsidR="00D3344B" w:rsidRDefault="00143C25">
      <w:pPr>
        <w:pStyle w:val="Estilo"/>
        <w:ind w:left="1134" w:hanging="567"/>
        <w:rPr>
          <w:rFonts w:cs="Arial"/>
        </w:rPr>
      </w:pPr>
      <w:r>
        <w:rPr>
          <w:rFonts w:cs="Arial"/>
        </w:rPr>
        <w:lastRenderedPageBreak/>
        <w:t xml:space="preserve">k) </w:t>
      </w:r>
      <w:r>
        <w:rPr>
          <w:rFonts w:cs="Arial"/>
        </w:rPr>
        <w:tab/>
        <w:t xml:space="preserve">Centro </w:t>
      </w:r>
      <w:proofErr w:type="spellStart"/>
      <w:r>
        <w:rPr>
          <w:rFonts w:cs="Arial"/>
        </w:rPr>
        <w:t>Botanero</w:t>
      </w:r>
      <w:proofErr w:type="spellEnd"/>
      <w:r>
        <w:rPr>
          <w:rFonts w:cs="Arial"/>
        </w:rPr>
        <w:t>. Es el local en el que se venden y consumen bebidas alcohólicas en botella o al copeo, así como botanas.</w:t>
      </w:r>
    </w:p>
    <w:p w14:paraId="3F14E235" w14:textId="77777777" w:rsidR="00D3344B" w:rsidRDefault="00D3344B">
      <w:pPr>
        <w:pStyle w:val="Estilo"/>
        <w:ind w:left="1134" w:hanging="567"/>
        <w:rPr>
          <w:rFonts w:cs="Arial"/>
        </w:rPr>
      </w:pPr>
    </w:p>
    <w:p w14:paraId="1F36E159" w14:textId="77777777" w:rsidR="00D3344B" w:rsidRDefault="00143C25">
      <w:pPr>
        <w:pStyle w:val="Estilo"/>
        <w:ind w:left="1134" w:hanging="567"/>
        <w:rPr>
          <w:rFonts w:cs="Arial"/>
        </w:rPr>
      </w:pPr>
      <w:r>
        <w:rPr>
          <w:rFonts w:cs="Arial"/>
          <w:i/>
          <w:sz w:val="16"/>
        </w:rPr>
        <w:t>(ADICIONADO, P.O. 31 DE DICIEMBRE DE 2007)</w:t>
      </w:r>
    </w:p>
    <w:p w14:paraId="176FE1DC" w14:textId="77777777" w:rsidR="00D3344B" w:rsidRDefault="00143C25">
      <w:pPr>
        <w:pStyle w:val="Estilo"/>
        <w:ind w:left="1134" w:hanging="567"/>
        <w:rPr>
          <w:rFonts w:cs="Arial"/>
        </w:rPr>
      </w:pPr>
      <w:r>
        <w:rPr>
          <w:rFonts w:cs="Arial"/>
        </w:rPr>
        <w:t xml:space="preserve">l) </w:t>
      </w:r>
      <w:r>
        <w:rPr>
          <w:rFonts w:cs="Arial"/>
        </w:rPr>
        <w:tab/>
        <w:t xml:space="preserve">Video-bar. Es el local o establecimiento habilitado como bar o restaurante, que efectúa proyecciones de video </w:t>
      </w:r>
      <w:proofErr w:type="spellStart"/>
      <w:r>
        <w:rPr>
          <w:rFonts w:cs="Arial"/>
        </w:rPr>
        <w:t>cassette</w:t>
      </w:r>
      <w:proofErr w:type="spellEnd"/>
      <w:r>
        <w:rPr>
          <w:rFonts w:cs="Arial"/>
        </w:rPr>
        <w:t>, DVD, TV por cable o aire o cualquier tipo de imágenes en movimiento, grabadas o no.</w:t>
      </w:r>
    </w:p>
    <w:p w14:paraId="3A38762F" w14:textId="77777777" w:rsidR="00D3344B" w:rsidRDefault="00D3344B">
      <w:pPr>
        <w:pStyle w:val="Estilo"/>
        <w:ind w:left="1134" w:hanging="567"/>
        <w:rPr>
          <w:rFonts w:cs="Arial"/>
        </w:rPr>
      </w:pPr>
    </w:p>
    <w:p w14:paraId="231ACAEF" w14:textId="77777777" w:rsidR="00D3344B" w:rsidRDefault="00143C25">
      <w:pPr>
        <w:pStyle w:val="Estilo"/>
        <w:ind w:left="567"/>
        <w:rPr>
          <w:rFonts w:cs="Arial"/>
          <w:sz w:val="16"/>
          <w:szCs w:val="16"/>
        </w:rPr>
      </w:pPr>
      <w:r>
        <w:rPr>
          <w:rFonts w:cs="Arial"/>
          <w:sz w:val="16"/>
          <w:szCs w:val="16"/>
        </w:rPr>
        <w:t>N. DE E. EN RELACIÓN CON LA ENTRADA EN VIGOR DEL PRESENTE INCISO, VÉASE TRANSITORIO ÚNICO DEL DECRETO QUE MODIFICA EL CÓDIGO.</w:t>
      </w:r>
    </w:p>
    <w:p w14:paraId="55E7EED7" w14:textId="77777777" w:rsidR="00D3344B" w:rsidRDefault="00143C25">
      <w:pPr>
        <w:pStyle w:val="Estilo"/>
        <w:ind w:left="567"/>
        <w:rPr>
          <w:rFonts w:cs="Arial"/>
          <w:sz w:val="16"/>
          <w:szCs w:val="16"/>
        </w:rPr>
      </w:pPr>
      <w:r>
        <w:rPr>
          <w:rFonts w:cs="Arial"/>
          <w:sz w:val="16"/>
          <w:szCs w:val="16"/>
        </w:rPr>
        <w:t xml:space="preserve">(ADICIONADO [N. DE E. REFORMADO], P.O. 7 DE DICIEMBRE DE 2009) </w:t>
      </w:r>
      <w:r>
        <w:rPr>
          <w:rFonts w:cs="Arial"/>
          <w:i/>
          <w:sz w:val="16"/>
          <w:szCs w:val="16"/>
        </w:rPr>
        <w:t>(F. DE E., P.O. 22 DE FEBRERO DE 2011)</w:t>
      </w:r>
    </w:p>
    <w:p w14:paraId="3DC29AE7" w14:textId="77777777" w:rsidR="00D3344B" w:rsidRDefault="00143C25">
      <w:pPr>
        <w:pStyle w:val="Estilo"/>
        <w:ind w:left="1134" w:hanging="567"/>
        <w:rPr>
          <w:rFonts w:cs="Arial"/>
        </w:rPr>
      </w:pPr>
      <w:r>
        <w:rPr>
          <w:rFonts w:cs="Arial"/>
        </w:rPr>
        <w:t xml:space="preserve">m) </w:t>
      </w:r>
      <w:r>
        <w:rPr>
          <w:rFonts w:cs="Arial"/>
        </w:rPr>
        <w:tab/>
        <w:t>Café Bar. Lugar donde se expenden bebidas con contenido alcohólico para su consumo en el interior del propio establecimiento.</w:t>
      </w:r>
    </w:p>
    <w:p w14:paraId="6DBD5FDD" w14:textId="77777777" w:rsidR="00D3344B" w:rsidRDefault="00D3344B">
      <w:pPr>
        <w:pStyle w:val="Estilo"/>
        <w:ind w:left="1134" w:hanging="567"/>
        <w:rPr>
          <w:rFonts w:cs="Arial"/>
        </w:rPr>
      </w:pPr>
    </w:p>
    <w:p w14:paraId="15139A39" w14:textId="77777777" w:rsidR="00D3344B" w:rsidRDefault="00143C25">
      <w:pPr>
        <w:pStyle w:val="Estilo"/>
        <w:ind w:left="567"/>
        <w:rPr>
          <w:rFonts w:cs="Arial"/>
          <w:i/>
          <w:sz w:val="16"/>
          <w:szCs w:val="16"/>
        </w:rPr>
      </w:pPr>
      <w:r>
        <w:rPr>
          <w:rFonts w:cs="Arial"/>
          <w:i/>
          <w:sz w:val="16"/>
          <w:szCs w:val="16"/>
        </w:rPr>
        <w:t>N. DE E. EN RELACIÓN CON LA ENTRADA EN VIGOR DEL PRESENTE INCISO, VÉASE TRANSITORIO ÚNICO DEL DECRETO QUE MODIFICA EL CÓDIGO.</w:t>
      </w:r>
    </w:p>
    <w:p w14:paraId="2C1036C7" w14:textId="77777777" w:rsidR="00D3344B" w:rsidRDefault="00143C25">
      <w:pPr>
        <w:pStyle w:val="Estilo"/>
        <w:ind w:left="567"/>
        <w:rPr>
          <w:rFonts w:cs="Arial"/>
          <w:i/>
          <w:sz w:val="16"/>
          <w:szCs w:val="16"/>
        </w:rPr>
      </w:pPr>
      <w:r>
        <w:rPr>
          <w:rFonts w:cs="Arial"/>
          <w:i/>
          <w:sz w:val="16"/>
          <w:szCs w:val="16"/>
        </w:rPr>
        <w:t>(ADICIONADO [N. DE E. REFORMADO], P.O. 7 DE DICIEMBRE DE 2009) (F. DE E., P.O. 22 DE FEBRERO DE 2011)</w:t>
      </w:r>
    </w:p>
    <w:p w14:paraId="0512415F" w14:textId="77777777" w:rsidR="00D3344B" w:rsidRDefault="00143C25">
      <w:pPr>
        <w:pStyle w:val="Estilo"/>
        <w:ind w:left="1134" w:hanging="567"/>
        <w:rPr>
          <w:rFonts w:cs="Arial"/>
        </w:rPr>
      </w:pPr>
      <w:r>
        <w:rPr>
          <w:rFonts w:cs="Arial"/>
        </w:rPr>
        <w:t xml:space="preserve">n) </w:t>
      </w:r>
      <w:r>
        <w:rPr>
          <w:rFonts w:cs="Arial"/>
        </w:rPr>
        <w:tab/>
        <w:t>Pizzería con venta de cerveza. Establecimiento público, dedicado a la preparación y venta de pizzas con cerveza, para su consumo en sus propias instalaciones.</w:t>
      </w:r>
    </w:p>
    <w:p w14:paraId="28627B28" w14:textId="77777777" w:rsidR="00D3344B" w:rsidRDefault="00D3344B">
      <w:pPr>
        <w:pStyle w:val="Estilo"/>
        <w:ind w:left="1134" w:hanging="567"/>
        <w:rPr>
          <w:rFonts w:cs="Arial"/>
        </w:rPr>
      </w:pPr>
    </w:p>
    <w:p w14:paraId="651B765C" w14:textId="77777777" w:rsidR="00D3344B" w:rsidRDefault="00143C25">
      <w:pPr>
        <w:pStyle w:val="Estilo"/>
        <w:ind w:left="567"/>
        <w:rPr>
          <w:rFonts w:cs="Arial"/>
        </w:rPr>
      </w:pPr>
      <w:r>
        <w:rPr>
          <w:rFonts w:cs="Arial"/>
          <w:i/>
          <w:sz w:val="16"/>
        </w:rPr>
        <w:t>N. DE E. EN RELACIÓN CON LA ENTRADA EN VIGOR DEL PRESENTE INCISO, VÉASE TRANSITORIO ÚNICO DEL DECRETO QUE MODIFICA EL CÓDIGO.</w:t>
      </w:r>
    </w:p>
    <w:p w14:paraId="6998968A" w14:textId="77777777" w:rsidR="00D3344B" w:rsidRDefault="00143C25">
      <w:pPr>
        <w:pStyle w:val="Estilo"/>
        <w:ind w:left="567"/>
        <w:rPr>
          <w:rFonts w:cs="Arial"/>
        </w:rPr>
      </w:pPr>
      <w:r>
        <w:rPr>
          <w:rFonts w:cs="Arial"/>
          <w:i/>
          <w:sz w:val="16"/>
        </w:rPr>
        <w:t>(ADICIONADO, P.O. 7 DE DICIEMBRE DE 2009)</w:t>
      </w:r>
      <w:r>
        <w:rPr>
          <w:rFonts w:cs="Arial"/>
        </w:rPr>
        <w:t xml:space="preserve"> </w:t>
      </w:r>
      <w:r>
        <w:rPr>
          <w:rFonts w:cs="Arial"/>
          <w:i/>
          <w:sz w:val="16"/>
        </w:rPr>
        <w:t>(F. DE E., P.O. 22 DE FEBRERO DE 2011)</w:t>
      </w:r>
    </w:p>
    <w:p w14:paraId="1DD41449" w14:textId="77777777" w:rsidR="00D3344B" w:rsidRDefault="00143C25">
      <w:pPr>
        <w:pStyle w:val="Estilo"/>
        <w:ind w:left="1134" w:hanging="567"/>
        <w:rPr>
          <w:rFonts w:cs="Arial"/>
        </w:rPr>
      </w:pPr>
      <w:r>
        <w:rPr>
          <w:rFonts w:cs="Arial"/>
        </w:rPr>
        <w:t xml:space="preserve">ñ) </w:t>
      </w:r>
      <w:r>
        <w:rPr>
          <w:rFonts w:cs="Arial"/>
        </w:rPr>
        <w:tab/>
        <w:t>Canta bar. Establecimiento en el que se realizan actividades artísticas con venta de bebidas alcohólicas en envase abierto o al copeo.</w:t>
      </w:r>
    </w:p>
    <w:p w14:paraId="6C1AFA6D" w14:textId="77777777" w:rsidR="00D3344B" w:rsidRDefault="00D3344B">
      <w:pPr>
        <w:pStyle w:val="Estilo"/>
        <w:ind w:left="1134" w:hanging="567"/>
        <w:rPr>
          <w:rFonts w:cs="Arial"/>
        </w:rPr>
      </w:pPr>
    </w:p>
    <w:p w14:paraId="6206137E" w14:textId="77777777" w:rsidR="00D3344B" w:rsidRDefault="00143C25">
      <w:pPr>
        <w:pStyle w:val="Estilo"/>
        <w:ind w:left="567"/>
        <w:rPr>
          <w:rFonts w:cs="Arial"/>
        </w:rPr>
      </w:pPr>
      <w:r>
        <w:rPr>
          <w:rFonts w:cs="Arial"/>
          <w:i/>
          <w:sz w:val="16"/>
        </w:rPr>
        <w:t>N. DE E. EN RELACIÓN CON LA ENTRADA EN VIGOR DEL PRESENTE INCISO, VÉASE TRANSITORIO ÚNICO DEL DECRETO QUE MODIFICA EL CÓDIGO.</w:t>
      </w:r>
    </w:p>
    <w:p w14:paraId="1E26B832" w14:textId="77777777" w:rsidR="00D3344B" w:rsidRDefault="00143C25">
      <w:pPr>
        <w:pStyle w:val="Estilo"/>
        <w:ind w:left="1134" w:hanging="414"/>
        <w:rPr>
          <w:rFonts w:cs="Arial"/>
        </w:rPr>
      </w:pPr>
      <w:r>
        <w:rPr>
          <w:rFonts w:cs="Arial"/>
          <w:i/>
          <w:sz w:val="16"/>
        </w:rPr>
        <w:t>(ADICIONADO, P.O. 7 DE DICIEMBRE DE 2009)</w:t>
      </w:r>
      <w:r>
        <w:rPr>
          <w:rFonts w:cs="Arial"/>
        </w:rPr>
        <w:t xml:space="preserve"> </w:t>
      </w:r>
      <w:r>
        <w:rPr>
          <w:rFonts w:cs="Arial"/>
          <w:i/>
          <w:sz w:val="16"/>
        </w:rPr>
        <w:t>(F. DE E., P.O. 22 DE FEBRERO DE 2011)</w:t>
      </w:r>
    </w:p>
    <w:p w14:paraId="4E750D76" w14:textId="77777777" w:rsidR="00D3344B" w:rsidRDefault="00143C25">
      <w:pPr>
        <w:pStyle w:val="Estilo"/>
        <w:ind w:left="1134" w:hanging="567"/>
        <w:rPr>
          <w:rFonts w:cs="Arial"/>
        </w:rPr>
      </w:pPr>
      <w:r>
        <w:rPr>
          <w:rFonts w:cs="Arial"/>
        </w:rPr>
        <w:t xml:space="preserve">o) </w:t>
      </w:r>
      <w:r>
        <w:rPr>
          <w:rFonts w:cs="Arial"/>
        </w:rPr>
        <w:tab/>
        <w:t xml:space="preserve">Cabaret. Sala de espectáculos, generalmente nocturnos, contando con un bar o restaurante, </w:t>
      </w:r>
      <w:proofErr w:type="gramStart"/>
      <w:r>
        <w:rPr>
          <w:rFonts w:cs="Arial"/>
        </w:rPr>
        <w:t>que</w:t>
      </w:r>
      <w:proofErr w:type="gramEnd"/>
      <w:r>
        <w:rPr>
          <w:rFonts w:cs="Arial"/>
        </w:rPr>
        <w:t xml:space="preserve"> durante las actuaciones, se expenden bebidas alcohólicas en envase abierto, cerrado o al copeo, para su consumo en el interior del local.</w:t>
      </w:r>
    </w:p>
    <w:p w14:paraId="7B9243A7" w14:textId="77777777" w:rsidR="00D3344B" w:rsidRDefault="00D3344B">
      <w:pPr>
        <w:pStyle w:val="Estilo"/>
        <w:ind w:left="1134" w:hanging="567"/>
        <w:rPr>
          <w:rFonts w:cs="Arial"/>
        </w:rPr>
      </w:pPr>
    </w:p>
    <w:p w14:paraId="353A4B10" w14:textId="77777777" w:rsidR="00D3344B" w:rsidRDefault="00143C25">
      <w:pPr>
        <w:pStyle w:val="Estilo"/>
        <w:ind w:left="567"/>
        <w:rPr>
          <w:rFonts w:cs="Arial"/>
        </w:rPr>
      </w:pPr>
      <w:r>
        <w:rPr>
          <w:rFonts w:cs="Arial"/>
          <w:i/>
          <w:sz w:val="16"/>
        </w:rPr>
        <w:t>N. DE E. EN RELACIÓN CON LA ENTRADA EN VIGOR DEL PRESENTE INCISO, VÉASE TRANSITORIO ÚNICO DEL DECRETO QUE MODIFICA EL CÓDIGO.</w:t>
      </w:r>
    </w:p>
    <w:p w14:paraId="185E8626" w14:textId="77777777" w:rsidR="00D3344B" w:rsidRDefault="00143C25">
      <w:pPr>
        <w:pStyle w:val="Estilo"/>
        <w:ind w:firstLine="567"/>
        <w:rPr>
          <w:rFonts w:cs="Arial"/>
        </w:rPr>
      </w:pPr>
      <w:r>
        <w:rPr>
          <w:rFonts w:cs="Arial"/>
          <w:i/>
          <w:sz w:val="16"/>
        </w:rPr>
        <w:t>(ADICIONADO, P.O. 7 DE DICIEMBRE DE 2009)</w:t>
      </w:r>
      <w:r>
        <w:rPr>
          <w:rFonts w:cs="Arial"/>
        </w:rPr>
        <w:t xml:space="preserve"> </w:t>
      </w:r>
      <w:r>
        <w:rPr>
          <w:rFonts w:cs="Arial"/>
          <w:i/>
          <w:sz w:val="16"/>
        </w:rPr>
        <w:t>(F. DE E., P.O. 22 DE FEBRERO DE 2011)</w:t>
      </w:r>
    </w:p>
    <w:p w14:paraId="7D4D1167" w14:textId="77777777" w:rsidR="00D3344B" w:rsidRDefault="00143C25">
      <w:pPr>
        <w:pStyle w:val="Estilo"/>
        <w:ind w:left="1134" w:hanging="567"/>
        <w:rPr>
          <w:rFonts w:cs="Arial"/>
        </w:rPr>
      </w:pPr>
      <w:r>
        <w:rPr>
          <w:rFonts w:cs="Arial"/>
        </w:rPr>
        <w:t xml:space="preserve">p) </w:t>
      </w:r>
      <w:r>
        <w:rPr>
          <w:rFonts w:cs="Arial"/>
        </w:rPr>
        <w:tab/>
        <w:t>Centro nocturno. Establecimiento con pista para bailar o para presentar espectáculos artísticos donde se expenden bebidas con contenido alcohólico en envase abierto y al copeo para su consumo en el interior del establecimiento.</w:t>
      </w:r>
    </w:p>
    <w:p w14:paraId="10A1A611" w14:textId="77777777" w:rsidR="00D3344B" w:rsidRDefault="00D3344B">
      <w:pPr>
        <w:pStyle w:val="Estilo"/>
        <w:rPr>
          <w:rFonts w:cs="Arial"/>
        </w:rPr>
      </w:pPr>
    </w:p>
    <w:p w14:paraId="246C8137" w14:textId="77777777" w:rsidR="00D3344B" w:rsidRDefault="00D3344B">
      <w:pPr>
        <w:pStyle w:val="Estilo"/>
        <w:rPr>
          <w:rFonts w:cs="Arial"/>
        </w:rPr>
      </w:pPr>
    </w:p>
    <w:p w14:paraId="71A5E6CE" w14:textId="77777777" w:rsidR="00D3344B" w:rsidRDefault="00143C25">
      <w:pPr>
        <w:pStyle w:val="Estilo"/>
        <w:jc w:val="center"/>
        <w:rPr>
          <w:rFonts w:cs="Arial"/>
          <w:b/>
        </w:rPr>
      </w:pPr>
      <w:r>
        <w:rPr>
          <w:rFonts w:cs="Arial"/>
          <w:b/>
        </w:rPr>
        <w:t>Subsección Cuarta</w:t>
      </w:r>
    </w:p>
    <w:p w14:paraId="04946626" w14:textId="77777777" w:rsidR="00D3344B" w:rsidRDefault="00143C25">
      <w:pPr>
        <w:pStyle w:val="Estilo"/>
        <w:jc w:val="center"/>
        <w:rPr>
          <w:rFonts w:cs="Arial"/>
          <w:b/>
        </w:rPr>
      </w:pPr>
      <w:r>
        <w:rPr>
          <w:rFonts w:cs="Arial"/>
          <w:b/>
        </w:rPr>
        <w:t>Derechos por los Servicios Prestados por la Oficialía Mayor de Gobierno</w:t>
      </w:r>
    </w:p>
    <w:p w14:paraId="4C1F7647" w14:textId="77777777" w:rsidR="00D3344B" w:rsidRDefault="00D3344B">
      <w:pPr>
        <w:pStyle w:val="Estilo"/>
        <w:rPr>
          <w:rFonts w:cs="Arial"/>
        </w:rPr>
      </w:pPr>
    </w:p>
    <w:p w14:paraId="6E095DA7" w14:textId="77777777" w:rsidR="00D3344B" w:rsidRDefault="00143C25">
      <w:pPr>
        <w:pStyle w:val="Estilo"/>
        <w:rPr>
          <w:rFonts w:cs="Arial"/>
        </w:rPr>
      </w:pPr>
      <w:r>
        <w:rPr>
          <w:rFonts w:cs="Arial"/>
          <w:i/>
          <w:sz w:val="16"/>
        </w:rPr>
        <w:t>(REFORMADO PRIMER PÁRRAFO, P.O. 22 DE DICIEMBRE DE 2021)</w:t>
      </w:r>
    </w:p>
    <w:p w14:paraId="785AC407" w14:textId="77777777" w:rsidR="00D3344B" w:rsidRDefault="00143C25">
      <w:pPr>
        <w:pStyle w:val="Estilo"/>
        <w:rPr>
          <w:rFonts w:cs="Arial"/>
        </w:rPr>
      </w:pPr>
      <w:r>
        <w:rPr>
          <w:rFonts w:cs="Arial"/>
          <w:b/>
        </w:rPr>
        <w:t>Artículo 157.</w:t>
      </w:r>
      <w:r>
        <w:rPr>
          <w:rFonts w:cs="Arial"/>
        </w:rPr>
        <w:t xml:space="preserve"> Los servicios proporcionados por la Oficialía Mayor de Gobierno, causarán los derechos siguientes:</w:t>
      </w:r>
    </w:p>
    <w:p w14:paraId="4D1F4431" w14:textId="77777777" w:rsidR="00D3344B" w:rsidRDefault="00D3344B">
      <w:pPr>
        <w:pStyle w:val="Estilo"/>
        <w:rPr>
          <w:rFonts w:cs="Arial"/>
        </w:rPr>
      </w:pPr>
    </w:p>
    <w:tbl>
      <w:tblPr>
        <w:tblW w:w="8714" w:type="dxa"/>
        <w:tblLayout w:type="fixed"/>
        <w:tblCellMar>
          <w:left w:w="70" w:type="dxa"/>
          <w:right w:w="70" w:type="dxa"/>
        </w:tblCellMar>
        <w:tblLook w:val="04A0" w:firstRow="1" w:lastRow="0" w:firstColumn="1" w:lastColumn="0" w:noHBand="0" w:noVBand="1"/>
      </w:tblPr>
      <w:tblGrid>
        <w:gridCol w:w="704"/>
        <w:gridCol w:w="5670"/>
        <w:gridCol w:w="2340"/>
      </w:tblGrid>
      <w:tr w:rsidR="00D3344B" w14:paraId="3D7806CF" w14:textId="77777777">
        <w:trPr>
          <w:trHeight w:val="701"/>
        </w:trPr>
        <w:tc>
          <w:tcPr>
            <w:tcW w:w="704" w:type="dxa"/>
          </w:tcPr>
          <w:p w14:paraId="4387EB2F" w14:textId="77777777" w:rsidR="00D3344B" w:rsidRDefault="00D3344B">
            <w:pPr>
              <w:widowControl w:val="0"/>
              <w:jc w:val="center"/>
              <w:rPr>
                <w:rFonts w:ascii="Arial" w:hAnsi="Arial" w:cs="Arial"/>
                <w:b/>
              </w:rPr>
            </w:pPr>
          </w:p>
        </w:tc>
        <w:tc>
          <w:tcPr>
            <w:tcW w:w="5670" w:type="dxa"/>
          </w:tcPr>
          <w:p w14:paraId="50564CAE" w14:textId="77777777" w:rsidR="00D3344B" w:rsidRDefault="00143C25">
            <w:pPr>
              <w:widowControl w:val="0"/>
              <w:jc w:val="center"/>
              <w:rPr>
                <w:rFonts w:ascii="Arial" w:hAnsi="Arial" w:cs="Arial"/>
                <w:b/>
              </w:rPr>
            </w:pPr>
            <w:r>
              <w:rPr>
                <w:rFonts w:ascii="Arial" w:hAnsi="Arial" w:cs="Arial"/>
                <w:b/>
              </w:rPr>
              <w:t>CONCEPTO</w:t>
            </w:r>
          </w:p>
        </w:tc>
        <w:tc>
          <w:tcPr>
            <w:tcW w:w="2340" w:type="dxa"/>
          </w:tcPr>
          <w:p w14:paraId="19C88A8D" w14:textId="77777777" w:rsidR="00D3344B" w:rsidRDefault="00143C25">
            <w:pPr>
              <w:widowControl w:val="0"/>
              <w:jc w:val="center"/>
              <w:rPr>
                <w:rFonts w:ascii="Arial" w:hAnsi="Arial" w:cs="Arial"/>
                <w:b/>
              </w:rPr>
            </w:pPr>
            <w:r>
              <w:rPr>
                <w:rFonts w:ascii="Arial" w:hAnsi="Arial" w:cs="Arial"/>
                <w:b/>
              </w:rPr>
              <w:t>DERECHOS CAUSADOS</w:t>
            </w:r>
          </w:p>
        </w:tc>
      </w:tr>
      <w:tr w:rsidR="00D3344B" w14:paraId="1C7B9C2C" w14:textId="77777777">
        <w:trPr>
          <w:trHeight w:val="354"/>
        </w:trPr>
        <w:tc>
          <w:tcPr>
            <w:tcW w:w="704" w:type="dxa"/>
          </w:tcPr>
          <w:p w14:paraId="40AA06E5" w14:textId="77777777" w:rsidR="00D3344B" w:rsidRDefault="00D3344B">
            <w:pPr>
              <w:widowControl w:val="0"/>
              <w:jc w:val="center"/>
              <w:rPr>
                <w:rFonts w:ascii="Arial" w:hAnsi="Arial" w:cs="Arial"/>
                <w:b/>
              </w:rPr>
            </w:pPr>
          </w:p>
        </w:tc>
        <w:tc>
          <w:tcPr>
            <w:tcW w:w="5670" w:type="dxa"/>
            <w:vAlign w:val="bottom"/>
          </w:tcPr>
          <w:p w14:paraId="55D754E9" w14:textId="77777777" w:rsidR="00D3344B" w:rsidRDefault="00143C25">
            <w:pPr>
              <w:pStyle w:val="Estilo"/>
              <w:widowControl w:val="0"/>
              <w:jc w:val="left"/>
              <w:rPr>
                <w:rFonts w:cs="Arial"/>
              </w:rPr>
            </w:pPr>
            <w:r>
              <w:rPr>
                <w:rFonts w:cs="Arial"/>
                <w:i/>
                <w:sz w:val="16"/>
              </w:rPr>
              <w:t>(REFORMADA, P.O. 21 DE JUNIO DE 2021)</w:t>
            </w:r>
          </w:p>
        </w:tc>
        <w:tc>
          <w:tcPr>
            <w:tcW w:w="2340" w:type="dxa"/>
          </w:tcPr>
          <w:p w14:paraId="40E140B1" w14:textId="77777777" w:rsidR="00D3344B" w:rsidRDefault="00D3344B">
            <w:pPr>
              <w:widowControl w:val="0"/>
              <w:jc w:val="center"/>
              <w:rPr>
                <w:rFonts w:ascii="Arial" w:hAnsi="Arial" w:cs="Arial"/>
                <w:b/>
              </w:rPr>
            </w:pPr>
          </w:p>
        </w:tc>
      </w:tr>
      <w:tr w:rsidR="00D3344B" w14:paraId="35E3F188" w14:textId="77777777">
        <w:tc>
          <w:tcPr>
            <w:tcW w:w="704" w:type="dxa"/>
          </w:tcPr>
          <w:p w14:paraId="4D22FD9B" w14:textId="77777777" w:rsidR="00D3344B" w:rsidRDefault="00143C25">
            <w:pPr>
              <w:widowControl w:val="0"/>
              <w:jc w:val="both"/>
              <w:rPr>
                <w:rFonts w:ascii="Arial" w:hAnsi="Arial" w:cs="Arial"/>
              </w:rPr>
            </w:pPr>
            <w:r>
              <w:rPr>
                <w:rFonts w:ascii="Arial" w:hAnsi="Arial" w:cs="Arial"/>
              </w:rPr>
              <w:t>I.</w:t>
            </w:r>
          </w:p>
        </w:tc>
        <w:tc>
          <w:tcPr>
            <w:tcW w:w="5670" w:type="dxa"/>
          </w:tcPr>
          <w:p w14:paraId="5267F0EF" w14:textId="77777777" w:rsidR="00D3344B" w:rsidRDefault="00143C25">
            <w:pPr>
              <w:widowControl w:val="0"/>
              <w:jc w:val="both"/>
              <w:rPr>
                <w:rFonts w:ascii="Arial" w:hAnsi="Arial" w:cs="Arial"/>
              </w:rPr>
            </w:pPr>
            <w:r>
              <w:rPr>
                <w:rFonts w:ascii="Arial" w:hAnsi="Arial" w:cs="Arial"/>
              </w:rPr>
              <w:t>Por la legalización de firmas de certificados y títulos de instrucción preparatoria y profesional, de planteles con reconocimiento Estatal</w:t>
            </w:r>
          </w:p>
        </w:tc>
        <w:tc>
          <w:tcPr>
            <w:tcW w:w="2340" w:type="dxa"/>
          </w:tcPr>
          <w:p w14:paraId="7892E18E" w14:textId="77777777" w:rsidR="00D3344B" w:rsidRDefault="00143C25">
            <w:pPr>
              <w:widowControl w:val="0"/>
              <w:jc w:val="both"/>
              <w:rPr>
                <w:rFonts w:ascii="Arial" w:hAnsi="Arial" w:cs="Arial"/>
              </w:rPr>
            </w:pPr>
            <w:r>
              <w:rPr>
                <w:rFonts w:ascii="Arial" w:hAnsi="Arial" w:cs="Arial"/>
                <w:b/>
              </w:rPr>
              <w:t xml:space="preserve">2 UMA </w:t>
            </w:r>
          </w:p>
        </w:tc>
      </w:tr>
      <w:tr w:rsidR="00D3344B" w14:paraId="2AC9E830" w14:textId="77777777">
        <w:tc>
          <w:tcPr>
            <w:tcW w:w="704" w:type="dxa"/>
          </w:tcPr>
          <w:p w14:paraId="04B5CC72" w14:textId="77777777" w:rsidR="00D3344B" w:rsidRDefault="00D3344B">
            <w:pPr>
              <w:widowControl w:val="0"/>
              <w:spacing w:after="0"/>
              <w:jc w:val="both"/>
              <w:rPr>
                <w:rFonts w:ascii="Arial" w:hAnsi="Arial" w:cs="Arial"/>
              </w:rPr>
            </w:pPr>
          </w:p>
        </w:tc>
        <w:tc>
          <w:tcPr>
            <w:tcW w:w="5670" w:type="dxa"/>
            <w:vAlign w:val="bottom"/>
          </w:tcPr>
          <w:p w14:paraId="4D70E351"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7ECD7336" w14:textId="77777777" w:rsidR="00D3344B" w:rsidRDefault="00D3344B">
            <w:pPr>
              <w:widowControl w:val="0"/>
              <w:spacing w:after="0"/>
              <w:jc w:val="both"/>
              <w:rPr>
                <w:rFonts w:ascii="Arial" w:hAnsi="Arial" w:cs="Arial"/>
                <w:b/>
              </w:rPr>
            </w:pPr>
          </w:p>
        </w:tc>
      </w:tr>
      <w:tr w:rsidR="00D3344B" w14:paraId="7792DF44" w14:textId="77777777">
        <w:tc>
          <w:tcPr>
            <w:tcW w:w="704" w:type="dxa"/>
          </w:tcPr>
          <w:p w14:paraId="1EDD3FCC" w14:textId="77777777" w:rsidR="00D3344B" w:rsidRDefault="00143C25">
            <w:pPr>
              <w:widowControl w:val="0"/>
              <w:jc w:val="both"/>
              <w:rPr>
                <w:rFonts w:ascii="Arial" w:hAnsi="Arial" w:cs="Arial"/>
              </w:rPr>
            </w:pPr>
            <w:r>
              <w:rPr>
                <w:rFonts w:ascii="Arial" w:hAnsi="Arial" w:cs="Arial"/>
              </w:rPr>
              <w:t>II.</w:t>
            </w:r>
          </w:p>
        </w:tc>
        <w:tc>
          <w:tcPr>
            <w:tcW w:w="5670" w:type="dxa"/>
          </w:tcPr>
          <w:p w14:paraId="28E53E17" w14:textId="77777777" w:rsidR="00D3344B" w:rsidRDefault="00143C25">
            <w:pPr>
              <w:widowControl w:val="0"/>
              <w:jc w:val="both"/>
              <w:rPr>
                <w:rFonts w:ascii="Arial" w:hAnsi="Arial" w:cs="Arial"/>
              </w:rPr>
            </w:pPr>
            <w:r>
              <w:rPr>
                <w:rFonts w:ascii="Arial" w:hAnsi="Arial" w:cs="Arial"/>
              </w:rPr>
              <w:t>Por la legalización de firmas en otros documentos.</w:t>
            </w:r>
          </w:p>
        </w:tc>
        <w:tc>
          <w:tcPr>
            <w:tcW w:w="2340" w:type="dxa"/>
          </w:tcPr>
          <w:p w14:paraId="7D8BCF0B" w14:textId="77777777" w:rsidR="00D3344B" w:rsidRDefault="00143C25">
            <w:pPr>
              <w:widowControl w:val="0"/>
              <w:jc w:val="both"/>
              <w:rPr>
                <w:rFonts w:ascii="Arial" w:hAnsi="Arial" w:cs="Arial"/>
              </w:rPr>
            </w:pPr>
            <w:r>
              <w:rPr>
                <w:rFonts w:ascii="Arial" w:hAnsi="Arial" w:cs="Arial"/>
                <w:b/>
              </w:rPr>
              <w:t xml:space="preserve">2 UMA </w:t>
            </w:r>
          </w:p>
        </w:tc>
      </w:tr>
      <w:tr w:rsidR="00D3344B" w14:paraId="63A5B51D" w14:textId="77777777">
        <w:trPr>
          <w:trHeight w:val="300"/>
        </w:trPr>
        <w:tc>
          <w:tcPr>
            <w:tcW w:w="704" w:type="dxa"/>
          </w:tcPr>
          <w:p w14:paraId="588C20B9" w14:textId="77777777" w:rsidR="00D3344B" w:rsidRDefault="00D3344B">
            <w:pPr>
              <w:widowControl w:val="0"/>
              <w:jc w:val="both"/>
              <w:rPr>
                <w:rFonts w:ascii="Arial" w:hAnsi="Arial" w:cs="Arial"/>
              </w:rPr>
            </w:pPr>
          </w:p>
        </w:tc>
        <w:tc>
          <w:tcPr>
            <w:tcW w:w="5670" w:type="dxa"/>
            <w:vAlign w:val="bottom"/>
          </w:tcPr>
          <w:p w14:paraId="12D03E23"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59EC91E4" w14:textId="77777777" w:rsidR="00D3344B" w:rsidRDefault="00D3344B">
            <w:pPr>
              <w:widowControl w:val="0"/>
              <w:jc w:val="both"/>
              <w:rPr>
                <w:rFonts w:ascii="Arial" w:hAnsi="Arial" w:cs="Arial"/>
              </w:rPr>
            </w:pPr>
          </w:p>
        </w:tc>
      </w:tr>
      <w:tr w:rsidR="00D3344B" w14:paraId="68DCDB46" w14:textId="77777777">
        <w:trPr>
          <w:trHeight w:val="1559"/>
        </w:trPr>
        <w:tc>
          <w:tcPr>
            <w:tcW w:w="704" w:type="dxa"/>
          </w:tcPr>
          <w:p w14:paraId="6721F8D8" w14:textId="77777777" w:rsidR="00D3344B" w:rsidRDefault="00143C25">
            <w:pPr>
              <w:pStyle w:val="Estilo"/>
              <w:widowControl w:val="0"/>
              <w:spacing w:line="276" w:lineRule="auto"/>
              <w:rPr>
                <w:rFonts w:cs="Arial"/>
                <w:sz w:val="22"/>
              </w:rPr>
            </w:pPr>
            <w:r>
              <w:rPr>
                <w:rFonts w:cs="Arial"/>
                <w:sz w:val="22"/>
              </w:rPr>
              <w:t>III.</w:t>
            </w:r>
          </w:p>
        </w:tc>
        <w:tc>
          <w:tcPr>
            <w:tcW w:w="5670" w:type="dxa"/>
          </w:tcPr>
          <w:p w14:paraId="1D54521C"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que </w:t>
            </w:r>
            <w:proofErr w:type="spellStart"/>
            <w:r>
              <w:rPr>
                <w:rFonts w:ascii="Arial" w:hAnsi="Arial" w:cs="Arial"/>
              </w:rPr>
              <w:t>haga</w:t>
            </w:r>
            <w:proofErr w:type="spellEnd"/>
            <w:r>
              <w:rPr>
                <w:rFonts w:ascii="Arial" w:hAnsi="Arial" w:cs="Arial"/>
              </w:rPr>
              <w:t xml:space="preserve"> la </w:t>
            </w:r>
            <w:proofErr w:type="spellStart"/>
            <w:r>
              <w:rPr>
                <w:rFonts w:ascii="Arial" w:hAnsi="Arial" w:cs="Arial"/>
              </w:rPr>
              <w:t>Dirección</w:t>
            </w:r>
            <w:proofErr w:type="spellEnd"/>
            <w:r>
              <w:rPr>
                <w:rFonts w:ascii="Arial" w:hAnsi="Arial" w:cs="Arial"/>
              </w:rPr>
              <w:t xml:space="preserve"> de la </w:t>
            </w:r>
            <w:proofErr w:type="spellStart"/>
            <w:r>
              <w:rPr>
                <w:rFonts w:ascii="Arial" w:hAnsi="Arial" w:cs="Arial"/>
              </w:rPr>
              <w:t>Coordinación</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w:t>
            </w:r>
            <w:proofErr w:type="spellStart"/>
            <w:r>
              <w:rPr>
                <w:rFonts w:ascii="Arial" w:hAnsi="Arial" w:cs="Arial"/>
              </w:rPr>
              <w:t>así</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las </w:t>
            </w:r>
            <w:proofErr w:type="spellStart"/>
            <w:r>
              <w:rPr>
                <w:rFonts w:ascii="Arial" w:hAnsi="Arial" w:cs="Arial"/>
              </w:rPr>
              <w:t>Oficialías</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w:t>
            </w:r>
            <w:proofErr w:type="spellStart"/>
            <w:r>
              <w:rPr>
                <w:rFonts w:ascii="Arial" w:hAnsi="Arial" w:cs="Arial"/>
              </w:rPr>
              <w:t>establecidas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los </w:t>
            </w:r>
            <w:proofErr w:type="spellStart"/>
            <w:r>
              <w:rPr>
                <w:rFonts w:ascii="Arial" w:hAnsi="Arial" w:cs="Arial"/>
              </w:rPr>
              <w:t>sesenta</w:t>
            </w:r>
            <w:proofErr w:type="spellEnd"/>
            <w:r>
              <w:rPr>
                <w:rFonts w:ascii="Arial" w:hAnsi="Arial" w:cs="Arial"/>
              </w:rPr>
              <w:t xml:space="preserve"> </w:t>
            </w:r>
            <w:proofErr w:type="spellStart"/>
            <w:r>
              <w:rPr>
                <w:rFonts w:ascii="Arial" w:hAnsi="Arial" w:cs="Arial"/>
              </w:rPr>
              <w:t>municipios</w:t>
            </w:r>
            <w:proofErr w:type="spellEnd"/>
            <w:r>
              <w:rPr>
                <w:rFonts w:ascii="Arial" w:hAnsi="Arial" w:cs="Arial"/>
              </w:rPr>
              <w:t xml:space="preserve"> del Estado de Tlaxcala, de </w:t>
            </w:r>
            <w:proofErr w:type="spellStart"/>
            <w:r>
              <w:rPr>
                <w:rFonts w:ascii="Arial" w:hAnsi="Arial" w:cs="Arial"/>
              </w:rPr>
              <w:t>copias</w:t>
            </w:r>
            <w:proofErr w:type="spellEnd"/>
            <w:r>
              <w:rPr>
                <w:rFonts w:ascii="Arial" w:hAnsi="Arial" w:cs="Arial"/>
              </w:rPr>
              <w:t xml:space="preserve"> </w:t>
            </w:r>
            <w:proofErr w:type="spellStart"/>
            <w:r>
              <w:rPr>
                <w:rFonts w:ascii="Arial" w:hAnsi="Arial" w:cs="Arial"/>
              </w:rPr>
              <w:t>certificadas</w:t>
            </w:r>
            <w:proofErr w:type="spellEnd"/>
            <w:r>
              <w:rPr>
                <w:rFonts w:ascii="Arial" w:hAnsi="Arial" w:cs="Arial"/>
              </w:rPr>
              <w:t xml:space="preserve"> de </w:t>
            </w:r>
            <w:proofErr w:type="spellStart"/>
            <w:r>
              <w:rPr>
                <w:rFonts w:ascii="Arial" w:hAnsi="Arial" w:cs="Arial"/>
              </w:rPr>
              <w:t>actas</w:t>
            </w:r>
            <w:proofErr w:type="spellEnd"/>
            <w:r>
              <w:rPr>
                <w:rFonts w:ascii="Arial" w:hAnsi="Arial" w:cs="Arial"/>
              </w:rPr>
              <w:t xml:space="preserve"> de </w:t>
            </w:r>
            <w:proofErr w:type="spellStart"/>
            <w:r>
              <w:rPr>
                <w:rFonts w:ascii="Arial" w:hAnsi="Arial" w:cs="Arial"/>
              </w:rPr>
              <w:t>defunción</w:t>
            </w:r>
            <w:proofErr w:type="spellEnd"/>
            <w:r>
              <w:rPr>
                <w:rFonts w:ascii="Arial" w:hAnsi="Arial" w:cs="Arial"/>
              </w:rPr>
              <w:t xml:space="preserve">, </w:t>
            </w:r>
            <w:proofErr w:type="spellStart"/>
            <w:r>
              <w:rPr>
                <w:rFonts w:ascii="Arial" w:hAnsi="Arial" w:cs="Arial"/>
              </w:rPr>
              <w:t>nacimientos</w:t>
            </w:r>
            <w:proofErr w:type="spellEnd"/>
            <w:r>
              <w:rPr>
                <w:rFonts w:ascii="Arial" w:hAnsi="Arial" w:cs="Arial"/>
              </w:rPr>
              <w:t xml:space="preserve"> y </w:t>
            </w:r>
            <w:proofErr w:type="spellStart"/>
            <w:r>
              <w:rPr>
                <w:rFonts w:ascii="Arial" w:hAnsi="Arial" w:cs="Arial"/>
              </w:rPr>
              <w:t>reconocimiento</w:t>
            </w:r>
            <w:proofErr w:type="spellEnd"/>
            <w:r>
              <w:rPr>
                <w:rFonts w:ascii="Arial" w:hAnsi="Arial" w:cs="Arial"/>
              </w:rPr>
              <w:t xml:space="preserve"> de </w:t>
            </w:r>
            <w:proofErr w:type="spellStart"/>
            <w:r>
              <w:rPr>
                <w:rFonts w:ascii="Arial" w:hAnsi="Arial" w:cs="Arial"/>
              </w:rPr>
              <w:t>hijos</w:t>
            </w:r>
            <w:proofErr w:type="spellEnd"/>
            <w:r>
              <w:rPr>
                <w:rFonts w:ascii="Arial" w:hAnsi="Arial" w:cs="Arial"/>
              </w:rPr>
              <w:t xml:space="preserve">. No se </w:t>
            </w:r>
            <w:proofErr w:type="spellStart"/>
            <w:r>
              <w:rPr>
                <w:rFonts w:ascii="Arial" w:hAnsi="Arial" w:cs="Arial"/>
              </w:rPr>
              <w:t>cobrarán</w:t>
            </w:r>
            <w:proofErr w:type="spellEnd"/>
            <w:r>
              <w:rPr>
                <w:rFonts w:ascii="Arial" w:hAnsi="Arial" w:cs="Arial"/>
              </w:rPr>
              <w:t xml:space="preserve"> derechos por la </w:t>
            </w:r>
            <w:proofErr w:type="spellStart"/>
            <w:r>
              <w:rPr>
                <w:rFonts w:ascii="Arial" w:hAnsi="Arial" w:cs="Arial"/>
              </w:rPr>
              <w:t>expedición</w:t>
            </w:r>
            <w:proofErr w:type="spellEnd"/>
            <w:r>
              <w:rPr>
                <w:rFonts w:ascii="Arial" w:hAnsi="Arial" w:cs="Arial"/>
              </w:rPr>
              <w:t xml:space="preserve"> de la </w:t>
            </w:r>
            <w:proofErr w:type="spellStart"/>
            <w:r>
              <w:rPr>
                <w:rFonts w:ascii="Arial" w:hAnsi="Arial" w:cs="Arial"/>
              </w:rPr>
              <w:t>primera</w:t>
            </w:r>
            <w:proofErr w:type="spellEnd"/>
            <w:r>
              <w:rPr>
                <w:rFonts w:ascii="Arial" w:hAnsi="Arial" w:cs="Arial"/>
              </w:rPr>
              <w:t xml:space="preserve"> </w:t>
            </w:r>
            <w:proofErr w:type="spellStart"/>
            <w:r>
              <w:rPr>
                <w:rFonts w:ascii="Arial" w:hAnsi="Arial" w:cs="Arial"/>
              </w:rPr>
              <w:t>copia</w:t>
            </w:r>
            <w:proofErr w:type="spellEnd"/>
            <w:r>
              <w:rPr>
                <w:rFonts w:ascii="Arial" w:hAnsi="Arial" w:cs="Arial"/>
              </w:rPr>
              <w:t xml:space="preserve"> </w:t>
            </w:r>
            <w:proofErr w:type="spellStart"/>
            <w:r>
              <w:rPr>
                <w:rFonts w:ascii="Arial" w:hAnsi="Arial" w:cs="Arial"/>
              </w:rPr>
              <w:t>certificada</w:t>
            </w:r>
            <w:proofErr w:type="spellEnd"/>
            <w:r>
              <w:rPr>
                <w:rFonts w:ascii="Arial" w:hAnsi="Arial" w:cs="Arial"/>
              </w:rPr>
              <w:t xml:space="preserve"> del acta de </w:t>
            </w:r>
            <w:proofErr w:type="spellStart"/>
            <w:r>
              <w:rPr>
                <w:rFonts w:ascii="Arial" w:hAnsi="Arial" w:cs="Arial"/>
              </w:rPr>
              <w:t>nacimiento</w:t>
            </w:r>
            <w:proofErr w:type="spellEnd"/>
            <w:r>
              <w:rPr>
                <w:rFonts w:ascii="Arial" w:hAnsi="Arial" w:cs="Arial"/>
              </w:rPr>
              <w:t>.</w:t>
            </w:r>
          </w:p>
        </w:tc>
        <w:tc>
          <w:tcPr>
            <w:tcW w:w="2340" w:type="dxa"/>
          </w:tcPr>
          <w:p w14:paraId="46DEB544" w14:textId="77777777" w:rsidR="00D3344B" w:rsidRDefault="00143C25">
            <w:pPr>
              <w:widowControl w:val="0"/>
              <w:jc w:val="both"/>
              <w:rPr>
                <w:rFonts w:ascii="Arial" w:hAnsi="Arial" w:cs="Arial"/>
              </w:rPr>
            </w:pPr>
            <w:r>
              <w:rPr>
                <w:rFonts w:ascii="Arial" w:hAnsi="Arial" w:cs="Arial"/>
                <w:b/>
              </w:rPr>
              <w:t>1.5 UMA</w:t>
            </w:r>
          </w:p>
        </w:tc>
      </w:tr>
      <w:tr w:rsidR="00D3344B" w14:paraId="414EF38A" w14:textId="77777777">
        <w:trPr>
          <w:trHeight w:val="356"/>
        </w:trPr>
        <w:tc>
          <w:tcPr>
            <w:tcW w:w="704" w:type="dxa"/>
          </w:tcPr>
          <w:p w14:paraId="7BD50A02" w14:textId="77777777" w:rsidR="00D3344B" w:rsidRDefault="00D3344B">
            <w:pPr>
              <w:pStyle w:val="Estilo"/>
              <w:widowControl w:val="0"/>
              <w:spacing w:line="276" w:lineRule="auto"/>
              <w:rPr>
                <w:rFonts w:cs="Arial"/>
                <w:sz w:val="22"/>
              </w:rPr>
            </w:pPr>
          </w:p>
        </w:tc>
        <w:tc>
          <w:tcPr>
            <w:tcW w:w="5670" w:type="dxa"/>
            <w:vAlign w:val="bottom"/>
          </w:tcPr>
          <w:p w14:paraId="36EDD90D" w14:textId="77777777" w:rsidR="00D3344B" w:rsidRDefault="00143C25">
            <w:pPr>
              <w:pStyle w:val="Estilo"/>
              <w:widowControl w:val="0"/>
              <w:spacing w:line="276" w:lineRule="auto"/>
              <w:jc w:val="left"/>
              <w:rPr>
                <w:rFonts w:cs="Arial"/>
                <w:sz w:val="16"/>
                <w:szCs w:val="16"/>
              </w:rPr>
            </w:pPr>
            <w:r>
              <w:rPr>
                <w:rFonts w:cs="Arial"/>
                <w:i/>
                <w:sz w:val="16"/>
              </w:rPr>
              <w:t>(REFORMADA, P.O. 21 DE JUNIO DE 2021)</w:t>
            </w:r>
          </w:p>
        </w:tc>
        <w:tc>
          <w:tcPr>
            <w:tcW w:w="2340" w:type="dxa"/>
          </w:tcPr>
          <w:p w14:paraId="5DAC97F8" w14:textId="77777777" w:rsidR="00D3344B" w:rsidRDefault="00D3344B">
            <w:pPr>
              <w:widowControl w:val="0"/>
              <w:jc w:val="both"/>
              <w:rPr>
                <w:rFonts w:ascii="Arial" w:hAnsi="Arial" w:cs="Arial"/>
              </w:rPr>
            </w:pPr>
          </w:p>
        </w:tc>
      </w:tr>
      <w:tr w:rsidR="00D3344B" w14:paraId="0991D34C" w14:textId="77777777">
        <w:tc>
          <w:tcPr>
            <w:tcW w:w="704" w:type="dxa"/>
          </w:tcPr>
          <w:p w14:paraId="0CE1C4EF" w14:textId="77777777" w:rsidR="00D3344B" w:rsidRDefault="00143C25">
            <w:pPr>
              <w:pStyle w:val="Estilo"/>
              <w:widowControl w:val="0"/>
              <w:spacing w:line="276" w:lineRule="auto"/>
              <w:rPr>
                <w:rFonts w:cs="Arial"/>
                <w:sz w:val="22"/>
              </w:rPr>
            </w:pPr>
            <w:r>
              <w:rPr>
                <w:rFonts w:cs="Arial"/>
                <w:sz w:val="22"/>
              </w:rPr>
              <w:t>IV.</w:t>
            </w:r>
          </w:p>
        </w:tc>
        <w:tc>
          <w:tcPr>
            <w:tcW w:w="5670" w:type="dxa"/>
          </w:tcPr>
          <w:p w14:paraId="4C4CC975"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que </w:t>
            </w:r>
            <w:proofErr w:type="spellStart"/>
            <w:r>
              <w:rPr>
                <w:rFonts w:ascii="Arial" w:hAnsi="Arial" w:cs="Arial"/>
              </w:rPr>
              <w:t>haga</w:t>
            </w:r>
            <w:proofErr w:type="spellEnd"/>
            <w:r>
              <w:rPr>
                <w:rFonts w:ascii="Arial" w:hAnsi="Arial" w:cs="Arial"/>
              </w:rPr>
              <w:t xml:space="preserve"> la </w:t>
            </w:r>
            <w:proofErr w:type="spellStart"/>
            <w:r>
              <w:rPr>
                <w:rFonts w:ascii="Arial" w:hAnsi="Arial" w:cs="Arial"/>
              </w:rPr>
              <w:t>Dirección</w:t>
            </w:r>
            <w:proofErr w:type="spellEnd"/>
            <w:r>
              <w:rPr>
                <w:rFonts w:ascii="Arial" w:hAnsi="Arial" w:cs="Arial"/>
              </w:rPr>
              <w:t xml:space="preserve"> de la </w:t>
            </w:r>
            <w:proofErr w:type="spellStart"/>
            <w:r>
              <w:rPr>
                <w:rFonts w:ascii="Arial" w:hAnsi="Arial" w:cs="Arial"/>
              </w:rPr>
              <w:t>Coordinación</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w:t>
            </w:r>
            <w:proofErr w:type="spellStart"/>
            <w:r>
              <w:rPr>
                <w:rFonts w:ascii="Arial" w:hAnsi="Arial" w:cs="Arial"/>
              </w:rPr>
              <w:t>así</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las </w:t>
            </w:r>
            <w:proofErr w:type="spellStart"/>
            <w:r>
              <w:rPr>
                <w:rFonts w:ascii="Arial" w:hAnsi="Arial" w:cs="Arial"/>
              </w:rPr>
              <w:t>Oficialías</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w:t>
            </w:r>
            <w:proofErr w:type="spellStart"/>
            <w:r>
              <w:rPr>
                <w:rFonts w:ascii="Arial" w:hAnsi="Arial" w:cs="Arial"/>
              </w:rPr>
              <w:t>establecidas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los </w:t>
            </w:r>
            <w:proofErr w:type="spellStart"/>
            <w:r>
              <w:rPr>
                <w:rFonts w:ascii="Arial" w:hAnsi="Arial" w:cs="Arial"/>
              </w:rPr>
              <w:t>sesenta</w:t>
            </w:r>
            <w:proofErr w:type="spellEnd"/>
            <w:r>
              <w:rPr>
                <w:rFonts w:ascii="Arial" w:hAnsi="Arial" w:cs="Arial"/>
              </w:rPr>
              <w:t xml:space="preserve"> </w:t>
            </w:r>
            <w:proofErr w:type="spellStart"/>
            <w:r>
              <w:rPr>
                <w:rFonts w:ascii="Arial" w:hAnsi="Arial" w:cs="Arial"/>
              </w:rPr>
              <w:t>municipios</w:t>
            </w:r>
            <w:proofErr w:type="spellEnd"/>
            <w:r>
              <w:rPr>
                <w:rFonts w:ascii="Arial" w:hAnsi="Arial" w:cs="Arial"/>
              </w:rPr>
              <w:t xml:space="preserve"> del Estado de Tlaxcala, de </w:t>
            </w:r>
            <w:proofErr w:type="spellStart"/>
            <w:r>
              <w:rPr>
                <w:rFonts w:ascii="Arial" w:hAnsi="Arial" w:cs="Arial"/>
              </w:rPr>
              <w:t>copias</w:t>
            </w:r>
            <w:proofErr w:type="spellEnd"/>
            <w:r>
              <w:rPr>
                <w:rFonts w:ascii="Arial" w:hAnsi="Arial" w:cs="Arial"/>
              </w:rPr>
              <w:t xml:space="preserve"> </w:t>
            </w:r>
            <w:proofErr w:type="spellStart"/>
            <w:r>
              <w:rPr>
                <w:rFonts w:ascii="Arial" w:hAnsi="Arial" w:cs="Arial"/>
              </w:rPr>
              <w:t>certificadas</w:t>
            </w:r>
            <w:proofErr w:type="spellEnd"/>
            <w:r>
              <w:rPr>
                <w:rFonts w:ascii="Arial" w:hAnsi="Arial" w:cs="Arial"/>
              </w:rPr>
              <w:t xml:space="preserve"> de </w:t>
            </w:r>
            <w:proofErr w:type="spellStart"/>
            <w:r>
              <w:rPr>
                <w:rFonts w:ascii="Arial" w:hAnsi="Arial" w:cs="Arial"/>
              </w:rPr>
              <w:t>actas</w:t>
            </w:r>
            <w:proofErr w:type="spellEnd"/>
            <w:r>
              <w:rPr>
                <w:rFonts w:ascii="Arial" w:hAnsi="Arial" w:cs="Arial"/>
              </w:rPr>
              <w:t xml:space="preserve"> de </w:t>
            </w:r>
            <w:proofErr w:type="spellStart"/>
            <w:r>
              <w:rPr>
                <w:rFonts w:ascii="Arial" w:hAnsi="Arial" w:cs="Arial"/>
              </w:rPr>
              <w:t>matrimonio</w:t>
            </w:r>
            <w:proofErr w:type="spellEnd"/>
            <w:r>
              <w:rPr>
                <w:rFonts w:ascii="Arial" w:hAnsi="Arial" w:cs="Arial"/>
              </w:rPr>
              <w:t xml:space="preserve">, </w:t>
            </w:r>
            <w:proofErr w:type="spellStart"/>
            <w:r>
              <w:rPr>
                <w:rFonts w:ascii="Arial" w:hAnsi="Arial" w:cs="Arial"/>
              </w:rPr>
              <w:t>divorcio</w:t>
            </w:r>
            <w:proofErr w:type="spellEnd"/>
            <w:r>
              <w:rPr>
                <w:rFonts w:ascii="Arial" w:hAnsi="Arial" w:cs="Arial"/>
              </w:rPr>
              <w:t xml:space="preserve">, </w:t>
            </w:r>
            <w:proofErr w:type="spellStart"/>
            <w:r>
              <w:rPr>
                <w:rFonts w:ascii="Arial" w:hAnsi="Arial" w:cs="Arial"/>
              </w:rPr>
              <w:t>adopción</w:t>
            </w:r>
            <w:proofErr w:type="spellEnd"/>
            <w:r>
              <w:rPr>
                <w:rFonts w:ascii="Arial" w:hAnsi="Arial" w:cs="Arial"/>
              </w:rPr>
              <w:t xml:space="preserve">, </w:t>
            </w:r>
            <w:proofErr w:type="spellStart"/>
            <w:r>
              <w:rPr>
                <w:rFonts w:ascii="Arial" w:hAnsi="Arial" w:cs="Arial"/>
              </w:rPr>
              <w:t>inscripción</w:t>
            </w:r>
            <w:proofErr w:type="spellEnd"/>
            <w:r>
              <w:rPr>
                <w:rFonts w:ascii="Arial" w:hAnsi="Arial" w:cs="Arial"/>
              </w:rPr>
              <w:t xml:space="preserve">, de </w:t>
            </w:r>
            <w:proofErr w:type="spellStart"/>
            <w:r>
              <w:rPr>
                <w:rFonts w:ascii="Arial" w:hAnsi="Arial" w:cs="Arial"/>
              </w:rPr>
              <w:t>registro</w:t>
            </w:r>
            <w:proofErr w:type="spellEnd"/>
            <w:r>
              <w:rPr>
                <w:rFonts w:ascii="Arial" w:hAnsi="Arial" w:cs="Arial"/>
              </w:rPr>
              <w:t xml:space="preserve">, </w:t>
            </w:r>
            <w:proofErr w:type="spellStart"/>
            <w:r>
              <w:rPr>
                <w:rFonts w:ascii="Arial" w:hAnsi="Arial" w:cs="Arial"/>
              </w:rPr>
              <w:t>modificaciones</w:t>
            </w:r>
            <w:proofErr w:type="spellEnd"/>
            <w:r>
              <w:rPr>
                <w:rFonts w:ascii="Arial" w:hAnsi="Arial" w:cs="Arial"/>
              </w:rPr>
              <w:t xml:space="preserve"> o </w:t>
            </w:r>
            <w:proofErr w:type="spellStart"/>
            <w:r>
              <w:rPr>
                <w:rFonts w:ascii="Arial" w:hAnsi="Arial" w:cs="Arial"/>
              </w:rPr>
              <w:t>disolución</w:t>
            </w:r>
            <w:proofErr w:type="spellEnd"/>
            <w:r>
              <w:rPr>
                <w:rFonts w:ascii="Arial" w:hAnsi="Arial" w:cs="Arial"/>
              </w:rPr>
              <w:t xml:space="preserve"> de la </w:t>
            </w:r>
            <w:proofErr w:type="spellStart"/>
            <w:r>
              <w:rPr>
                <w:rFonts w:ascii="Arial" w:hAnsi="Arial" w:cs="Arial"/>
              </w:rPr>
              <w:t>sociedad</w:t>
            </w:r>
            <w:proofErr w:type="spellEnd"/>
            <w:r>
              <w:rPr>
                <w:rFonts w:ascii="Arial" w:hAnsi="Arial" w:cs="Arial"/>
              </w:rPr>
              <w:t xml:space="preserve"> de </w:t>
            </w:r>
            <w:proofErr w:type="spellStart"/>
            <w:r>
              <w:rPr>
                <w:rFonts w:ascii="Arial" w:hAnsi="Arial" w:cs="Arial"/>
              </w:rPr>
              <w:t>convivencia</w:t>
            </w:r>
            <w:proofErr w:type="spellEnd"/>
            <w:r>
              <w:rPr>
                <w:rFonts w:ascii="Arial" w:hAnsi="Arial" w:cs="Arial"/>
              </w:rPr>
              <w:t xml:space="preserve"> </w:t>
            </w:r>
            <w:proofErr w:type="spellStart"/>
            <w:r>
              <w:rPr>
                <w:rFonts w:ascii="Arial" w:hAnsi="Arial" w:cs="Arial"/>
              </w:rPr>
              <w:t>solidaria</w:t>
            </w:r>
            <w:proofErr w:type="spellEnd"/>
            <w:r>
              <w:rPr>
                <w:rFonts w:ascii="Arial" w:hAnsi="Arial" w:cs="Arial"/>
              </w:rPr>
              <w:t xml:space="preserve"> y </w:t>
            </w:r>
            <w:proofErr w:type="spellStart"/>
            <w:r>
              <w:rPr>
                <w:rFonts w:ascii="Arial" w:hAnsi="Arial" w:cs="Arial"/>
              </w:rPr>
              <w:t>otros</w:t>
            </w:r>
            <w:proofErr w:type="spellEnd"/>
            <w:r>
              <w:rPr>
                <w:rFonts w:ascii="Arial" w:hAnsi="Arial" w:cs="Arial"/>
              </w:rPr>
              <w:t xml:space="preserve"> </w:t>
            </w:r>
            <w:proofErr w:type="spellStart"/>
            <w:r>
              <w:rPr>
                <w:rFonts w:ascii="Arial" w:hAnsi="Arial" w:cs="Arial"/>
              </w:rPr>
              <w:t>actos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ningún</w:t>
            </w:r>
            <w:proofErr w:type="spellEnd"/>
            <w:r>
              <w:rPr>
                <w:rFonts w:ascii="Arial" w:hAnsi="Arial" w:cs="Arial"/>
              </w:rPr>
              <w:t xml:space="preserve"> </w:t>
            </w:r>
            <w:proofErr w:type="spellStart"/>
            <w:r>
              <w:rPr>
                <w:rFonts w:ascii="Arial" w:hAnsi="Arial" w:cs="Arial"/>
              </w:rPr>
              <w:t>caso</w:t>
            </w:r>
            <w:proofErr w:type="spellEnd"/>
            <w:r>
              <w:rPr>
                <w:rFonts w:ascii="Arial" w:hAnsi="Arial" w:cs="Arial"/>
              </w:rPr>
              <w:t xml:space="preserve"> las </w:t>
            </w:r>
            <w:proofErr w:type="spellStart"/>
            <w:r>
              <w:rPr>
                <w:rFonts w:ascii="Arial" w:hAnsi="Arial" w:cs="Arial"/>
              </w:rPr>
              <w:t>Oficialías</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w:t>
            </w:r>
            <w:proofErr w:type="spellStart"/>
            <w:r>
              <w:rPr>
                <w:rFonts w:ascii="Arial" w:hAnsi="Arial" w:cs="Arial"/>
              </w:rPr>
              <w:t>establecidas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los </w:t>
            </w:r>
            <w:proofErr w:type="spellStart"/>
            <w:r>
              <w:rPr>
                <w:rFonts w:ascii="Arial" w:hAnsi="Arial" w:cs="Arial"/>
              </w:rPr>
              <w:t>sesenta</w:t>
            </w:r>
            <w:proofErr w:type="spellEnd"/>
            <w:r>
              <w:rPr>
                <w:rFonts w:ascii="Arial" w:hAnsi="Arial" w:cs="Arial"/>
              </w:rPr>
              <w:t xml:space="preserve"> </w:t>
            </w:r>
            <w:proofErr w:type="spellStart"/>
            <w:r>
              <w:rPr>
                <w:rFonts w:ascii="Arial" w:hAnsi="Arial" w:cs="Arial"/>
              </w:rPr>
              <w:t>municipios</w:t>
            </w:r>
            <w:proofErr w:type="spellEnd"/>
            <w:r>
              <w:rPr>
                <w:rFonts w:ascii="Arial" w:hAnsi="Arial" w:cs="Arial"/>
              </w:rPr>
              <w:t xml:space="preserve"> </w:t>
            </w:r>
            <w:proofErr w:type="spellStart"/>
            <w:r>
              <w:rPr>
                <w:rFonts w:ascii="Arial" w:hAnsi="Arial" w:cs="Arial"/>
              </w:rPr>
              <w:t>podrán</w:t>
            </w:r>
            <w:proofErr w:type="spellEnd"/>
            <w:r>
              <w:rPr>
                <w:rFonts w:ascii="Arial" w:hAnsi="Arial" w:cs="Arial"/>
              </w:rPr>
              <w:t xml:space="preserve"> </w:t>
            </w:r>
            <w:proofErr w:type="spellStart"/>
            <w:r>
              <w:rPr>
                <w:rFonts w:ascii="Arial" w:hAnsi="Arial" w:cs="Arial"/>
              </w:rPr>
              <w:t>cobrar</w:t>
            </w:r>
            <w:proofErr w:type="spellEnd"/>
            <w:r>
              <w:rPr>
                <w:rFonts w:ascii="Arial" w:hAnsi="Arial" w:cs="Arial"/>
              </w:rPr>
              <w:t xml:space="preserve"> un </w:t>
            </w:r>
            <w:proofErr w:type="spellStart"/>
            <w:r>
              <w:rPr>
                <w:rFonts w:ascii="Arial" w:hAnsi="Arial" w:cs="Arial"/>
              </w:rPr>
              <w:t>costo</w:t>
            </w:r>
            <w:proofErr w:type="spellEnd"/>
            <w:r>
              <w:rPr>
                <w:rFonts w:ascii="Arial" w:hAnsi="Arial" w:cs="Arial"/>
              </w:rPr>
              <w:t xml:space="preserve"> mayor a las </w:t>
            </w:r>
            <w:proofErr w:type="spellStart"/>
            <w:r>
              <w:rPr>
                <w:rFonts w:ascii="Arial" w:hAnsi="Arial" w:cs="Arial"/>
              </w:rPr>
              <w:t>tarifas</w:t>
            </w:r>
            <w:proofErr w:type="spellEnd"/>
            <w:r>
              <w:rPr>
                <w:rFonts w:ascii="Arial" w:hAnsi="Arial" w:cs="Arial"/>
              </w:rPr>
              <w:t xml:space="preserve"> </w:t>
            </w:r>
            <w:proofErr w:type="spellStart"/>
            <w:r>
              <w:rPr>
                <w:rFonts w:ascii="Arial" w:hAnsi="Arial" w:cs="Arial"/>
              </w:rPr>
              <w:t>establecidas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artículo</w:t>
            </w:r>
            <w:proofErr w:type="spellEnd"/>
            <w:r>
              <w:rPr>
                <w:rFonts w:ascii="Arial" w:hAnsi="Arial" w:cs="Arial"/>
              </w:rPr>
              <w:t>.</w:t>
            </w:r>
          </w:p>
        </w:tc>
        <w:tc>
          <w:tcPr>
            <w:tcW w:w="2340" w:type="dxa"/>
          </w:tcPr>
          <w:p w14:paraId="38D97608" w14:textId="77777777" w:rsidR="00D3344B" w:rsidRDefault="00143C25">
            <w:pPr>
              <w:pStyle w:val="Sinespaciado"/>
              <w:widowControl w:val="0"/>
              <w:spacing w:line="276" w:lineRule="auto"/>
              <w:jc w:val="both"/>
              <w:rPr>
                <w:rFonts w:ascii="Arial" w:hAnsi="Arial" w:cs="Arial"/>
              </w:rPr>
            </w:pPr>
            <w:r>
              <w:rPr>
                <w:rFonts w:ascii="Arial" w:hAnsi="Arial" w:cs="Arial"/>
                <w:b/>
              </w:rPr>
              <w:t>3 UMA</w:t>
            </w:r>
          </w:p>
        </w:tc>
      </w:tr>
      <w:tr w:rsidR="00D3344B" w14:paraId="2AA07B23" w14:textId="77777777">
        <w:tc>
          <w:tcPr>
            <w:tcW w:w="704" w:type="dxa"/>
          </w:tcPr>
          <w:p w14:paraId="3A63BB8A" w14:textId="77777777" w:rsidR="00D3344B" w:rsidRDefault="00D3344B">
            <w:pPr>
              <w:pStyle w:val="Estilo"/>
              <w:widowControl w:val="0"/>
              <w:spacing w:line="276" w:lineRule="auto"/>
              <w:rPr>
                <w:rFonts w:cs="Arial"/>
                <w:sz w:val="22"/>
              </w:rPr>
            </w:pPr>
          </w:p>
        </w:tc>
        <w:tc>
          <w:tcPr>
            <w:tcW w:w="5670" w:type="dxa"/>
            <w:vAlign w:val="bottom"/>
          </w:tcPr>
          <w:p w14:paraId="1F1E6810" w14:textId="77777777" w:rsidR="00D3344B" w:rsidRDefault="00143C25">
            <w:pPr>
              <w:pStyle w:val="Sinespaciado"/>
              <w:widowControl w:val="0"/>
              <w:spacing w:line="276" w:lineRule="auto"/>
              <w:rPr>
                <w:rFonts w:ascii="Arial" w:hAnsi="Arial" w:cs="Arial"/>
              </w:rPr>
            </w:pPr>
            <w:r>
              <w:rPr>
                <w:rFonts w:ascii="Arial" w:hAnsi="Arial" w:cs="Arial"/>
                <w:i/>
                <w:sz w:val="16"/>
              </w:rPr>
              <w:t>(REFORMADA, P.O. 21 DE JUNIO DE 2021)</w:t>
            </w:r>
          </w:p>
        </w:tc>
        <w:tc>
          <w:tcPr>
            <w:tcW w:w="2340" w:type="dxa"/>
          </w:tcPr>
          <w:p w14:paraId="6C8AF9DD" w14:textId="77777777" w:rsidR="00D3344B" w:rsidRDefault="00D3344B">
            <w:pPr>
              <w:pStyle w:val="Sinespaciado"/>
              <w:widowControl w:val="0"/>
              <w:spacing w:line="276" w:lineRule="auto"/>
              <w:jc w:val="both"/>
              <w:rPr>
                <w:rFonts w:ascii="Arial" w:hAnsi="Arial" w:cs="Arial"/>
                <w:b/>
              </w:rPr>
            </w:pPr>
          </w:p>
        </w:tc>
      </w:tr>
      <w:tr w:rsidR="00D3344B" w14:paraId="0B4B383C" w14:textId="77777777">
        <w:tc>
          <w:tcPr>
            <w:tcW w:w="704" w:type="dxa"/>
          </w:tcPr>
          <w:p w14:paraId="69A0BE43" w14:textId="77777777" w:rsidR="00D3344B" w:rsidRDefault="00143C25">
            <w:pPr>
              <w:pStyle w:val="Estilo"/>
              <w:widowControl w:val="0"/>
              <w:spacing w:line="276" w:lineRule="auto"/>
              <w:rPr>
                <w:rFonts w:cs="Arial"/>
                <w:sz w:val="22"/>
              </w:rPr>
            </w:pPr>
            <w:r>
              <w:rPr>
                <w:rFonts w:cs="Arial"/>
                <w:sz w:val="22"/>
              </w:rPr>
              <w:t>V.</w:t>
            </w:r>
          </w:p>
        </w:tc>
        <w:tc>
          <w:tcPr>
            <w:tcW w:w="5670" w:type="dxa"/>
          </w:tcPr>
          <w:p w14:paraId="56AFF44B" w14:textId="77777777" w:rsidR="00D3344B" w:rsidRDefault="00143C25">
            <w:pPr>
              <w:widowControl w:val="0"/>
              <w:jc w:val="both"/>
              <w:rPr>
                <w:rFonts w:ascii="Arial" w:hAnsi="Arial" w:cs="Arial"/>
              </w:rPr>
            </w:pPr>
            <w:r>
              <w:rPr>
                <w:rFonts w:ascii="Arial" w:hAnsi="Arial" w:cs="Arial"/>
              </w:rPr>
              <w:t>La búsqueda retrospectiva, que se haga de los diversos actos registrales en el archivo de la Dirección Coordinadora del Registro Civil y la expedición correspondiente de la constancia de no registro de dichos actos, se cobrará de acuerdo con lo siguiente:</w:t>
            </w:r>
          </w:p>
        </w:tc>
        <w:tc>
          <w:tcPr>
            <w:tcW w:w="2340" w:type="dxa"/>
          </w:tcPr>
          <w:p w14:paraId="373BC6ED" w14:textId="77777777" w:rsidR="00D3344B" w:rsidRDefault="00D3344B">
            <w:pPr>
              <w:pStyle w:val="Sinespaciado"/>
              <w:widowControl w:val="0"/>
              <w:spacing w:line="276" w:lineRule="auto"/>
              <w:jc w:val="both"/>
              <w:rPr>
                <w:rFonts w:ascii="Arial" w:hAnsi="Arial" w:cs="Arial"/>
              </w:rPr>
            </w:pPr>
          </w:p>
        </w:tc>
      </w:tr>
      <w:tr w:rsidR="00D3344B" w14:paraId="4B1D9B97" w14:textId="77777777">
        <w:tc>
          <w:tcPr>
            <w:tcW w:w="704" w:type="dxa"/>
          </w:tcPr>
          <w:p w14:paraId="5FB909DF" w14:textId="77777777" w:rsidR="00D3344B" w:rsidRDefault="00D3344B">
            <w:pPr>
              <w:pStyle w:val="Estilo"/>
              <w:widowControl w:val="0"/>
              <w:spacing w:line="276" w:lineRule="auto"/>
              <w:rPr>
                <w:rFonts w:cs="Arial"/>
                <w:sz w:val="22"/>
              </w:rPr>
            </w:pPr>
          </w:p>
        </w:tc>
        <w:tc>
          <w:tcPr>
            <w:tcW w:w="5670" w:type="dxa"/>
            <w:vAlign w:val="bottom"/>
          </w:tcPr>
          <w:p w14:paraId="58BC9311" w14:textId="77777777" w:rsidR="00D3344B" w:rsidRDefault="00143C25">
            <w:pPr>
              <w:widowControl w:val="0"/>
              <w:spacing w:line="240" w:lineRule="auto"/>
              <w:rPr>
                <w:rFonts w:ascii="Arial" w:hAnsi="Arial" w:cs="Arial"/>
              </w:rPr>
            </w:pPr>
            <w:r>
              <w:rPr>
                <w:rFonts w:ascii="Arial" w:hAnsi="Arial" w:cs="Arial"/>
                <w:i/>
                <w:sz w:val="16"/>
              </w:rPr>
              <w:t>(REFORMADA, P.O. 21 DE JUNIO DE 2021)</w:t>
            </w:r>
          </w:p>
        </w:tc>
        <w:tc>
          <w:tcPr>
            <w:tcW w:w="2340" w:type="dxa"/>
          </w:tcPr>
          <w:p w14:paraId="5562D1F6" w14:textId="77777777" w:rsidR="00D3344B" w:rsidRDefault="00D3344B">
            <w:pPr>
              <w:pStyle w:val="Sinespaciado"/>
              <w:widowControl w:val="0"/>
              <w:spacing w:line="276" w:lineRule="auto"/>
              <w:jc w:val="both"/>
              <w:rPr>
                <w:rFonts w:ascii="Arial" w:hAnsi="Arial" w:cs="Arial"/>
              </w:rPr>
            </w:pPr>
          </w:p>
        </w:tc>
      </w:tr>
      <w:tr w:rsidR="00D3344B" w14:paraId="7F77F188" w14:textId="77777777">
        <w:trPr>
          <w:trHeight w:val="649"/>
        </w:trPr>
        <w:tc>
          <w:tcPr>
            <w:tcW w:w="704" w:type="dxa"/>
          </w:tcPr>
          <w:p w14:paraId="49E6C5CC" w14:textId="77777777" w:rsidR="00D3344B" w:rsidRDefault="00D3344B">
            <w:pPr>
              <w:widowControl w:val="0"/>
              <w:jc w:val="both"/>
              <w:rPr>
                <w:rFonts w:ascii="Arial" w:hAnsi="Arial" w:cs="Arial"/>
              </w:rPr>
            </w:pPr>
          </w:p>
        </w:tc>
        <w:tc>
          <w:tcPr>
            <w:tcW w:w="5670" w:type="dxa"/>
          </w:tcPr>
          <w:p w14:paraId="353F0A10" w14:textId="77777777" w:rsidR="00D3344B" w:rsidRDefault="00143C25">
            <w:pPr>
              <w:widowControl w:val="0"/>
              <w:jc w:val="both"/>
              <w:rPr>
                <w:rFonts w:ascii="Arial" w:hAnsi="Arial" w:cs="Arial"/>
              </w:rPr>
            </w:pPr>
            <w:r>
              <w:rPr>
                <w:rFonts w:ascii="Arial" w:hAnsi="Arial" w:cs="Arial"/>
              </w:rPr>
              <w:t>a) Cuando la búsqueda no exceda de cinco años y se realice en un solo Municipio.</w:t>
            </w:r>
          </w:p>
        </w:tc>
        <w:tc>
          <w:tcPr>
            <w:tcW w:w="2340" w:type="dxa"/>
            <w:vAlign w:val="center"/>
          </w:tcPr>
          <w:p w14:paraId="4E71D151" w14:textId="77777777" w:rsidR="00D3344B" w:rsidRDefault="00143C25">
            <w:pPr>
              <w:widowControl w:val="0"/>
              <w:jc w:val="both"/>
              <w:rPr>
                <w:rFonts w:ascii="Arial" w:hAnsi="Arial" w:cs="Arial"/>
              </w:rPr>
            </w:pPr>
            <w:r>
              <w:rPr>
                <w:rFonts w:ascii="Arial" w:hAnsi="Arial" w:cs="Arial"/>
                <w:b/>
              </w:rPr>
              <w:t xml:space="preserve">2 UMA </w:t>
            </w:r>
          </w:p>
        </w:tc>
      </w:tr>
      <w:tr w:rsidR="00D3344B" w14:paraId="2C33F0E6" w14:textId="77777777">
        <w:trPr>
          <w:trHeight w:val="317"/>
        </w:trPr>
        <w:tc>
          <w:tcPr>
            <w:tcW w:w="704" w:type="dxa"/>
          </w:tcPr>
          <w:p w14:paraId="3779D7D5" w14:textId="77777777" w:rsidR="00D3344B" w:rsidRDefault="00D3344B">
            <w:pPr>
              <w:widowControl w:val="0"/>
              <w:jc w:val="both"/>
              <w:rPr>
                <w:rFonts w:ascii="Arial" w:hAnsi="Arial" w:cs="Arial"/>
              </w:rPr>
            </w:pPr>
          </w:p>
        </w:tc>
        <w:tc>
          <w:tcPr>
            <w:tcW w:w="5670" w:type="dxa"/>
            <w:vAlign w:val="bottom"/>
          </w:tcPr>
          <w:p w14:paraId="5859CFBC" w14:textId="77777777" w:rsidR="00D3344B" w:rsidRDefault="00143C25">
            <w:pPr>
              <w:widowControl w:val="0"/>
              <w:rPr>
                <w:rFonts w:ascii="Arial" w:hAnsi="Arial" w:cs="Arial"/>
              </w:rPr>
            </w:pPr>
            <w:r>
              <w:rPr>
                <w:rFonts w:ascii="Arial" w:hAnsi="Arial" w:cs="Arial"/>
                <w:i/>
                <w:sz w:val="16"/>
              </w:rPr>
              <w:t>(REFORMADA, P.O. 21 DE JUNIO DE 2021)</w:t>
            </w:r>
          </w:p>
        </w:tc>
        <w:tc>
          <w:tcPr>
            <w:tcW w:w="2340" w:type="dxa"/>
            <w:vAlign w:val="center"/>
          </w:tcPr>
          <w:p w14:paraId="08833279" w14:textId="77777777" w:rsidR="00D3344B" w:rsidRDefault="00D3344B">
            <w:pPr>
              <w:widowControl w:val="0"/>
              <w:jc w:val="both"/>
              <w:rPr>
                <w:rFonts w:ascii="Arial" w:hAnsi="Arial" w:cs="Arial"/>
                <w:b/>
              </w:rPr>
            </w:pPr>
          </w:p>
        </w:tc>
      </w:tr>
      <w:tr w:rsidR="00D3344B" w14:paraId="68083EEA" w14:textId="77777777">
        <w:trPr>
          <w:trHeight w:val="1258"/>
        </w:trPr>
        <w:tc>
          <w:tcPr>
            <w:tcW w:w="704" w:type="dxa"/>
          </w:tcPr>
          <w:p w14:paraId="5FAD7015" w14:textId="77777777" w:rsidR="00D3344B" w:rsidRDefault="00D3344B">
            <w:pPr>
              <w:widowControl w:val="0"/>
              <w:jc w:val="both"/>
              <w:rPr>
                <w:rFonts w:ascii="Arial" w:hAnsi="Arial" w:cs="Arial"/>
              </w:rPr>
            </w:pPr>
          </w:p>
        </w:tc>
        <w:tc>
          <w:tcPr>
            <w:tcW w:w="5670" w:type="dxa"/>
          </w:tcPr>
          <w:p w14:paraId="1BB1CF3D" w14:textId="77777777" w:rsidR="00D3344B" w:rsidRDefault="00143C25">
            <w:pPr>
              <w:widowControl w:val="0"/>
              <w:jc w:val="both"/>
              <w:rPr>
                <w:rFonts w:ascii="Arial" w:hAnsi="Arial" w:cs="Arial"/>
              </w:rPr>
            </w:pPr>
            <w:r>
              <w:rPr>
                <w:rFonts w:ascii="Arial" w:hAnsi="Arial" w:cs="Arial"/>
              </w:rPr>
              <w:t>b) Cuando la búsqueda exceda el término citado en el inciso anterior, la cuota ahí establecida se incrementará en.</w:t>
            </w:r>
          </w:p>
        </w:tc>
        <w:tc>
          <w:tcPr>
            <w:tcW w:w="2340" w:type="dxa"/>
          </w:tcPr>
          <w:p w14:paraId="0F68296F" w14:textId="77777777" w:rsidR="00D3344B" w:rsidRDefault="00143C25">
            <w:pPr>
              <w:widowControl w:val="0"/>
              <w:spacing w:after="1" w:line="235" w:lineRule="auto"/>
              <w:ind w:left="68" w:firstLine="97"/>
              <w:rPr>
                <w:rFonts w:ascii="Arial" w:hAnsi="Arial" w:cs="Arial"/>
              </w:rPr>
            </w:pPr>
            <w:r>
              <w:rPr>
                <w:rFonts w:ascii="Arial" w:hAnsi="Arial" w:cs="Arial"/>
                <w:b/>
              </w:rPr>
              <w:t xml:space="preserve">0.5 UMA, por cada período de tres años o fracción del mismo. </w:t>
            </w:r>
          </w:p>
          <w:p w14:paraId="2A0A4BBC" w14:textId="77777777" w:rsidR="00D3344B" w:rsidRDefault="00D3344B">
            <w:pPr>
              <w:widowControl w:val="0"/>
              <w:jc w:val="both"/>
              <w:rPr>
                <w:rFonts w:ascii="Arial" w:hAnsi="Arial" w:cs="Arial"/>
              </w:rPr>
            </w:pPr>
          </w:p>
        </w:tc>
      </w:tr>
      <w:tr w:rsidR="00D3344B" w14:paraId="3AA001A5" w14:textId="77777777">
        <w:trPr>
          <w:trHeight w:val="349"/>
        </w:trPr>
        <w:tc>
          <w:tcPr>
            <w:tcW w:w="704" w:type="dxa"/>
          </w:tcPr>
          <w:p w14:paraId="1F628C1F" w14:textId="77777777" w:rsidR="00D3344B" w:rsidRDefault="00D3344B">
            <w:pPr>
              <w:widowControl w:val="0"/>
              <w:jc w:val="both"/>
              <w:rPr>
                <w:rFonts w:ascii="Arial" w:hAnsi="Arial" w:cs="Arial"/>
              </w:rPr>
            </w:pPr>
          </w:p>
        </w:tc>
        <w:tc>
          <w:tcPr>
            <w:tcW w:w="5670" w:type="dxa"/>
            <w:vAlign w:val="bottom"/>
          </w:tcPr>
          <w:p w14:paraId="22A6576E" w14:textId="77777777" w:rsidR="00D3344B" w:rsidRDefault="00143C25">
            <w:pPr>
              <w:widowControl w:val="0"/>
              <w:spacing w:after="0"/>
              <w:rPr>
                <w:rFonts w:ascii="Arial" w:hAnsi="Arial" w:cs="Arial"/>
              </w:rPr>
            </w:pPr>
            <w:r>
              <w:rPr>
                <w:rFonts w:ascii="Arial" w:hAnsi="Arial" w:cs="Arial"/>
                <w:i/>
                <w:sz w:val="16"/>
              </w:rPr>
              <w:t>(REFORMADA, P.O. 26 DE DICIEMBRE DE 2022)</w:t>
            </w:r>
          </w:p>
        </w:tc>
        <w:tc>
          <w:tcPr>
            <w:tcW w:w="2340" w:type="dxa"/>
          </w:tcPr>
          <w:p w14:paraId="6274EC74" w14:textId="77777777" w:rsidR="00D3344B" w:rsidRDefault="00D3344B">
            <w:pPr>
              <w:widowControl w:val="0"/>
              <w:spacing w:after="1" w:line="235" w:lineRule="auto"/>
              <w:ind w:left="68" w:firstLine="97"/>
              <w:rPr>
                <w:rFonts w:ascii="Arial" w:hAnsi="Arial" w:cs="Arial"/>
                <w:b/>
              </w:rPr>
            </w:pPr>
          </w:p>
        </w:tc>
      </w:tr>
      <w:tr w:rsidR="00D3344B" w14:paraId="35A0464B" w14:textId="77777777">
        <w:trPr>
          <w:trHeight w:val="1099"/>
        </w:trPr>
        <w:tc>
          <w:tcPr>
            <w:tcW w:w="704" w:type="dxa"/>
          </w:tcPr>
          <w:p w14:paraId="276BF92D" w14:textId="77777777" w:rsidR="00D3344B" w:rsidRDefault="00D3344B">
            <w:pPr>
              <w:widowControl w:val="0"/>
              <w:jc w:val="both"/>
              <w:rPr>
                <w:rFonts w:ascii="Arial" w:hAnsi="Arial" w:cs="Arial"/>
              </w:rPr>
            </w:pPr>
          </w:p>
        </w:tc>
        <w:tc>
          <w:tcPr>
            <w:tcW w:w="5670" w:type="dxa"/>
          </w:tcPr>
          <w:p w14:paraId="7442EBD7" w14:textId="77777777" w:rsidR="00D3344B" w:rsidRDefault="00143C25">
            <w:pPr>
              <w:widowControl w:val="0"/>
              <w:jc w:val="both"/>
              <w:rPr>
                <w:rFonts w:ascii="Arial" w:hAnsi="Arial" w:cs="Arial"/>
              </w:rPr>
            </w:pPr>
            <w:r>
              <w:rPr>
                <w:rFonts w:ascii="Arial" w:hAnsi="Arial" w:cs="Arial"/>
              </w:rPr>
              <w:t xml:space="preserve">c) Cuando la búsqueda deba ampliarse a otro o varios municipios, la cuota establecida en el inciso a) se incrementará en: </w:t>
            </w:r>
          </w:p>
        </w:tc>
        <w:tc>
          <w:tcPr>
            <w:tcW w:w="2340" w:type="dxa"/>
          </w:tcPr>
          <w:p w14:paraId="465E95A9" w14:textId="77777777" w:rsidR="00D3344B" w:rsidRDefault="00143C25">
            <w:pPr>
              <w:widowControl w:val="0"/>
              <w:rPr>
                <w:rFonts w:ascii="Arial" w:hAnsi="Arial" w:cs="Arial"/>
              </w:rPr>
            </w:pPr>
            <w:r>
              <w:rPr>
                <w:rFonts w:ascii="Arial" w:hAnsi="Arial" w:cs="Arial"/>
              </w:rPr>
              <w:t>2.5 UMA</w:t>
            </w:r>
          </w:p>
        </w:tc>
      </w:tr>
      <w:tr w:rsidR="00D3344B" w14:paraId="2E952492" w14:textId="77777777">
        <w:trPr>
          <w:trHeight w:val="478"/>
        </w:trPr>
        <w:tc>
          <w:tcPr>
            <w:tcW w:w="704" w:type="dxa"/>
          </w:tcPr>
          <w:p w14:paraId="60B5732D" w14:textId="77777777" w:rsidR="00D3344B" w:rsidRDefault="00D3344B">
            <w:pPr>
              <w:widowControl w:val="0"/>
              <w:jc w:val="both"/>
              <w:rPr>
                <w:rFonts w:ascii="Arial" w:hAnsi="Arial" w:cs="Arial"/>
              </w:rPr>
            </w:pPr>
          </w:p>
        </w:tc>
        <w:tc>
          <w:tcPr>
            <w:tcW w:w="5670" w:type="dxa"/>
            <w:vAlign w:val="bottom"/>
          </w:tcPr>
          <w:p w14:paraId="2C106D93"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0D486D48" w14:textId="77777777" w:rsidR="00D3344B" w:rsidRDefault="00D3344B">
            <w:pPr>
              <w:widowControl w:val="0"/>
              <w:jc w:val="both"/>
              <w:rPr>
                <w:rFonts w:ascii="Arial" w:hAnsi="Arial" w:cs="Arial"/>
              </w:rPr>
            </w:pPr>
          </w:p>
        </w:tc>
      </w:tr>
      <w:tr w:rsidR="00D3344B" w14:paraId="4A437197" w14:textId="77777777">
        <w:tc>
          <w:tcPr>
            <w:tcW w:w="704" w:type="dxa"/>
          </w:tcPr>
          <w:p w14:paraId="2AA8BE78" w14:textId="77777777" w:rsidR="00D3344B" w:rsidRDefault="00143C25">
            <w:pPr>
              <w:widowControl w:val="0"/>
              <w:jc w:val="both"/>
              <w:rPr>
                <w:rFonts w:ascii="Arial" w:hAnsi="Arial" w:cs="Arial"/>
              </w:rPr>
            </w:pPr>
            <w:r>
              <w:rPr>
                <w:rFonts w:ascii="Arial" w:hAnsi="Arial" w:cs="Arial"/>
              </w:rPr>
              <w:t>VI.</w:t>
            </w:r>
          </w:p>
        </w:tc>
        <w:tc>
          <w:tcPr>
            <w:tcW w:w="5670" w:type="dxa"/>
          </w:tcPr>
          <w:p w14:paraId="269FDBBC" w14:textId="77777777" w:rsidR="00D3344B" w:rsidRDefault="00143C25">
            <w:pPr>
              <w:widowControl w:val="0"/>
              <w:jc w:val="both"/>
              <w:rPr>
                <w:rFonts w:ascii="Arial" w:hAnsi="Arial" w:cs="Arial"/>
              </w:rPr>
            </w:pPr>
            <w:r>
              <w:rPr>
                <w:rFonts w:ascii="Arial" w:hAnsi="Arial" w:cs="Arial"/>
              </w:rPr>
              <w:t>Por la dispensa de publicaciones para contraer matrimonio.</w:t>
            </w:r>
          </w:p>
        </w:tc>
        <w:tc>
          <w:tcPr>
            <w:tcW w:w="2340" w:type="dxa"/>
          </w:tcPr>
          <w:p w14:paraId="5DBD827A" w14:textId="77777777" w:rsidR="00D3344B" w:rsidRDefault="00143C25">
            <w:pPr>
              <w:widowControl w:val="0"/>
              <w:jc w:val="both"/>
              <w:rPr>
                <w:rFonts w:ascii="Arial" w:hAnsi="Arial" w:cs="Arial"/>
              </w:rPr>
            </w:pPr>
            <w:r>
              <w:rPr>
                <w:rFonts w:ascii="Arial" w:hAnsi="Arial" w:cs="Arial"/>
                <w:b/>
              </w:rPr>
              <w:t>2.5 UMA</w:t>
            </w:r>
          </w:p>
        </w:tc>
      </w:tr>
      <w:tr w:rsidR="00D3344B" w14:paraId="34B7A6B4" w14:textId="77777777">
        <w:tc>
          <w:tcPr>
            <w:tcW w:w="704" w:type="dxa"/>
          </w:tcPr>
          <w:p w14:paraId="18697D95" w14:textId="77777777" w:rsidR="00D3344B" w:rsidRDefault="00D3344B">
            <w:pPr>
              <w:widowControl w:val="0"/>
              <w:jc w:val="both"/>
              <w:rPr>
                <w:rFonts w:ascii="Arial" w:hAnsi="Arial" w:cs="Arial"/>
              </w:rPr>
            </w:pPr>
          </w:p>
        </w:tc>
        <w:tc>
          <w:tcPr>
            <w:tcW w:w="5670" w:type="dxa"/>
            <w:vAlign w:val="bottom"/>
          </w:tcPr>
          <w:p w14:paraId="22037ACC"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7A8AAA64" w14:textId="77777777" w:rsidR="00D3344B" w:rsidRDefault="00D3344B">
            <w:pPr>
              <w:widowControl w:val="0"/>
              <w:jc w:val="both"/>
              <w:rPr>
                <w:rFonts w:ascii="Arial" w:hAnsi="Arial" w:cs="Arial"/>
                <w:b/>
              </w:rPr>
            </w:pPr>
          </w:p>
        </w:tc>
      </w:tr>
      <w:tr w:rsidR="00D3344B" w14:paraId="34805C98" w14:textId="77777777">
        <w:tc>
          <w:tcPr>
            <w:tcW w:w="704" w:type="dxa"/>
          </w:tcPr>
          <w:p w14:paraId="04832248" w14:textId="77777777" w:rsidR="00D3344B" w:rsidRDefault="00143C25">
            <w:pPr>
              <w:widowControl w:val="0"/>
              <w:jc w:val="both"/>
              <w:rPr>
                <w:rFonts w:ascii="Arial" w:hAnsi="Arial" w:cs="Arial"/>
              </w:rPr>
            </w:pPr>
            <w:r>
              <w:rPr>
                <w:rFonts w:ascii="Arial" w:hAnsi="Arial" w:cs="Arial"/>
              </w:rPr>
              <w:t>VII.</w:t>
            </w:r>
          </w:p>
        </w:tc>
        <w:tc>
          <w:tcPr>
            <w:tcW w:w="5670" w:type="dxa"/>
          </w:tcPr>
          <w:p w14:paraId="35C6E44C" w14:textId="77777777" w:rsidR="00D3344B" w:rsidRDefault="00143C25">
            <w:pPr>
              <w:widowControl w:val="0"/>
              <w:jc w:val="both"/>
              <w:rPr>
                <w:rFonts w:ascii="Arial" w:hAnsi="Arial" w:cs="Arial"/>
              </w:rPr>
            </w:pPr>
            <w:r>
              <w:rPr>
                <w:rFonts w:ascii="Arial" w:hAnsi="Arial" w:cs="Arial"/>
              </w:rPr>
              <w:t>Los registros extemporáneos se cobrarán atendiendo a la edad de la persona:</w:t>
            </w:r>
          </w:p>
        </w:tc>
        <w:tc>
          <w:tcPr>
            <w:tcW w:w="2340" w:type="dxa"/>
          </w:tcPr>
          <w:p w14:paraId="2A30FDAB" w14:textId="77777777" w:rsidR="00D3344B" w:rsidRDefault="00D3344B">
            <w:pPr>
              <w:widowControl w:val="0"/>
              <w:jc w:val="both"/>
              <w:rPr>
                <w:rFonts w:ascii="Arial" w:hAnsi="Arial" w:cs="Arial"/>
              </w:rPr>
            </w:pPr>
          </w:p>
        </w:tc>
      </w:tr>
      <w:tr w:rsidR="00D3344B" w14:paraId="5B4E912B" w14:textId="77777777">
        <w:trPr>
          <w:trHeight w:val="739"/>
        </w:trPr>
        <w:tc>
          <w:tcPr>
            <w:tcW w:w="704" w:type="dxa"/>
          </w:tcPr>
          <w:p w14:paraId="3B6CF408" w14:textId="77777777" w:rsidR="00D3344B" w:rsidRDefault="00D3344B">
            <w:pPr>
              <w:widowControl w:val="0"/>
              <w:jc w:val="both"/>
              <w:rPr>
                <w:rFonts w:ascii="Arial" w:hAnsi="Arial" w:cs="Arial"/>
              </w:rPr>
            </w:pPr>
          </w:p>
        </w:tc>
        <w:tc>
          <w:tcPr>
            <w:tcW w:w="5670" w:type="dxa"/>
          </w:tcPr>
          <w:p w14:paraId="5DDAB550" w14:textId="77777777" w:rsidR="00D3344B" w:rsidRDefault="00143C25">
            <w:pPr>
              <w:widowControl w:val="0"/>
              <w:jc w:val="both"/>
              <w:rPr>
                <w:rFonts w:ascii="Arial" w:hAnsi="Arial" w:cs="Arial"/>
              </w:rPr>
            </w:pPr>
            <w:r>
              <w:rPr>
                <w:rFonts w:ascii="Arial" w:hAnsi="Arial" w:cs="Arial"/>
              </w:rPr>
              <w:t>a) De menores de edad, hasta los diez años cumplidos.</w:t>
            </w:r>
          </w:p>
        </w:tc>
        <w:tc>
          <w:tcPr>
            <w:tcW w:w="2340" w:type="dxa"/>
          </w:tcPr>
          <w:p w14:paraId="2A6AB92C" w14:textId="77777777" w:rsidR="00D3344B" w:rsidRDefault="00143C25">
            <w:pPr>
              <w:widowControl w:val="0"/>
              <w:jc w:val="both"/>
              <w:rPr>
                <w:rFonts w:ascii="Arial" w:hAnsi="Arial" w:cs="Arial"/>
              </w:rPr>
            </w:pPr>
            <w:r>
              <w:rPr>
                <w:rFonts w:ascii="Arial" w:hAnsi="Arial" w:cs="Arial"/>
                <w:b/>
              </w:rPr>
              <w:t xml:space="preserve">4 UMA </w:t>
            </w:r>
          </w:p>
        </w:tc>
      </w:tr>
      <w:tr w:rsidR="00D3344B" w14:paraId="60F64451" w14:textId="77777777">
        <w:trPr>
          <w:trHeight w:val="960"/>
        </w:trPr>
        <w:tc>
          <w:tcPr>
            <w:tcW w:w="704" w:type="dxa"/>
          </w:tcPr>
          <w:p w14:paraId="702403B2" w14:textId="77777777" w:rsidR="00D3344B" w:rsidRDefault="00D3344B">
            <w:pPr>
              <w:widowControl w:val="0"/>
              <w:jc w:val="both"/>
              <w:rPr>
                <w:rFonts w:ascii="Arial" w:hAnsi="Arial" w:cs="Arial"/>
              </w:rPr>
            </w:pPr>
          </w:p>
        </w:tc>
        <w:tc>
          <w:tcPr>
            <w:tcW w:w="5670" w:type="dxa"/>
          </w:tcPr>
          <w:p w14:paraId="30AEC524" w14:textId="77777777" w:rsidR="00D3344B" w:rsidRDefault="00143C25">
            <w:pPr>
              <w:widowControl w:val="0"/>
              <w:jc w:val="both"/>
              <w:rPr>
                <w:rFonts w:ascii="Arial" w:hAnsi="Arial" w:cs="Arial"/>
              </w:rPr>
            </w:pPr>
            <w:r>
              <w:rPr>
                <w:rFonts w:ascii="Arial" w:hAnsi="Arial" w:cs="Arial"/>
              </w:rPr>
              <w:t>b) De menores de edad, desde diez años un día hasta los dieciocho años cumplidos.</w:t>
            </w:r>
          </w:p>
        </w:tc>
        <w:tc>
          <w:tcPr>
            <w:tcW w:w="2340" w:type="dxa"/>
          </w:tcPr>
          <w:p w14:paraId="3BCDCB1F" w14:textId="77777777" w:rsidR="00D3344B" w:rsidRDefault="00143C25">
            <w:pPr>
              <w:widowControl w:val="0"/>
              <w:jc w:val="both"/>
              <w:rPr>
                <w:rFonts w:ascii="Arial" w:hAnsi="Arial" w:cs="Arial"/>
              </w:rPr>
            </w:pPr>
            <w:r>
              <w:rPr>
                <w:rFonts w:ascii="Arial" w:hAnsi="Arial" w:cs="Arial"/>
                <w:b/>
              </w:rPr>
              <w:t xml:space="preserve">6 UMA </w:t>
            </w:r>
          </w:p>
        </w:tc>
      </w:tr>
      <w:tr w:rsidR="00D3344B" w14:paraId="58625C28" w14:textId="77777777">
        <w:trPr>
          <w:trHeight w:val="1673"/>
        </w:trPr>
        <w:tc>
          <w:tcPr>
            <w:tcW w:w="704" w:type="dxa"/>
          </w:tcPr>
          <w:p w14:paraId="62A7D262" w14:textId="77777777" w:rsidR="00D3344B" w:rsidRDefault="00D3344B">
            <w:pPr>
              <w:widowControl w:val="0"/>
              <w:spacing w:after="0"/>
              <w:jc w:val="both"/>
              <w:rPr>
                <w:rFonts w:ascii="Arial" w:hAnsi="Arial" w:cs="Arial"/>
              </w:rPr>
            </w:pPr>
          </w:p>
        </w:tc>
        <w:tc>
          <w:tcPr>
            <w:tcW w:w="5670" w:type="dxa"/>
          </w:tcPr>
          <w:p w14:paraId="5B3ED636" w14:textId="77777777" w:rsidR="00D3344B" w:rsidRDefault="00143C25">
            <w:pPr>
              <w:widowControl w:val="0"/>
              <w:spacing w:after="0"/>
              <w:jc w:val="both"/>
              <w:rPr>
                <w:rFonts w:ascii="Arial" w:hAnsi="Arial" w:cs="Arial"/>
                <w:i/>
                <w:sz w:val="16"/>
              </w:rPr>
            </w:pPr>
            <w:r>
              <w:rPr>
                <w:rFonts w:ascii="Arial" w:hAnsi="Arial" w:cs="Arial"/>
                <w:i/>
                <w:sz w:val="16"/>
              </w:rPr>
              <w:t>(REFORMADA, P.O. 26 DE DICIEMBRE DE 2022)</w:t>
            </w:r>
          </w:p>
          <w:p w14:paraId="14ACC2F1" w14:textId="77777777" w:rsidR="00D3344B" w:rsidRDefault="00143C25">
            <w:pPr>
              <w:widowControl w:val="0"/>
              <w:spacing w:after="0"/>
              <w:jc w:val="both"/>
              <w:rPr>
                <w:rFonts w:ascii="Arial" w:hAnsi="Arial" w:cs="Arial"/>
              </w:rPr>
            </w:pPr>
            <w:r>
              <w:rPr>
                <w:rFonts w:ascii="Arial" w:hAnsi="Arial" w:cs="Arial"/>
              </w:rPr>
              <w:t xml:space="preserve">c) De mayores de edad hasta los sesenta años cumplidos. </w:t>
            </w:r>
          </w:p>
        </w:tc>
        <w:tc>
          <w:tcPr>
            <w:tcW w:w="2340" w:type="dxa"/>
          </w:tcPr>
          <w:p w14:paraId="42BF4B8D" w14:textId="77777777" w:rsidR="00D3344B" w:rsidRDefault="00D3344B">
            <w:pPr>
              <w:widowControl w:val="0"/>
              <w:spacing w:after="0" w:line="235" w:lineRule="auto"/>
              <w:ind w:left="233" w:hanging="205"/>
              <w:rPr>
                <w:rFonts w:ascii="Arial" w:hAnsi="Arial" w:cs="Arial"/>
              </w:rPr>
            </w:pPr>
          </w:p>
          <w:p w14:paraId="3FC23C4F" w14:textId="77777777" w:rsidR="00D3344B" w:rsidRDefault="00143C25">
            <w:pPr>
              <w:widowControl w:val="0"/>
              <w:spacing w:after="0" w:line="235" w:lineRule="auto"/>
              <w:ind w:left="233" w:hanging="205"/>
              <w:rPr>
                <w:rFonts w:ascii="Arial" w:hAnsi="Arial" w:cs="Arial"/>
              </w:rPr>
            </w:pPr>
            <w:r>
              <w:rPr>
                <w:rFonts w:ascii="Arial" w:hAnsi="Arial" w:cs="Arial"/>
              </w:rPr>
              <w:t>7 UMA</w:t>
            </w:r>
            <w:r>
              <w:rPr>
                <w:rFonts w:ascii="Arial" w:hAnsi="Arial" w:cs="Arial"/>
                <w:b/>
              </w:rPr>
              <w:t xml:space="preserve"> </w:t>
            </w:r>
          </w:p>
          <w:p w14:paraId="1990859B" w14:textId="77777777" w:rsidR="00D3344B" w:rsidRDefault="00D3344B">
            <w:pPr>
              <w:widowControl w:val="0"/>
              <w:spacing w:after="0"/>
              <w:jc w:val="both"/>
              <w:rPr>
                <w:rFonts w:ascii="Arial" w:hAnsi="Arial" w:cs="Arial"/>
              </w:rPr>
            </w:pPr>
          </w:p>
        </w:tc>
      </w:tr>
      <w:tr w:rsidR="00D3344B" w14:paraId="0BB63872" w14:textId="77777777">
        <w:trPr>
          <w:trHeight w:val="849"/>
        </w:trPr>
        <w:tc>
          <w:tcPr>
            <w:tcW w:w="704" w:type="dxa"/>
          </w:tcPr>
          <w:p w14:paraId="507643FF" w14:textId="77777777" w:rsidR="00D3344B" w:rsidRDefault="00D3344B">
            <w:pPr>
              <w:widowControl w:val="0"/>
              <w:jc w:val="both"/>
              <w:rPr>
                <w:rFonts w:ascii="Arial" w:hAnsi="Arial" w:cs="Arial"/>
              </w:rPr>
            </w:pPr>
          </w:p>
        </w:tc>
        <w:tc>
          <w:tcPr>
            <w:tcW w:w="5670" w:type="dxa"/>
          </w:tcPr>
          <w:p w14:paraId="641B62D4" w14:textId="77777777" w:rsidR="00D3344B" w:rsidRDefault="00143C25">
            <w:pPr>
              <w:widowControl w:val="0"/>
              <w:jc w:val="both"/>
              <w:rPr>
                <w:rFonts w:ascii="Arial" w:hAnsi="Arial" w:cs="Arial"/>
              </w:rPr>
            </w:pPr>
            <w:r>
              <w:rPr>
                <w:rFonts w:ascii="Arial" w:hAnsi="Arial" w:cs="Arial"/>
              </w:rPr>
              <w:t>d) De mayores de sesenta años.</w:t>
            </w:r>
          </w:p>
        </w:tc>
        <w:tc>
          <w:tcPr>
            <w:tcW w:w="2340" w:type="dxa"/>
          </w:tcPr>
          <w:p w14:paraId="09AB4D04" w14:textId="77777777" w:rsidR="00D3344B" w:rsidRDefault="00143C25">
            <w:pPr>
              <w:widowControl w:val="0"/>
              <w:jc w:val="both"/>
              <w:rPr>
                <w:rFonts w:ascii="Arial" w:hAnsi="Arial" w:cs="Arial"/>
              </w:rPr>
            </w:pPr>
            <w:r>
              <w:rPr>
                <w:rFonts w:ascii="Arial" w:hAnsi="Arial" w:cs="Arial"/>
                <w:b/>
              </w:rPr>
              <w:t>3 UMA</w:t>
            </w:r>
          </w:p>
        </w:tc>
      </w:tr>
      <w:tr w:rsidR="00D3344B" w14:paraId="61EEB995" w14:textId="77777777">
        <w:trPr>
          <w:trHeight w:val="432"/>
        </w:trPr>
        <w:tc>
          <w:tcPr>
            <w:tcW w:w="704" w:type="dxa"/>
          </w:tcPr>
          <w:p w14:paraId="68A02469" w14:textId="77777777" w:rsidR="00D3344B" w:rsidRDefault="00D3344B">
            <w:pPr>
              <w:widowControl w:val="0"/>
              <w:jc w:val="both"/>
              <w:rPr>
                <w:rFonts w:ascii="Arial" w:hAnsi="Arial" w:cs="Arial"/>
              </w:rPr>
            </w:pPr>
          </w:p>
        </w:tc>
        <w:tc>
          <w:tcPr>
            <w:tcW w:w="5670" w:type="dxa"/>
            <w:vAlign w:val="bottom"/>
          </w:tcPr>
          <w:p w14:paraId="62A1B66B"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70E024BF" w14:textId="77777777" w:rsidR="00D3344B" w:rsidRDefault="00D3344B">
            <w:pPr>
              <w:widowControl w:val="0"/>
              <w:jc w:val="both"/>
              <w:rPr>
                <w:rFonts w:ascii="Arial" w:hAnsi="Arial" w:cs="Arial"/>
                <w:b/>
              </w:rPr>
            </w:pPr>
          </w:p>
        </w:tc>
      </w:tr>
      <w:tr w:rsidR="00D3344B" w14:paraId="1A664BB3" w14:textId="77777777">
        <w:tc>
          <w:tcPr>
            <w:tcW w:w="704" w:type="dxa"/>
          </w:tcPr>
          <w:p w14:paraId="1E526F42" w14:textId="77777777" w:rsidR="00D3344B" w:rsidRDefault="00143C25">
            <w:pPr>
              <w:widowControl w:val="0"/>
              <w:jc w:val="both"/>
              <w:rPr>
                <w:rFonts w:ascii="Arial" w:hAnsi="Arial" w:cs="Arial"/>
              </w:rPr>
            </w:pPr>
            <w:r>
              <w:rPr>
                <w:rFonts w:ascii="Arial" w:hAnsi="Arial" w:cs="Arial"/>
              </w:rPr>
              <w:t>VIII.</w:t>
            </w:r>
          </w:p>
        </w:tc>
        <w:tc>
          <w:tcPr>
            <w:tcW w:w="5670" w:type="dxa"/>
          </w:tcPr>
          <w:p w14:paraId="5B83008E" w14:textId="77777777" w:rsidR="00D3344B" w:rsidRDefault="00143C25">
            <w:pPr>
              <w:widowControl w:val="0"/>
              <w:jc w:val="both"/>
              <w:rPr>
                <w:rFonts w:ascii="Arial" w:hAnsi="Arial" w:cs="Arial"/>
              </w:rPr>
            </w:pPr>
            <w:r>
              <w:rPr>
                <w:rFonts w:ascii="Arial" w:hAnsi="Arial" w:cs="Arial"/>
              </w:rPr>
              <w:t>Por expedición de certificados de resolución de los procedimientos administrativos de aclaración de acta.</w:t>
            </w:r>
          </w:p>
        </w:tc>
        <w:tc>
          <w:tcPr>
            <w:tcW w:w="2340" w:type="dxa"/>
          </w:tcPr>
          <w:p w14:paraId="4BB92FA9" w14:textId="77777777" w:rsidR="00D3344B" w:rsidRDefault="00143C25">
            <w:pPr>
              <w:widowControl w:val="0"/>
              <w:jc w:val="both"/>
              <w:rPr>
                <w:rFonts w:ascii="Arial" w:hAnsi="Arial" w:cs="Arial"/>
              </w:rPr>
            </w:pPr>
            <w:r>
              <w:rPr>
                <w:rFonts w:ascii="Arial" w:hAnsi="Arial" w:cs="Arial"/>
                <w:b/>
              </w:rPr>
              <w:t>3 UMA</w:t>
            </w:r>
          </w:p>
        </w:tc>
      </w:tr>
      <w:tr w:rsidR="00D3344B" w14:paraId="0D479B24" w14:textId="77777777">
        <w:tc>
          <w:tcPr>
            <w:tcW w:w="704" w:type="dxa"/>
          </w:tcPr>
          <w:p w14:paraId="6172DBAE" w14:textId="77777777" w:rsidR="00D3344B" w:rsidRDefault="00D3344B">
            <w:pPr>
              <w:widowControl w:val="0"/>
              <w:jc w:val="both"/>
              <w:rPr>
                <w:rFonts w:ascii="Arial" w:hAnsi="Arial" w:cs="Arial"/>
              </w:rPr>
            </w:pPr>
          </w:p>
        </w:tc>
        <w:tc>
          <w:tcPr>
            <w:tcW w:w="5670" w:type="dxa"/>
            <w:vAlign w:val="bottom"/>
          </w:tcPr>
          <w:p w14:paraId="0E629142" w14:textId="77777777" w:rsidR="00D3344B" w:rsidRDefault="00143C25">
            <w:pPr>
              <w:widowControl w:val="0"/>
              <w:spacing w:after="0"/>
              <w:rPr>
                <w:rFonts w:ascii="Arial" w:hAnsi="Arial" w:cs="Arial"/>
              </w:rPr>
            </w:pPr>
            <w:r>
              <w:rPr>
                <w:rFonts w:ascii="Arial" w:hAnsi="Arial" w:cs="Arial"/>
                <w:i/>
                <w:sz w:val="16"/>
              </w:rPr>
              <w:t>(REFORMADA, P.O. 21 DE JUNIO DE 2021)</w:t>
            </w:r>
          </w:p>
        </w:tc>
        <w:tc>
          <w:tcPr>
            <w:tcW w:w="2340" w:type="dxa"/>
          </w:tcPr>
          <w:p w14:paraId="766B4BCB" w14:textId="77777777" w:rsidR="00D3344B" w:rsidRDefault="00D3344B">
            <w:pPr>
              <w:widowControl w:val="0"/>
              <w:jc w:val="both"/>
              <w:rPr>
                <w:rFonts w:ascii="Arial" w:hAnsi="Arial" w:cs="Arial"/>
                <w:b/>
              </w:rPr>
            </w:pPr>
          </w:p>
        </w:tc>
      </w:tr>
      <w:tr w:rsidR="00D3344B" w14:paraId="76ED2139" w14:textId="77777777">
        <w:trPr>
          <w:trHeight w:val="1328"/>
        </w:trPr>
        <w:tc>
          <w:tcPr>
            <w:tcW w:w="704" w:type="dxa"/>
          </w:tcPr>
          <w:p w14:paraId="0F17793E" w14:textId="77777777" w:rsidR="00D3344B" w:rsidRDefault="00143C25">
            <w:pPr>
              <w:widowControl w:val="0"/>
              <w:jc w:val="both"/>
              <w:rPr>
                <w:rFonts w:ascii="Arial" w:hAnsi="Arial" w:cs="Arial"/>
              </w:rPr>
            </w:pPr>
            <w:r>
              <w:rPr>
                <w:rFonts w:ascii="Arial" w:hAnsi="Arial" w:cs="Arial"/>
              </w:rPr>
              <w:lastRenderedPageBreak/>
              <w:t>IX.</w:t>
            </w:r>
          </w:p>
        </w:tc>
        <w:tc>
          <w:tcPr>
            <w:tcW w:w="5670" w:type="dxa"/>
          </w:tcPr>
          <w:p w14:paraId="1292E5BD" w14:textId="77777777" w:rsidR="00D3344B" w:rsidRDefault="00143C25">
            <w:pPr>
              <w:widowControl w:val="0"/>
              <w:jc w:val="both"/>
              <w:rPr>
                <w:rFonts w:ascii="Arial" w:hAnsi="Arial" w:cs="Arial"/>
              </w:rPr>
            </w:pPr>
            <w:r>
              <w:rPr>
                <w:rFonts w:ascii="Arial" w:hAnsi="Arial" w:cs="Arial"/>
              </w:rPr>
              <w:t>La anotación marginal que se haga en los libros copia del archivo del Registro Civil en el Estado, emanados de los actos administrativos, judiciales u otros, se cobrará de acuerdo a lo siguiente:</w:t>
            </w:r>
          </w:p>
        </w:tc>
        <w:tc>
          <w:tcPr>
            <w:tcW w:w="2340" w:type="dxa"/>
          </w:tcPr>
          <w:p w14:paraId="28844F90" w14:textId="77777777" w:rsidR="00D3344B" w:rsidRDefault="00D3344B">
            <w:pPr>
              <w:widowControl w:val="0"/>
              <w:jc w:val="both"/>
              <w:rPr>
                <w:rFonts w:ascii="Arial" w:hAnsi="Arial" w:cs="Arial"/>
              </w:rPr>
            </w:pPr>
          </w:p>
        </w:tc>
      </w:tr>
      <w:tr w:rsidR="00D3344B" w14:paraId="758A68CC" w14:textId="77777777">
        <w:trPr>
          <w:trHeight w:val="666"/>
        </w:trPr>
        <w:tc>
          <w:tcPr>
            <w:tcW w:w="704" w:type="dxa"/>
          </w:tcPr>
          <w:p w14:paraId="022086B7" w14:textId="77777777" w:rsidR="00D3344B" w:rsidRDefault="00D3344B">
            <w:pPr>
              <w:widowControl w:val="0"/>
              <w:jc w:val="both"/>
              <w:rPr>
                <w:rFonts w:ascii="Arial" w:hAnsi="Arial" w:cs="Arial"/>
              </w:rPr>
            </w:pPr>
          </w:p>
        </w:tc>
        <w:tc>
          <w:tcPr>
            <w:tcW w:w="5670" w:type="dxa"/>
          </w:tcPr>
          <w:p w14:paraId="34DCC976" w14:textId="77777777" w:rsidR="00D3344B" w:rsidRDefault="00143C25">
            <w:pPr>
              <w:widowControl w:val="0"/>
              <w:jc w:val="both"/>
              <w:rPr>
                <w:rFonts w:ascii="Arial" w:hAnsi="Arial" w:cs="Arial"/>
              </w:rPr>
            </w:pPr>
            <w:r>
              <w:rPr>
                <w:rFonts w:ascii="Arial" w:hAnsi="Arial" w:cs="Arial"/>
              </w:rPr>
              <w:t xml:space="preserve">a) En actas de nacimiento. </w:t>
            </w:r>
          </w:p>
        </w:tc>
        <w:tc>
          <w:tcPr>
            <w:tcW w:w="2340" w:type="dxa"/>
          </w:tcPr>
          <w:p w14:paraId="15298971" w14:textId="77777777" w:rsidR="00D3344B" w:rsidRDefault="00143C25">
            <w:pPr>
              <w:widowControl w:val="0"/>
              <w:jc w:val="both"/>
              <w:rPr>
                <w:rFonts w:ascii="Arial" w:hAnsi="Arial" w:cs="Arial"/>
              </w:rPr>
            </w:pPr>
            <w:r>
              <w:rPr>
                <w:rFonts w:ascii="Arial" w:hAnsi="Arial" w:cs="Arial"/>
                <w:b/>
              </w:rPr>
              <w:t>2 UMA</w:t>
            </w:r>
          </w:p>
        </w:tc>
      </w:tr>
      <w:tr w:rsidR="00D3344B" w14:paraId="014EDC15" w14:textId="77777777">
        <w:trPr>
          <w:trHeight w:val="720"/>
        </w:trPr>
        <w:tc>
          <w:tcPr>
            <w:tcW w:w="704" w:type="dxa"/>
          </w:tcPr>
          <w:p w14:paraId="59E35584" w14:textId="77777777" w:rsidR="00D3344B" w:rsidRDefault="00D3344B">
            <w:pPr>
              <w:widowControl w:val="0"/>
              <w:jc w:val="both"/>
              <w:rPr>
                <w:rFonts w:ascii="Arial" w:hAnsi="Arial" w:cs="Arial"/>
              </w:rPr>
            </w:pPr>
          </w:p>
        </w:tc>
        <w:tc>
          <w:tcPr>
            <w:tcW w:w="5670" w:type="dxa"/>
          </w:tcPr>
          <w:p w14:paraId="01548917" w14:textId="77777777" w:rsidR="00D3344B" w:rsidRDefault="00143C25">
            <w:pPr>
              <w:widowControl w:val="0"/>
              <w:jc w:val="both"/>
              <w:rPr>
                <w:rFonts w:ascii="Arial" w:hAnsi="Arial" w:cs="Arial"/>
              </w:rPr>
            </w:pPr>
            <w:r>
              <w:rPr>
                <w:rFonts w:ascii="Arial" w:hAnsi="Arial" w:cs="Arial"/>
              </w:rPr>
              <w:t xml:space="preserve">b) En actas de adopción. </w:t>
            </w:r>
          </w:p>
        </w:tc>
        <w:tc>
          <w:tcPr>
            <w:tcW w:w="2340" w:type="dxa"/>
          </w:tcPr>
          <w:p w14:paraId="231BEC8F" w14:textId="77777777" w:rsidR="00D3344B" w:rsidRDefault="00143C25">
            <w:pPr>
              <w:widowControl w:val="0"/>
              <w:jc w:val="both"/>
              <w:rPr>
                <w:rFonts w:ascii="Arial" w:hAnsi="Arial" w:cs="Arial"/>
              </w:rPr>
            </w:pPr>
            <w:r>
              <w:rPr>
                <w:rFonts w:ascii="Arial" w:hAnsi="Arial" w:cs="Arial"/>
                <w:b/>
              </w:rPr>
              <w:t>4 UMA</w:t>
            </w:r>
          </w:p>
        </w:tc>
      </w:tr>
      <w:tr w:rsidR="00D3344B" w14:paraId="4D9A1E51" w14:textId="77777777">
        <w:trPr>
          <w:trHeight w:val="775"/>
        </w:trPr>
        <w:tc>
          <w:tcPr>
            <w:tcW w:w="704" w:type="dxa"/>
          </w:tcPr>
          <w:p w14:paraId="495DBE19" w14:textId="77777777" w:rsidR="00D3344B" w:rsidRDefault="00D3344B">
            <w:pPr>
              <w:widowControl w:val="0"/>
              <w:jc w:val="both"/>
              <w:rPr>
                <w:rFonts w:ascii="Arial" w:hAnsi="Arial" w:cs="Arial"/>
              </w:rPr>
            </w:pPr>
          </w:p>
        </w:tc>
        <w:tc>
          <w:tcPr>
            <w:tcW w:w="5670" w:type="dxa"/>
          </w:tcPr>
          <w:p w14:paraId="2C52AA93" w14:textId="77777777" w:rsidR="00D3344B" w:rsidRDefault="00143C25">
            <w:pPr>
              <w:widowControl w:val="0"/>
              <w:jc w:val="both"/>
              <w:rPr>
                <w:rFonts w:ascii="Arial" w:hAnsi="Arial" w:cs="Arial"/>
              </w:rPr>
            </w:pPr>
            <w:r>
              <w:rPr>
                <w:rFonts w:ascii="Arial" w:hAnsi="Arial" w:cs="Arial"/>
              </w:rPr>
              <w:t xml:space="preserve">c) En actas de matrimonio. </w:t>
            </w:r>
          </w:p>
        </w:tc>
        <w:tc>
          <w:tcPr>
            <w:tcW w:w="2340" w:type="dxa"/>
          </w:tcPr>
          <w:p w14:paraId="7A669CCB" w14:textId="77777777" w:rsidR="00D3344B" w:rsidRDefault="00143C25">
            <w:pPr>
              <w:widowControl w:val="0"/>
              <w:jc w:val="both"/>
              <w:rPr>
                <w:rFonts w:ascii="Arial" w:hAnsi="Arial" w:cs="Arial"/>
              </w:rPr>
            </w:pPr>
            <w:r>
              <w:rPr>
                <w:rFonts w:ascii="Arial" w:hAnsi="Arial" w:cs="Arial"/>
                <w:b/>
              </w:rPr>
              <w:t>5 UMA</w:t>
            </w:r>
          </w:p>
        </w:tc>
      </w:tr>
      <w:tr w:rsidR="00D3344B" w14:paraId="6E0C2372" w14:textId="77777777">
        <w:trPr>
          <w:trHeight w:val="700"/>
        </w:trPr>
        <w:tc>
          <w:tcPr>
            <w:tcW w:w="704" w:type="dxa"/>
          </w:tcPr>
          <w:p w14:paraId="2C89EBF5" w14:textId="77777777" w:rsidR="00D3344B" w:rsidRDefault="00D3344B">
            <w:pPr>
              <w:widowControl w:val="0"/>
              <w:jc w:val="both"/>
              <w:rPr>
                <w:rFonts w:ascii="Arial" w:hAnsi="Arial" w:cs="Arial"/>
              </w:rPr>
            </w:pPr>
          </w:p>
        </w:tc>
        <w:tc>
          <w:tcPr>
            <w:tcW w:w="5670" w:type="dxa"/>
          </w:tcPr>
          <w:p w14:paraId="422DEA60" w14:textId="77777777" w:rsidR="00D3344B" w:rsidRDefault="00143C25">
            <w:pPr>
              <w:widowControl w:val="0"/>
              <w:jc w:val="both"/>
              <w:rPr>
                <w:rFonts w:ascii="Arial" w:hAnsi="Arial" w:cs="Arial"/>
              </w:rPr>
            </w:pPr>
            <w:r>
              <w:rPr>
                <w:rFonts w:ascii="Arial" w:hAnsi="Arial" w:cs="Arial"/>
              </w:rPr>
              <w:t xml:space="preserve">d) En actas de divorcio. </w:t>
            </w:r>
          </w:p>
        </w:tc>
        <w:tc>
          <w:tcPr>
            <w:tcW w:w="2340" w:type="dxa"/>
          </w:tcPr>
          <w:p w14:paraId="76852C94" w14:textId="77777777" w:rsidR="00D3344B" w:rsidRDefault="00143C25">
            <w:pPr>
              <w:widowControl w:val="0"/>
              <w:jc w:val="both"/>
              <w:rPr>
                <w:rFonts w:ascii="Arial" w:hAnsi="Arial" w:cs="Arial"/>
              </w:rPr>
            </w:pPr>
            <w:r>
              <w:rPr>
                <w:rFonts w:ascii="Arial" w:hAnsi="Arial" w:cs="Arial"/>
                <w:b/>
              </w:rPr>
              <w:t>10.5 UMA</w:t>
            </w:r>
          </w:p>
        </w:tc>
      </w:tr>
      <w:tr w:rsidR="00D3344B" w14:paraId="148C82F2" w14:textId="77777777">
        <w:trPr>
          <w:trHeight w:val="700"/>
        </w:trPr>
        <w:tc>
          <w:tcPr>
            <w:tcW w:w="704" w:type="dxa"/>
          </w:tcPr>
          <w:p w14:paraId="62B8CC04" w14:textId="77777777" w:rsidR="00D3344B" w:rsidRDefault="00D3344B">
            <w:pPr>
              <w:widowControl w:val="0"/>
              <w:jc w:val="both"/>
              <w:rPr>
                <w:rFonts w:ascii="Arial" w:hAnsi="Arial" w:cs="Arial"/>
              </w:rPr>
            </w:pPr>
          </w:p>
        </w:tc>
        <w:tc>
          <w:tcPr>
            <w:tcW w:w="5670" w:type="dxa"/>
          </w:tcPr>
          <w:p w14:paraId="66779C2E" w14:textId="77777777" w:rsidR="00D3344B" w:rsidRDefault="00143C25">
            <w:pPr>
              <w:widowControl w:val="0"/>
              <w:spacing w:after="137" w:line="259" w:lineRule="auto"/>
              <w:rPr>
                <w:rFonts w:ascii="Arial" w:hAnsi="Arial" w:cs="Arial"/>
              </w:rPr>
            </w:pPr>
            <w:r>
              <w:rPr>
                <w:rFonts w:ascii="Arial" w:hAnsi="Arial" w:cs="Arial"/>
              </w:rPr>
              <w:t xml:space="preserve">e) En actas de defunción. </w:t>
            </w:r>
          </w:p>
          <w:p w14:paraId="15AF6BAD" w14:textId="77777777" w:rsidR="00D3344B" w:rsidRDefault="00D3344B">
            <w:pPr>
              <w:widowControl w:val="0"/>
              <w:spacing w:after="0"/>
              <w:rPr>
                <w:rFonts w:ascii="Arial" w:hAnsi="Arial" w:cs="Arial"/>
                <w:i/>
                <w:sz w:val="16"/>
                <w:szCs w:val="16"/>
              </w:rPr>
            </w:pPr>
          </w:p>
        </w:tc>
        <w:tc>
          <w:tcPr>
            <w:tcW w:w="2340" w:type="dxa"/>
          </w:tcPr>
          <w:p w14:paraId="05C292F5" w14:textId="77777777" w:rsidR="00D3344B" w:rsidRDefault="00143C25">
            <w:pPr>
              <w:widowControl w:val="0"/>
              <w:jc w:val="both"/>
              <w:rPr>
                <w:rFonts w:ascii="Arial" w:hAnsi="Arial" w:cs="Arial"/>
              </w:rPr>
            </w:pPr>
            <w:r>
              <w:rPr>
                <w:rFonts w:ascii="Arial" w:hAnsi="Arial" w:cs="Arial"/>
                <w:b/>
              </w:rPr>
              <w:t>5 UMA</w:t>
            </w:r>
          </w:p>
        </w:tc>
      </w:tr>
      <w:tr w:rsidR="00D3344B" w14:paraId="3E050213" w14:textId="77777777">
        <w:trPr>
          <w:trHeight w:val="700"/>
        </w:trPr>
        <w:tc>
          <w:tcPr>
            <w:tcW w:w="704" w:type="dxa"/>
          </w:tcPr>
          <w:p w14:paraId="6D882B65" w14:textId="77777777" w:rsidR="00D3344B" w:rsidRDefault="00D3344B">
            <w:pPr>
              <w:widowControl w:val="0"/>
              <w:jc w:val="both"/>
              <w:rPr>
                <w:rFonts w:ascii="Arial" w:hAnsi="Arial" w:cs="Arial"/>
              </w:rPr>
            </w:pPr>
          </w:p>
        </w:tc>
        <w:tc>
          <w:tcPr>
            <w:tcW w:w="5670" w:type="dxa"/>
            <w:vAlign w:val="bottom"/>
          </w:tcPr>
          <w:p w14:paraId="1BF5A559" w14:textId="77777777" w:rsidR="00D3344B" w:rsidRDefault="00143C25">
            <w:pPr>
              <w:widowControl w:val="0"/>
              <w:spacing w:after="0"/>
              <w:rPr>
                <w:rFonts w:ascii="Arial" w:hAnsi="Arial" w:cs="Arial"/>
                <w:i/>
                <w:sz w:val="16"/>
                <w:szCs w:val="16"/>
              </w:rPr>
            </w:pPr>
            <w:r>
              <w:rPr>
                <w:rFonts w:ascii="Arial" w:hAnsi="Arial" w:cs="Arial"/>
                <w:i/>
                <w:sz w:val="16"/>
              </w:rPr>
              <w:t>(REFORMADA, P.O. 21 DE JUNIO DE 2021)</w:t>
            </w:r>
          </w:p>
        </w:tc>
        <w:tc>
          <w:tcPr>
            <w:tcW w:w="2340" w:type="dxa"/>
          </w:tcPr>
          <w:p w14:paraId="39D51149" w14:textId="77777777" w:rsidR="00D3344B" w:rsidRDefault="00D3344B">
            <w:pPr>
              <w:widowControl w:val="0"/>
              <w:jc w:val="both"/>
              <w:rPr>
                <w:rFonts w:ascii="Arial" w:hAnsi="Arial" w:cs="Arial"/>
              </w:rPr>
            </w:pPr>
          </w:p>
        </w:tc>
      </w:tr>
      <w:tr w:rsidR="00D3344B" w14:paraId="2F409293" w14:textId="77777777">
        <w:trPr>
          <w:trHeight w:val="379"/>
        </w:trPr>
        <w:tc>
          <w:tcPr>
            <w:tcW w:w="704" w:type="dxa"/>
          </w:tcPr>
          <w:p w14:paraId="612D6399" w14:textId="77777777" w:rsidR="00D3344B" w:rsidRDefault="00143C25">
            <w:pPr>
              <w:widowControl w:val="0"/>
              <w:jc w:val="both"/>
              <w:rPr>
                <w:rFonts w:ascii="Arial" w:hAnsi="Arial" w:cs="Arial"/>
              </w:rPr>
            </w:pPr>
            <w:r>
              <w:rPr>
                <w:rFonts w:ascii="Arial" w:hAnsi="Arial" w:cs="Arial"/>
              </w:rPr>
              <w:t>X.</w:t>
            </w:r>
          </w:p>
        </w:tc>
        <w:tc>
          <w:tcPr>
            <w:tcW w:w="5670" w:type="dxa"/>
          </w:tcPr>
          <w:p w14:paraId="2552D67A" w14:textId="77777777" w:rsidR="00D3344B" w:rsidRDefault="00143C25">
            <w:pPr>
              <w:widowControl w:val="0"/>
              <w:jc w:val="both"/>
              <w:rPr>
                <w:rFonts w:ascii="Arial" w:hAnsi="Arial" w:cs="Arial"/>
              </w:rPr>
            </w:pPr>
            <w:r>
              <w:rPr>
                <w:rFonts w:ascii="Arial" w:hAnsi="Arial" w:cs="Arial"/>
              </w:rPr>
              <w:t>Por inscripción, traslado y registro de actas de:</w:t>
            </w:r>
          </w:p>
        </w:tc>
        <w:tc>
          <w:tcPr>
            <w:tcW w:w="2340" w:type="dxa"/>
          </w:tcPr>
          <w:p w14:paraId="75FABD64" w14:textId="77777777" w:rsidR="00D3344B" w:rsidRDefault="00D3344B">
            <w:pPr>
              <w:widowControl w:val="0"/>
              <w:jc w:val="both"/>
              <w:rPr>
                <w:rFonts w:ascii="Arial" w:hAnsi="Arial" w:cs="Arial"/>
              </w:rPr>
            </w:pPr>
          </w:p>
        </w:tc>
      </w:tr>
      <w:tr w:rsidR="00D3344B" w14:paraId="6558F2C7" w14:textId="77777777">
        <w:trPr>
          <w:trHeight w:val="739"/>
        </w:trPr>
        <w:tc>
          <w:tcPr>
            <w:tcW w:w="704" w:type="dxa"/>
          </w:tcPr>
          <w:p w14:paraId="5B43E4F2" w14:textId="77777777" w:rsidR="00D3344B" w:rsidRDefault="00D3344B">
            <w:pPr>
              <w:widowControl w:val="0"/>
              <w:jc w:val="both"/>
              <w:rPr>
                <w:rFonts w:ascii="Arial" w:hAnsi="Arial" w:cs="Arial"/>
              </w:rPr>
            </w:pPr>
          </w:p>
        </w:tc>
        <w:tc>
          <w:tcPr>
            <w:tcW w:w="5670" w:type="dxa"/>
          </w:tcPr>
          <w:p w14:paraId="56B3060F" w14:textId="77777777" w:rsidR="00D3344B" w:rsidRDefault="00143C25">
            <w:pPr>
              <w:widowControl w:val="0"/>
              <w:jc w:val="both"/>
              <w:rPr>
                <w:rFonts w:ascii="Arial" w:hAnsi="Arial" w:cs="Arial"/>
              </w:rPr>
            </w:pPr>
            <w:r>
              <w:rPr>
                <w:rFonts w:ascii="Arial" w:hAnsi="Arial" w:cs="Arial"/>
              </w:rPr>
              <w:t>a) Matrimonios celebrados en el extranjero.</w:t>
            </w:r>
          </w:p>
        </w:tc>
        <w:tc>
          <w:tcPr>
            <w:tcW w:w="2340" w:type="dxa"/>
          </w:tcPr>
          <w:p w14:paraId="2CFC47BD" w14:textId="77777777" w:rsidR="00D3344B" w:rsidRDefault="00143C25">
            <w:pPr>
              <w:widowControl w:val="0"/>
              <w:jc w:val="both"/>
              <w:rPr>
                <w:rFonts w:ascii="Arial" w:hAnsi="Arial" w:cs="Arial"/>
              </w:rPr>
            </w:pPr>
            <w:r>
              <w:rPr>
                <w:rFonts w:ascii="Arial" w:hAnsi="Arial" w:cs="Arial"/>
                <w:b/>
              </w:rPr>
              <w:t>21 UMA</w:t>
            </w:r>
          </w:p>
        </w:tc>
      </w:tr>
      <w:tr w:rsidR="00D3344B" w14:paraId="37F5DDF4" w14:textId="77777777">
        <w:trPr>
          <w:trHeight w:val="634"/>
        </w:trPr>
        <w:tc>
          <w:tcPr>
            <w:tcW w:w="704" w:type="dxa"/>
          </w:tcPr>
          <w:p w14:paraId="2066A352" w14:textId="77777777" w:rsidR="00D3344B" w:rsidRDefault="00D3344B">
            <w:pPr>
              <w:widowControl w:val="0"/>
              <w:jc w:val="both"/>
              <w:rPr>
                <w:rFonts w:ascii="Arial" w:hAnsi="Arial" w:cs="Arial"/>
              </w:rPr>
            </w:pPr>
          </w:p>
        </w:tc>
        <w:tc>
          <w:tcPr>
            <w:tcW w:w="5670" w:type="dxa"/>
          </w:tcPr>
          <w:p w14:paraId="1C945144" w14:textId="77777777" w:rsidR="00D3344B" w:rsidRDefault="00143C25">
            <w:pPr>
              <w:widowControl w:val="0"/>
              <w:spacing w:after="718" w:line="259" w:lineRule="auto"/>
              <w:rPr>
                <w:rFonts w:ascii="Arial" w:hAnsi="Arial" w:cs="Arial"/>
              </w:rPr>
            </w:pPr>
            <w:r>
              <w:rPr>
                <w:rFonts w:ascii="Arial" w:hAnsi="Arial" w:cs="Arial"/>
              </w:rPr>
              <w:t xml:space="preserve">b) </w:t>
            </w:r>
            <w:r>
              <w:rPr>
                <w:rFonts w:ascii="Arial" w:hAnsi="Arial" w:cs="Arial"/>
                <w:b/>
              </w:rPr>
              <w:t xml:space="preserve">Nacimientos y </w:t>
            </w:r>
            <w:r>
              <w:rPr>
                <w:rFonts w:ascii="Arial" w:hAnsi="Arial" w:cs="Arial"/>
              </w:rPr>
              <w:t xml:space="preserve">Defunciones levantados en el extranjero. </w:t>
            </w:r>
          </w:p>
        </w:tc>
        <w:tc>
          <w:tcPr>
            <w:tcW w:w="2340" w:type="dxa"/>
          </w:tcPr>
          <w:p w14:paraId="00FE5454" w14:textId="77777777" w:rsidR="00D3344B" w:rsidRDefault="00143C25">
            <w:pPr>
              <w:widowControl w:val="0"/>
              <w:jc w:val="both"/>
              <w:rPr>
                <w:rFonts w:ascii="Arial" w:hAnsi="Arial" w:cs="Arial"/>
              </w:rPr>
            </w:pPr>
            <w:r>
              <w:rPr>
                <w:rFonts w:ascii="Arial" w:hAnsi="Arial" w:cs="Arial"/>
                <w:b/>
              </w:rPr>
              <w:t>5 UMA</w:t>
            </w:r>
          </w:p>
        </w:tc>
      </w:tr>
      <w:tr w:rsidR="00D3344B" w14:paraId="308E07CE" w14:textId="77777777">
        <w:trPr>
          <w:trHeight w:val="567"/>
        </w:trPr>
        <w:tc>
          <w:tcPr>
            <w:tcW w:w="704" w:type="dxa"/>
          </w:tcPr>
          <w:p w14:paraId="6E509F66" w14:textId="77777777" w:rsidR="00D3344B" w:rsidRDefault="00143C25">
            <w:pPr>
              <w:widowControl w:val="0"/>
              <w:jc w:val="both"/>
              <w:rPr>
                <w:rFonts w:ascii="Arial" w:hAnsi="Arial" w:cs="Arial"/>
              </w:rPr>
            </w:pPr>
            <w:r>
              <w:rPr>
                <w:rFonts w:ascii="Arial" w:hAnsi="Arial" w:cs="Arial"/>
              </w:rPr>
              <w:t>XI.</w:t>
            </w:r>
          </w:p>
        </w:tc>
        <w:tc>
          <w:tcPr>
            <w:tcW w:w="5670" w:type="dxa"/>
          </w:tcPr>
          <w:p w14:paraId="25FFF57B" w14:textId="77777777" w:rsidR="00D3344B" w:rsidRDefault="00143C25">
            <w:pPr>
              <w:widowControl w:val="0"/>
              <w:jc w:val="both"/>
              <w:rPr>
                <w:rFonts w:ascii="Arial" w:hAnsi="Arial" w:cs="Arial"/>
              </w:rPr>
            </w:pPr>
            <w:r>
              <w:rPr>
                <w:rFonts w:ascii="Arial" w:hAnsi="Arial" w:cs="Arial"/>
              </w:rPr>
              <w:t>Por otros actos del registro civil:</w:t>
            </w:r>
          </w:p>
        </w:tc>
        <w:tc>
          <w:tcPr>
            <w:tcW w:w="2340" w:type="dxa"/>
          </w:tcPr>
          <w:p w14:paraId="67793909" w14:textId="77777777" w:rsidR="00D3344B" w:rsidRDefault="00D3344B">
            <w:pPr>
              <w:widowControl w:val="0"/>
              <w:jc w:val="both"/>
              <w:rPr>
                <w:rFonts w:ascii="Arial" w:hAnsi="Arial" w:cs="Arial"/>
              </w:rPr>
            </w:pPr>
          </w:p>
        </w:tc>
      </w:tr>
      <w:tr w:rsidR="00D3344B" w14:paraId="01D5EEA5" w14:textId="77777777">
        <w:trPr>
          <w:trHeight w:val="567"/>
        </w:trPr>
        <w:tc>
          <w:tcPr>
            <w:tcW w:w="704" w:type="dxa"/>
          </w:tcPr>
          <w:p w14:paraId="53CE3523" w14:textId="77777777" w:rsidR="00D3344B" w:rsidRDefault="00D3344B">
            <w:pPr>
              <w:widowControl w:val="0"/>
              <w:spacing w:after="0"/>
              <w:jc w:val="both"/>
              <w:rPr>
                <w:rFonts w:ascii="Arial" w:hAnsi="Arial" w:cs="Arial"/>
              </w:rPr>
            </w:pPr>
          </w:p>
        </w:tc>
        <w:tc>
          <w:tcPr>
            <w:tcW w:w="5670" w:type="dxa"/>
            <w:vAlign w:val="bottom"/>
          </w:tcPr>
          <w:p w14:paraId="28D96E9C" w14:textId="77777777" w:rsidR="00D3344B" w:rsidRDefault="00143C25">
            <w:pPr>
              <w:widowControl w:val="0"/>
              <w:spacing w:after="0"/>
              <w:rPr>
                <w:rFonts w:ascii="Arial" w:hAnsi="Arial" w:cs="Arial"/>
              </w:rPr>
            </w:pPr>
            <w:r>
              <w:rPr>
                <w:rFonts w:ascii="Arial" w:hAnsi="Arial" w:cs="Arial"/>
                <w:i/>
                <w:sz w:val="16"/>
              </w:rPr>
              <w:t>(REFORMADO, P.O. 21 DE JUNIO DE 2021)</w:t>
            </w:r>
          </w:p>
        </w:tc>
        <w:tc>
          <w:tcPr>
            <w:tcW w:w="2340" w:type="dxa"/>
          </w:tcPr>
          <w:p w14:paraId="387529EB" w14:textId="77777777" w:rsidR="00D3344B" w:rsidRDefault="00D3344B">
            <w:pPr>
              <w:widowControl w:val="0"/>
              <w:spacing w:after="0"/>
              <w:jc w:val="both"/>
              <w:rPr>
                <w:rFonts w:ascii="Arial" w:hAnsi="Arial" w:cs="Arial"/>
              </w:rPr>
            </w:pPr>
          </w:p>
        </w:tc>
      </w:tr>
      <w:tr w:rsidR="00D3344B" w14:paraId="0DCF2EF4" w14:textId="77777777">
        <w:trPr>
          <w:trHeight w:val="283"/>
        </w:trPr>
        <w:tc>
          <w:tcPr>
            <w:tcW w:w="704" w:type="dxa"/>
          </w:tcPr>
          <w:p w14:paraId="0730F45B" w14:textId="77777777" w:rsidR="00D3344B" w:rsidRDefault="00D3344B">
            <w:pPr>
              <w:widowControl w:val="0"/>
              <w:jc w:val="both"/>
              <w:rPr>
                <w:rFonts w:ascii="Arial" w:hAnsi="Arial" w:cs="Arial"/>
              </w:rPr>
            </w:pPr>
          </w:p>
        </w:tc>
        <w:tc>
          <w:tcPr>
            <w:tcW w:w="5670" w:type="dxa"/>
          </w:tcPr>
          <w:p w14:paraId="7C1AF450" w14:textId="77777777" w:rsidR="00D3344B" w:rsidRDefault="00143C25">
            <w:pPr>
              <w:widowControl w:val="0"/>
              <w:jc w:val="both"/>
              <w:rPr>
                <w:rFonts w:ascii="Arial" w:hAnsi="Arial" w:cs="Arial"/>
              </w:rPr>
            </w:pPr>
            <w:r>
              <w:rPr>
                <w:rFonts w:ascii="Arial" w:hAnsi="Arial" w:cs="Arial"/>
              </w:rPr>
              <w:t xml:space="preserve">a) Por la celebración de matrimonio </w:t>
            </w:r>
            <w:r>
              <w:rPr>
                <w:rFonts w:ascii="Arial" w:hAnsi="Arial" w:cs="Arial"/>
                <w:b/>
              </w:rPr>
              <w:t>o sociedad de convivencia solidaria</w:t>
            </w:r>
            <w:r>
              <w:rPr>
                <w:rFonts w:ascii="Arial" w:hAnsi="Arial" w:cs="Arial"/>
              </w:rPr>
              <w:t>.</w:t>
            </w:r>
          </w:p>
        </w:tc>
        <w:tc>
          <w:tcPr>
            <w:tcW w:w="2340" w:type="dxa"/>
          </w:tcPr>
          <w:p w14:paraId="311BAD2C" w14:textId="77777777" w:rsidR="00D3344B" w:rsidRDefault="00D3344B">
            <w:pPr>
              <w:widowControl w:val="0"/>
              <w:jc w:val="both"/>
              <w:rPr>
                <w:rFonts w:ascii="Arial" w:hAnsi="Arial" w:cs="Arial"/>
              </w:rPr>
            </w:pPr>
          </w:p>
        </w:tc>
      </w:tr>
      <w:tr w:rsidR="00D3344B" w14:paraId="37D254B2" w14:textId="77777777">
        <w:trPr>
          <w:trHeight w:val="758"/>
        </w:trPr>
        <w:tc>
          <w:tcPr>
            <w:tcW w:w="704" w:type="dxa"/>
          </w:tcPr>
          <w:p w14:paraId="6049026F" w14:textId="77777777" w:rsidR="00D3344B" w:rsidRDefault="00D3344B">
            <w:pPr>
              <w:widowControl w:val="0"/>
              <w:jc w:val="both"/>
              <w:rPr>
                <w:rFonts w:ascii="Arial" w:hAnsi="Arial" w:cs="Arial"/>
              </w:rPr>
            </w:pPr>
          </w:p>
        </w:tc>
        <w:tc>
          <w:tcPr>
            <w:tcW w:w="5670" w:type="dxa"/>
          </w:tcPr>
          <w:p w14:paraId="6BEF3436" w14:textId="77777777" w:rsidR="00D3344B" w:rsidRDefault="00143C25">
            <w:pPr>
              <w:widowControl w:val="0"/>
              <w:jc w:val="both"/>
              <w:rPr>
                <w:rFonts w:ascii="Arial" w:hAnsi="Arial" w:cs="Arial"/>
              </w:rPr>
            </w:pPr>
            <w:r>
              <w:rPr>
                <w:rFonts w:ascii="Arial" w:hAnsi="Arial" w:cs="Arial"/>
              </w:rPr>
              <w:t>1. En oficinas en días y horas hábiles</w:t>
            </w:r>
          </w:p>
        </w:tc>
        <w:tc>
          <w:tcPr>
            <w:tcW w:w="2340" w:type="dxa"/>
          </w:tcPr>
          <w:p w14:paraId="52B2FE4B" w14:textId="77777777" w:rsidR="00D3344B" w:rsidRDefault="00143C25">
            <w:pPr>
              <w:widowControl w:val="0"/>
              <w:jc w:val="both"/>
              <w:rPr>
                <w:rFonts w:ascii="Arial" w:hAnsi="Arial" w:cs="Arial"/>
              </w:rPr>
            </w:pPr>
            <w:r>
              <w:rPr>
                <w:rFonts w:ascii="Arial" w:hAnsi="Arial" w:cs="Arial"/>
                <w:b/>
              </w:rPr>
              <w:t>3.5 UMA</w:t>
            </w:r>
          </w:p>
        </w:tc>
      </w:tr>
      <w:tr w:rsidR="00D3344B" w14:paraId="2DE7EE55" w14:textId="77777777">
        <w:trPr>
          <w:trHeight w:val="684"/>
        </w:trPr>
        <w:tc>
          <w:tcPr>
            <w:tcW w:w="704" w:type="dxa"/>
          </w:tcPr>
          <w:p w14:paraId="1B07F527" w14:textId="77777777" w:rsidR="00D3344B" w:rsidRDefault="00D3344B">
            <w:pPr>
              <w:widowControl w:val="0"/>
              <w:jc w:val="both"/>
              <w:rPr>
                <w:rFonts w:ascii="Arial" w:hAnsi="Arial" w:cs="Arial"/>
              </w:rPr>
            </w:pPr>
          </w:p>
        </w:tc>
        <w:tc>
          <w:tcPr>
            <w:tcW w:w="5670" w:type="dxa"/>
          </w:tcPr>
          <w:p w14:paraId="1B548D65" w14:textId="77777777" w:rsidR="00D3344B" w:rsidRDefault="00143C25">
            <w:pPr>
              <w:widowControl w:val="0"/>
              <w:jc w:val="both"/>
              <w:rPr>
                <w:rFonts w:ascii="Arial" w:hAnsi="Arial" w:cs="Arial"/>
              </w:rPr>
            </w:pPr>
            <w:r>
              <w:rPr>
                <w:rFonts w:ascii="Arial" w:hAnsi="Arial" w:cs="Arial"/>
              </w:rPr>
              <w:t>2. En oficinas en días y horas inhábiles.</w:t>
            </w:r>
          </w:p>
        </w:tc>
        <w:tc>
          <w:tcPr>
            <w:tcW w:w="2340" w:type="dxa"/>
          </w:tcPr>
          <w:p w14:paraId="15C12653" w14:textId="77777777" w:rsidR="00D3344B" w:rsidRDefault="00143C25">
            <w:pPr>
              <w:widowControl w:val="0"/>
              <w:jc w:val="both"/>
              <w:rPr>
                <w:rFonts w:ascii="Arial" w:hAnsi="Arial" w:cs="Arial"/>
              </w:rPr>
            </w:pPr>
            <w:r>
              <w:rPr>
                <w:rFonts w:ascii="Arial" w:hAnsi="Arial" w:cs="Arial"/>
                <w:b/>
              </w:rPr>
              <w:t>6 UMA</w:t>
            </w:r>
          </w:p>
        </w:tc>
      </w:tr>
      <w:tr w:rsidR="00D3344B" w14:paraId="65E355E7" w14:textId="77777777">
        <w:trPr>
          <w:trHeight w:val="738"/>
        </w:trPr>
        <w:tc>
          <w:tcPr>
            <w:tcW w:w="704" w:type="dxa"/>
          </w:tcPr>
          <w:p w14:paraId="35AF04DA" w14:textId="77777777" w:rsidR="00D3344B" w:rsidRDefault="00D3344B">
            <w:pPr>
              <w:widowControl w:val="0"/>
              <w:jc w:val="both"/>
              <w:rPr>
                <w:rFonts w:ascii="Arial" w:hAnsi="Arial" w:cs="Arial"/>
              </w:rPr>
            </w:pPr>
          </w:p>
        </w:tc>
        <w:tc>
          <w:tcPr>
            <w:tcW w:w="5670" w:type="dxa"/>
          </w:tcPr>
          <w:p w14:paraId="1659EE19" w14:textId="77777777" w:rsidR="00D3344B" w:rsidRDefault="00143C25">
            <w:pPr>
              <w:widowControl w:val="0"/>
              <w:jc w:val="both"/>
              <w:rPr>
                <w:rFonts w:ascii="Arial" w:hAnsi="Arial" w:cs="Arial"/>
              </w:rPr>
            </w:pPr>
            <w:r>
              <w:rPr>
                <w:rFonts w:ascii="Arial" w:hAnsi="Arial" w:cs="Arial"/>
              </w:rPr>
              <w:t>3. A domicilio en días y horas hábiles.</w:t>
            </w:r>
          </w:p>
        </w:tc>
        <w:tc>
          <w:tcPr>
            <w:tcW w:w="2340" w:type="dxa"/>
          </w:tcPr>
          <w:p w14:paraId="130FF2D3" w14:textId="77777777" w:rsidR="00D3344B" w:rsidRDefault="00143C25">
            <w:pPr>
              <w:widowControl w:val="0"/>
              <w:jc w:val="both"/>
              <w:rPr>
                <w:rFonts w:ascii="Arial" w:hAnsi="Arial" w:cs="Arial"/>
              </w:rPr>
            </w:pPr>
            <w:r>
              <w:rPr>
                <w:rFonts w:ascii="Arial" w:hAnsi="Arial" w:cs="Arial"/>
                <w:b/>
              </w:rPr>
              <w:t>9 UMA</w:t>
            </w:r>
          </w:p>
        </w:tc>
      </w:tr>
      <w:tr w:rsidR="00D3344B" w14:paraId="50CB1393" w14:textId="77777777">
        <w:trPr>
          <w:trHeight w:val="663"/>
        </w:trPr>
        <w:tc>
          <w:tcPr>
            <w:tcW w:w="704" w:type="dxa"/>
          </w:tcPr>
          <w:p w14:paraId="5D63632C" w14:textId="77777777" w:rsidR="00D3344B" w:rsidRDefault="00D3344B">
            <w:pPr>
              <w:widowControl w:val="0"/>
              <w:jc w:val="both"/>
              <w:rPr>
                <w:rFonts w:ascii="Arial" w:hAnsi="Arial" w:cs="Arial"/>
              </w:rPr>
            </w:pPr>
          </w:p>
        </w:tc>
        <w:tc>
          <w:tcPr>
            <w:tcW w:w="5670" w:type="dxa"/>
          </w:tcPr>
          <w:p w14:paraId="48E06A2C" w14:textId="77777777" w:rsidR="00D3344B" w:rsidRDefault="00143C25">
            <w:pPr>
              <w:widowControl w:val="0"/>
              <w:jc w:val="both"/>
              <w:rPr>
                <w:rFonts w:ascii="Arial" w:hAnsi="Arial" w:cs="Arial"/>
              </w:rPr>
            </w:pPr>
            <w:r>
              <w:rPr>
                <w:rFonts w:ascii="Arial" w:hAnsi="Arial" w:cs="Arial"/>
              </w:rPr>
              <w:t>4. A domicilio en días y horas inhábiles.</w:t>
            </w:r>
          </w:p>
        </w:tc>
        <w:tc>
          <w:tcPr>
            <w:tcW w:w="2340" w:type="dxa"/>
          </w:tcPr>
          <w:p w14:paraId="6455F5FF" w14:textId="77777777" w:rsidR="00D3344B" w:rsidRDefault="00143C25">
            <w:pPr>
              <w:widowControl w:val="0"/>
              <w:jc w:val="both"/>
              <w:rPr>
                <w:rFonts w:ascii="Arial" w:hAnsi="Arial" w:cs="Arial"/>
              </w:rPr>
            </w:pPr>
            <w:r>
              <w:rPr>
                <w:rFonts w:ascii="Arial" w:hAnsi="Arial" w:cs="Arial"/>
                <w:b/>
              </w:rPr>
              <w:t>12 UMA</w:t>
            </w:r>
          </w:p>
        </w:tc>
      </w:tr>
      <w:tr w:rsidR="00D3344B" w14:paraId="5FFD37A1" w14:textId="77777777">
        <w:trPr>
          <w:trHeight w:val="653"/>
        </w:trPr>
        <w:tc>
          <w:tcPr>
            <w:tcW w:w="704" w:type="dxa"/>
          </w:tcPr>
          <w:p w14:paraId="19BAC360" w14:textId="77777777" w:rsidR="00D3344B" w:rsidRDefault="00D3344B">
            <w:pPr>
              <w:widowControl w:val="0"/>
              <w:jc w:val="both"/>
              <w:rPr>
                <w:rFonts w:ascii="Arial" w:hAnsi="Arial" w:cs="Arial"/>
              </w:rPr>
            </w:pPr>
          </w:p>
        </w:tc>
        <w:tc>
          <w:tcPr>
            <w:tcW w:w="5670" w:type="dxa"/>
          </w:tcPr>
          <w:p w14:paraId="2CE5EC9A"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5. </w:t>
            </w:r>
            <w:proofErr w:type="spellStart"/>
            <w:r>
              <w:rPr>
                <w:rFonts w:ascii="Arial" w:hAnsi="Arial" w:cs="Arial"/>
              </w:rPr>
              <w:t>Solicitud</w:t>
            </w:r>
            <w:proofErr w:type="spellEnd"/>
            <w:r>
              <w:rPr>
                <w:rFonts w:ascii="Arial" w:hAnsi="Arial" w:cs="Arial"/>
              </w:rPr>
              <w:t xml:space="preserve"> de </w:t>
            </w:r>
            <w:proofErr w:type="spellStart"/>
            <w:r>
              <w:rPr>
                <w:rFonts w:ascii="Arial" w:hAnsi="Arial" w:cs="Arial"/>
              </w:rPr>
              <w:t>matrimonio</w:t>
            </w:r>
            <w:proofErr w:type="spellEnd"/>
          </w:p>
        </w:tc>
        <w:tc>
          <w:tcPr>
            <w:tcW w:w="2340" w:type="dxa"/>
          </w:tcPr>
          <w:p w14:paraId="0BB2A8AA" w14:textId="77777777" w:rsidR="00D3344B" w:rsidRDefault="00143C25">
            <w:pPr>
              <w:widowControl w:val="0"/>
              <w:jc w:val="both"/>
              <w:rPr>
                <w:rFonts w:ascii="Arial" w:hAnsi="Arial" w:cs="Arial"/>
              </w:rPr>
            </w:pPr>
            <w:r>
              <w:rPr>
                <w:rFonts w:ascii="Arial" w:hAnsi="Arial" w:cs="Arial"/>
                <w:b/>
              </w:rPr>
              <w:t>4 UMA</w:t>
            </w:r>
          </w:p>
        </w:tc>
      </w:tr>
      <w:tr w:rsidR="00D3344B" w14:paraId="1812D47E" w14:textId="77777777">
        <w:trPr>
          <w:trHeight w:val="360"/>
        </w:trPr>
        <w:tc>
          <w:tcPr>
            <w:tcW w:w="704" w:type="dxa"/>
          </w:tcPr>
          <w:p w14:paraId="104C0C55" w14:textId="77777777" w:rsidR="00D3344B" w:rsidRDefault="00D3344B">
            <w:pPr>
              <w:widowControl w:val="0"/>
              <w:jc w:val="both"/>
              <w:rPr>
                <w:rFonts w:ascii="Arial" w:hAnsi="Arial" w:cs="Arial"/>
              </w:rPr>
            </w:pPr>
          </w:p>
        </w:tc>
        <w:tc>
          <w:tcPr>
            <w:tcW w:w="5670" w:type="dxa"/>
            <w:vAlign w:val="bottom"/>
          </w:tcPr>
          <w:p w14:paraId="5081E17C" w14:textId="77777777" w:rsidR="00D3344B" w:rsidRDefault="00143C25">
            <w:pPr>
              <w:pStyle w:val="Sinespaciado"/>
              <w:widowControl w:val="0"/>
              <w:spacing w:line="276" w:lineRule="auto"/>
              <w:rPr>
                <w:rFonts w:ascii="Arial" w:hAnsi="Arial" w:cs="Arial"/>
                <w:i/>
                <w:sz w:val="16"/>
                <w:szCs w:val="16"/>
              </w:rPr>
            </w:pPr>
            <w:r>
              <w:rPr>
                <w:rFonts w:ascii="Arial" w:hAnsi="Arial" w:cs="Arial"/>
                <w:i/>
                <w:sz w:val="16"/>
                <w:szCs w:val="16"/>
              </w:rPr>
              <w:t>(REFORMADA, P.O. 21 DE JUNIO DE 2021)</w:t>
            </w:r>
          </w:p>
        </w:tc>
        <w:tc>
          <w:tcPr>
            <w:tcW w:w="2340" w:type="dxa"/>
          </w:tcPr>
          <w:p w14:paraId="21B42C43" w14:textId="77777777" w:rsidR="00D3344B" w:rsidRDefault="00D3344B">
            <w:pPr>
              <w:widowControl w:val="0"/>
              <w:jc w:val="both"/>
              <w:rPr>
                <w:rFonts w:ascii="Arial" w:hAnsi="Arial" w:cs="Arial"/>
                <w:b/>
              </w:rPr>
            </w:pPr>
          </w:p>
        </w:tc>
      </w:tr>
      <w:tr w:rsidR="00D3344B" w14:paraId="42AC98B0" w14:textId="77777777">
        <w:trPr>
          <w:trHeight w:val="708"/>
        </w:trPr>
        <w:tc>
          <w:tcPr>
            <w:tcW w:w="704" w:type="dxa"/>
          </w:tcPr>
          <w:p w14:paraId="256EAA8F" w14:textId="77777777" w:rsidR="00D3344B" w:rsidRDefault="00D3344B">
            <w:pPr>
              <w:widowControl w:val="0"/>
              <w:jc w:val="both"/>
              <w:rPr>
                <w:rFonts w:ascii="Arial" w:hAnsi="Arial" w:cs="Arial"/>
              </w:rPr>
            </w:pPr>
          </w:p>
        </w:tc>
        <w:tc>
          <w:tcPr>
            <w:tcW w:w="5670" w:type="dxa"/>
          </w:tcPr>
          <w:p w14:paraId="2192000D" w14:textId="77777777" w:rsidR="00D3344B" w:rsidRDefault="00143C25">
            <w:pPr>
              <w:widowControl w:val="0"/>
              <w:spacing w:after="240"/>
              <w:rPr>
                <w:rFonts w:ascii="Arial" w:hAnsi="Arial" w:cs="Arial"/>
              </w:rPr>
            </w:pPr>
            <w:proofErr w:type="gramStart"/>
            <w:r>
              <w:rPr>
                <w:rFonts w:ascii="Arial" w:hAnsi="Arial" w:cs="Arial"/>
              </w:rPr>
              <w:t>b) )</w:t>
            </w:r>
            <w:proofErr w:type="gramEnd"/>
            <w:r>
              <w:rPr>
                <w:rFonts w:ascii="Arial" w:hAnsi="Arial" w:cs="Arial"/>
              </w:rPr>
              <w:t xml:space="preserve"> Por divorcio administrativo </w:t>
            </w:r>
            <w:r>
              <w:rPr>
                <w:rFonts w:ascii="Arial" w:hAnsi="Arial" w:cs="Arial"/>
                <w:b/>
              </w:rPr>
              <w:t>o disolución de sociedad en convivencia solidaria:</w:t>
            </w:r>
          </w:p>
        </w:tc>
        <w:tc>
          <w:tcPr>
            <w:tcW w:w="2340" w:type="dxa"/>
          </w:tcPr>
          <w:p w14:paraId="7918ACDD" w14:textId="77777777" w:rsidR="00D3344B" w:rsidRDefault="00D3344B">
            <w:pPr>
              <w:widowControl w:val="0"/>
              <w:jc w:val="both"/>
              <w:rPr>
                <w:rFonts w:ascii="Arial" w:hAnsi="Arial" w:cs="Arial"/>
              </w:rPr>
            </w:pPr>
          </w:p>
        </w:tc>
      </w:tr>
      <w:tr w:rsidR="00D3344B" w14:paraId="2BC498EA" w14:textId="77777777">
        <w:trPr>
          <w:trHeight w:val="478"/>
        </w:trPr>
        <w:tc>
          <w:tcPr>
            <w:tcW w:w="704" w:type="dxa"/>
          </w:tcPr>
          <w:p w14:paraId="726A8242" w14:textId="77777777" w:rsidR="00D3344B" w:rsidRDefault="00D3344B">
            <w:pPr>
              <w:widowControl w:val="0"/>
              <w:jc w:val="both"/>
              <w:rPr>
                <w:rFonts w:ascii="Arial" w:hAnsi="Arial" w:cs="Arial"/>
              </w:rPr>
            </w:pPr>
          </w:p>
        </w:tc>
        <w:tc>
          <w:tcPr>
            <w:tcW w:w="5670" w:type="dxa"/>
          </w:tcPr>
          <w:p w14:paraId="7B141483" w14:textId="77777777" w:rsidR="00D3344B" w:rsidRDefault="00143C25">
            <w:pPr>
              <w:widowControl w:val="0"/>
              <w:jc w:val="both"/>
              <w:rPr>
                <w:rFonts w:ascii="Arial" w:hAnsi="Arial" w:cs="Arial"/>
              </w:rPr>
            </w:pPr>
            <w:r>
              <w:rPr>
                <w:rFonts w:ascii="Arial" w:hAnsi="Arial" w:cs="Arial"/>
              </w:rPr>
              <w:t xml:space="preserve">1. Trámite de divorcio administrativo, </w:t>
            </w:r>
            <w:r>
              <w:rPr>
                <w:rFonts w:ascii="Arial" w:hAnsi="Arial" w:cs="Arial"/>
                <w:b/>
              </w:rPr>
              <w:t>modificación o disolución de sociedad de convivencia solidaria</w:t>
            </w:r>
          </w:p>
        </w:tc>
        <w:tc>
          <w:tcPr>
            <w:tcW w:w="2340" w:type="dxa"/>
          </w:tcPr>
          <w:p w14:paraId="4C63CD37" w14:textId="77777777" w:rsidR="00D3344B" w:rsidRDefault="00143C25">
            <w:pPr>
              <w:widowControl w:val="0"/>
              <w:jc w:val="both"/>
              <w:rPr>
                <w:rFonts w:ascii="Arial" w:hAnsi="Arial" w:cs="Arial"/>
              </w:rPr>
            </w:pPr>
            <w:r>
              <w:rPr>
                <w:rFonts w:ascii="Arial" w:hAnsi="Arial" w:cs="Arial"/>
                <w:b/>
              </w:rPr>
              <w:t>10.5 UMA</w:t>
            </w:r>
          </w:p>
        </w:tc>
      </w:tr>
      <w:tr w:rsidR="00D3344B" w14:paraId="712DE3FE" w14:textId="77777777">
        <w:trPr>
          <w:trHeight w:val="605"/>
        </w:trPr>
        <w:tc>
          <w:tcPr>
            <w:tcW w:w="704" w:type="dxa"/>
          </w:tcPr>
          <w:p w14:paraId="302B0BFF" w14:textId="77777777" w:rsidR="00D3344B" w:rsidRDefault="00D3344B">
            <w:pPr>
              <w:widowControl w:val="0"/>
              <w:jc w:val="both"/>
              <w:rPr>
                <w:rFonts w:ascii="Arial" w:hAnsi="Arial" w:cs="Arial"/>
              </w:rPr>
            </w:pPr>
          </w:p>
        </w:tc>
        <w:tc>
          <w:tcPr>
            <w:tcW w:w="5670" w:type="dxa"/>
          </w:tcPr>
          <w:p w14:paraId="7E77F7F2" w14:textId="77777777" w:rsidR="00D3344B" w:rsidRDefault="00143C25">
            <w:pPr>
              <w:widowControl w:val="0"/>
              <w:jc w:val="both"/>
              <w:rPr>
                <w:rFonts w:ascii="Arial" w:hAnsi="Arial" w:cs="Arial"/>
              </w:rPr>
            </w:pPr>
            <w:r>
              <w:rPr>
                <w:rFonts w:ascii="Arial" w:hAnsi="Arial" w:cs="Arial"/>
              </w:rPr>
              <w:t>c) Por permiso de inhumación.</w:t>
            </w:r>
          </w:p>
        </w:tc>
        <w:tc>
          <w:tcPr>
            <w:tcW w:w="2340" w:type="dxa"/>
          </w:tcPr>
          <w:p w14:paraId="5B6FF599" w14:textId="77777777" w:rsidR="00D3344B" w:rsidRDefault="00143C25">
            <w:pPr>
              <w:widowControl w:val="0"/>
              <w:jc w:val="both"/>
              <w:rPr>
                <w:rFonts w:ascii="Arial" w:hAnsi="Arial" w:cs="Arial"/>
              </w:rPr>
            </w:pPr>
            <w:r>
              <w:rPr>
                <w:rFonts w:ascii="Arial" w:hAnsi="Arial" w:cs="Arial"/>
                <w:b/>
              </w:rPr>
              <w:t>4 UMA</w:t>
            </w:r>
          </w:p>
        </w:tc>
      </w:tr>
      <w:tr w:rsidR="00D3344B" w14:paraId="399ACE71" w14:textId="77777777">
        <w:trPr>
          <w:trHeight w:val="737"/>
        </w:trPr>
        <w:tc>
          <w:tcPr>
            <w:tcW w:w="704" w:type="dxa"/>
          </w:tcPr>
          <w:p w14:paraId="08907951" w14:textId="77777777" w:rsidR="00D3344B" w:rsidRDefault="00D3344B">
            <w:pPr>
              <w:widowControl w:val="0"/>
              <w:jc w:val="both"/>
              <w:rPr>
                <w:rFonts w:ascii="Arial" w:hAnsi="Arial" w:cs="Arial"/>
              </w:rPr>
            </w:pPr>
          </w:p>
        </w:tc>
        <w:tc>
          <w:tcPr>
            <w:tcW w:w="5670" w:type="dxa"/>
          </w:tcPr>
          <w:p w14:paraId="298ADD96"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d) Por </w:t>
            </w:r>
            <w:proofErr w:type="spellStart"/>
            <w:r>
              <w:rPr>
                <w:rFonts w:ascii="Arial" w:hAnsi="Arial" w:cs="Arial"/>
              </w:rPr>
              <w:t>permiso</w:t>
            </w:r>
            <w:proofErr w:type="spellEnd"/>
            <w:r>
              <w:rPr>
                <w:rFonts w:ascii="Arial" w:hAnsi="Arial" w:cs="Arial"/>
              </w:rPr>
              <w:t xml:space="preserve"> de </w:t>
            </w:r>
            <w:proofErr w:type="spellStart"/>
            <w:r>
              <w:rPr>
                <w:rFonts w:ascii="Arial" w:hAnsi="Arial" w:cs="Arial"/>
              </w:rPr>
              <w:t>exhumación</w:t>
            </w:r>
            <w:proofErr w:type="spellEnd"/>
            <w:r>
              <w:rPr>
                <w:rFonts w:ascii="Arial" w:hAnsi="Arial" w:cs="Arial"/>
              </w:rPr>
              <w:t>.</w:t>
            </w:r>
          </w:p>
        </w:tc>
        <w:tc>
          <w:tcPr>
            <w:tcW w:w="2340" w:type="dxa"/>
          </w:tcPr>
          <w:p w14:paraId="4F639011" w14:textId="77777777" w:rsidR="00D3344B" w:rsidRDefault="00143C25">
            <w:pPr>
              <w:widowControl w:val="0"/>
              <w:jc w:val="both"/>
              <w:rPr>
                <w:rFonts w:ascii="Arial" w:hAnsi="Arial" w:cs="Arial"/>
              </w:rPr>
            </w:pPr>
            <w:r>
              <w:rPr>
                <w:rFonts w:ascii="Arial" w:hAnsi="Arial" w:cs="Arial"/>
                <w:b/>
              </w:rPr>
              <w:t>8.5 UMA</w:t>
            </w:r>
          </w:p>
        </w:tc>
      </w:tr>
      <w:tr w:rsidR="00D3344B" w14:paraId="7A30DD41" w14:textId="77777777">
        <w:trPr>
          <w:trHeight w:val="713"/>
        </w:trPr>
        <w:tc>
          <w:tcPr>
            <w:tcW w:w="704" w:type="dxa"/>
          </w:tcPr>
          <w:p w14:paraId="02EE9EF8" w14:textId="77777777" w:rsidR="00D3344B" w:rsidRDefault="00D3344B">
            <w:pPr>
              <w:widowControl w:val="0"/>
              <w:jc w:val="both"/>
              <w:rPr>
                <w:rFonts w:ascii="Arial" w:hAnsi="Arial" w:cs="Arial"/>
              </w:rPr>
            </w:pPr>
          </w:p>
        </w:tc>
        <w:tc>
          <w:tcPr>
            <w:tcW w:w="5670" w:type="dxa"/>
          </w:tcPr>
          <w:p w14:paraId="17554260" w14:textId="77777777" w:rsidR="00D3344B" w:rsidRDefault="00143C25">
            <w:pPr>
              <w:pStyle w:val="Sinespaciado"/>
              <w:widowControl w:val="0"/>
              <w:spacing w:line="276" w:lineRule="auto"/>
              <w:jc w:val="both"/>
              <w:rPr>
                <w:rFonts w:ascii="Arial" w:hAnsi="Arial" w:cs="Arial"/>
              </w:rPr>
            </w:pPr>
            <w:r>
              <w:rPr>
                <w:rFonts w:ascii="Arial" w:hAnsi="Arial" w:cs="Arial"/>
              </w:rPr>
              <w:t xml:space="preserve">e) Por </w:t>
            </w:r>
            <w:proofErr w:type="spellStart"/>
            <w:r>
              <w:rPr>
                <w:rFonts w:ascii="Arial" w:hAnsi="Arial" w:cs="Arial"/>
              </w:rPr>
              <w:t>inscripción</w:t>
            </w:r>
            <w:proofErr w:type="spellEnd"/>
            <w:r>
              <w:rPr>
                <w:rFonts w:ascii="Arial" w:hAnsi="Arial" w:cs="Arial"/>
              </w:rPr>
              <w:t xml:space="preserve"> de </w:t>
            </w:r>
            <w:proofErr w:type="spellStart"/>
            <w:r>
              <w:rPr>
                <w:rFonts w:ascii="Arial" w:hAnsi="Arial" w:cs="Arial"/>
              </w:rPr>
              <w:t>sentencias</w:t>
            </w:r>
            <w:proofErr w:type="spellEnd"/>
            <w:r>
              <w:rPr>
                <w:rFonts w:ascii="Arial" w:hAnsi="Arial" w:cs="Arial"/>
              </w:rPr>
              <w:t xml:space="preserve"> </w:t>
            </w:r>
            <w:proofErr w:type="spellStart"/>
            <w:r>
              <w:rPr>
                <w:rFonts w:ascii="Arial" w:hAnsi="Arial" w:cs="Arial"/>
              </w:rPr>
              <w:t>judiciales</w:t>
            </w:r>
            <w:proofErr w:type="spellEnd"/>
            <w:r>
              <w:rPr>
                <w:rFonts w:ascii="Arial" w:hAnsi="Arial" w:cs="Arial"/>
              </w:rPr>
              <w:t xml:space="preserve"> que </w:t>
            </w:r>
            <w:proofErr w:type="spellStart"/>
            <w:r>
              <w:rPr>
                <w:rFonts w:ascii="Arial" w:hAnsi="Arial" w:cs="Arial"/>
              </w:rPr>
              <w:t>modifiquen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estado</w:t>
            </w:r>
            <w:proofErr w:type="spellEnd"/>
            <w:r>
              <w:rPr>
                <w:rFonts w:ascii="Arial" w:hAnsi="Arial" w:cs="Arial"/>
              </w:rPr>
              <w:t xml:space="preserve"> civil de las personas.</w:t>
            </w:r>
          </w:p>
        </w:tc>
        <w:tc>
          <w:tcPr>
            <w:tcW w:w="2340" w:type="dxa"/>
          </w:tcPr>
          <w:p w14:paraId="3CE00BC8" w14:textId="77777777" w:rsidR="00D3344B" w:rsidRDefault="00143C25">
            <w:pPr>
              <w:widowControl w:val="0"/>
              <w:jc w:val="both"/>
              <w:rPr>
                <w:rFonts w:ascii="Arial" w:hAnsi="Arial" w:cs="Arial"/>
              </w:rPr>
            </w:pPr>
            <w:r>
              <w:rPr>
                <w:rFonts w:ascii="Arial" w:hAnsi="Arial" w:cs="Arial"/>
                <w:b/>
              </w:rPr>
              <w:t>5 UMA</w:t>
            </w:r>
          </w:p>
        </w:tc>
      </w:tr>
      <w:tr w:rsidR="00D3344B" w14:paraId="5CC3EF34" w14:textId="77777777">
        <w:trPr>
          <w:trHeight w:val="356"/>
        </w:trPr>
        <w:tc>
          <w:tcPr>
            <w:tcW w:w="704" w:type="dxa"/>
          </w:tcPr>
          <w:p w14:paraId="3FA51281" w14:textId="77777777" w:rsidR="00D3344B" w:rsidRDefault="00D3344B">
            <w:pPr>
              <w:widowControl w:val="0"/>
              <w:jc w:val="both"/>
              <w:rPr>
                <w:rFonts w:ascii="Arial" w:hAnsi="Arial" w:cs="Arial"/>
              </w:rPr>
            </w:pPr>
          </w:p>
        </w:tc>
        <w:tc>
          <w:tcPr>
            <w:tcW w:w="5670" w:type="dxa"/>
          </w:tcPr>
          <w:p w14:paraId="3AC3BD80" w14:textId="77777777" w:rsidR="00D3344B" w:rsidRDefault="00143C25">
            <w:pPr>
              <w:pStyle w:val="Estilo"/>
              <w:widowControl w:val="0"/>
              <w:spacing w:line="276" w:lineRule="auto"/>
              <w:jc w:val="left"/>
              <w:rPr>
                <w:rFonts w:cs="Arial"/>
                <w:i/>
                <w:sz w:val="16"/>
                <w:szCs w:val="16"/>
              </w:rPr>
            </w:pPr>
            <w:r>
              <w:rPr>
                <w:rFonts w:cs="Arial"/>
                <w:sz w:val="22"/>
              </w:rPr>
              <w:t>f) Por otros actos del Registro Civil.</w:t>
            </w:r>
          </w:p>
        </w:tc>
        <w:tc>
          <w:tcPr>
            <w:tcW w:w="2340" w:type="dxa"/>
          </w:tcPr>
          <w:p w14:paraId="02499ACA" w14:textId="77777777" w:rsidR="00D3344B" w:rsidRDefault="00143C25">
            <w:pPr>
              <w:widowControl w:val="0"/>
              <w:jc w:val="both"/>
              <w:rPr>
                <w:rFonts w:ascii="Arial" w:hAnsi="Arial" w:cs="Arial"/>
              </w:rPr>
            </w:pPr>
            <w:r>
              <w:rPr>
                <w:rFonts w:ascii="Arial" w:hAnsi="Arial" w:cs="Arial"/>
                <w:b/>
              </w:rPr>
              <w:t>1 UMA</w:t>
            </w:r>
          </w:p>
        </w:tc>
      </w:tr>
      <w:tr w:rsidR="00D3344B" w14:paraId="58275824" w14:textId="77777777">
        <w:trPr>
          <w:trHeight w:val="421"/>
        </w:trPr>
        <w:tc>
          <w:tcPr>
            <w:tcW w:w="704" w:type="dxa"/>
          </w:tcPr>
          <w:p w14:paraId="63BC8418" w14:textId="77777777" w:rsidR="00D3344B" w:rsidRDefault="00D3344B">
            <w:pPr>
              <w:widowControl w:val="0"/>
              <w:jc w:val="both"/>
              <w:rPr>
                <w:rFonts w:ascii="Arial" w:hAnsi="Arial" w:cs="Arial"/>
              </w:rPr>
            </w:pPr>
          </w:p>
        </w:tc>
        <w:tc>
          <w:tcPr>
            <w:tcW w:w="5670" w:type="dxa"/>
            <w:vAlign w:val="bottom"/>
          </w:tcPr>
          <w:p w14:paraId="52247445" w14:textId="77777777" w:rsidR="00D3344B" w:rsidRDefault="00143C25">
            <w:pPr>
              <w:widowControl w:val="0"/>
              <w:spacing w:after="0"/>
              <w:rPr>
                <w:rFonts w:ascii="Arial" w:hAnsi="Arial" w:cs="Arial"/>
              </w:rPr>
            </w:pPr>
            <w:r>
              <w:rPr>
                <w:rFonts w:ascii="Arial" w:hAnsi="Arial" w:cs="Arial"/>
                <w:i/>
                <w:sz w:val="16"/>
                <w:szCs w:val="16"/>
              </w:rPr>
              <w:t>(REFORMADA, P.O. 21 DE JUNIO DE 2021)</w:t>
            </w:r>
          </w:p>
        </w:tc>
        <w:tc>
          <w:tcPr>
            <w:tcW w:w="2340" w:type="dxa"/>
          </w:tcPr>
          <w:p w14:paraId="5B8D55F4" w14:textId="77777777" w:rsidR="00D3344B" w:rsidRDefault="00D3344B">
            <w:pPr>
              <w:widowControl w:val="0"/>
              <w:jc w:val="both"/>
              <w:rPr>
                <w:rFonts w:ascii="Arial" w:hAnsi="Arial" w:cs="Arial"/>
              </w:rPr>
            </w:pPr>
          </w:p>
        </w:tc>
      </w:tr>
      <w:tr w:rsidR="00D3344B" w14:paraId="7CDB5837" w14:textId="77777777">
        <w:trPr>
          <w:trHeight w:val="783"/>
        </w:trPr>
        <w:tc>
          <w:tcPr>
            <w:tcW w:w="704" w:type="dxa"/>
          </w:tcPr>
          <w:p w14:paraId="786D497F" w14:textId="77777777" w:rsidR="00D3344B" w:rsidRDefault="00143C25">
            <w:pPr>
              <w:widowControl w:val="0"/>
              <w:jc w:val="both"/>
              <w:rPr>
                <w:rFonts w:ascii="Arial" w:hAnsi="Arial" w:cs="Arial"/>
                <w:i/>
                <w:sz w:val="16"/>
              </w:rPr>
            </w:pPr>
            <w:r>
              <w:rPr>
                <w:rFonts w:ascii="Arial" w:hAnsi="Arial" w:cs="Arial"/>
              </w:rPr>
              <w:t>XII.</w:t>
            </w:r>
          </w:p>
        </w:tc>
        <w:tc>
          <w:tcPr>
            <w:tcW w:w="5670" w:type="dxa"/>
          </w:tcPr>
          <w:p w14:paraId="13A986F9" w14:textId="77777777" w:rsidR="00D3344B" w:rsidRDefault="00143C25">
            <w:pPr>
              <w:widowControl w:val="0"/>
              <w:spacing w:after="0"/>
              <w:jc w:val="both"/>
              <w:rPr>
                <w:rFonts w:ascii="Arial" w:hAnsi="Arial" w:cs="Arial"/>
              </w:rPr>
            </w:pPr>
            <w:r>
              <w:rPr>
                <w:rFonts w:ascii="Arial" w:hAnsi="Arial" w:cs="Arial"/>
              </w:rPr>
              <w:t>La inserción de avisos y publicaciones, edictos y/o boletín judicial en el Periódico Oficial del Gobierno del Estado, atendiendo a su tamaño:</w:t>
            </w:r>
          </w:p>
        </w:tc>
        <w:tc>
          <w:tcPr>
            <w:tcW w:w="2340" w:type="dxa"/>
          </w:tcPr>
          <w:p w14:paraId="69ABBF6B" w14:textId="77777777" w:rsidR="00D3344B" w:rsidRDefault="00D3344B">
            <w:pPr>
              <w:widowControl w:val="0"/>
              <w:jc w:val="both"/>
              <w:rPr>
                <w:rFonts w:ascii="Arial" w:hAnsi="Arial" w:cs="Arial"/>
              </w:rPr>
            </w:pPr>
          </w:p>
        </w:tc>
      </w:tr>
      <w:tr w:rsidR="00D3344B" w14:paraId="3D9AA851" w14:textId="77777777">
        <w:trPr>
          <w:trHeight w:val="681"/>
        </w:trPr>
        <w:tc>
          <w:tcPr>
            <w:tcW w:w="704" w:type="dxa"/>
          </w:tcPr>
          <w:p w14:paraId="05D428D9" w14:textId="77777777" w:rsidR="00D3344B" w:rsidRDefault="00D3344B">
            <w:pPr>
              <w:widowControl w:val="0"/>
              <w:jc w:val="both"/>
              <w:rPr>
                <w:rFonts w:ascii="Arial" w:hAnsi="Arial" w:cs="Arial"/>
              </w:rPr>
            </w:pPr>
          </w:p>
        </w:tc>
        <w:tc>
          <w:tcPr>
            <w:tcW w:w="5670" w:type="dxa"/>
          </w:tcPr>
          <w:p w14:paraId="372FD1D8" w14:textId="77777777" w:rsidR="00D3344B" w:rsidRDefault="00143C25">
            <w:pPr>
              <w:widowControl w:val="0"/>
              <w:jc w:val="both"/>
              <w:rPr>
                <w:rFonts w:ascii="Arial" w:hAnsi="Arial" w:cs="Arial"/>
              </w:rPr>
            </w:pPr>
            <w:r>
              <w:rPr>
                <w:rFonts w:ascii="Arial" w:hAnsi="Arial" w:cs="Arial"/>
              </w:rPr>
              <w:t>a) Por cuarto de plana.</w:t>
            </w:r>
          </w:p>
        </w:tc>
        <w:tc>
          <w:tcPr>
            <w:tcW w:w="2340" w:type="dxa"/>
          </w:tcPr>
          <w:p w14:paraId="40920A1C" w14:textId="77777777" w:rsidR="00D3344B" w:rsidRDefault="00143C25">
            <w:pPr>
              <w:widowControl w:val="0"/>
              <w:jc w:val="both"/>
              <w:rPr>
                <w:rFonts w:ascii="Arial" w:hAnsi="Arial" w:cs="Arial"/>
              </w:rPr>
            </w:pPr>
            <w:r>
              <w:rPr>
                <w:rFonts w:ascii="Arial" w:hAnsi="Arial" w:cs="Arial"/>
                <w:b/>
              </w:rPr>
              <w:t>6 UMA</w:t>
            </w:r>
            <w:r>
              <w:rPr>
                <w:rFonts w:ascii="Arial" w:hAnsi="Arial" w:cs="Arial"/>
              </w:rPr>
              <w:t>.</w:t>
            </w:r>
          </w:p>
        </w:tc>
      </w:tr>
      <w:tr w:rsidR="00D3344B" w14:paraId="39C283FA" w14:textId="77777777">
        <w:trPr>
          <w:trHeight w:val="749"/>
        </w:trPr>
        <w:tc>
          <w:tcPr>
            <w:tcW w:w="704" w:type="dxa"/>
          </w:tcPr>
          <w:p w14:paraId="71380496" w14:textId="77777777" w:rsidR="00D3344B" w:rsidRDefault="00D3344B">
            <w:pPr>
              <w:widowControl w:val="0"/>
              <w:jc w:val="both"/>
              <w:rPr>
                <w:rFonts w:ascii="Arial" w:hAnsi="Arial" w:cs="Arial"/>
              </w:rPr>
            </w:pPr>
          </w:p>
        </w:tc>
        <w:tc>
          <w:tcPr>
            <w:tcW w:w="5670" w:type="dxa"/>
          </w:tcPr>
          <w:p w14:paraId="0D14F48B" w14:textId="77777777" w:rsidR="00D3344B" w:rsidRDefault="00143C25">
            <w:pPr>
              <w:widowControl w:val="0"/>
              <w:jc w:val="both"/>
              <w:rPr>
                <w:rFonts w:ascii="Arial" w:hAnsi="Arial" w:cs="Arial"/>
              </w:rPr>
            </w:pPr>
            <w:r>
              <w:rPr>
                <w:rFonts w:ascii="Arial" w:hAnsi="Arial" w:cs="Arial"/>
              </w:rPr>
              <w:t>b) Por media plana.</w:t>
            </w:r>
          </w:p>
        </w:tc>
        <w:tc>
          <w:tcPr>
            <w:tcW w:w="2340" w:type="dxa"/>
          </w:tcPr>
          <w:p w14:paraId="77F62A52" w14:textId="77777777" w:rsidR="00D3344B" w:rsidRDefault="00143C25">
            <w:pPr>
              <w:widowControl w:val="0"/>
              <w:jc w:val="both"/>
              <w:rPr>
                <w:rFonts w:ascii="Arial" w:hAnsi="Arial" w:cs="Arial"/>
              </w:rPr>
            </w:pPr>
            <w:r>
              <w:rPr>
                <w:rFonts w:ascii="Arial" w:hAnsi="Arial" w:cs="Arial"/>
                <w:b/>
              </w:rPr>
              <w:t>8 UMA</w:t>
            </w:r>
          </w:p>
        </w:tc>
      </w:tr>
      <w:tr w:rsidR="00D3344B" w14:paraId="18078654" w14:textId="77777777">
        <w:trPr>
          <w:trHeight w:val="709"/>
        </w:trPr>
        <w:tc>
          <w:tcPr>
            <w:tcW w:w="704" w:type="dxa"/>
          </w:tcPr>
          <w:p w14:paraId="764DCEC8" w14:textId="77777777" w:rsidR="00D3344B" w:rsidRDefault="00D3344B">
            <w:pPr>
              <w:widowControl w:val="0"/>
              <w:jc w:val="both"/>
              <w:rPr>
                <w:rFonts w:ascii="Arial" w:hAnsi="Arial" w:cs="Arial"/>
              </w:rPr>
            </w:pPr>
          </w:p>
        </w:tc>
        <w:tc>
          <w:tcPr>
            <w:tcW w:w="5670" w:type="dxa"/>
          </w:tcPr>
          <w:p w14:paraId="2202BB01" w14:textId="77777777" w:rsidR="00D3344B" w:rsidRDefault="00143C25">
            <w:pPr>
              <w:widowControl w:val="0"/>
              <w:jc w:val="both"/>
              <w:rPr>
                <w:rFonts w:ascii="Arial" w:hAnsi="Arial" w:cs="Arial"/>
              </w:rPr>
            </w:pPr>
            <w:r>
              <w:rPr>
                <w:rFonts w:ascii="Arial" w:hAnsi="Arial" w:cs="Arial"/>
              </w:rPr>
              <w:t>c) Por plana completa.</w:t>
            </w:r>
          </w:p>
        </w:tc>
        <w:tc>
          <w:tcPr>
            <w:tcW w:w="2340" w:type="dxa"/>
          </w:tcPr>
          <w:p w14:paraId="5DCCE203" w14:textId="77777777" w:rsidR="00D3344B" w:rsidRDefault="00143C25">
            <w:pPr>
              <w:widowControl w:val="0"/>
              <w:jc w:val="both"/>
              <w:rPr>
                <w:rFonts w:ascii="Arial" w:hAnsi="Arial" w:cs="Arial"/>
              </w:rPr>
            </w:pPr>
            <w:r>
              <w:rPr>
                <w:rFonts w:ascii="Arial" w:hAnsi="Arial" w:cs="Arial"/>
                <w:b/>
              </w:rPr>
              <w:t>10 UMA</w:t>
            </w:r>
          </w:p>
        </w:tc>
      </w:tr>
      <w:tr w:rsidR="00D3344B" w14:paraId="36C9989D" w14:textId="77777777">
        <w:trPr>
          <w:trHeight w:val="446"/>
        </w:trPr>
        <w:tc>
          <w:tcPr>
            <w:tcW w:w="704" w:type="dxa"/>
          </w:tcPr>
          <w:p w14:paraId="73B8F3F1" w14:textId="77777777" w:rsidR="00D3344B" w:rsidRDefault="00D3344B">
            <w:pPr>
              <w:widowControl w:val="0"/>
              <w:spacing w:after="0"/>
              <w:jc w:val="both"/>
              <w:rPr>
                <w:rFonts w:ascii="Arial" w:hAnsi="Arial" w:cs="Arial"/>
              </w:rPr>
            </w:pPr>
          </w:p>
        </w:tc>
        <w:tc>
          <w:tcPr>
            <w:tcW w:w="5670" w:type="dxa"/>
            <w:vAlign w:val="bottom"/>
          </w:tcPr>
          <w:p w14:paraId="197363EE" w14:textId="77777777" w:rsidR="00D3344B" w:rsidRDefault="00143C25">
            <w:pPr>
              <w:widowControl w:val="0"/>
              <w:spacing w:after="0"/>
              <w:rPr>
                <w:rFonts w:ascii="Arial" w:hAnsi="Arial" w:cs="Arial"/>
                <w:i/>
                <w:sz w:val="16"/>
                <w:szCs w:val="16"/>
              </w:rPr>
            </w:pPr>
            <w:r>
              <w:rPr>
                <w:rFonts w:ascii="Arial" w:hAnsi="Arial" w:cs="Arial"/>
                <w:i/>
                <w:sz w:val="16"/>
                <w:szCs w:val="16"/>
              </w:rPr>
              <w:t>(DEROGADO, P.O. 26 DE DICIEMBRE DE 2022)</w:t>
            </w:r>
          </w:p>
        </w:tc>
        <w:tc>
          <w:tcPr>
            <w:tcW w:w="2340" w:type="dxa"/>
          </w:tcPr>
          <w:p w14:paraId="7ACD7334" w14:textId="77777777" w:rsidR="00D3344B" w:rsidRDefault="00D3344B">
            <w:pPr>
              <w:widowControl w:val="0"/>
              <w:spacing w:after="0"/>
              <w:jc w:val="both"/>
              <w:rPr>
                <w:rFonts w:ascii="Arial" w:hAnsi="Arial" w:cs="Arial"/>
              </w:rPr>
            </w:pPr>
          </w:p>
        </w:tc>
      </w:tr>
      <w:tr w:rsidR="00D3344B" w14:paraId="4AF3CD8A" w14:textId="77777777">
        <w:trPr>
          <w:trHeight w:val="363"/>
        </w:trPr>
        <w:tc>
          <w:tcPr>
            <w:tcW w:w="704" w:type="dxa"/>
          </w:tcPr>
          <w:p w14:paraId="6EF08949" w14:textId="77777777" w:rsidR="00D3344B" w:rsidRDefault="00D3344B">
            <w:pPr>
              <w:widowControl w:val="0"/>
              <w:spacing w:after="0"/>
              <w:jc w:val="both"/>
              <w:rPr>
                <w:rFonts w:ascii="Arial" w:hAnsi="Arial" w:cs="Arial"/>
              </w:rPr>
            </w:pPr>
          </w:p>
        </w:tc>
        <w:tc>
          <w:tcPr>
            <w:tcW w:w="5670" w:type="dxa"/>
          </w:tcPr>
          <w:p w14:paraId="1CCFB5F3" w14:textId="77777777" w:rsidR="00D3344B" w:rsidRDefault="00D3344B">
            <w:pPr>
              <w:widowControl w:val="0"/>
              <w:spacing w:after="0"/>
              <w:jc w:val="both"/>
              <w:rPr>
                <w:rFonts w:ascii="Arial" w:hAnsi="Arial" w:cs="Arial"/>
              </w:rPr>
            </w:pPr>
          </w:p>
        </w:tc>
        <w:tc>
          <w:tcPr>
            <w:tcW w:w="2340" w:type="dxa"/>
          </w:tcPr>
          <w:p w14:paraId="6783EBA3" w14:textId="77777777" w:rsidR="00D3344B" w:rsidRDefault="00D3344B">
            <w:pPr>
              <w:widowControl w:val="0"/>
              <w:spacing w:after="0"/>
              <w:jc w:val="both"/>
              <w:rPr>
                <w:rFonts w:ascii="Arial" w:hAnsi="Arial" w:cs="Arial"/>
              </w:rPr>
            </w:pPr>
          </w:p>
        </w:tc>
      </w:tr>
      <w:tr w:rsidR="00D3344B" w14:paraId="16E9DD97" w14:textId="77777777">
        <w:trPr>
          <w:trHeight w:val="765"/>
        </w:trPr>
        <w:tc>
          <w:tcPr>
            <w:tcW w:w="704" w:type="dxa"/>
          </w:tcPr>
          <w:p w14:paraId="0621149B" w14:textId="77777777" w:rsidR="00D3344B" w:rsidRDefault="00D3344B">
            <w:pPr>
              <w:widowControl w:val="0"/>
              <w:jc w:val="both"/>
              <w:rPr>
                <w:rFonts w:ascii="Arial" w:hAnsi="Arial" w:cs="Arial"/>
              </w:rPr>
            </w:pPr>
          </w:p>
        </w:tc>
        <w:tc>
          <w:tcPr>
            <w:tcW w:w="5670" w:type="dxa"/>
          </w:tcPr>
          <w:p w14:paraId="3E20403F" w14:textId="77777777" w:rsidR="00D3344B" w:rsidRDefault="00143C25">
            <w:pPr>
              <w:widowControl w:val="0"/>
              <w:jc w:val="both"/>
              <w:rPr>
                <w:rFonts w:ascii="Arial" w:hAnsi="Arial" w:cs="Arial"/>
              </w:rPr>
            </w:pPr>
            <w:r>
              <w:rPr>
                <w:rFonts w:ascii="Arial" w:hAnsi="Arial" w:cs="Arial"/>
              </w:rPr>
              <w:t xml:space="preserve">a) </w:t>
            </w:r>
            <w:r>
              <w:rPr>
                <w:rFonts w:ascii="Arial" w:hAnsi="Arial" w:cs="Arial"/>
                <w:i/>
                <w:sz w:val="16"/>
                <w:szCs w:val="16"/>
              </w:rPr>
              <w:t>(DEROGADO, P.O. 26 DE DICIEMBRE DE 2022)</w:t>
            </w:r>
          </w:p>
        </w:tc>
        <w:tc>
          <w:tcPr>
            <w:tcW w:w="2340" w:type="dxa"/>
          </w:tcPr>
          <w:p w14:paraId="764D84BA" w14:textId="77777777" w:rsidR="00D3344B" w:rsidRDefault="00D3344B">
            <w:pPr>
              <w:widowControl w:val="0"/>
              <w:jc w:val="both"/>
              <w:rPr>
                <w:rFonts w:ascii="Arial" w:hAnsi="Arial" w:cs="Arial"/>
              </w:rPr>
            </w:pPr>
          </w:p>
        </w:tc>
      </w:tr>
      <w:tr w:rsidR="00D3344B" w14:paraId="4015B317" w14:textId="77777777">
        <w:trPr>
          <w:trHeight w:val="708"/>
        </w:trPr>
        <w:tc>
          <w:tcPr>
            <w:tcW w:w="704" w:type="dxa"/>
          </w:tcPr>
          <w:p w14:paraId="24E6B3D0" w14:textId="77777777" w:rsidR="00D3344B" w:rsidRDefault="00D3344B">
            <w:pPr>
              <w:widowControl w:val="0"/>
              <w:jc w:val="both"/>
              <w:rPr>
                <w:rFonts w:ascii="Arial" w:hAnsi="Arial" w:cs="Arial"/>
              </w:rPr>
            </w:pPr>
          </w:p>
        </w:tc>
        <w:tc>
          <w:tcPr>
            <w:tcW w:w="5670" w:type="dxa"/>
          </w:tcPr>
          <w:p w14:paraId="418CF0C1" w14:textId="77777777" w:rsidR="00D3344B" w:rsidRDefault="00143C25">
            <w:pPr>
              <w:widowControl w:val="0"/>
              <w:jc w:val="both"/>
              <w:rPr>
                <w:rFonts w:ascii="Arial" w:hAnsi="Arial" w:cs="Arial"/>
              </w:rPr>
            </w:pPr>
            <w:r>
              <w:rPr>
                <w:rFonts w:ascii="Arial" w:hAnsi="Arial" w:cs="Arial"/>
              </w:rPr>
              <w:t xml:space="preserve">b) </w:t>
            </w:r>
            <w:r>
              <w:rPr>
                <w:rFonts w:ascii="Arial" w:hAnsi="Arial" w:cs="Arial"/>
                <w:i/>
                <w:sz w:val="16"/>
                <w:szCs w:val="16"/>
              </w:rPr>
              <w:t>(DEROGADO, P.O. 26 DE DICIEMBRE DE 2022)</w:t>
            </w:r>
          </w:p>
        </w:tc>
        <w:tc>
          <w:tcPr>
            <w:tcW w:w="2340" w:type="dxa"/>
            <w:vAlign w:val="bottom"/>
          </w:tcPr>
          <w:p w14:paraId="56FCECCF" w14:textId="77777777" w:rsidR="00D3344B" w:rsidRDefault="00D3344B">
            <w:pPr>
              <w:widowControl w:val="0"/>
              <w:jc w:val="both"/>
              <w:rPr>
                <w:rFonts w:ascii="Arial" w:hAnsi="Arial" w:cs="Arial"/>
              </w:rPr>
            </w:pPr>
          </w:p>
        </w:tc>
      </w:tr>
      <w:tr w:rsidR="00D3344B" w14:paraId="4946F54F" w14:textId="77777777">
        <w:trPr>
          <w:trHeight w:val="762"/>
        </w:trPr>
        <w:tc>
          <w:tcPr>
            <w:tcW w:w="704" w:type="dxa"/>
          </w:tcPr>
          <w:p w14:paraId="1B8456CB" w14:textId="77777777" w:rsidR="00D3344B" w:rsidRDefault="00D3344B">
            <w:pPr>
              <w:widowControl w:val="0"/>
              <w:jc w:val="both"/>
              <w:rPr>
                <w:rFonts w:ascii="Arial" w:hAnsi="Arial" w:cs="Arial"/>
              </w:rPr>
            </w:pPr>
          </w:p>
        </w:tc>
        <w:tc>
          <w:tcPr>
            <w:tcW w:w="5670" w:type="dxa"/>
          </w:tcPr>
          <w:p w14:paraId="3F0270A1" w14:textId="77777777" w:rsidR="00D3344B" w:rsidRDefault="00143C25">
            <w:pPr>
              <w:widowControl w:val="0"/>
              <w:jc w:val="both"/>
              <w:rPr>
                <w:rFonts w:ascii="Arial" w:hAnsi="Arial" w:cs="Arial"/>
              </w:rPr>
            </w:pPr>
            <w:r>
              <w:rPr>
                <w:rFonts w:ascii="Arial" w:hAnsi="Arial" w:cs="Arial"/>
              </w:rPr>
              <w:t xml:space="preserve">c) </w:t>
            </w:r>
            <w:r>
              <w:rPr>
                <w:rFonts w:ascii="Arial" w:hAnsi="Arial" w:cs="Arial"/>
                <w:i/>
                <w:sz w:val="16"/>
                <w:szCs w:val="16"/>
              </w:rPr>
              <w:t>(DEROGADO, P.O. 26 DE DICIEMBRE DE 2022)</w:t>
            </w:r>
          </w:p>
        </w:tc>
        <w:tc>
          <w:tcPr>
            <w:tcW w:w="2340" w:type="dxa"/>
            <w:vAlign w:val="bottom"/>
          </w:tcPr>
          <w:p w14:paraId="5BA7A3E2" w14:textId="77777777" w:rsidR="00D3344B" w:rsidRDefault="00D3344B">
            <w:pPr>
              <w:widowControl w:val="0"/>
              <w:jc w:val="both"/>
              <w:rPr>
                <w:rFonts w:ascii="Arial" w:hAnsi="Arial" w:cs="Arial"/>
              </w:rPr>
            </w:pPr>
          </w:p>
        </w:tc>
      </w:tr>
      <w:tr w:rsidR="00D3344B" w14:paraId="1F67DAD2" w14:textId="77777777">
        <w:trPr>
          <w:trHeight w:val="762"/>
        </w:trPr>
        <w:tc>
          <w:tcPr>
            <w:tcW w:w="704" w:type="dxa"/>
          </w:tcPr>
          <w:p w14:paraId="423DBA3B" w14:textId="77777777" w:rsidR="00D3344B" w:rsidRDefault="00D3344B">
            <w:pPr>
              <w:widowControl w:val="0"/>
              <w:spacing w:after="0"/>
              <w:jc w:val="both"/>
              <w:rPr>
                <w:rFonts w:ascii="Arial" w:hAnsi="Arial" w:cs="Arial"/>
              </w:rPr>
            </w:pPr>
          </w:p>
        </w:tc>
        <w:tc>
          <w:tcPr>
            <w:tcW w:w="5670" w:type="dxa"/>
            <w:vAlign w:val="bottom"/>
          </w:tcPr>
          <w:p w14:paraId="551E3DCD" w14:textId="77777777" w:rsidR="00D3344B" w:rsidRDefault="00143C25">
            <w:pPr>
              <w:pStyle w:val="Estilo"/>
              <w:widowControl w:val="0"/>
              <w:rPr>
                <w:rFonts w:cs="Arial"/>
              </w:rPr>
            </w:pPr>
            <w:r>
              <w:rPr>
                <w:rFonts w:cs="Arial"/>
                <w:i/>
                <w:sz w:val="16"/>
              </w:rPr>
              <w:t>(REFORMADA, P.O. 29 DE NOVIEMBRE DE 2023)</w:t>
            </w:r>
          </w:p>
        </w:tc>
        <w:tc>
          <w:tcPr>
            <w:tcW w:w="2340" w:type="dxa"/>
            <w:vAlign w:val="bottom"/>
          </w:tcPr>
          <w:p w14:paraId="0435CF8C" w14:textId="77777777" w:rsidR="00D3344B" w:rsidRDefault="00D3344B">
            <w:pPr>
              <w:widowControl w:val="0"/>
              <w:spacing w:after="0"/>
              <w:jc w:val="both"/>
              <w:rPr>
                <w:rFonts w:ascii="Arial" w:hAnsi="Arial" w:cs="Arial"/>
              </w:rPr>
            </w:pPr>
          </w:p>
        </w:tc>
      </w:tr>
      <w:tr w:rsidR="00D3344B" w14:paraId="73B9B4E8" w14:textId="77777777">
        <w:trPr>
          <w:trHeight w:val="762"/>
        </w:trPr>
        <w:tc>
          <w:tcPr>
            <w:tcW w:w="704" w:type="dxa"/>
          </w:tcPr>
          <w:p w14:paraId="6E425D2A" w14:textId="77777777" w:rsidR="00D3344B" w:rsidRDefault="00143C25">
            <w:pPr>
              <w:widowControl w:val="0"/>
              <w:jc w:val="both"/>
              <w:rPr>
                <w:rFonts w:ascii="Arial" w:hAnsi="Arial" w:cs="Arial"/>
              </w:rPr>
            </w:pPr>
            <w:r>
              <w:rPr>
                <w:rFonts w:ascii="Arial" w:hAnsi="Arial" w:cs="Arial"/>
              </w:rPr>
              <w:t>XII BIS.</w:t>
            </w:r>
          </w:p>
        </w:tc>
        <w:tc>
          <w:tcPr>
            <w:tcW w:w="8010" w:type="dxa"/>
            <w:gridSpan w:val="2"/>
          </w:tcPr>
          <w:p w14:paraId="02FCFAEA" w14:textId="77777777" w:rsidR="00D3344B" w:rsidRDefault="00143C25">
            <w:pPr>
              <w:widowControl w:val="0"/>
              <w:jc w:val="both"/>
              <w:rPr>
                <w:rFonts w:ascii="Arial" w:hAnsi="Arial" w:cs="Arial"/>
              </w:rPr>
            </w:pPr>
            <w:r>
              <w:rPr>
                <w:rFonts w:ascii="Arial" w:hAnsi="Arial" w:cs="Arial"/>
              </w:rPr>
              <w:t>Las dependencias y entidades de la administración pública estatal, así como los municipios, para el caso de las publicaciones que tengan que realizar de acuerdos y disposiciones administrativas emitidas en el ejercicio de sus atribuciones, pagarán conforme a los siguiente:</w:t>
            </w:r>
          </w:p>
          <w:p w14:paraId="3E3290CA" w14:textId="77777777" w:rsidR="00D3344B" w:rsidRDefault="00143C25">
            <w:pPr>
              <w:widowControl w:val="0"/>
              <w:jc w:val="both"/>
              <w:rPr>
                <w:rFonts w:ascii="Arial" w:hAnsi="Arial" w:cs="Arial"/>
              </w:rPr>
            </w:pPr>
            <w:r>
              <w:rPr>
                <w:rFonts w:ascii="Arial" w:hAnsi="Arial" w:cs="Arial"/>
              </w:rPr>
              <w:t xml:space="preserve">a) </w:t>
            </w:r>
            <w:r>
              <w:rPr>
                <w:rFonts w:cs="Arial"/>
                <w:i/>
                <w:sz w:val="16"/>
              </w:rPr>
              <w:t>(DEROGADA, P.O. 29 DE NOVIEMBRE DE 2023)</w:t>
            </w:r>
          </w:p>
          <w:p w14:paraId="34E96E8D" w14:textId="77777777" w:rsidR="00D3344B" w:rsidRDefault="00143C25">
            <w:pPr>
              <w:widowControl w:val="0"/>
              <w:jc w:val="both"/>
              <w:rPr>
                <w:rFonts w:ascii="Arial" w:hAnsi="Arial" w:cs="Arial"/>
              </w:rPr>
            </w:pPr>
            <w:r>
              <w:rPr>
                <w:rFonts w:ascii="Arial" w:hAnsi="Arial" w:cs="Arial"/>
              </w:rPr>
              <w:t xml:space="preserve">b) </w:t>
            </w:r>
            <w:r>
              <w:rPr>
                <w:rFonts w:cs="Arial"/>
                <w:i/>
                <w:sz w:val="16"/>
              </w:rPr>
              <w:t>(DEROGADA, P.O. 29 DE NOVIEMBRE DE 2023)</w:t>
            </w:r>
          </w:p>
          <w:p w14:paraId="7A42E78B" w14:textId="77777777" w:rsidR="00D3344B" w:rsidRDefault="00143C25">
            <w:pPr>
              <w:widowControl w:val="0"/>
              <w:jc w:val="both"/>
              <w:rPr>
                <w:rFonts w:ascii="Arial" w:hAnsi="Arial" w:cs="Arial"/>
              </w:rPr>
            </w:pPr>
            <w:r>
              <w:rPr>
                <w:rFonts w:ascii="Arial" w:hAnsi="Arial" w:cs="Arial"/>
              </w:rPr>
              <w:t xml:space="preserve">c) Por plana </w:t>
            </w:r>
            <w:proofErr w:type="gramStart"/>
            <w:r>
              <w:rPr>
                <w:rFonts w:ascii="Arial" w:hAnsi="Arial" w:cs="Arial"/>
              </w:rPr>
              <w:t xml:space="preserve">completa,   </w:t>
            </w:r>
            <w:proofErr w:type="gramEnd"/>
            <w:r>
              <w:rPr>
                <w:rFonts w:ascii="Arial" w:hAnsi="Arial" w:cs="Arial"/>
              </w:rPr>
              <w:t xml:space="preserve"> 5 UMA.</w:t>
            </w:r>
          </w:p>
        </w:tc>
      </w:tr>
      <w:tr w:rsidR="00D3344B" w14:paraId="2E76FEA9" w14:textId="77777777">
        <w:trPr>
          <w:trHeight w:val="762"/>
        </w:trPr>
        <w:tc>
          <w:tcPr>
            <w:tcW w:w="704" w:type="dxa"/>
            <w:vAlign w:val="bottom"/>
          </w:tcPr>
          <w:p w14:paraId="365E1A66" w14:textId="77777777" w:rsidR="00D3344B" w:rsidRDefault="00D3344B">
            <w:pPr>
              <w:widowControl w:val="0"/>
              <w:spacing w:after="0"/>
              <w:rPr>
                <w:rFonts w:ascii="Arial" w:hAnsi="Arial" w:cs="Arial"/>
              </w:rPr>
            </w:pPr>
          </w:p>
        </w:tc>
        <w:tc>
          <w:tcPr>
            <w:tcW w:w="8010" w:type="dxa"/>
            <w:gridSpan w:val="2"/>
            <w:vAlign w:val="bottom"/>
          </w:tcPr>
          <w:p w14:paraId="5327871B" w14:textId="77777777" w:rsidR="00D3344B" w:rsidRDefault="00143C25">
            <w:pPr>
              <w:widowControl w:val="0"/>
              <w:spacing w:after="0"/>
              <w:rPr>
                <w:rFonts w:ascii="Arial" w:hAnsi="Arial" w:cs="Arial"/>
              </w:rPr>
            </w:pPr>
            <w:r>
              <w:rPr>
                <w:rFonts w:ascii="Arial" w:hAnsi="Arial" w:cs="Arial"/>
                <w:i/>
                <w:sz w:val="16"/>
                <w:szCs w:val="16"/>
              </w:rPr>
              <w:t>(ADICIONADA, P.O. 26 DE DICIEMBRE DE 2022)</w:t>
            </w:r>
          </w:p>
        </w:tc>
      </w:tr>
      <w:tr w:rsidR="00D3344B" w14:paraId="53BC660F" w14:textId="77777777">
        <w:trPr>
          <w:trHeight w:val="762"/>
        </w:trPr>
        <w:tc>
          <w:tcPr>
            <w:tcW w:w="704" w:type="dxa"/>
          </w:tcPr>
          <w:p w14:paraId="261469CB" w14:textId="77777777" w:rsidR="00D3344B" w:rsidRDefault="00143C25">
            <w:pPr>
              <w:widowControl w:val="0"/>
              <w:jc w:val="both"/>
              <w:rPr>
                <w:rFonts w:ascii="Arial" w:hAnsi="Arial" w:cs="Arial"/>
              </w:rPr>
            </w:pPr>
            <w:r>
              <w:rPr>
                <w:rFonts w:ascii="Arial" w:hAnsi="Arial" w:cs="Arial"/>
              </w:rPr>
              <w:t>XII TER.</w:t>
            </w:r>
          </w:p>
        </w:tc>
        <w:tc>
          <w:tcPr>
            <w:tcW w:w="8010" w:type="dxa"/>
            <w:gridSpan w:val="2"/>
          </w:tcPr>
          <w:p w14:paraId="782B66C3" w14:textId="77777777" w:rsidR="00D3344B" w:rsidRDefault="00143C25">
            <w:pPr>
              <w:widowControl w:val="0"/>
              <w:jc w:val="both"/>
              <w:rPr>
                <w:rFonts w:ascii="Arial" w:hAnsi="Arial" w:cs="Arial"/>
              </w:rPr>
            </w:pPr>
            <w:r>
              <w:rPr>
                <w:rFonts w:ascii="Arial" w:hAnsi="Arial" w:cs="Arial"/>
              </w:rPr>
              <w:t>Los ayuntamientos que integran el Estado para el caso de las publicaciones que tengan que realizar, respecto de la normatividad que les faculta el párrafo segundo de la fracción II del artículo 115 de la Constitución Política de los Estados Unidos Mexicanos en correlación con la fracción I del artículo 33 de la Ley Municipal del Estado de Tlaxcala, pagarán conforme a lo siguiente:</w:t>
            </w:r>
          </w:p>
          <w:p w14:paraId="341234C3" w14:textId="77777777" w:rsidR="00D3344B" w:rsidRDefault="00143C25">
            <w:pPr>
              <w:widowControl w:val="0"/>
              <w:jc w:val="both"/>
              <w:rPr>
                <w:rFonts w:ascii="Arial" w:hAnsi="Arial" w:cs="Arial"/>
              </w:rPr>
            </w:pPr>
            <w:r>
              <w:rPr>
                <w:rFonts w:ascii="Arial" w:hAnsi="Arial" w:cs="Arial"/>
              </w:rPr>
              <w:t xml:space="preserve">a) Por plana </w:t>
            </w:r>
            <w:proofErr w:type="gramStart"/>
            <w:r>
              <w:rPr>
                <w:rFonts w:ascii="Arial" w:hAnsi="Arial" w:cs="Arial"/>
              </w:rPr>
              <w:t xml:space="preserve">completa,   </w:t>
            </w:r>
            <w:proofErr w:type="gramEnd"/>
            <w:r>
              <w:rPr>
                <w:rFonts w:ascii="Arial" w:hAnsi="Arial" w:cs="Arial"/>
              </w:rPr>
              <w:t xml:space="preserve"> 1 UMA</w:t>
            </w:r>
          </w:p>
          <w:p w14:paraId="397EE24D" w14:textId="77777777" w:rsidR="00D3344B" w:rsidRDefault="00D3344B">
            <w:pPr>
              <w:widowControl w:val="0"/>
              <w:jc w:val="both"/>
              <w:rPr>
                <w:rFonts w:ascii="Arial" w:hAnsi="Arial" w:cs="Arial"/>
              </w:rPr>
            </w:pPr>
          </w:p>
        </w:tc>
      </w:tr>
      <w:tr w:rsidR="00D3344B" w14:paraId="40AB058A" w14:textId="77777777">
        <w:trPr>
          <w:trHeight w:val="339"/>
        </w:trPr>
        <w:tc>
          <w:tcPr>
            <w:tcW w:w="704" w:type="dxa"/>
          </w:tcPr>
          <w:p w14:paraId="7DA42F3A" w14:textId="77777777" w:rsidR="00D3344B" w:rsidRDefault="00D3344B">
            <w:pPr>
              <w:widowControl w:val="0"/>
              <w:jc w:val="both"/>
              <w:rPr>
                <w:rFonts w:ascii="Arial" w:hAnsi="Arial" w:cs="Arial"/>
              </w:rPr>
            </w:pPr>
          </w:p>
        </w:tc>
        <w:tc>
          <w:tcPr>
            <w:tcW w:w="5670" w:type="dxa"/>
            <w:vAlign w:val="bottom"/>
          </w:tcPr>
          <w:p w14:paraId="1EB4C5D9" w14:textId="77777777" w:rsidR="00D3344B" w:rsidRDefault="00143C25">
            <w:pPr>
              <w:widowControl w:val="0"/>
              <w:spacing w:after="0"/>
              <w:rPr>
                <w:rFonts w:ascii="Arial" w:hAnsi="Arial" w:cs="Arial"/>
              </w:rPr>
            </w:pPr>
            <w:r>
              <w:rPr>
                <w:rFonts w:ascii="Arial" w:hAnsi="Arial" w:cs="Arial"/>
                <w:i/>
                <w:sz w:val="16"/>
                <w:szCs w:val="16"/>
              </w:rPr>
              <w:t>(REFORMADO, P.O. 21 DE JUNIO DE 2021)</w:t>
            </w:r>
          </w:p>
        </w:tc>
        <w:tc>
          <w:tcPr>
            <w:tcW w:w="2340" w:type="dxa"/>
            <w:vAlign w:val="bottom"/>
          </w:tcPr>
          <w:p w14:paraId="1816E063" w14:textId="77777777" w:rsidR="00D3344B" w:rsidRDefault="00D3344B">
            <w:pPr>
              <w:widowControl w:val="0"/>
              <w:jc w:val="both"/>
              <w:rPr>
                <w:rFonts w:ascii="Arial" w:hAnsi="Arial" w:cs="Arial"/>
                <w:b/>
              </w:rPr>
            </w:pPr>
          </w:p>
        </w:tc>
      </w:tr>
      <w:tr w:rsidR="00D3344B" w14:paraId="6404D653" w14:textId="77777777">
        <w:trPr>
          <w:trHeight w:val="804"/>
        </w:trPr>
        <w:tc>
          <w:tcPr>
            <w:tcW w:w="704" w:type="dxa"/>
          </w:tcPr>
          <w:p w14:paraId="7C005539" w14:textId="77777777" w:rsidR="00D3344B" w:rsidRDefault="00143C25">
            <w:pPr>
              <w:widowControl w:val="0"/>
              <w:jc w:val="both"/>
              <w:rPr>
                <w:rFonts w:ascii="Arial" w:hAnsi="Arial" w:cs="Arial"/>
              </w:rPr>
            </w:pPr>
            <w:r>
              <w:rPr>
                <w:rFonts w:ascii="Arial" w:hAnsi="Arial" w:cs="Arial"/>
              </w:rPr>
              <w:t>XIII.</w:t>
            </w:r>
          </w:p>
        </w:tc>
        <w:tc>
          <w:tcPr>
            <w:tcW w:w="5670" w:type="dxa"/>
          </w:tcPr>
          <w:p w14:paraId="33D26099" w14:textId="77777777" w:rsidR="00D3344B" w:rsidRDefault="00143C25">
            <w:pPr>
              <w:widowControl w:val="0"/>
              <w:jc w:val="both"/>
              <w:rPr>
                <w:rFonts w:ascii="Arial" w:hAnsi="Arial" w:cs="Arial"/>
              </w:rPr>
            </w:pPr>
            <w:r>
              <w:rPr>
                <w:rFonts w:ascii="Arial" w:hAnsi="Arial" w:cs="Arial"/>
              </w:rPr>
              <w:t>Búsqueda retrospectiva de Periódico Oficial en el archivo de Publicaciones Oficiales:</w:t>
            </w:r>
          </w:p>
        </w:tc>
        <w:tc>
          <w:tcPr>
            <w:tcW w:w="2340" w:type="dxa"/>
          </w:tcPr>
          <w:p w14:paraId="28D08ED9" w14:textId="77777777" w:rsidR="00D3344B" w:rsidRDefault="00D3344B">
            <w:pPr>
              <w:widowControl w:val="0"/>
              <w:jc w:val="both"/>
              <w:rPr>
                <w:rFonts w:ascii="Arial" w:hAnsi="Arial" w:cs="Arial"/>
              </w:rPr>
            </w:pPr>
          </w:p>
        </w:tc>
      </w:tr>
      <w:tr w:rsidR="00D3344B" w14:paraId="08C3CF01" w14:textId="77777777">
        <w:trPr>
          <w:trHeight w:val="823"/>
        </w:trPr>
        <w:tc>
          <w:tcPr>
            <w:tcW w:w="704" w:type="dxa"/>
          </w:tcPr>
          <w:p w14:paraId="289F1089" w14:textId="77777777" w:rsidR="00D3344B" w:rsidRDefault="00D3344B">
            <w:pPr>
              <w:widowControl w:val="0"/>
              <w:jc w:val="both"/>
              <w:rPr>
                <w:rFonts w:ascii="Arial" w:hAnsi="Arial" w:cs="Arial"/>
              </w:rPr>
            </w:pPr>
          </w:p>
        </w:tc>
        <w:tc>
          <w:tcPr>
            <w:tcW w:w="5670" w:type="dxa"/>
          </w:tcPr>
          <w:p w14:paraId="794A1E33" w14:textId="77777777" w:rsidR="00D3344B" w:rsidRDefault="00143C25">
            <w:pPr>
              <w:widowControl w:val="0"/>
              <w:ind w:left="355" w:hanging="355"/>
              <w:jc w:val="both"/>
              <w:rPr>
                <w:rFonts w:ascii="Arial" w:hAnsi="Arial" w:cs="Arial"/>
              </w:rPr>
            </w:pPr>
            <w:r>
              <w:rPr>
                <w:rFonts w:ascii="Arial" w:hAnsi="Arial" w:cs="Arial"/>
              </w:rPr>
              <w:t>a) Cuando la búsqueda no exceda de cinco años anteriores.</w:t>
            </w:r>
          </w:p>
        </w:tc>
        <w:tc>
          <w:tcPr>
            <w:tcW w:w="2340" w:type="dxa"/>
          </w:tcPr>
          <w:p w14:paraId="2B7580D7" w14:textId="77777777" w:rsidR="00D3344B" w:rsidRDefault="00143C25">
            <w:pPr>
              <w:widowControl w:val="0"/>
              <w:spacing w:after="17" w:line="259" w:lineRule="auto"/>
              <w:ind w:right="55"/>
              <w:jc w:val="center"/>
              <w:rPr>
                <w:rFonts w:ascii="Arial" w:hAnsi="Arial" w:cs="Arial"/>
              </w:rPr>
            </w:pPr>
            <w:r>
              <w:rPr>
                <w:rFonts w:ascii="Arial" w:hAnsi="Arial" w:cs="Arial"/>
                <w:b/>
              </w:rPr>
              <w:t xml:space="preserve">2 UMA </w:t>
            </w:r>
          </w:p>
          <w:p w14:paraId="55DC8AC0" w14:textId="77777777" w:rsidR="00D3344B" w:rsidRDefault="00D3344B">
            <w:pPr>
              <w:widowControl w:val="0"/>
              <w:jc w:val="both"/>
              <w:rPr>
                <w:rFonts w:ascii="Arial" w:hAnsi="Arial" w:cs="Arial"/>
              </w:rPr>
            </w:pPr>
          </w:p>
        </w:tc>
      </w:tr>
      <w:tr w:rsidR="00D3344B" w14:paraId="53DFB306" w14:textId="77777777">
        <w:trPr>
          <w:trHeight w:val="1969"/>
        </w:trPr>
        <w:tc>
          <w:tcPr>
            <w:tcW w:w="704" w:type="dxa"/>
          </w:tcPr>
          <w:p w14:paraId="5AE91860" w14:textId="77777777" w:rsidR="00D3344B" w:rsidRDefault="00D3344B">
            <w:pPr>
              <w:widowControl w:val="0"/>
              <w:jc w:val="both"/>
              <w:rPr>
                <w:rFonts w:ascii="Arial" w:hAnsi="Arial" w:cs="Arial"/>
              </w:rPr>
            </w:pPr>
          </w:p>
        </w:tc>
        <w:tc>
          <w:tcPr>
            <w:tcW w:w="5670" w:type="dxa"/>
          </w:tcPr>
          <w:p w14:paraId="3B5911DD" w14:textId="77777777" w:rsidR="00D3344B" w:rsidRDefault="00143C25">
            <w:pPr>
              <w:widowControl w:val="0"/>
              <w:ind w:left="355" w:hanging="355"/>
              <w:jc w:val="both"/>
              <w:rPr>
                <w:rFonts w:ascii="Arial" w:hAnsi="Arial" w:cs="Arial"/>
              </w:rPr>
            </w:pPr>
            <w:r>
              <w:rPr>
                <w:rFonts w:ascii="Arial" w:hAnsi="Arial" w:cs="Arial"/>
              </w:rPr>
              <w:t>b) Cuando la búsqueda exceda del término citado en el inciso anterior.</w:t>
            </w:r>
          </w:p>
        </w:tc>
        <w:tc>
          <w:tcPr>
            <w:tcW w:w="2340" w:type="dxa"/>
          </w:tcPr>
          <w:p w14:paraId="630F0FD8" w14:textId="77777777" w:rsidR="00D3344B" w:rsidRDefault="00143C25">
            <w:pPr>
              <w:widowControl w:val="0"/>
              <w:spacing w:after="1" w:line="271" w:lineRule="auto"/>
              <w:ind w:firstLine="241"/>
              <w:rPr>
                <w:rFonts w:ascii="Arial" w:hAnsi="Arial" w:cs="Arial"/>
              </w:rPr>
            </w:pPr>
            <w:r>
              <w:rPr>
                <w:rFonts w:ascii="Arial" w:hAnsi="Arial" w:cs="Arial"/>
                <w:b/>
              </w:rPr>
              <w:t>La cuota se incrementará en 0.5 UMA por cada período de cinco años o fracción del mismo.</w:t>
            </w:r>
          </w:p>
        </w:tc>
      </w:tr>
      <w:tr w:rsidR="00D3344B" w14:paraId="3BF29A33" w14:textId="77777777">
        <w:trPr>
          <w:trHeight w:val="483"/>
        </w:trPr>
        <w:tc>
          <w:tcPr>
            <w:tcW w:w="704" w:type="dxa"/>
          </w:tcPr>
          <w:p w14:paraId="47E3DA0D" w14:textId="77777777" w:rsidR="00D3344B" w:rsidRDefault="00D3344B">
            <w:pPr>
              <w:widowControl w:val="0"/>
              <w:jc w:val="both"/>
              <w:rPr>
                <w:rFonts w:ascii="Arial" w:hAnsi="Arial" w:cs="Arial"/>
              </w:rPr>
            </w:pPr>
          </w:p>
        </w:tc>
        <w:tc>
          <w:tcPr>
            <w:tcW w:w="5670" w:type="dxa"/>
            <w:vAlign w:val="bottom"/>
          </w:tcPr>
          <w:p w14:paraId="0B30FBA5" w14:textId="77777777" w:rsidR="00D3344B" w:rsidRDefault="00143C25">
            <w:pPr>
              <w:widowControl w:val="0"/>
              <w:spacing w:after="0"/>
              <w:ind w:left="355" w:hanging="355"/>
              <w:rPr>
                <w:rFonts w:ascii="Arial" w:hAnsi="Arial" w:cs="Arial"/>
              </w:rPr>
            </w:pPr>
            <w:r>
              <w:rPr>
                <w:rFonts w:ascii="Arial" w:hAnsi="Arial" w:cs="Arial"/>
                <w:i/>
                <w:sz w:val="16"/>
              </w:rPr>
              <w:t>(REFORMADA, P.O. 29 DE NOVIEMBRE DE 2023)</w:t>
            </w:r>
          </w:p>
        </w:tc>
        <w:tc>
          <w:tcPr>
            <w:tcW w:w="2340" w:type="dxa"/>
          </w:tcPr>
          <w:p w14:paraId="71329106" w14:textId="77777777" w:rsidR="00D3344B" w:rsidRDefault="00D3344B">
            <w:pPr>
              <w:widowControl w:val="0"/>
              <w:spacing w:after="1" w:line="271" w:lineRule="auto"/>
              <w:ind w:firstLine="241"/>
              <w:rPr>
                <w:rFonts w:ascii="Arial" w:hAnsi="Arial" w:cs="Arial"/>
                <w:b/>
              </w:rPr>
            </w:pPr>
          </w:p>
        </w:tc>
      </w:tr>
      <w:tr w:rsidR="00D3344B" w14:paraId="59B03EB0" w14:textId="77777777">
        <w:tc>
          <w:tcPr>
            <w:tcW w:w="704" w:type="dxa"/>
          </w:tcPr>
          <w:p w14:paraId="65127CA7" w14:textId="77777777" w:rsidR="00D3344B" w:rsidRDefault="00143C25">
            <w:pPr>
              <w:widowControl w:val="0"/>
              <w:jc w:val="both"/>
              <w:rPr>
                <w:rFonts w:ascii="Arial" w:hAnsi="Arial" w:cs="Arial"/>
              </w:rPr>
            </w:pPr>
            <w:r>
              <w:rPr>
                <w:rFonts w:ascii="Arial" w:hAnsi="Arial" w:cs="Arial"/>
              </w:rPr>
              <w:t>XIV.</w:t>
            </w:r>
          </w:p>
        </w:tc>
        <w:tc>
          <w:tcPr>
            <w:tcW w:w="5670" w:type="dxa"/>
          </w:tcPr>
          <w:p w14:paraId="1145029D" w14:textId="77777777" w:rsidR="00D3344B" w:rsidRDefault="00143C25">
            <w:pPr>
              <w:widowControl w:val="0"/>
              <w:jc w:val="both"/>
              <w:rPr>
                <w:rFonts w:ascii="Arial" w:hAnsi="Arial" w:cs="Arial"/>
              </w:rPr>
            </w:pPr>
            <w:r>
              <w:rPr>
                <w:rFonts w:ascii="Arial" w:hAnsi="Arial" w:cs="Arial"/>
              </w:rPr>
              <w:t>Por la certificación de ejemplares que obran en el acervo documental del Periódico Oficial:</w:t>
            </w:r>
          </w:p>
        </w:tc>
        <w:tc>
          <w:tcPr>
            <w:tcW w:w="2340" w:type="dxa"/>
          </w:tcPr>
          <w:p w14:paraId="1F8202C0" w14:textId="77777777" w:rsidR="00D3344B" w:rsidRDefault="00D3344B">
            <w:pPr>
              <w:widowControl w:val="0"/>
              <w:jc w:val="both"/>
              <w:rPr>
                <w:rFonts w:ascii="Arial" w:hAnsi="Arial" w:cs="Arial"/>
              </w:rPr>
            </w:pPr>
          </w:p>
        </w:tc>
      </w:tr>
      <w:tr w:rsidR="00D3344B" w14:paraId="282B2E82" w14:textId="77777777">
        <w:tc>
          <w:tcPr>
            <w:tcW w:w="704" w:type="dxa"/>
          </w:tcPr>
          <w:p w14:paraId="5961D5F4" w14:textId="77777777" w:rsidR="00D3344B" w:rsidRDefault="00D3344B">
            <w:pPr>
              <w:widowControl w:val="0"/>
              <w:jc w:val="both"/>
              <w:rPr>
                <w:rFonts w:ascii="Arial" w:hAnsi="Arial" w:cs="Arial"/>
              </w:rPr>
            </w:pPr>
          </w:p>
        </w:tc>
        <w:tc>
          <w:tcPr>
            <w:tcW w:w="5670" w:type="dxa"/>
          </w:tcPr>
          <w:p w14:paraId="1959E0B0" w14:textId="77777777" w:rsidR="00D3344B" w:rsidRDefault="00143C25">
            <w:pPr>
              <w:widowControl w:val="0"/>
              <w:jc w:val="both"/>
              <w:rPr>
                <w:rFonts w:ascii="Arial" w:hAnsi="Arial" w:cs="Arial"/>
              </w:rPr>
            </w:pPr>
            <w:r>
              <w:rPr>
                <w:rFonts w:ascii="Arial" w:hAnsi="Arial" w:cs="Arial"/>
              </w:rPr>
              <w:t>a) De hasta 20 páginas</w:t>
            </w:r>
          </w:p>
        </w:tc>
        <w:tc>
          <w:tcPr>
            <w:tcW w:w="2340" w:type="dxa"/>
          </w:tcPr>
          <w:p w14:paraId="280D7AC2" w14:textId="77777777" w:rsidR="00D3344B" w:rsidRDefault="00143C25">
            <w:pPr>
              <w:widowControl w:val="0"/>
              <w:jc w:val="both"/>
              <w:rPr>
                <w:rFonts w:ascii="Arial" w:hAnsi="Arial" w:cs="Arial"/>
                <w:b/>
              </w:rPr>
            </w:pPr>
            <w:r>
              <w:rPr>
                <w:rFonts w:ascii="Arial" w:hAnsi="Arial" w:cs="Arial"/>
                <w:b/>
              </w:rPr>
              <w:t>0.5 UMA</w:t>
            </w:r>
          </w:p>
        </w:tc>
      </w:tr>
      <w:tr w:rsidR="00D3344B" w14:paraId="65C3430B" w14:textId="77777777">
        <w:tc>
          <w:tcPr>
            <w:tcW w:w="704" w:type="dxa"/>
          </w:tcPr>
          <w:p w14:paraId="1BA3F663" w14:textId="77777777" w:rsidR="00D3344B" w:rsidRDefault="00D3344B">
            <w:pPr>
              <w:widowControl w:val="0"/>
              <w:jc w:val="both"/>
              <w:rPr>
                <w:rFonts w:ascii="Arial" w:hAnsi="Arial" w:cs="Arial"/>
              </w:rPr>
            </w:pPr>
          </w:p>
        </w:tc>
        <w:tc>
          <w:tcPr>
            <w:tcW w:w="5670" w:type="dxa"/>
          </w:tcPr>
          <w:p w14:paraId="7C30008A" w14:textId="77777777" w:rsidR="00D3344B" w:rsidRDefault="00143C25">
            <w:pPr>
              <w:widowControl w:val="0"/>
              <w:jc w:val="both"/>
              <w:rPr>
                <w:rFonts w:ascii="Arial" w:hAnsi="Arial" w:cs="Arial"/>
              </w:rPr>
            </w:pPr>
            <w:r>
              <w:rPr>
                <w:rFonts w:ascii="Arial" w:hAnsi="Arial" w:cs="Arial"/>
              </w:rPr>
              <w:t>b) Por cada 10 páginas o fracción adicionales a lo estipulado en el inciso anterior que contenga el ejemplar a certificar</w:t>
            </w:r>
          </w:p>
        </w:tc>
        <w:tc>
          <w:tcPr>
            <w:tcW w:w="2340" w:type="dxa"/>
          </w:tcPr>
          <w:p w14:paraId="5891A066" w14:textId="77777777" w:rsidR="00D3344B" w:rsidRDefault="00143C25">
            <w:pPr>
              <w:widowControl w:val="0"/>
              <w:jc w:val="both"/>
              <w:rPr>
                <w:rFonts w:ascii="Arial" w:hAnsi="Arial" w:cs="Arial"/>
                <w:b/>
              </w:rPr>
            </w:pPr>
            <w:r>
              <w:rPr>
                <w:rFonts w:ascii="Arial" w:hAnsi="Arial" w:cs="Arial"/>
                <w:b/>
              </w:rPr>
              <w:t>0.25 UMA</w:t>
            </w:r>
          </w:p>
        </w:tc>
      </w:tr>
      <w:tr w:rsidR="00D3344B" w14:paraId="1909BD65" w14:textId="77777777">
        <w:tc>
          <w:tcPr>
            <w:tcW w:w="704" w:type="dxa"/>
          </w:tcPr>
          <w:p w14:paraId="0EEFDC9C" w14:textId="77777777" w:rsidR="00D3344B" w:rsidRDefault="00D3344B">
            <w:pPr>
              <w:widowControl w:val="0"/>
              <w:spacing w:after="0"/>
              <w:jc w:val="both"/>
              <w:rPr>
                <w:rFonts w:ascii="Arial" w:hAnsi="Arial" w:cs="Arial"/>
              </w:rPr>
            </w:pPr>
          </w:p>
        </w:tc>
        <w:tc>
          <w:tcPr>
            <w:tcW w:w="5670" w:type="dxa"/>
            <w:vAlign w:val="bottom"/>
          </w:tcPr>
          <w:p w14:paraId="22EEF775" w14:textId="77777777" w:rsidR="00D3344B" w:rsidRDefault="00143C25">
            <w:pPr>
              <w:pStyle w:val="Sinespaciado"/>
              <w:widowControl w:val="0"/>
              <w:rPr>
                <w:rFonts w:ascii="Arial" w:hAnsi="Arial" w:cs="Arial"/>
                <w:sz w:val="16"/>
                <w:szCs w:val="16"/>
              </w:rPr>
            </w:pPr>
            <w:r>
              <w:rPr>
                <w:rFonts w:ascii="Arial" w:hAnsi="Arial" w:cs="Arial"/>
                <w:i/>
                <w:sz w:val="16"/>
                <w:szCs w:val="16"/>
              </w:rPr>
              <w:t>(REFORMADA, P.O. 21 DE JUNIO DE 2021)</w:t>
            </w:r>
          </w:p>
        </w:tc>
        <w:tc>
          <w:tcPr>
            <w:tcW w:w="2340" w:type="dxa"/>
          </w:tcPr>
          <w:p w14:paraId="4498127A" w14:textId="77777777" w:rsidR="00D3344B" w:rsidRDefault="00D3344B">
            <w:pPr>
              <w:widowControl w:val="0"/>
              <w:spacing w:after="0"/>
              <w:jc w:val="both"/>
              <w:rPr>
                <w:rFonts w:ascii="Arial" w:hAnsi="Arial" w:cs="Arial"/>
              </w:rPr>
            </w:pPr>
          </w:p>
        </w:tc>
      </w:tr>
      <w:tr w:rsidR="00D3344B" w14:paraId="5B9FDA30" w14:textId="77777777">
        <w:tc>
          <w:tcPr>
            <w:tcW w:w="704" w:type="dxa"/>
          </w:tcPr>
          <w:p w14:paraId="25B394D3" w14:textId="77777777" w:rsidR="00D3344B" w:rsidRDefault="00143C25">
            <w:pPr>
              <w:pStyle w:val="Sinespaciado"/>
              <w:widowControl w:val="0"/>
              <w:jc w:val="both"/>
              <w:rPr>
                <w:rFonts w:ascii="Arial" w:hAnsi="Arial" w:cs="Arial"/>
              </w:rPr>
            </w:pPr>
            <w:r>
              <w:rPr>
                <w:rFonts w:ascii="Arial" w:hAnsi="Arial" w:cs="Arial"/>
              </w:rPr>
              <w:t>XV.</w:t>
            </w:r>
          </w:p>
        </w:tc>
        <w:tc>
          <w:tcPr>
            <w:tcW w:w="5670" w:type="dxa"/>
          </w:tcPr>
          <w:p w14:paraId="756120EA" w14:textId="77777777" w:rsidR="00D3344B" w:rsidRDefault="00143C25">
            <w:pPr>
              <w:pStyle w:val="Sinespaciado"/>
              <w:widowControl w:val="0"/>
              <w:jc w:val="both"/>
              <w:rPr>
                <w:rFonts w:ascii="Arial" w:hAnsi="Arial" w:cs="Arial"/>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que </w:t>
            </w:r>
            <w:proofErr w:type="spellStart"/>
            <w:r>
              <w:rPr>
                <w:rFonts w:ascii="Arial" w:hAnsi="Arial" w:cs="Arial"/>
              </w:rPr>
              <w:t>haga</w:t>
            </w:r>
            <w:proofErr w:type="spellEnd"/>
            <w:r>
              <w:rPr>
                <w:rFonts w:ascii="Arial" w:hAnsi="Arial" w:cs="Arial"/>
              </w:rPr>
              <w:t xml:space="preserve"> la </w:t>
            </w:r>
            <w:proofErr w:type="spellStart"/>
            <w:r>
              <w:rPr>
                <w:rFonts w:ascii="Arial" w:hAnsi="Arial" w:cs="Arial"/>
              </w:rPr>
              <w:t>Dirección</w:t>
            </w:r>
            <w:proofErr w:type="spellEnd"/>
            <w:r>
              <w:rPr>
                <w:rFonts w:ascii="Arial" w:hAnsi="Arial" w:cs="Arial"/>
              </w:rPr>
              <w:t xml:space="preserve"> de la </w:t>
            </w:r>
            <w:proofErr w:type="spellStart"/>
            <w:r>
              <w:rPr>
                <w:rFonts w:ascii="Arial" w:hAnsi="Arial" w:cs="Arial"/>
              </w:rPr>
              <w:t>Coordinación</w:t>
            </w:r>
            <w:proofErr w:type="spellEnd"/>
            <w:r>
              <w:rPr>
                <w:rFonts w:ascii="Arial" w:hAnsi="Arial" w:cs="Arial"/>
              </w:rPr>
              <w:t xml:space="preserve"> del </w:t>
            </w:r>
            <w:proofErr w:type="spellStart"/>
            <w:r>
              <w:rPr>
                <w:rFonts w:ascii="Arial" w:hAnsi="Arial" w:cs="Arial"/>
              </w:rPr>
              <w:t>Registro</w:t>
            </w:r>
            <w:proofErr w:type="spellEnd"/>
            <w:r>
              <w:rPr>
                <w:rFonts w:ascii="Arial" w:hAnsi="Arial" w:cs="Arial"/>
              </w:rPr>
              <w:t xml:space="preserve"> Civil de </w:t>
            </w:r>
            <w:proofErr w:type="spellStart"/>
            <w:r>
              <w:rPr>
                <w:rFonts w:ascii="Arial" w:hAnsi="Arial" w:cs="Arial"/>
              </w:rPr>
              <w:t>copias</w:t>
            </w:r>
            <w:proofErr w:type="spellEnd"/>
            <w:r>
              <w:rPr>
                <w:rFonts w:ascii="Arial" w:hAnsi="Arial" w:cs="Arial"/>
              </w:rPr>
              <w:t xml:space="preserve"> </w:t>
            </w:r>
            <w:proofErr w:type="spellStart"/>
            <w:r>
              <w:rPr>
                <w:rFonts w:ascii="Arial" w:hAnsi="Arial" w:cs="Arial"/>
              </w:rPr>
              <w:t>certificadas</w:t>
            </w:r>
            <w:proofErr w:type="spellEnd"/>
            <w:r>
              <w:rPr>
                <w:rFonts w:ascii="Arial" w:hAnsi="Arial" w:cs="Arial"/>
              </w:rPr>
              <w:t xml:space="preserve"> de </w:t>
            </w:r>
            <w:proofErr w:type="spellStart"/>
            <w:r>
              <w:rPr>
                <w:rFonts w:ascii="Arial" w:hAnsi="Arial" w:cs="Arial"/>
              </w:rPr>
              <w:t>actas</w:t>
            </w:r>
            <w:proofErr w:type="spellEnd"/>
            <w:r>
              <w:rPr>
                <w:rFonts w:ascii="Arial" w:hAnsi="Arial" w:cs="Arial"/>
              </w:rPr>
              <w:t xml:space="preserve"> </w:t>
            </w:r>
            <w:proofErr w:type="spellStart"/>
            <w:r>
              <w:rPr>
                <w:rFonts w:ascii="Arial" w:hAnsi="Arial" w:cs="Arial"/>
              </w:rPr>
              <w:t>interestatales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formas</w:t>
            </w:r>
            <w:proofErr w:type="spellEnd"/>
            <w:r>
              <w:rPr>
                <w:rFonts w:ascii="Arial" w:hAnsi="Arial" w:cs="Arial"/>
              </w:rPr>
              <w:t xml:space="preserve"> </w:t>
            </w:r>
            <w:proofErr w:type="spellStart"/>
            <w:r>
              <w:rPr>
                <w:rFonts w:ascii="Arial" w:hAnsi="Arial" w:cs="Arial"/>
              </w:rPr>
              <w:t>valoradas</w:t>
            </w:r>
            <w:proofErr w:type="spellEnd"/>
            <w:r>
              <w:rPr>
                <w:rFonts w:ascii="Arial" w:hAnsi="Arial" w:cs="Arial"/>
              </w:rPr>
              <w:t xml:space="preserve"> del </w:t>
            </w:r>
            <w:proofErr w:type="spellStart"/>
            <w:r>
              <w:rPr>
                <w:rFonts w:ascii="Arial" w:hAnsi="Arial" w:cs="Arial"/>
              </w:rPr>
              <w:t>Gobierno</w:t>
            </w:r>
            <w:proofErr w:type="spellEnd"/>
            <w:r>
              <w:rPr>
                <w:rFonts w:ascii="Arial" w:hAnsi="Arial" w:cs="Arial"/>
              </w:rPr>
              <w:t xml:space="preserve"> del Estado de Tlaxcala.</w:t>
            </w:r>
          </w:p>
        </w:tc>
        <w:tc>
          <w:tcPr>
            <w:tcW w:w="2340" w:type="dxa"/>
          </w:tcPr>
          <w:p w14:paraId="2A38AF0A" w14:textId="77777777" w:rsidR="00D3344B" w:rsidRDefault="00143C25">
            <w:pPr>
              <w:pStyle w:val="Sinespaciado"/>
              <w:widowControl w:val="0"/>
              <w:jc w:val="both"/>
              <w:rPr>
                <w:rFonts w:ascii="Arial" w:hAnsi="Arial" w:cs="Arial"/>
              </w:rPr>
            </w:pPr>
            <w:r>
              <w:rPr>
                <w:rFonts w:ascii="Arial" w:hAnsi="Arial" w:cs="Arial"/>
                <w:b/>
              </w:rPr>
              <w:t>4 UMA</w:t>
            </w:r>
          </w:p>
        </w:tc>
      </w:tr>
    </w:tbl>
    <w:p w14:paraId="1E824F30" w14:textId="77777777" w:rsidR="00D3344B" w:rsidRDefault="00D3344B">
      <w:pPr>
        <w:pStyle w:val="Estilo"/>
        <w:rPr>
          <w:rFonts w:cs="Arial"/>
        </w:rPr>
      </w:pPr>
    </w:p>
    <w:p w14:paraId="08249F8F" w14:textId="77777777" w:rsidR="00D3344B" w:rsidRDefault="00143C25">
      <w:pPr>
        <w:pStyle w:val="Estilo"/>
        <w:rPr>
          <w:rFonts w:cs="Arial"/>
        </w:rPr>
      </w:pPr>
      <w:r>
        <w:rPr>
          <w:rFonts w:cs="Arial"/>
          <w:i/>
          <w:sz w:val="16"/>
          <w:szCs w:val="16"/>
        </w:rPr>
        <w:t>(ADICIONADA, P.O. 21 DE JUNIO DE 2021)</w:t>
      </w:r>
    </w:p>
    <w:p w14:paraId="0009F07E" w14:textId="77777777" w:rsidR="00D3344B" w:rsidRDefault="00143C25">
      <w:pPr>
        <w:pStyle w:val="Estilo"/>
        <w:rPr>
          <w:rFonts w:cs="Arial"/>
        </w:rPr>
      </w:pPr>
      <w:r>
        <w:rPr>
          <w:rFonts w:cs="Arial"/>
        </w:rPr>
        <w:t>XVI. Por la expedición de certificados de resolución de los procedimientos administrativos de rectificación de acta del estado civil, se cobrará de acuerdo a lo siguiente:</w:t>
      </w:r>
    </w:p>
    <w:p w14:paraId="185BC673" w14:textId="77777777" w:rsidR="00D3344B" w:rsidRDefault="00D3344B">
      <w:pPr>
        <w:pStyle w:val="Estilo"/>
        <w:rPr>
          <w:rFonts w:cs="Arial"/>
        </w:rPr>
      </w:pPr>
    </w:p>
    <w:tbl>
      <w:tblPr>
        <w:tblStyle w:val="TableGrid"/>
        <w:tblW w:w="8161" w:type="dxa"/>
        <w:tblInd w:w="216" w:type="dxa"/>
        <w:tblLayout w:type="fixed"/>
        <w:tblLook w:val="04A0" w:firstRow="1" w:lastRow="0" w:firstColumn="1" w:lastColumn="0" w:noHBand="0" w:noVBand="1"/>
      </w:tblPr>
      <w:tblGrid>
        <w:gridCol w:w="7416"/>
        <w:gridCol w:w="745"/>
      </w:tblGrid>
      <w:tr w:rsidR="00D3344B" w14:paraId="4CA2F986" w14:textId="77777777">
        <w:trPr>
          <w:trHeight w:val="312"/>
        </w:trPr>
        <w:tc>
          <w:tcPr>
            <w:tcW w:w="7415" w:type="dxa"/>
          </w:tcPr>
          <w:p w14:paraId="13D8F7DB" w14:textId="77777777" w:rsidR="00D3344B" w:rsidRDefault="00143C25">
            <w:pPr>
              <w:spacing w:after="160" w:line="259" w:lineRule="auto"/>
              <w:rPr>
                <w:rFonts w:ascii="Arial" w:hAnsi="Arial" w:cs="Arial"/>
              </w:rPr>
            </w:pPr>
            <w:r>
              <w:rPr>
                <w:rFonts w:ascii="Arial" w:hAnsi="Arial" w:cs="Arial"/>
              </w:rPr>
              <w:t>a) En acta de nacimiento.</w:t>
            </w:r>
          </w:p>
        </w:tc>
        <w:tc>
          <w:tcPr>
            <w:tcW w:w="745" w:type="dxa"/>
          </w:tcPr>
          <w:p w14:paraId="05A95809" w14:textId="77777777" w:rsidR="00D3344B" w:rsidRDefault="00143C25">
            <w:pPr>
              <w:spacing w:after="0" w:line="259" w:lineRule="auto"/>
              <w:rPr>
                <w:rFonts w:ascii="Arial" w:hAnsi="Arial" w:cs="Arial"/>
              </w:rPr>
            </w:pPr>
            <w:r>
              <w:rPr>
                <w:rFonts w:ascii="Arial" w:hAnsi="Arial" w:cs="Arial"/>
                <w:b/>
              </w:rPr>
              <w:t xml:space="preserve">8 UMA </w:t>
            </w:r>
          </w:p>
        </w:tc>
      </w:tr>
      <w:tr w:rsidR="00D3344B" w14:paraId="4099E900" w14:textId="77777777">
        <w:trPr>
          <w:trHeight w:val="500"/>
        </w:trPr>
        <w:tc>
          <w:tcPr>
            <w:tcW w:w="7415" w:type="dxa"/>
          </w:tcPr>
          <w:p w14:paraId="234B706D" w14:textId="77777777" w:rsidR="00D3344B" w:rsidRDefault="00143C25">
            <w:pPr>
              <w:spacing w:after="0" w:line="259" w:lineRule="auto"/>
              <w:rPr>
                <w:rFonts w:ascii="Arial" w:hAnsi="Arial" w:cs="Arial"/>
              </w:rPr>
            </w:pPr>
            <w:r>
              <w:rPr>
                <w:rFonts w:ascii="Arial" w:hAnsi="Arial" w:cs="Arial"/>
              </w:rPr>
              <w:t xml:space="preserve">b) En acta de adopción  </w:t>
            </w:r>
          </w:p>
        </w:tc>
        <w:tc>
          <w:tcPr>
            <w:tcW w:w="745" w:type="dxa"/>
            <w:vAlign w:val="bottom"/>
          </w:tcPr>
          <w:p w14:paraId="2024D8B2" w14:textId="77777777" w:rsidR="00D3344B" w:rsidRDefault="00143C25">
            <w:pPr>
              <w:spacing w:after="0" w:line="259" w:lineRule="auto"/>
              <w:rPr>
                <w:rFonts w:ascii="Arial" w:hAnsi="Arial" w:cs="Arial"/>
              </w:rPr>
            </w:pPr>
            <w:r>
              <w:rPr>
                <w:rFonts w:ascii="Arial" w:hAnsi="Arial" w:cs="Arial"/>
                <w:b/>
              </w:rPr>
              <w:t xml:space="preserve">8 UMA </w:t>
            </w:r>
          </w:p>
        </w:tc>
      </w:tr>
      <w:tr w:rsidR="00D3344B" w14:paraId="05C91214" w14:textId="77777777">
        <w:trPr>
          <w:trHeight w:val="510"/>
        </w:trPr>
        <w:tc>
          <w:tcPr>
            <w:tcW w:w="7415" w:type="dxa"/>
          </w:tcPr>
          <w:p w14:paraId="6B8C71A6" w14:textId="77777777" w:rsidR="00D3344B" w:rsidRDefault="00143C25">
            <w:pPr>
              <w:spacing w:after="0" w:line="259" w:lineRule="auto"/>
              <w:rPr>
                <w:rFonts w:ascii="Arial" w:hAnsi="Arial" w:cs="Arial"/>
              </w:rPr>
            </w:pPr>
            <w:r>
              <w:rPr>
                <w:rFonts w:ascii="Arial" w:hAnsi="Arial" w:cs="Arial"/>
              </w:rPr>
              <w:t xml:space="preserve">c) En acta de matrimonio </w:t>
            </w:r>
          </w:p>
        </w:tc>
        <w:tc>
          <w:tcPr>
            <w:tcW w:w="745" w:type="dxa"/>
            <w:vAlign w:val="bottom"/>
          </w:tcPr>
          <w:p w14:paraId="05F0E68B" w14:textId="77777777" w:rsidR="00D3344B" w:rsidRDefault="00143C25">
            <w:pPr>
              <w:spacing w:after="0" w:line="259" w:lineRule="auto"/>
              <w:rPr>
                <w:rFonts w:ascii="Arial" w:hAnsi="Arial" w:cs="Arial"/>
              </w:rPr>
            </w:pPr>
            <w:r>
              <w:rPr>
                <w:rFonts w:ascii="Arial" w:hAnsi="Arial" w:cs="Arial"/>
                <w:b/>
              </w:rPr>
              <w:t xml:space="preserve">8 UMA </w:t>
            </w:r>
          </w:p>
        </w:tc>
      </w:tr>
      <w:tr w:rsidR="00D3344B" w14:paraId="28FFE6EC" w14:textId="77777777">
        <w:trPr>
          <w:trHeight w:val="389"/>
        </w:trPr>
        <w:tc>
          <w:tcPr>
            <w:tcW w:w="7415" w:type="dxa"/>
          </w:tcPr>
          <w:p w14:paraId="0DC749DB" w14:textId="77777777" w:rsidR="00D3344B" w:rsidRDefault="00143C25">
            <w:pPr>
              <w:spacing w:after="0" w:line="259" w:lineRule="auto"/>
              <w:rPr>
                <w:rFonts w:ascii="Arial" w:hAnsi="Arial" w:cs="Arial"/>
              </w:rPr>
            </w:pPr>
            <w:r>
              <w:rPr>
                <w:rFonts w:ascii="Arial" w:hAnsi="Arial" w:cs="Arial"/>
              </w:rPr>
              <w:t xml:space="preserve">d) En acta de defunción </w:t>
            </w:r>
          </w:p>
        </w:tc>
        <w:tc>
          <w:tcPr>
            <w:tcW w:w="745" w:type="dxa"/>
            <w:vAlign w:val="bottom"/>
          </w:tcPr>
          <w:p w14:paraId="31692011" w14:textId="77777777" w:rsidR="00D3344B" w:rsidRDefault="00143C25">
            <w:pPr>
              <w:spacing w:after="0" w:line="259" w:lineRule="auto"/>
              <w:rPr>
                <w:rFonts w:ascii="Arial" w:hAnsi="Arial" w:cs="Arial"/>
              </w:rPr>
            </w:pPr>
            <w:r>
              <w:rPr>
                <w:rFonts w:ascii="Arial" w:hAnsi="Arial" w:cs="Arial"/>
                <w:b/>
              </w:rPr>
              <w:t xml:space="preserve">8 UMA </w:t>
            </w:r>
          </w:p>
        </w:tc>
      </w:tr>
      <w:tr w:rsidR="00D3344B" w14:paraId="747675AD" w14:textId="77777777">
        <w:trPr>
          <w:trHeight w:val="389"/>
        </w:trPr>
        <w:tc>
          <w:tcPr>
            <w:tcW w:w="7415" w:type="dxa"/>
          </w:tcPr>
          <w:p w14:paraId="7C4AAECB" w14:textId="77777777" w:rsidR="00D3344B" w:rsidRDefault="00143C25">
            <w:pPr>
              <w:spacing w:after="0" w:line="259" w:lineRule="auto"/>
              <w:rPr>
                <w:rFonts w:ascii="Arial" w:hAnsi="Arial" w:cs="Arial"/>
              </w:rPr>
            </w:pPr>
            <w:r>
              <w:rPr>
                <w:rFonts w:ascii="Arial" w:hAnsi="Arial" w:cs="Arial"/>
              </w:rPr>
              <w:t xml:space="preserve">e) En acta de divorcio   </w:t>
            </w:r>
          </w:p>
        </w:tc>
        <w:tc>
          <w:tcPr>
            <w:tcW w:w="745" w:type="dxa"/>
            <w:vAlign w:val="bottom"/>
          </w:tcPr>
          <w:p w14:paraId="58209163" w14:textId="77777777" w:rsidR="00D3344B" w:rsidRDefault="00143C25">
            <w:pPr>
              <w:spacing w:after="0" w:line="259" w:lineRule="auto"/>
              <w:rPr>
                <w:rFonts w:ascii="Arial" w:hAnsi="Arial" w:cs="Arial"/>
                <w:b/>
              </w:rPr>
            </w:pPr>
            <w:r>
              <w:rPr>
                <w:rFonts w:ascii="Arial" w:hAnsi="Arial" w:cs="Arial"/>
                <w:b/>
              </w:rPr>
              <w:t>8 UMA</w:t>
            </w:r>
          </w:p>
        </w:tc>
      </w:tr>
    </w:tbl>
    <w:p w14:paraId="7F8D7191" w14:textId="77777777" w:rsidR="00D3344B" w:rsidRDefault="00D3344B">
      <w:pPr>
        <w:pStyle w:val="Estilo"/>
        <w:rPr>
          <w:rFonts w:cs="Arial"/>
        </w:rPr>
      </w:pPr>
    </w:p>
    <w:p w14:paraId="704AD477" w14:textId="77777777" w:rsidR="00D3344B" w:rsidRDefault="00143C25">
      <w:pPr>
        <w:pStyle w:val="Estilo"/>
        <w:rPr>
          <w:rFonts w:cs="Arial"/>
        </w:rPr>
      </w:pPr>
      <w:r>
        <w:rPr>
          <w:rFonts w:cs="Arial"/>
          <w:i/>
          <w:sz w:val="16"/>
          <w:szCs w:val="16"/>
        </w:rPr>
        <w:t>(ADICIONADA, P.O. 21 DE JUNIO DE 2021)</w:t>
      </w:r>
    </w:p>
    <w:p w14:paraId="01C5BEC3" w14:textId="77777777" w:rsidR="00D3344B" w:rsidRDefault="00143C25">
      <w:pPr>
        <w:pStyle w:val="Estilo"/>
        <w:rPr>
          <w:rFonts w:cs="Arial"/>
        </w:rPr>
      </w:pPr>
      <w:r>
        <w:rPr>
          <w:rFonts w:cs="Arial"/>
        </w:rPr>
        <w:t>XVII. Por la anotación marginal que se haga en los libros existentes en el Archivo de la Dirección de la Coordinación del Registro Civil, por la Rectificación Administrativa o Judicial, se cobrará de acuerdo a lo siguiente:</w:t>
      </w:r>
    </w:p>
    <w:p w14:paraId="1A33F71D" w14:textId="77777777" w:rsidR="00D3344B" w:rsidRDefault="00D3344B">
      <w:pPr>
        <w:pStyle w:val="Estilo"/>
        <w:rPr>
          <w:rFonts w:cs="Arial"/>
        </w:rPr>
      </w:pPr>
    </w:p>
    <w:tbl>
      <w:tblPr>
        <w:tblStyle w:val="TableGrid"/>
        <w:tblW w:w="8573" w:type="dxa"/>
        <w:tblInd w:w="216" w:type="dxa"/>
        <w:tblLayout w:type="fixed"/>
        <w:tblLook w:val="04A0" w:firstRow="1" w:lastRow="0" w:firstColumn="1" w:lastColumn="0" w:noHBand="0" w:noVBand="1"/>
      </w:tblPr>
      <w:tblGrid>
        <w:gridCol w:w="7360"/>
        <w:gridCol w:w="1213"/>
      </w:tblGrid>
      <w:tr w:rsidR="00D3344B" w14:paraId="49C9C475" w14:textId="77777777">
        <w:trPr>
          <w:trHeight w:val="432"/>
        </w:trPr>
        <w:tc>
          <w:tcPr>
            <w:tcW w:w="7359" w:type="dxa"/>
          </w:tcPr>
          <w:p w14:paraId="569BD6D2" w14:textId="77777777" w:rsidR="00D3344B" w:rsidRDefault="00143C25">
            <w:pPr>
              <w:spacing w:after="0" w:line="259" w:lineRule="auto"/>
              <w:rPr>
                <w:rFonts w:ascii="Arial" w:hAnsi="Arial" w:cs="Arial"/>
              </w:rPr>
            </w:pPr>
            <w:r>
              <w:rPr>
                <w:rFonts w:ascii="Arial" w:hAnsi="Arial" w:cs="Arial"/>
              </w:rPr>
              <w:t xml:space="preserve">a) En acta de nacimiento  </w:t>
            </w:r>
          </w:p>
        </w:tc>
        <w:tc>
          <w:tcPr>
            <w:tcW w:w="1213" w:type="dxa"/>
          </w:tcPr>
          <w:p w14:paraId="338D2B7A" w14:textId="77777777" w:rsidR="00D3344B" w:rsidRDefault="00143C25">
            <w:pPr>
              <w:spacing w:after="0" w:line="259" w:lineRule="auto"/>
              <w:ind w:left="55"/>
              <w:rPr>
                <w:rFonts w:ascii="Arial" w:hAnsi="Arial" w:cs="Arial"/>
              </w:rPr>
            </w:pPr>
            <w:r>
              <w:rPr>
                <w:rFonts w:ascii="Arial" w:hAnsi="Arial" w:cs="Arial"/>
                <w:b/>
              </w:rPr>
              <w:t xml:space="preserve">8 UMA </w:t>
            </w:r>
          </w:p>
        </w:tc>
      </w:tr>
      <w:tr w:rsidR="00D3344B" w14:paraId="17EED253" w14:textId="77777777">
        <w:trPr>
          <w:trHeight w:val="510"/>
        </w:trPr>
        <w:tc>
          <w:tcPr>
            <w:tcW w:w="7359" w:type="dxa"/>
          </w:tcPr>
          <w:p w14:paraId="5C828DE0" w14:textId="77777777" w:rsidR="00D3344B" w:rsidRDefault="00143C25">
            <w:pPr>
              <w:spacing w:after="0" w:line="259" w:lineRule="auto"/>
              <w:rPr>
                <w:rFonts w:ascii="Arial" w:hAnsi="Arial" w:cs="Arial"/>
              </w:rPr>
            </w:pPr>
            <w:r>
              <w:rPr>
                <w:rFonts w:ascii="Arial" w:hAnsi="Arial" w:cs="Arial"/>
              </w:rPr>
              <w:t xml:space="preserve">b) En acta de adopción  </w:t>
            </w:r>
          </w:p>
        </w:tc>
        <w:tc>
          <w:tcPr>
            <w:tcW w:w="1213" w:type="dxa"/>
            <w:vAlign w:val="bottom"/>
          </w:tcPr>
          <w:p w14:paraId="1789AE42" w14:textId="77777777" w:rsidR="00D3344B" w:rsidRDefault="00143C25">
            <w:pPr>
              <w:spacing w:after="0" w:line="259" w:lineRule="auto"/>
              <w:ind w:left="55"/>
              <w:rPr>
                <w:rFonts w:ascii="Arial" w:hAnsi="Arial" w:cs="Arial"/>
              </w:rPr>
            </w:pPr>
            <w:r>
              <w:rPr>
                <w:rFonts w:ascii="Arial" w:hAnsi="Arial" w:cs="Arial"/>
                <w:b/>
              </w:rPr>
              <w:t xml:space="preserve">8 UMA </w:t>
            </w:r>
          </w:p>
        </w:tc>
      </w:tr>
      <w:tr w:rsidR="00D3344B" w14:paraId="7B563C0B" w14:textId="77777777">
        <w:trPr>
          <w:trHeight w:val="510"/>
        </w:trPr>
        <w:tc>
          <w:tcPr>
            <w:tcW w:w="7359" w:type="dxa"/>
          </w:tcPr>
          <w:p w14:paraId="40078468" w14:textId="77777777" w:rsidR="00D3344B" w:rsidRDefault="00143C25">
            <w:pPr>
              <w:spacing w:after="0" w:line="259" w:lineRule="auto"/>
              <w:rPr>
                <w:rFonts w:ascii="Arial" w:hAnsi="Arial" w:cs="Arial"/>
              </w:rPr>
            </w:pPr>
            <w:r>
              <w:rPr>
                <w:rFonts w:ascii="Arial" w:hAnsi="Arial" w:cs="Arial"/>
              </w:rPr>
              <w:t xml:space="preserve">c) En acta de matrimonio  </w:t>
            </w:r>
          </w:p>
        </w:tc>
        <w:tc>
          <w:tcPr>
            <w:tcW w:w="1213" w:type="dxa"/>
            <w:vAlign w:val="bottom"/>
          </w:tcPr>
          <w:p w14:paraId="7B6F63D7" w14:textId="77777777" w:rsidR="00D3344B" w:rsidRDefault="00143C25">
            <w:pPr>
              <w:spacing w:after="0" w:line="259" w:lineRule="auto"/>
              <w:rPr>
                <w:rFonts w:ascii="Arial" w:hAnsi="Arial" w:cs="Arial"/>
              </w:rPr>
            </w:pPr>
            <w:r>
              <w:rPr>
                <w:rFonts w:ascii="Arial" w:hAnsi="Arial" w:cs="Arial"/>
                <w:b/>
              </w:rPr>
              <w:t xml:space="preserve">16 UMA </w:t>
            </w:r>
          </w:p>
        </w:tc>
      </w:tr>
      <w:tr w:rsidR="00D3344B" w14:paraId="507B7604" w14:textId="77777777">
        <w:trPr>
          <w:trHeight w:val="831"/>
        </w:trPr>
        <w:tc>
          <w:tcPr>
            <w:tcW w:w="7359" w:type="dxa"/>
          </w:tcPr>
          <w:p w14:paraId="364A6576" w14:textId="77777777" w:rsidR="00D3344B" w:rsidRDefault="00143C25">
            <w:pPr>
              <w:numPr>
                <w:ilvl w:val="0"/>
                <w:numId w:val="2"/>
              </w:numPr>
              <w:spacing w:after="235" w:line="259" w:lineRule="auto"/>
              <w:ind w:hanging="238"/>
              <w:rPr>
                <w:rFonts w:ascii="Arial" w:hAnsi="Arial" w:cs="Arial"/>
              </w:rPr>
            </w:pPr>
            <w:r>
              <w:rPr>
                <w:rFonts w:ascii="Arial" w:hAnsi="Arial" w:cs="Arial"/>
              </w:rPr>
              <w:t xml:space="preserve">En acta de defunción  </w:t>
            </w:r>
          </w:p>
          <w:p w14:paraId="5F233642" w14:textId="77777777" w:rsidR="00D3344B" w:rsidRDefault="00143C25">
            <w:pPr>
              <w:numPr>
                <w:ilvl w:val="0"/>
                <w:numId w:val="2"/>
              </w:numPr>
              <w:spacing w:after="0" w:line="259" w:lineRule="auto"/>
              <w:ind w:hanging="238"/>
              <w:rPr>
                <w:rFonts w:ascii="Arial" w:hAnsi="Arial" w:cs="Arial"/>
              </w:rPr>
            </w:pPr>
            <w:r>
              <w:rPr>
                <w:rFonts w:ascii="Arial" w:hAnsi="Arial" w:cs="Arial"/>
              </w:rPr>
              <w:t xml:space="preserve">En acta de divorcio  </w:t>
            </w:r>
          </w:p>
        </w:tc>
        <w:tc>
          <w:tcPr>
            <w:tcW w:w="1213" w:type="dxa"/>
          </w:tcPr>
          <w:p w14:paraId="64E56C5F" w14:textId="77777777" w:rsidR="00D3344B" w:rsidRDefault="00143C25">
            <w:pPr>
              <w:spacing w:after="0" w:line="259" w:lineRule="auto"/>
              <w:rPr>
                <w:rFonts w:ascii="Arial" w:hAnsi="Arial" w:cs="Arial"/>
              </w:rPr>
            </w:pPr>
            <w:r>
              <w:rPr>
                <w:rFonts w:ascii="Arial" w:hAnsi="Arial" w:cs="Arial"/>
                <w:b/>
              </w:rPr>
              <w:t xml:space="preserve">16 UMA </w:t>
            </w:r>
          </w:p>
        </w:tc>
      </w:tr>
    </w:tbl>
    <w:p w14:paraId="2B6B5ACF" w14:textId="77777777" w:rsidR="00D3344B" w:rsidRDefault="00D3344B">
      <w:pPr>
        <w:pStyle w:val="Estilo"/>
        <w:rPr>
          <w:rFonts w:cs="Arial"/>
        </w:rPr>
      </w:pPr>
    </w:p>
    <w:p w14:paraId="50878B7E" w14:textId="77777777" w:rsidR="00D3344B" w:rsidRDefault="00D3344B">
      <w:pPr>
        <w:pStyle w:val="Estilo"/>
        <w:rPr>
          <w:rFonts w:cs="Arial"/>
        </w:rPr>
      </w:pPr>
    </w:p>
    <w:p w14:paraId="7AFF47DF" w14:textId="77777777" w:rsidR="00D3344B" w:rsidRDefault="00143C25">
      <w:pPr>
        <w:pStyle w:val="Estilo"/>
        <w:ind w:left="851" w:hanging="851"/>
        <w:rPr>
          <w:rFonts w:cs="Arial"/>
          <w:i/>
          <w:sz w:val="16"/>
        </w:rPr>
      </w:pPr>
      <w:r>
        <w:rPr>
          <w:rFonts w:cs="Arial"/>
          <w:i/>
          <w:sz w:val="16"/>
        </w:rPr>
        <w:t>(REFORMADA, P.O. 29 DE NOVIEMBRE DE 2023)</w:t>
      </w:r>
    </w:p>
    <w:p w14:paraId="2E7533D1" w14:textId="77777777" w:rsidR="00D3344B" w:rsidRDefault="00143C25">
      <w:pPr>
        <w:pStyle w:val="Estilo"/>
        <w:ind w:left="851" w:hanging="851"/>
        <w:rPr>
          <w:rFonts w:cs="Arial"/>
        </w:rPr>
      </w:pPr>
      <w:r>
        <w:rPr>
          <w:rFonts w:cs="Arial"/>
        </w:rPr>
        <w:t xml:space="preserve">XVIII. </w:t>
      </w:r>
      <w:r>
        <w:rPr>
          <w:rFonts w:cs="Arial"/>
        </w:rPr>
        <w:tab/>
        <w:t>Por la venta de bases de licitación:</w:t>
      </w:r>
    </w:p>
    <w:p w14:paraId="6151B1DD" w14:textId="77777777" w:rsidR="00D3344B" w:rsidRDefault="00D3344B">
      <w:pPr>
        <w:pStyle w:val="Estilo"/>
        <w:ind w:left="851" w:hanging="851"/>
        <w:rPr>
          <w:rFonts w:cs="Arial"/>
        </w:rPr>
      </w:pPr>
    </w:p>
    <w:tbl>
      <w:tblPr>
        <w:tblStyle w:val="TableNormal"/>
        <w:tblW w:w="8724" w:type="dxa"/>
        <w:tblInd w:w="187" w:type="dxa"/>
        <w:tblLayout w:type="fixed"/>
        <w:tblLook w:val="01E0" w:firstRow="1" w:lastRow="1" w:firstColumn="1" w:lastColumn="1" w:noHBand="0" w:noVBand="0"/>
      </w:tblPr>
      <w:tblGrid>
        <w:gridCol w:w="7312"/>
        <w:gridCol w:w="1412"/>
      </w:tblGrid>
      <w:tr w:rsidR="00D3344B" w14:paraId="55B341A8" w14:textId="77777777">
        <w:trPr>
          <w:trHeight w:val="1640"/>
        </w:trPr>
        <w:tc>
          <w:tcPr>
            <w:tcW w:w="7311" w:type="dxa"/>
          </w:tcPr>
          <w:p w14:paraId="16215C6E" w14:textId="77777777" w:rsidR="00D3344B" w:rsidRDefault="00143C25">
            <w:pPr>
              <w:pStyle w:val="TableParagraph"/>
              <w:ind w:left="50" w:right="105"/>
              <w:jc w:val="both"/>
            </w:pPr>
            <w:r>
              <w:lastRenderedPageBreak/>
              <w:t>a) Para la contratación de obra pública y servicios relacionados con las mismas, cuando impliquen un costo, este será fijado en razón de la recuperación de las erogaciones por publicación de la convocatoria y de la retribución inherente a la preparación de la licitación y de los documentos que se entreguen,</w:t>
            </w:r>
          </w:p>
        </w:tc>
        <w:tc>
          <w:tcPr>
            <w:tcW w:w="1412" w:type="dxa"/>
          </w:tcPr>
          <w:p w14:paraId="18E3A614" w14:textId="77777777" w:rsidR="00D3344B" w:rsidRDefault="00143C25">
            <w:pPr>
              <w:pStyle w:val="TableParagraph"/>
              <w:spacing w:line="244" w:lineRule="exact"/>
              <w:ind w:left="106"/>
            </w:pPr>
            <w:r>
              <w:t>de</w:t>
            </w:r>
            <w:r>
              <w:rPr>
                <w:spacing w:val="15"/>
              </w:rPr>
              <w:t xml:space="preserve"> </w:t>
            </w:r>
            <w:r>
              <w:t>36</w:t>
            </w:r>
            <w:r>
              <w:rPr>
                <w:spacing w:val="15"/>
              </w:rPr>
              <w:t xml:space="preserve"> </w:t>
            </w:r>
            <w:r>
              <w:t>UMA</w:t>
            </w:r>
            <w:r>
              <w:rPr>
                <w:spacing w:val="15"/>
              </w:rPr>
              <w:t xml:space="preserve"> </w:t>
            </w:r>
            <w:r>
              <w:rPr>
                <w:spacing w:val="-10"/>
              </w:rPr>
              <w:t>a</w:t>
            </w:r>
          </w:p>
          <w:p w14:paraId="706716FE" w14:textId="77777777" w:rsidR="00D3344B" w:rsidRDefault="00143C25">
            <w:pPr>
              <w:pStyle w:val="TableParagraph"/>
              <w:tabs>
                <w:tab w:val="left" w:pos="785"/>
              </w:tabs>
              <w:spacing w:before="2" w:line="252" w:lineRule="exact"/>
              <w:ind w:left="106"/>
            </w:pPr>
            <w:r>
              <w:rPr>
                <w:spacing w:val="-5"/>
              </w:rPr>
              <w:t>100</w:t>
            </w:r>
            <w:r>
              <w:tab/>
            </w:r>
            <w:r>
              <w:rPr>
                <w:spacing w:val="-4"/>
              </w:rPr>
              <w:t>UMA;</w:t>
            </w:r>
          </w:p>
          <w:p w14:paraId="3DEA0449" w14:textId="77777777" w:rsidR="00D3344B" w:rsidRDefault="00143C25">
            <w:pPr>
              <w:pStyle w:val="TableParagraph"/>
              <w:tabs>
                <w:tab w:val="left" w:pos="895"/>
              </w:tabs>
              <w:ind w:left="106" w:right="48"/>
            </w:pPr>
            <w:r>
              <w:rPr>
                <w:spacing w:val="-2"/>
              </w:rPr>
              <w:t>dicho</w:t>
            </w:r>
            <w:r>
              <w:tab/>
            </w:r>
            <w:r>
              <w:rPr>
                <w:spacing w:val="-2"/>
              </w:rPr>
              <w:t xml:space="preserve">costo </w:t>
            </w:r>
            <w:r>
              <w:t>será</w:t>
            </w:r>
            <w:r>
              <w:rPr>
                <w:spacing w:val="-14"/>
              </w:rPr>
              <w:t xml:space="preserve"> </w:t>
            </w:r>
            <w:r>
              <w:t>fijado</w:t>
            </w:r>
            <w:r>
              <w:rPr>
                <w:spacing w:val="-14"/>
              </w:rPr>
              <w:t xml:space="preserve"> </w:t>
            </w:r>
            <w:r>
              <w:t xml:space="preserve">por </w:t>
            </w:r>
            <w:r>
              <w:rPr>
                <w:spacing w:val="-6"/>
              </w:rPr>
              <w:t>la</w:t>
            </w:r>
            <w:r>
              <w:rPr>
                <w:spacing w:val="80"/>
              </w:rPr>
              <w:t xml:space="preserve"> </w:t>
            </w:r>
            <w:r>
              <w:rPr>
                <w:spacing w:val="-2"/>
              </w:rPr>
              <w:t>convocante.</w:t>
            </w:r>
          </w:p>
        </w:tc>
      </w:tr>
      <w:tr w:rsidR="00D3344B" w14:paraId="52571C51" w14:textId="77777777">
        <w:trPr>
          <w:trHeight w:val="506"/>
        </w:trPr>
        <w:tc>
          <w:tcPr>
            <w:tcW w:w="7311" w:type="dxa"/>
          </w:tcPr>
          <w:p w14:paraId="58EA9B67" w14:textId="77777777" w:rsidR="00D3344B" w:rsidRDefault="00143C25">
            <w:pPr>
              <w:pStyle w:val="TableParagraph"/>
              <w:spacing w:before="122"/>
              <w:ind w:left="50"/>
            </w:pPr>
            <w:r>
              <w:t>b)</w:t>
            </w:r>
            <w:r>
              <w:rPr>
                <w:spacing w:val="-3"/>
              </w:rPr>
              <w:t xml:space="preserve"> </w:t>
            </w:r>
            <w:r>
              <w:t>Para</w:t>
            </w:r>
            <w:r>
              <w:rPr>
                <w:spacing w:val="-3"/>
              </w:rPr>
              <w:t xml:space="preserve"> </w:t>
            </w:r>
            <w:r>
              <w:t>la</w:t>
            </w:r>
            <w:r>
              <w:rPr>
                <w:spacing w:val="-3"/>
              </w:rPr>
              <w:t xml:space="preserve"> </w:t>
            </w:r>
            <w:r>
              <w:t>adquisición</w:t>
            </w:r>
            <w:r>
              <w:rPr>
                <w:spacing w:val="-3"/>
              </w:rPr>
              <w:t xml:space="preserve"> </w:t>
            </w:r>
            <w:r>
              <w:t>de</w:t>
            </w:r>
            <w:r>
              <w:rPr>
                <w:spacing w:val="-3"/>
              </w:rPr>
              <w:t xml:space="preserve"> </w:t>
            </w:r>
            <w:r>
              <w:t>bienes</w:t>
            </w:r>
            <w:r>
              <w:rPr>
                <w:spacing w:val="-3"/>
              </w:rPr>
              <w:t xml:space="preserve"> </w:t>
            </w:r>
            <w:r>
              <w:t>y/o</w:t>
            </w:r>
            <w:r>
              <w:rPr>
                <w:spacing w:val="-3"/>
              </w:rPr>
              <w:t xml:space="preserve"> </w:t>
            </w:r>
            <w:r>
              <w:rPr>
                <w:spacing w:val="-2"/>
              </w:rPr>
              <w:t>servicios,</w:t>
            </w:r>
          </w:p>
        </w:tc>
        <w:tc>
          <w:tcPr>
            <w:tcW w:w="1412" w:type="dxa"/>
          </w:tcPr>
          <w:p w14:paraId="3B58A24C" w14:textId="77777777" w:rsidR="00D3344B" w:rsidRDefault="00143C25">
            <w:pPr>
              <w:pStyle w:val="TableParagraph"/>
              <w:spacing w:before="122"/>
              <w:ind w:right="512"/>
              <w:jc w:val="right"/>
            </w:pPr>
            <w:r>
              <w:t xml:space="preserve">36 </w:t>
            </w:r>
            <w:r>
              <w:rPr>
                <w:spacing w:val="-5"/>
              </w:rPr>
              <w:t>UMA</w:t>
            </w:r>
          </w:p>
        </w:tc>
      </w:tr>
    </w:tbl>
    <w:p w14:paraId="72E6400A" w14:textId="77777777" w:rsidR="00D3344B" w:rsidRDefault="00D3344B">
      <w:pPr>
        <w:pStyle w:val="Estilo"/>
        <w:ind w:left="709" w:hanging="709"/>
        <w:rPr>
          <w:rFonts w:cs="Arial"/>
        </w:rPr>
      </w:pPr>
    </w:p>
    <w:p w14:paraId="0633C010" w14:textId="77777777" w:rsidR="00D3344B" w:rsidRDefault="00D3344B">
      <w:pPr>
        <w:pStyle w:val="Estilo"/>
        <w:ind w:left="709" w:hanging="709"/>
        <w:rPr>
          <w:rFonts w:cs="Arial"/>
        </w:rPr>
      </w:pPr>
    </w:p>
    <w:p w14:paraId="0A5BE62E" w14:textId="77777777" w:rsidR="00D3344B" w:rsidRDefault="00143C25">
      <w:pPr>
        <w:pStyle w:val="Estilo"/>
        <w:ind w:left="851" w:hanging="851"/>
        <w:rPr>
          <w:rFonts w:cs="Arial"/>
          <w:i/>
          <w:sz w:val="16"/>
        </w:rPr>
      </w:pPr>
      <w:r>
        <w:rPr>
          <w:rFonts w:cs="Arial"/>
        </w:rPr>
        <w:t xml:space="preserve">XIX. </w:t>
      </w:r>
      <w:r>
        <w:rPr>
          <w:rFonts w:cs="Arial"/>
        </w:rPr>
        <w:tab/>
      </w:r>
      <w:r>
        <w:rPr>
          <w:rFonts w:cs="Arial"/>
          <w:i/>
          <w:sz w:val="16"/>
        </w:rPr>
        <w:t>(DEROGADA, P.O. 29 DE NOVIEMBRE DE 2023)</w:t>
      </w:r>
    </w:p>
    <w:p w14:paraId="029A2751" w14:textId="77777777" w:rsidR="00D3344B" w:rsidRDefault="00D3344B">
      <w:pPr>
        <w:pStyle w:val="Estilo"/>
        <w:ind w:left="567" w:hanging="567"/>
        <w:rPr>
          <w:rFonts w:cs="Arial"/>
        </w:rPr>
      </w:pPr>
    </w:p>
    <w:p w14:paraId="6EE2EF2B" w14:textId="77777777" w:rsidR="00D3344B" w:rsidRDefault="00D3344B">
      <w:pPr>
        <w:pStyle w:val="Estilo"/>
        <w:ind w:left="567" w:hanging="567"/>
        <w:rPr>
          <w:rFonts w:cs="Arial"/>
        </w:rPr>
      </w:pPr>
    </w:p>
    <w:p w14:paraId="12FE2CED" w14:textId="77777777" w:rsidR="00D3344B" w:rsidRDefault="00143C25">
      <w:pPr>
        <w:pStyle w:val="Estilo"/>
        <w:ind w:left="1134" w:hanging="567"/>
        <w:rPr>
          <w:rFonts w:cs="Arial"/>
        </w:rPr>
      </w:pPr>
      <w:r>
        <w:rPr>
          <w:rFonts w:cs="Arial"/>
        </w:rPr>
        <w:t xml:space="preserve">a) </w:t>
      </w:r>
      <w:r>
        <w:rPr>
          <w:rFonts w:cs="Arial"/>
          <w:i/>
          <w:sz w:val="16"/>
        </w:rPr>
        <w:t>(DEROGADO, P.O. 29 DE NOVIEMBRE DE 2023)</w:t>
      </w:r>
    </w:p>
    <w:p w14:paraId="3C0E44A8" w14:textId="77777777" w:rsidR="00D3344B" w:rsidRDefault="00D3344B">
      <w:pPr>
        <w:pStyle w:val="Estilo"/>
        <w:ind w:left="1134" w:hanging="567"/>
        <w:rPr>
          <w:rFonts w:cs="Arial"/>
        </w:rPr>
      </w:pPr>
    </w:p>
    <w:p w14:paraId="0A6CC297" w14:textId="77777777" w:rsidR="00D3344B" w:rsidRDefault="00143C25">
      <w:pPr>
        <w:pStyle w:val="Estilo"/>
        <w:ind w:left="1134" w:hanging="567"/>
        <w:rPr>
          <w:rFonts w:cs="Arial"/>
        </w:rPr>
      </w:pPr>
      <w:r>
        <w:rPr>
          <w:rFonts w:cs="Arial"/>
        </w:rPr>
        <w:t xml:space="preserve">b) </w:t>
      </w:r>
      <w:r>
        <w:rPr>
          <w:rFonts w:cs="Arial"/>
          <w:i/>
          <w:sz w:val="16"/>
        </w:rPr>
        <w:t>(DEROGADO, P.O. 29 DE NOVIEMBRE DE 2023)</w:t>
      </w:r>
    </w:p>
    <w:p w14:paraId="0971E15E" w14:textId="77777777" w:rsidR="00D3344B" w:rsidRDefault="00D3344B">
      <w:pPr>
        <w:pStyle w:val="Estilo"/>
        <w:rPr>
          <w:rFonts w:cs="Arial"/>
        </w:rPr>
      </w:pPr>
    </w:p>
    <w:p w14:paraId="70DF83B3" w14:textId="77777777" w:rsidR="00D3344B" w:rsidRDefault="00143C25">
      <w:pPr>
        <w:pStyle w:val="Estilo"/>
        <w:rPr>
          <w:rFonts w:cs="Arial"/>
          <w:i/>
          <w:sz w:val="16"/>
          <w:szCs w:val="16"/>
        </w:rPr>
      </w:pPr>
      <w:r>
        <w:rPr>
          <w:rFonts w:cs="Arial"/>
          <w:i/>
          <w:sz w:val="16"/>
          <w:szCs w:val="16"/>
        </w:rPr>
        <w:t>(ADICIONADA, P.O. 26 DE DICIEMBRE DE 2022)</w:t>
      </w:r>
    </w:p>
    <w:p w14:paraId="49CC5ED7" w14:textId="77777777" w:rsidR="00D3344B" w:rsidRDefault="00143C25">
      <w:pPr>
        <w:pStyle w:val="Estilo"/>
        <w:ind w:left="567" w:hanging="567"/>
        <w:rPr>
          <w:rFonts w:cs="Arial"/>
        </w:rPr>
      </w:pPr>
      <w:r>
        <w:rPr>
          <w:rFonts w:cs="Arial"/>
        </w:rPr>
        <w:t xml:space="preserve">XX. </w:t>
      </w:r>
      <w:r>
        <w:rPr>
          <w:rFonts w:cs="Arial"/>
        </w:rPr>
        <w:tab/>
        <w:t>Para el padrón de proveedores de bienes y/o servicios del Gobierno del Estado.</w:t>
      </w:r>
    </w:p>
    <w:p w14:paraId="405F3ED7" w14:textId="77777777" w:rsidR="00D3344B" w:rsidRDefault="00D3344B">
      <w:pPr>
        <w:pStyle w:val="Estilo"/>
        <w:ind w:left="567" w:hanging="567"/>
        <w:rPr>
          <w:rFonts w:cs="Arial"/>
        </w:rPr>
      </w:pPr>
    </w:p>
    <w:p w14:paraId="20FA84B1" w14:textId="77777777" w:rsidR="00D3344B" w:rsidRDefault="00143C25">
      <w:pPr>
        <w:pStyle w:val="Estilo"/>
        <w:ind w:left="1134" w:hanging="567"/>
        <w:rPr>
          <w:rFonts w:cs="Arial"/>
          <w:i/>
          <w:sz w:val="16"/>
        </w:rPr>
      </w:pPr>
      <w:r>
        <w:rPr>
          <w:rFonts w:cs="Arial"/>
          <w:i/>
          <w:sz w:val="16"/>
        </w:rPr>
        <w:t>(REFORMADO, P.O. 29 DE NOVIEMBRE DE 2023)</w:t>
      </w:r>
    </w:p>
    <w:p w14:paraId="45C131D3" w14:textId="77777777" w:rsidR="00D3344B" w:rsidRDefault="00143C25">
      <w:pPr>
        <w:pStyle w:val="Estilo"/>
        <w:ind w:left="1134" w:hanging="567"/>
        <w:rPr>
          <w:rFonts w:cs="Arial"/>
        </w:rPr>
      </w:pPr>
      <w:r>
        <w:rPr>
          <w:rFonts w:cs="Arial"/>
        </w:rPr>
        <w:t>a) Inscripción.                                                                             12 UMA</w:t>
      </w:r>
    </w:p>
    <w:p w14:paraId="1FA135FC" w14:textId="77777777" w:rsidR="00D3344B" w:rsidRDefault="00D3344B">
      <w:pPr>
        <w:pStyle w:val="Estilo"/>
        <w:ind w:left="1134" w:hanging="567"/>
        <w:rPr>
          <w:rFonts w:cs="Arial"/>
        </w:rPr>
      </w:pPr>
    </w:p>
    <w:p w14:paraId="06A0BF38" w14:textId="77777777" w:rsidR="00D3344B" w:rsidRDefault="00143C25">
      <w:pPr>
        <w:pStyle w:val="Estilo"/>
        <w:ind w:left="1134" w:hanging="567"/>
        <w:rPr>
          <w:rFonts w:cs="Arial"/>
          <w:i/>
          <w:sz w:val="16"/>
        </w:rPr>
      </w:pPr>
      <w:r>
        <w:rPr>
          <w:rFonts w:cs="Arial"/>
          <w:i/>
          <w:sz w:val="16"/>
        </w:rPr>
        <w:t>(ADICIONADO, P.O. 29 DE NOVIEMBRE DE 2023)</w:t>
      </w:r>
    </w:p>
    <w:p w14:paraId="5FD4836F" w14:textId="77777777" w:rsidR="00D3344B" w:rsidRDefault="00143C25">
      <w:pPr>
        <w:pStyle w:val="Estilo"/>
        <w:ind w:left="1134" w:hanging="567"/>
        <w:rPr>
          <w:rFonts w:cs="Arial"/>
        </w:rPr>
      </w:pPr>
      <w:r>
        <w:rPr>
          <w:rFonts w:cs="Arial"/>
        </w:rPr>
        <w:t xml:space="preserve">b) Refrendo                                                                                  8 UMA </w:t>
      </w:r>
    </w:p>
    <w:p w14:paraId="76C32D16" w14:textId="77777777" w:rsidR="00D3344B" w:rsidRDefault="00D3344B">
      <w:pPr>
        <w:pStyle w:val="Estilo"/>
        <w:ind w:left="567" w:hanging="567"/>
        <w:rPr>
          <w:rFonts w:cs="Arial"/>
        </w:rPr>
      </w:pPr>
    </w:p>
    <w:p w14:paraId="38A5972F" w14:textId="77777777" w:rsidR="00D3344B" w:rsidRDefault="00143C25">
      <w:pPr>
        <w:pStyle w:val="Estilo"/>
        <w:ind w:left="1134" w:hanging="567"/>
        <w:rPr>
          <w:rFonts w:cs="Arial"/>
          <w:i/>
          <w:sz w:val="16"/>
        </w:rPr>
      </w:pPr>
      <w:r>
        <w:rPr>
          <w:rFonts w:cs="Arial"/>
          <w:i/>
          <w:sz w:val="16"/>
        </w:rPr>
        <w:t>(ADICIONADO, P.O. 29 DE NOVIEMBRE DE 2023)</w:t>
      </w:r>
    </w:p>
    <w:p w14:paraId="43A5B905" w14:textId="77777777" w:rsidR="00D3344B" w:rsidRDefault="00143C25">
      <w:pPr>
        <w:pStyle w:val="Estilo"/>
        <w:ind w:left="567"/>
        <w:rPr>
          <w:rFonts w:cs="Arial"/>
        </w:rPr>
      </w:pPr>
      <w:r>
        <w:rPr>
          <w:rFonts w:cs="Arial"/>
        </w:rPr>
        <w:t>Para que se otorgue el registro, los contribuyentes deberán estar al corriente en el pago de las contribuciones y presentar ante la autoridad respectiva, la constancia de no adeudo.</w:t>
      </w:r>
    </w:p>
    <w:p w14:paraId="47B7D194" w14:textId="77777777" w:rsidR="00D3344B" w:rsidRDefault="00D3344B">
      <w:pPr>
        <w:pStyle w:val="Estilo"/>
        <w:ind w:left="567" w:hanging="567"/>
        <w:rPr>
          <w:rFonts w:cs="Arial"/>
        </w:rPr>
      </w:pPr>
    </w:p>
    <w:p w14:paraId="71EFEFA8" w14:textId="77777777" w:rsidR="00D3344B" w:rsidRDefault="00143C25">
      <w:pPr>
        <w:pStyle w:val="Estilo"/>
        <w:rPr>
          <w:rFonts w:cs="Arial"/>
          <w:i/>
          <w:sz w:val="16"/>
          <w:szCs w:val="16"/>
        </w:rPr>
      </w:pPr>
      <w:r>
        <w:rPr>
          <w:rFonts w:cs="Arial"/>
          <w:i/>
          <w:sz w:val="16"/>
          <w:szCs w:val="16"/>
        </w:rPr>
        <w:t>(ADICIONADA, P.O. 26 DE DICIEMBRE DE 2022)</w:t>
      </w:r>
    </w:p>
    <w:p w14:paraId="1CC9F885" w14:textId="77777777" w:rsidR="00D3344B" w:rsidRDefault="00143C25">
      <w:pPr>
        <w:pStyle w:val="Estilo"/>
        <w:ind w:left="851" w:hanging="851"/>
        <w:rPr>
          <w:rFonts w:cs="Arial"/>
        </w:rPr>
      </w:pPr>
      <w:r>
        <w:rPr>
          <w:rFonts w:cs="Arial"/>
        </w:rPr>
        <w:t xml:space="preserve">XXI. </w:t>
      </w:r>
      <w:r>
        <w:rPr>
          <w:rFonts w:cs="Arial"/>
        </w:rPr>
        <w:tab/>
        <w:t xml:space="preserve">Por la certificación de expedientes de licitaciones, adjudicaciones y/o adquisiciones.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4 UMA</w:t>
      </w:r>
    </w:p>
    <w:p w14:paraId="0B4FBCCB" w14:textId="77777777" w:rsidR="00D3344B" w:rsidRDefault="00D3344B">
      <w:pPr>
        <w:pStyle w:val="Estilo"/>
        <w:ind w:left="851" w:hanging="851"/>
        <w:rPr>
          <w:rFonts w:cs="Arial"/>
        </w:rPr>
      </w:pPr>
    </w:p>
    <w:p w14:paraId="0D0A6D40" w14:textId="77777777" w:rsidR="00D3344B" w:rsidRDefault="00143C25">
      <w:pPr>
        <w:pStyle w:val="Estilo"/>
        <w:rPr>
          <w:rFonts w:cs="Arial"/>
          <w:i/>
          <w:sz w:val="16"/>
          <w:szCs w:val="16"/>
        </w:rPr>
      </w:pPr>
      <w:r>
        <w:rPr>
          <w:rFonts w:cs="Arial"/>
          <w:i/>
          <w:sz w:val="16"/>
          <w:szCs w:val="16"/>
        </w:rPr>
        <w:t>(ADICIONADA, P.O. 26 DE DICIEMBRE DE 2022)</w:t>
      </w:r>
    </w:p>
    <w:p w14:paraId="640DD7E3" w14:textId="77777777" w:rsidR="00D3344B" w:rsidRDefault="00143C25">
      <w:pPr>
        <w:pStyle w:val="Estilo"/>
        <w:ind w:left="851" w:hanging="851"/>
        <w:rPr>
          <w:rFonts w:cs="Arial"/>
        </w:rPr>
      </w:pPr>
      <w:r>
        <w:rPr>
          <w:rFonts w:cs="Arial"/>
        </w:rPr>
        <w:t xml:space="preserve">XXII. </w:t>
      </w:r>
      <w:r>
        <w:rPr>
          <w:rFonts w:cs="Arial"/>
        </w:rPr>
        <w:tab/>
        <w:t xml:space="preserve">Constancia de existencia de anotaciones marginales.   </w:t>
      </w:r>
      <w:r>
        <w:rPr>
          <w:rFonts w:cs="Arial"/>
        </w:rPr>
        <w:tab/>
      </w:r>
      <w:r>
        <w:rPr>
          <w:rFonts w:cs="Arial"/>
        </w:rPr>
        <w:tab/>
        <w:t>2 UMA</w:t>
      </w:r>
    </w:p>
    <w:p w14:paraId="021FFCAE" w14:textId="77777777" w:rsidR="00D3344B" w:rsidRDefault="00D3344B">
      <w:pPr>
        <w:pStyle w:val="Estilo"/>
        <w:ind w:left="851" w:hanging="851"/>
        <w:rPr>
          <w:rFonts w:cs="Arial"/>
        </w:rPr>
      </w:pPr>
    </w:p>
    <w:p w14:paraId="202D5131" w14:textId="77777777" w:rsidR="00D3344B" w:rsidRDefault="00143C25">
      <w:pPr>
        <w:pStyle w:val="Estilo"/>
        <w:rPr>
          <w:rFonts w:cs="Arial"/>
          <w:i/>
          <w:sz w:val="16"/>
          <w:szCs w:val="16"/>
        </w:rPr>
      </w:pPr>
      <w:r>
        <w:rPr>
          <w:rFonts w:cs="Arial"/>
          <w:i/>
          <w:sz w:val="16"/>
          <w:szCs w:val="16"/>
        </w:rPr>
        <w:t>(ADICIONADA, P.O. 26 DE DICIEMBRE DE 2022)</w:t>
      </w:r>
    </w:p>
    <w:p w14:paraId="05907E34" w14:textId="77777777" w:rsidR="00D3344B" w:rsidRDefault="00143C25">
      <w:pPr>
        <w:pStyle w:val="Estilo"/>
        <w:ind w:left="851" w:hanging="851"/>
        <w:rPr>
          <w:rFonts w:cs="Arial"/>
        </w:rPr>
      </w:pPr>
      <w:r>
        <w:rPr>
          <w:rFonts w:cs="Arial"/>
        </w:rPr>
        <w:t xml:space="preserve">XXIII. </w:t>
      </w:r>
      <w:r>
        <w:rPr>
          <w:rFonts w:cs="Arial"/>
        </w:rPr>
        <w:tab/>
        <w:t xml:space="preserve">Constancia de inexistencia de anotaciones marginales. </w:t>
      </w:r>
      <w:r>
        <w:rPr>
          <w:rFonts w:cs="Arial"/>
        </w:rPr>
        <w:tab/>
      </w:r>
      <w:r>
        <w:rPr>
          <w:rFonts w:cs="Arial"/>
        </w:rPr>
        <w:tab/>
        <w:t>2 UMA</w:t>
      </w:r>
    </w:p>
    <w:p w14:paraId="13463A41" w14:textId="77777777" w:rsidR="00D3344B" w:rsidRDefault="00D3344B">
      <w:pPr>
        <w:pStyle w:val="Estilo"/>
        <w:ind w:left="851" w:hanging="851"/>
        <w:rPr>
          <w:rFonts w:cs="Arial"/>
        </w:rPr>
      </w:pPr>
    </w:p>
    <w:p w14:paraId="08358D48" w14:textId="77777777" w:rsidR="00D3344B" w:rsidRDefault="00143C25">
      <w:pPr>
        <w:pStyle w:val="Estilo"/>
        <w:rPr>
          <w:rFonts w:cs="Arial"/>
          <w:i/>
          <w:sz w:val="16"/>
          <w:szCs w:val="16"/>
        </w:rPr>
      </w:pPr>
      <w:r>
        <w:rPr>
          <w:rFonts w:cs="Arial"/>
          <w:i/>
          <w:sz w:val="16"/>
          <w:szCs w:val="16"/>
        </w:rPr>
        <w:t>(ADICIONADA, P.O. 26 DE DICIEMBRE DE 2022)</w:t>
      </w:r>
    </w:p>
    <w:p w14:paraId="0979C971" w14:textId="77777777" w:rsidR="00D3344B" w:rsidRDefault="00143C25">
      <w:pPr>
        <w:pStyle w:val="Estilo"/>
        <w:ind w:left="851" w:hanging="851"/>
        <w:rPr>
          <w:rFonts w:cs="Arial"/>
        </w:rPr>
      </w:pPr>
      <w:r>
        <w:rPr>
          <w:rFonts w:cs="Arial"/>
        </w:rPr>
        <w:t xml:space="preserve">XXIV. </w:t>
      </w:r>
      <w:r>
        <w:rPr>
          <w:rFonts w:cs="Arial"/>
        </w:rPr>
        <w:tab/>
        <w:t>Tarjeta de inexistencia de los actos registrales en el archivo central. 1 UMA</w:t>
      </w:r>
    </w:p>
    <w:p w14:paraId="2031B611" w14:textId="77777777" w:rsidR="00D3344B" w:rsidRDefault="00D3344B">
      <w:pPr>
        <w:pStyle w:val="Estilo"/>
        <w:ind w:left="851" w:hanging="851"/>
        <w:rPr>
          <w:rFonts w:cs="Arial"/>
        </w:rPr>
      </w:pPr>
    </w:p>
    <w:p w14:paraId="2E225EA1" w14:textId="77777777" w:rsidR="00D3344B" w:rsidRDefault="00143C25">
      <w:pPr>
        <w:pStyle w:val="Estilo"/>
        <w:rPr>
          <w:rFonts w:cs="Arial"/>
          <w:i/>
          <w:sz w:val="16"/>
          <w:szCs w:val="16"/>
        </w:rPr>
      </w:pPr>
      <w:r>
        <w:rPr>
          <w:rFonts w:cs="Arial"/>
          <w:i/>
          <w:sz w:val="16"/>
          <w:szCs w:val="16"/>
        </w:rPr>
        <w:t>(ADICIONADA, P.O. 26 DE DICIEMBRE DE 2022)</w:t>
      </w:r>
    </w:p>
    <w:p w14:paraId="7794FFA8" w14:textId="77777777" w:rsidR="00D3344B" w:rsidRDefault="00143C25">
      <w:pPr>
        <w:pStyle w:val="Estilo"/>
        <w:ind w:left="851" w:hanging="851"/>
        <w:rPr>
          <w:rFonts w:cs="Arial"/>
        </w:rPr>
      </w:pPr>
      <w:r>
        <w:rPr>
          <w:rFonts w:cs="Arial"/>
        </w:rPr>
        <w:t xml:space="preserve">XXV. </w:t>
      </w:r>
      <w:r>
        <w:rPr>
          <w:rFonts w:cs="Arial"/>
        </w:rPr>
        <w:tab/>
        <w:t xml:space="preserve">Copia certificada del original del libro del archivo central. </w:t>
      </w:r>
      <w:r>
        <w:rPr>
          <w:rFonts w:cs="Arial"/>
        </w:rPr>
        <w:tab/>
      </w:r>
      <w:r>
        <w:rPr>
          <w:rFonts w:cs="Arial"/>
        </w:rPr>
        <w:tab/>
        <w:t>3 UMA</w:t>
      </w:r>
    </w:p>
    <w:p w14:paraId="2A20C093" w14:textId="77777777" w:rsidR="00D3344B" w:rsidRDefault="00D3344B">
      <w:pPr>
        <w:pStyle w:val="Estilo"/>
        <w:ind w:left="851" w:hanging="851"/>
        <w:rPr>
          <w:rFonts w:cs="Arial"/>
        </w:rPr>
      </w:pPr>
    </w:p>
    <w:p w14:paraId="45889AA6" w14:textId="77777777" w:rsidR="00D3344B" w:rsidRDefault="00143C25">
      <w:pPr>
        <w:pStyle w:val="Estilo"/>
        <w:rPr>
          <w:rFonts w:cs="Arial"/>
          <w:i/>
          <w:sz w:val="16"/>
          <w:szCs w:val="16"/>
        </w:rPr>
      </w:pPr>
      <w:r>
        <w:rPr>
          <w:rFonts w:cs="Arial"/>
          <w:i/>
          <w:sz w:val="16"/>
          <w:szCs w:val="16"/>
        </w:rPr>
        <w:t>(ADICIONADA, P.O. 26 DE DICIEMBRE DE 2022)</w:t>
      </w:r>
    </w:p>
    <w:p w14:paraId="24A1A494" w14:textId="77777777" w:rsidR="00D3344B" w:rsidRDefault="00143C25">
      <w:pPr>
        <w:pStyle w:val="Estilo"/>
        <w:ind w:left="851" w:hanging="851"/>
        <w:rPr>
          <w:rFonts w:cs="Arial"/>
        </w:rPr>
      </w:pPr>
      <w:r>
        <w:rPr>
          <w:rFonts w:cs="Arial"/>
        </w:rPr>
        <w:lastRenderedPageBreak/>
        <w:t xml:space="preserve">XXVI. </w:t>
      </w:r>
      <w:r>
        <w:rPr>
          <w:rFonts w:cs="Arial"/>
        </w:rPr>
        <w:tab/>
        <w:t xml:space="preserve">Actualización y validación de registro con impacto en la base del Registro Nacional de Población (RENAPO). </w:t>
      </w:r>
      <w:r>
        <w:rPr>
          <w:rFonts w:cs="Arial"/>
        </w:rPr>
        <w:tab/>
      </w:r>
      <w:r>
        <w:rPr>
          <w:rFonts w:cs="Arial"/>
        </w:rPr>
        <w:tab/>
      </w:r>
      <w:r>
        <w:rPr>
          <w:rFonts w:cs="Arial"/>
        </w:rPr>
        <w:tab/>
      </w:r>
      <w:r>
        <w:rPr>
          <w:rFonts w:cs="Arial"/>
        </w:rPr>
        <w:tab/>
      </w:r>
      <w:r>
        <w:rPr>
          <w:rFonts w:cs="Arial"/>
        </w:rPr>
        <w:tab/>
        <w:t>5 UMA</w:t>
      </w:r>
    </w:p>
    <w:p w14:paraId="6833862C" w14:textId="77777777" w:rsidR="00D3344B" w:rsidRDefault="00D3344B">
      <w:pPr>
        <w:pStyle w:val="Estilo"/>
        <w:ind w:left="851" w:hanging="851"/>
        <w:rPr>
          <w:rFonts w:cs="Arial"/>
        </w:rPr>
      </w:pPr>
    </w:p>
    <w:p w14:paraId="1BAF3FF8" w14:textId="77777777" w:rsidR="00D3344B" w:rsidRDefault="00143C25">
      <w:pPr>
        <w:pStyle w:val="Estilo"/>
        <w:rPr>
          <w:rFonts w:cs="Arial"/>
          <w:i/>
          <w:sz w:val="16"/>
          <w:szCs w:val="16"/>
        </w:rPr>
      </w:pPr>
      <w:r>
        <w:rPr>
          <w:rFonts w:cs="Arial"/>
          <w:i/>
          <w:sz w:val="16"/>
          <w:szCs w:val="16"/>
        </w:rPr>
        <w:t>(ADICIONADA, P.O. 26 DE DICIEMBRE DE 2022)</w:t>
      </w:r>
    </w:p>
    <w:p w14:paraId="2D35DBD8" w14:textId="77777777" w:rsidR="00D3344B" w:rsidRDefault="00143C25">
      <w:pPr>
        <w:pStyle w:val="Estilo"/>
        <w:ind w:left="851" w:hanging="851"/>
        <w:rPr>
          <w:rFonts w:cs="Arial"/>
        </w:rPr>
      </w:pPr>
      <w:r>
        <w:rPr>
          <w:rFonts w:cs="Arial"/>
        </w:rPr>
        <w:t xml:space="preserve">XXVII. </w:t>
      </w:r>
      <w:r>
        <w:rPr>
          <w:rFonts w:cs="Arial"/>
        </w:rPr>
        <w:tab/>
        <w:t xml:space="preserve">Reimpresión de libros digitales para efectos de reposición. </w:t>
      </w:r>
      <w:r>
        <w:rPr>
          <w:rFonts w:cs="Arial"/>
        </w:rPr>
        <w:tab/>
      </w:r>
      <w:r>
        <w:rPr>
          <w:rFonts w:cs="Arial"/>
        </w:rPr>
        <w:tab/>
        <w:t>9 UMA</w:t>
      </w:r>
    </w:p>
    <w:p w14:paraId="063FC3A4" w14:textId="77777777" w:rsidR="00D3344B" w:rsidRDefault="00D3344B">
      <w:pPr>
        <w:pStyle w:val="Estilo"/>
        <w:rPr>
          <w:rFonts w:cs="Arial"/>
        </w:rPr>
      </w:pPr>
    </w:p>
    <w:p w14:paraId="574119B5" w14:textId="77777777" w:rsidR="00D3344B" w:rsidRDefault="00D3344B">
      <w:pPr>
        <w:pStyle w:val="Estilo"/>
        <w:rPr>
          <w:rFonts w:cs="Arial"/>
        </w:rPr>
      </w:pPr>
    </w:p>
    <w:p w14:paraId="77841841" w14:textId="77777777" w:rsidR="00D3344B" w:rsidRDefault="00143C25">
      <w:pPr>
        <w:pStyle w:val="Estilo"/>
        <w:rPr>
          <w:rFonts w:cs="Arial"/>
          <w:i/>
          <w:sz w:val="16"/>
          <w:szCs w:val="16"/>
        </w:rPr>
      </w:pPr>
      <w:r>
        <w:rPr>
          <w:rFonts w:cs="Arial"/>
          <w:i/>
          <w:sz w:val="16"/>
          <w:szCs w:val="16"/>
        </w:rPr>
        <w:t>(REFORMADO, P.O. 26 DE DICIEMBRE DE 2022)</w:t>
      </w:r>
    </w:p>
    <w:p w14:paraId="21A37E36" w14:textId="77777777" w:rsidR="00D3344B" w:rsidRDefault="00143C25">
      <w:pPr>
        <w:pStyle w:val="Estilo"/>
        <w:rPr>
          <w:rFonts w:cs="Arial"/>
        </w:rPr>
      </w:pPr>
      <w:r>
        <w:rPr>
          <w:rFonts w:cs="Arial"/>
        </w:rPr>
        <w:t>Quedan exceptuadas del pago de los derechos por la expedición de las actas del estado civil que sean solicitadas por los adultos mayores y personas con discapacidad a la Dirección de la Coordinación del Registro Civil para el Estado de Tlaxcala y sus oficialías en las que conste la inscripción de actos constitutivos o modificativos de su estado civil, así como las actas de defunción que les sean necesarias para la realización de algún trámite administrativo o judicial, las que deberán expedirse en forma gratuita.</w:t>
      </w:r>
    </w:p>
    <w:p w14:paraId="182D9631" w14:textId="77777777" w:rsidR="00D3344B" w:rsidRDefault="00D3344B">
      <w:pPr>
        <w:pStyle w:val="Estilo"/>
        <w:rPr>
          <w:rFonts w:cs="Arial"/>
        </w:rPr>
      </w:pPr>
    </w:p>
    <w:p w14:paraId="27E78E99" w14:textId="77777777" w:rsidR="00D3344B" w:rsidRDefault="00143C25">
      <w:pPr>
        <w:spacing w:after="0"/>
        <w:jc w:val="both"/>
        <w:rPr>
          <w:rFonts w:ascii="Arial" w:hAnsi="Arial" w:cs="Arial"/>
          <w:i/>
          <w:sz w:val="16"/>
          <w:szCs w:val="16"/>
        </w:rPr>
      </w:pPr>
      <w:r>
        <w:rPr>
          <w:rFonts w:ascii="Arial" w:hAnsi="Arial" w:cs="Arial"/>
          <w:i/>
          <w:sz w:val="16"/>
          <w:szCs w:val="16"/>
        </w:rPr>
        <w:t xml:space="preserve">(REFORMADO PRIMER </w:t>
      </w:r>
      <w:proofErr w:type="gramStart"/>
      <w:r>
        <w:rPr>
          <w:rFonts w:ascii="Arial" w:hAnsi="Arial" w:cs="Arial"/>
          <w:i/>
          <w:sz w:val="16"/>
          <w:szCs w:val="16"/>
        </w:rPr>
        <w:t>PÁRRAFO,  P.O.</w:t>
      </w:r>
      <w:proofErr w:type="gramEnd"/>
      <w:r>
        <w:rPr>
          <w:rFonts w:ascii="Arial" w:hAnsi="Arial" w:cs="Arial"/>
          <w:i/>
          <w:sz w:val="16"/>
          <w:szCs w:val="16"/>
        </w:rPr>
        <w:t xml:space="preserve"> 26 DE DICIEMBRE DE 2022)</w:t>
      </w:r>
    </w:p>
    <w:p w14:paraId="79565148" w14:textId="77777777" w:rsidR="00D3344B" w:rsidRDefault="00143C25">
      <w:pPr>
        <w:pStyle w:val="Estilo"/>
        <w:rPr>
          <w:rFonts w:cs="Arial"/>
        </w:rPr>
      </w:pPr>
      <w:r>
        <w:rPr>
          <w:rFonts w:cs="Arial"/>
          <w:b/>
          <w:sz w:val="22"/>
        </w:rPr>
        <w:t>Artículo 158.</w:t>
      </w:r>
      <w:r>
        <w:rPr>
          <w:rFonts w:cs="Arial"/>
          <w:sz w:val="22"/>
        </w:rPr>
        <w:t xml:space="preserve"> </w:t>
      </w:r>
      <w:r>
        <w:rPr>
          <w:rFonts w:cs="Arial"/>
        </w:rPr>
        <w:t>Los servicios de estancia que proporcione el Centro de Atención Infantil del Gobierno del Estado, causarán los respectivos derechos, mismos que se cobrarán de acuerdo con la tarifa siguiente:</w:t>
      </w:r>
    </w:p>
    <w:p w14:paraId="7F791EDA" w14:textId="77777777" w:rsidR="00D3344B" w:rsidRDefault="00D3344B">
      <w:pPr>
        <w:pStyle w:val="Estilo"/>
        <w:rPr>
          <w:rFonts w:cs="Arial"/>
        </w:rPr>
      </w:pPr>
    </w:p>
    <w:p w14:paraId="64A1A062" w14:textId="77777777" w:rsidR="00D3344B" w:rsidRDefault="00143C25">
      <w:pPr>
        <w:spacing w:after="0"/>
        <w:jc w:val="both"/>
        <w:rPr>
          <w:rFonts w:ascii="Arial" w:hAnsi="Arial" w:cs="Arial"/>
        </w:rPr>
      </w:pPr>
      <w:r>
        <w:rPr>
          <w:rFonts w:ascii="Arial" w:hAnsi="Arial" w:cs="Arial"/>
        </w:rPr>
        <w:t>I. Lactantes y maternal:</w:t>
      </w:r>
    </w:p>
    <w:p w14:paraId="2792ADF0" w14:textId="77777777" w:rsidR="00D3344B" w:rsidRDefault="00D3344B">
      <w:pPr>
        <w:spacing w:after="0"/>
        <w:jc w:val="both"/>
        <w:rPr>
          <w:rFonts w:ascii="Arial" w:hAnsi="Arial" w:cs="Arial"/>
        </w:rPr>
      </w:pPr>
    </w:p>
    <w:tbl>
      <w:tblPr>
        <w:tblW w:w="9000" w:type="dxa"/>
        <w:tblInd w:w="250" w:type="dxa"/>
        <w:tblLayout w:type="fixed"/>
        <w:tblCellMar>
          <w:left w:w="70" w:type="dxa"/>
          <w:right w:w="70" w:type="dxa"/>
        </w:tblCellMar>
        <w:tblLook w:val="0000" w:firstRow="0" w:lastRow="0" w:firstColumn="0" w:lastColumn="0" w:noHBand="0" w:noVBand="0"/>
      </w:tblPr>
      <w:tblGrid>
        <w:gridCol w:w="5941"/>
        <w:gridCol w:w="3059"/>
      </w:tblGrid>
      <w:tr w:rsidR="00D3344B" w14:paraId="7D8F9517" w14:textId="77777777">
        <w:trPr>
          <w:trHeight w:val="515"/>
        </w:trPr>
        <w:tc>
          <w:tcPr>
            <w:tcW w:w="5940" w:type="dxa"/>
          </w:tcPr>
          <w:p w14:paraId="41279DF7" w14:textId="77777777" w:rsidR="00D3344B" w:rsidRDefault="00143C25">
            <w:pPr>
              <w:widowControl w:val="0"/>
              <w:jc w:val="both"/>
              <w:rPr>
                <w:rFonts w:ascii="Arial" w:hAnsi="Arial" w:cs="Arial"/>
              </w:rPr>
            </w:pPr>
            <w:r>
              <w:rPr>
                <w:rFonts w:ascii="Arial" w:hAnsi="Arial" w:cs="Arial"/>
              </w:rPr>
              <w:t>CONCEPTO</w:t>
            </w:r>
          </w:p>
        </w:tc>
        <w:tc>
          <w:tcPr>
            <w:tcW w:w="3059" w:type="dxa"/>
          </w:tcPr>
          <w:p w14:paraId="27E3D50A" w14:textId="77777777" w:rsidR="00D3344B" w:rsidRDefault="00143C25">
            <w:pPr>
              <w:widowControl w:val="0"/>
              <w:jc w:val="both"/>
              <w:rPr>
                <w:rFonts w:ascii="Arial" w:hAnsi="Arial" w:cs="Arial"/>
              </w:rPr>
            </w:pPr>
            <w:r>
              <w:rPr>
                <w:rFonts w:ascii="Arial" w:hAnsi="Arial" w:cs="Arial"/>
              </w:rPr>
              <w:t xml:space="preserve">DERECHOS </w:t>
            </w:r>
          </w:p>
          <w:p w14:paraId="6A709EF9" w14:textId="77777777" w:rsidR="00D3344B" w:rsidRDefault="00143C25">
            <w:pPr>
              <w:widowControl w:val="0"/>
              <w:jc w:val="both"/>
              <w:rPr>
                <w:rFonts w:ascii="Arial" w:hAnsi="Arial" w:cs="Arial"/>
              </w:rPr>
            </w:pPr>
            <w:r>
              <w:rPr>
                <w:rFonts w:ascii="Arial" w:hAnsi="Arial" w:cs="Arial"/>
              </w:rPr>
              <w:t>CAUSADOS</w:t>
            </w:r>
          </w:p>
        </w:tc>
      </w:tr>
      <w:tr w:rsidR="00D3344B" w14:paraId="447439CE" w14:textId="77777777">
        <w:trPr>
          <w:trHeight w:val="515"/>
        </w:trPr>
        <w:tc>
          <w:tcPr>
            <w:tcW w:w="5940" w:type="dxa"/>
          </w:tcPr>
          <w:p w14:paraId="08577D02" w14:textId="77777777" w:rsidR="00D3344B" w:rsidRDefault="00143C25">
            <w:pPr>
              <w:widowControl w:val="0"/>
              <w:jc w:val="both"/>
              <w:rPr>
                <w:rFonts w:ascii="Arial" w:hAnsi="Arial" w:cs="Arial"/>
              </w:rPr>
            </w:pPr>
            <w:r>
              <w:rPr>
                <w:rFonts w:ascii="Arial" w:hAnsi="Arial" w:cs="Arial"/>
              </w:rPr>
              <w:t xml:space="preserve">a) Por inscripción </w:t>
            </w:r>
          </w:p>
        </w:tc>
        <w:tc>
          <w:tcPr>
            <w:tcW w:w="3059" w:type="dxa"/>
          </w:tcPr>
          <w:p w14:paraId="1F636DB3" w14:textId="77777777" w:rsidR="00D3344B" w:rsidRDefault="00143C25">
            <w:pPr>
              <w:widowControl w:val="0"/>
              <w:jc w:val="both"/>
              <w:rPr>
                <w:rFonts w:ascii="Arial" w:hAnsi="Arial" w:cs="Arial"/>
              </w:rPr>
            </w:pPr>
            <w:r>
              <w:rPr>
                <w:rFonts w:ascii="Arial" w:hAnsi="Arial" w:cs="Arial"/>
              </w:rPr>
              <w:t xml:space="preserve">8.5 UMA </w:t>
            </w:r>
          </w:p>
        </w:tc>
      </w:tr>
      <w:tr w:rsidR="00D3344B" w14:paraId="6E03984A" w14:textId="77777777">
        <w:trPr>
          <w:trHeight w:val="515"/>
        </w:trPr>
        <w:tc>
          <w:tcPr>
            <w:tcW w:w="5940" w:type="dxa"/>
          </w:tcPr>
          <w:p w14:paraId="39DA5C24" w14:textId="77777777" w:rsidR="00D3344B" w:rsidRDefault="00143C25">
            <w:pPr>
              <w:widowControl w:val="0"/>
              <w:jc w:val="both"/>
              <w:rPr>
                <w:rFonts w:ascii="Arial" w:hAnsi="Arial" w:cs="Arial"/>
              </w:rPr>
            </w:pPr>
            <w:r>
              <w:rPr>
                <w:rFonts w:ascii="Arial" w:hAnsi="Arial" w:cs="Arial"/>
              </w:rPr>
              <w:t xml:space="preserve">b) Cuota mensual por educando. </w:t>
            </w:r>
          </w:p>
        </w:tc>
        <w:tc>
          <w:tcPr>
            <w:tcW w:w="3059" w:type="dxa"/>
          </w:tcPr>
          <w:p w14:paraId="090DB5C9" w14:textId="77777777" w:rsidR="00D3344B" w:rsidRDefault="00143C25">
            <w:pPr>
              <w:widowControl w:val="0"/>
              <w:jc w:val="both"/>
              <w:rPr>
                <w:rFonts w:ascii="Arial" w:hAnsi="Arial" w:cs="Arial"/>
              </w:rPr>
            </w:pPr>
            <w:r>
              <w:rPr>
                <w:rFonts w:ascii="Arial" w:hAnsi="Arial" w:cs="Arial"/>
              </w:rPr>
              <w:t xml:space="preserve">8.5 UMA </w:t>
            </w:r>
          </w:p>
        </w:tc>
      </w:tr>
      <w:tr w:rsidR="00D3344B" w14:paraId="204121CD" w14:textId="77777777">
        <w:trPr>
          <w:trHeight w:val="515"/>
        </w:trPr>
        <w:tc>
          <w:tcPr>
            <w:tcW w:w="5940" w:type="dxa"/>
          </w:tcPr>
          <w:p w14:paraId="1AF63889" w14:textId="77777777" w:rsidR="00D3344B" w:rsidRDefault="00143C25">
            <w:pPr>
              <w:widowControl w:val="0"/>
              <w:jc w:val="both"/>
              <w:rPr>
                <w:rFonts w:ascii="Arial" w:hAnsi="Arial" w:cs="Arial"/>
              </w:rPr>
            </w:pPr>
            <w:r>
              <w:rPr>
                <w:rFonts w:ascii="Arial" w:hAnsi="Arial" w:cs="Arial"/>
              </w:rPr>
              <w:t xml:space="preserve">c) Por reinscripción anual individual </w:t>
            </w:r>
          </w:p>
        </w:tc>
        <w:tc>
          <w:tcPr>
            <w:tcW w:w="3059" w:type="dxa"/>
          </w:tcPr>
          <w:p w14:paraId="72E397BD" w14:textId="77777777" w:rsidR="00D3344B" w:rsidRDefault="00143C25">
            <w:pPr>
              <w:widowControl w:val="0"/>
              <w:jc w:val="both"/>
              <w:rPr>
                <w:rFonts w:ascii="Arial" w:hAnsi="Arial" w:cs="Arial"/>
              </w:rPr>
            </w:pPr>
            <w:r>
              <w:rPr>
                <w:rFonts w:ascii="Arial" w:hAnsi="Arial" w:cs="Arial"/>
              </w:rPr>
              <w:t xml:space="preserve">7.5 UMA </w:t>
            </w:r>
          </w:p>
        </w:tc>
      </w:tr>
    </w:tbl>
    <w:p w14:paraId="7DBA7DED" w14:textId="77777777" w:rsidR="00D3344B" w:rsidRDefault="00D3344B">
      <w:pPr>
        <w:jc w:val="both"/>
        <w:rPr>
          <w:rFonts w:ascii="Arial" w:hAnsi="Arial" w:cs="Arial"/>
        </w:rPr>
      </w:pPr>
    </w:p>
    <w:p w14:paraId="767DDFBC" w14:textId="77777777" w:rsidR="00D3344B" w:rsidRDefault="00143C25">
      <w:pPr>
        <w:spacing w:after="0"/>
        <w:jc w:val="both"/>
        <w:rPr>
          <w:rFonts w:ascii="Arial" w:hAnsi="Arial" w:cs="Arial"/>
        </w:rPr>
      </w:pPr>
      <w:r>
        <w:rPr>
          <w:rFonts w:ascii="Arial" w:hAnsi="Arial" w:cs="Arial"/>
        </w:rPr>
        <w:t xml:space="preserve">II. </w:t>
      </w:r>
      <w:r>
        <w:rPr>
          <w:rFonts w:ascii="Arial" w:hAnsi="Arial" w:cs="Arial"/>
          <w:i/>
          <w:sz w:val="16"/>
        </w:rPr>
        <w:t>(DEROGADA, P.O. 26 DE DICIEMBRE DE 2022)</w:t>
      </w:r>
    </w:p>
    <w:p w14:paraId="55FD2C34" w14:textId="77777777" w:rsidR="00D3344B" w:rsidRDefault="00D3344B">
      <w:pPr>
        <w:spacing w:after="0"/>
        <w:jc w:val="both"/>
        <w:rPr>
          <w:rFonts w:ascii="Arial" w:hAnsi="Arial" w:cs="Arial"/>
        </w:rPr>
      </w:pPr>
    </w:p>
    <w:tbl>
      <w:tblPr>
        <w:tblW w:w="9000" w:type="dxa"/>
        <w:tblInd w:w="250" w:type="dxa"/>
        <w:tblLayout w:type="fixed"/>
        <w:tblCellMar>
          <w:left w:w="70" w:type="dxa"/>
          <w:right w:w="70" w:type="dxa"/>
        </w:tblCellMar>
        <w:tblLook w:val="0000" w:firstRow="0" w:lastRow="0" w:firstColumn="0" w:lastColumn="0" w:noHBand="0" w:noVBand="0"/>
      </w:tblPr>
      <w:tblGrid>
        <w:gridCol w:w="5941"/>
        <w:gridCol w:w="3059"/>
      </w:tblGrid>
      <w:tr w:rsidR="00D3344B" w14:paraId="54E3CA38" w14:textId="77777777">
        <w:trPr>
          <w:trHeight w:val="515"/>
        </w:trPr>
        <w:tc>
          <w:tcPr>
            <w:tcW w:w="5940" w:type="dxa"/>
          </w:tcPr>
          <w:p w14:paraId="6C9598EF" w14:textId="77777777" w:rsidR="00D3344B" w:rsidRDefault="00143C25">
            <w:pPr>
              <w:widowControl w:val="0"/>
              <w:jc w:val="both"/>
              <w:rPr>
                <w:rFonts w:ascii="Arial" w:hAnsi="Arial" w:cs="Arial"/>
              </w:rPr>
            </w:pPr>
            <w:r>
              <w:rPr>
                <w:rFonts w:ascii="Arial" w:hAnsi="Arial" w:cs="Arial"/>
              </w:rPr>
              <w:t>CONCEPTO</w:t>
            </w:r>
          </w:p>
        </w:tc>
        <w:tc>
          <w:tcPr>
            <w:tcW w:w="3059" w:type="dxa"/>
          </w:tcPr>
          <w:p w14:paraId="4219050E" w14:textId="77777777" w:rsidR="00D3344B" w:rsidRDefault="00143C25">
            <w:pPr>
              <w:widowControl w:val="0"/>
              <w:jc w:val="both"/>
              <w:rPr>
                <w:rFonts w:ascii="Arial" w:hAnsi="Arial" w:cs="Arial"/>
              </w:rPr>
            </w:pPr>
            <w:r>
              <w:rPr>
                <w:rFonts w:ascii="Arial" w:hAnsi="Arial" w:cs="Arial"/>
              </w:rPr>
              <w:t>DERECHOS CAUSADOS</w:t>
            </w:r>
          </w:p>
        </w:tc>
      </w:tr>
      <w:tr w:rsidR="00D3344B" w14:paraId="1D128844" w14:textId="77777777">
        <w:trPr>
          <w:trHeight w:val="537"/>
        </w:trPr>
        <w:tc>
          <w:tcPr>
            <w:tcW w:w="5940" w:type="dxa"/>
          </w:tcPr>
          <w:p w14:paraId="41D1A1E8" w14:textId="77777777" w:rsidR="00D3344B" w:rsidRDefault="00143C25">
            <w:pPr>
              <w:widowControl w:val="0"/>
              <w:spacing w:after="0"/>
              <w:jc w:val="both"/>
              <w:rPr>
                <w:rFonts w:ascii="Arial" w:hAnsi="Arial" w:cs="Arial"/>
              </w:rPr>
            </w:pPr>
            <w:r>
              <w:rPr>
                <w:rFonts w:ascii="Arial" w:hAnsi="Arial" w:cs="Arial"/>
              </w:rPr>
              <w:t xml:space="preserve">a) </w:t>
            </w:r>
            <w:r>
              <w:rPr>
                <w:rFonts w:ascii="Arial" w:hAnsi="Arial" w:cs="Arial"/>
                <w:i/>
                <w:sz w:val="16"/>
              </w:rPr>
              <w:t>(DEROGADO, P.O. 26 DE DICIEMBRE DE 2022)</w:t>
            </w:r>
          </w:p>
        </w:tc>
        <w:tc>
          <w:tcPr>
            <w:tcW w:w="3059" w:type="dxa"/>
          </w:tcPr>
          <w:p w14:paraId="223D19C6" w14:textId="77777777" w:rsidR="00D3344B" w:rsidRDefault="00D3344B">
            <w:pPr>
              <w:widowControl w:val="0"/>
              <w:jc w:val="both"/>
              <w:rPr>
                <w:rFonts w:ascii="Arial" w:hAnsi="Arial" w:cs="Arial"/>
              </w:rPr>
            </w:pPr>
          </w:p>
        </w:tc>
      </w:tr>
      <w:tr w:rsidR="00D3344B" w14:paraId="0E31C785" w14:textId="77777777">
        <w:trPr>
          <w:trHeight w:val="447"/>
        </w:trPr>
        <w:tc>
          <w:tcPr>
            <w:tcW w:w="5940" w:type="dxa"/>
            <w:vAlign w:val="center"/>
          </w:tcPr>
          <w:p w14:paraId="6B02492E" w14:textId="77777777" w:rsidR="00D3344B" w:rsidRDefault="00143C25">
            <w:pPr>
              <w:widowControl w:val="0"/>
              <w:jc w:val="both"/>
              <w:rPr>
                <w:rFonts w:ascii="Arial" w:hAnsi="Arial" w:cs="Arial"/>
              </w:rPr>
            </w:pPr>
            <w:r>
              <w:rPr>
                <w:rFonts w:ascii="Arial" w:hAnsi="Arial" w:cs="Arial"/>
              </w:rPr>
              <w:t xml:space="preserve">b) </w:t>
            </w:r>
            <w:r>
              <w:rPr>
                <w:rFonts w:ascii="Arial" w:hAnsi="Arial" w:cs="Arial"/>
                <w:i/>
                <w:sz w:val="16"/>
              </w:rPr>
              <w:t>(DEROGADO, P.O. 26 DE DICIEMBRE DE 2022)</w:t>
            </w:r>
          </w:p>
        </w:tc>
        <w:tc>
          <w:tcPr>
            <w:tcW w:w="3059" w:type="dxa"/>
          </w:tcPr>
          <w:p w14:paraId="51BE578E" w14:textId="77777777" w:rsidR="00D3344B" w:rsidRDefault="00D3344B">
            <w:pPr>
              <w:widowControl w:val="0"/>
              <w:jc w:val="both"/>
              <w:rPr>
                <w:rFonts w:ascii="Arial" w:hAnsi="Arial" w:cs="Arial"/>
              </w:rPr>
            </w:pPr>
          </w:p>
        </w:tc>
      </w:tr>
      <w:tr w:rsidR="00D3344B" w14:paraId="4A506FBD" w14:textId="77777777">
        <w:trPr>
          <w:trHeight w:val="351"/>
        </w:trPr>
        <w:tc>
          <w:tcPr>
            <w:tcW w:w="5940" w:type="dxa"/>
          </w:tcPr>
          <w:p w14:paraId="26BFE022" w14:textId="77777777" w:rsidR="00D3344B" w:rsidRDefault="00143C25">
            <w:pPr>
              <w:widowControl w:val="0"/>
              <w:jc w:val="both"/>
              <w:rPr>
                <w:rFonts w:ascii="Arial" w:hAnsi="Arial" w:cs="Arial"/>
              </w:rPr>
            </w:pPr>
            <w:r>
              <w:rPr>
                <w:rFonts w:ascii="Arial" w:hAnsi="Arial" w:cs="Arial"/>
              </w:rPr>
              <w:t xml:space="preserve">c) </w:t>
            </w:r>
            <w:r>
              <w:rPr>
                <w:rFonts w:ascii="Arial" w:hAnsi="Arial" w:cs="Arial"/>
                <w:i/>
                <w:sz w:val="16"/>
              </w:rPr>
              <w:t>(DEROGADO, P.O. 26 DE DICIEMBRE DE 2022)</w:t>
            </w:r>
          </w:p>
        </w:tc>
        <w:tc>
          <w:tcPr>
            <w:tcW w:w="3059" w:type="dxa"/>
          </w:tcPr>
          <w:p w14:paraId="2A062F47" w14:textId="77777777" w:rsidR="00D3344B" w:rsidRDefault="00D3344B">
            <w:pPr>
              <w:widowControl w:val="0"/>
              <w:jc w:val="both"/>
              <w:rPr>
                <w:rFonts w:ascii="Arial" w:hAnsi="Arial" w:cs="Arial"/>
              </w:rPr>
            </w:pPr>
          </w:p>
        </w:tc>
      </w:tr>
    </w:tbl>
    <w:p w14:paraId="0ADB814D" w14:textId="77777777" w:rsidR="00D3344B" w:rsidRDefault="00D3344B">
      <w:pPr>
        <w:pStyle w:val="Estilo"/>
        <w:rPr>
          <w:rFonts w:cs="Arial"/>
        </w:rPr>
      </w:pPr>
    </w:p>
    <w:p w14:paraId="21FC2012" w14:textId="77777777" w:rsidR="00D3344B" w:rsidRDefault="00143C25">
      <w:pPr>
        <w:pStyle w:val="Estilo"/>
        <w:jc w:val="center"/>
        <w:rPr>
          <w:rFonts w:cs="Arial"/>
          <w:i/>
          <w:iCs/>
          <w:sz w:val="16"/>
          <w:szCs w:val="16"/>
        </w:rPr>
      </w:pPr>
      <w:r>
        <w:rPr>
          <w:rFonts w:cs="Arial"/>
          <w:i/>
          <w:iCs/>
          <w:sz w:val="16"/>
          <w:szCs w:val="16"/>
        </w:rPr>
        <w:t>(REFORMADA DENOMINACION, P.O. 22 DE DICIEMBRE DE 2021)</w:t>
      </w:r>
    </w:p>
    <w:p w14:paraId="606715C0" w14:textId="77777777" w:rsidR="00D3344B" w:rsidRDefault="00143C25">
      <w:pPr>
        <w:pStyle w:val="Estilo"/>
        <w:jc w:val="center"/>
        <w:rPr>
          <w:rFonts w:cs="Arial"/>
          <w:b/>
        </w:rPr>
      </w:pPr>
      <w:r>
        <w:rPr>
          <w:rFonts w:cs="Arial"/>
          <w:b/>
        </w:rPr>
        <w:t>Subsección Quinta</w:t>
      </w:r>
    </w:p>
    <w:p w14:paraId="6DBA3DF7" w14:textId="77777777" w:rsidR="00D3344B" w:rsidRDefault="00143C25">
      <w:pPr>
        <w:pStyle w:val="Estilo"/>
        <w:jc w:val="center"/>
        <w:rPr>
          <w:rFonts w:cs="Arial"/>
          <w:b/>
        </w:rPr>
      </w:pPr>
      <w:r>
        <w:rPr>
          <w:rFonts w:cs="Arial"/>
          <w:b/>
        </w:rPr>
        <w:t>Derechos por los Servicios Prestados por la Secretaría de Infraestructura</w:t>
      </w:r>
    </w:p>
    <w:p w14:paraId="1CE8170E" w14:textId="77777777" w:rsidR="00D3344B" w:rsidRDefault="00D3344B">
      <w:pPr>
        <w:pStyle w:val="Estilo"/>
        <w:rPr>
          <w:rFonts w:cs="Arial"/>
        </w:rPr>
      </w:pPr>
    </w:p>
    <w:p w14:paraId="0EC94456" w14:textId="77777777" w:rsidR="00D3344B" w:rsidRDefault="00143C25">
      <w:pPr>
        <w:pStyle w:val="Estilo"/>
        <w:rPr>
          <w:rFonts w:cs="Arial"/>
        </w:rPr>
      </w:pPr>
      <w:r>
        <w:rPr>
          <w:rFonts w:cs="Arial"/>
          <w:i/>
          <w:sz w:val="16"/>
          <w:szCs w:val="16"/>
        </w:rPr>
        <w:t>(REFORMADO PRIMER PÁRRAFO, P.O. 22 DE DICIEMBRE DE 2021)</w:t>
      </w:r>
    </w:p>
    <w:p w14:paraId="5A4F5F52" w14:textId="77777777" w:rsidR="00D3344B" w:rsidRDefault="00143C25">
      <w:pPr>
        <w:pStyle w:val="Estilo"/>
        <w:rPr>
          <w:rFonts w:cs="Arial"/>
        </w:rPr>
      </w:pPr>
      <w:r>
        <w:rPr>
          <w:rFonts w:cs="Arial"/>
          <w:b/>
        </w:rPr>
        <w:t>Artículo 159.</w:t>
      </w:r>
      <w:r>
        <w:rPr>
          <w:rFonts w:cs="Arial"/>
        </w:rPr>
        <w:t xml:space="preserve"> Los servicios proporcionados por la Secretaría de Infraestructura, causarán los respectivos derechos, mismos que deberán pagarse de la manera siguiente:</w:t>
      </w:r>
    </w:p>
    <w:p w14:paraId="3208C2F4" w14:textId="77777777" w:rsidR="00D3344B" w:rsidRDefault="00D3344B">
      <w:pPr>
        <w:pStyle w:val="Estilo"/>
        <w:rPr>
          <w:rFonts w:cs="Arial"/>
        </w:rPr>
      </w:pPr>
    </w:p>
    <w:p w14:paraId="152BCF47" w14:textId="77777777" w:rsidR="00D3344B" w:rsidRDefault="00D3344B">
      <w:pPr>
        <w:pStyle w:val="Textosinformato"/>
        <w:widowControl w:val="0"/>
        <w:jc w:val="center"/>
        <w:rPr>
          <w:rFonts w:ascii="Arial" w:hAnsi="Arial" w:cs="Arial"/>
          <w:b/>
          <w:sz w:val="24"/>
          <w:szCs w:val="24"/>
        </w:rPr>
      </w:pPr>
    </w:p>
    <w:p w14:paraId="4CBB98F4" w14:textId="77777777" w:rsidR="00D3344B" w:rsidRDefault="00143C25">
      <w:pPr>
        <w:pStyle w:val="Textosinformato"/>
        <w:widowControl w:val="0"/>
        <w:rPr>
          <w:rFonts w:ascii="Arial" w:hAnsi="Arial" w:cs="Arial"/>
          <w:b/>
          <w:sz w:val="24"/>
          <w:szCs w:val="24"/>
        </w:rPr>
      </w:pPr>
      <w:r>
        <w:rPr>
          <w:rFonts w:ascii="Arial" w:hAnsi="Arial" w:cs="Arial"/>
          <w:b/>
          <w:sz w:val="24"/>
          <w:szCs w:val="24"/>
        </w:rPr>
        <w:t>CONCEPTO                                               DERECHOS CAUSADOS</w:t>
      </w:r>
    </w:p>
    <w:p w14:paraId="53E7B164" w14:textId="77777777" w:rsidR="00D3344B" w:rsidRDefault="00D3344B">
      <w:pPr>
        <w:pStyle w:val="Textosinformato"/>
        <w:widowControl w:val="0"/>
        <w:jc w:val="center"/>
        <w:rPr>
          <w:rFonts w:ascii="Arial" w:hAnsi="Arial" w:cs="Arial"/>
          <w:b/>
          <w:sz w:val="24"/>
          <w:szCs w:val="24"/>
        </w:rPr>
      </w:pPr>
    </w:p>
    <w:p w14:paraId="7A8D209E" w14:textId="77777777" w:rsidR="00D3344B" w:rsidRDefault="00143C25">
      <w:pPr>
        <w:pStyle w:val="Textosinformato"/>
        <w:widowControl w:val="0"/>
        <w:rPr>
          <w:rFonts w:ascii="Arial" w:hAnsi="Arial" w:cs="Arial"/>
          <w:bCs/>
          <w:i/>
          <w:iCs/>
          <w:sz w:val="16"/>
          <w:szCs w:val="16"/>
        </w:rPr>
      </w:pPr>
      <w:r>
        <w:rPr>
          <w:rFonts w:ascii="Arial" w:hAnsi="Arial" w:cs="Arial"/>
          <w:sz w:val="24"/>
          <w:szCs w:val="24"/>
        </w:rPr>
        <w:t xml:space="preserve">I. </w:t>
      </w:r>
      <w:r>
        <w:rPr>
          <w:rFonts w:ascii="Arial" w:hAnsi="Arial" w:cs="Arial"/>
          <w:bCs/>
          <w:i/>
          <w:iCs/>
          <w:sz w:val="16"/>
          <w:szCs w:val="16"/>
        </w:rPr>
        <w:t>(DEROGADA, P.O. 22 DE DICIEMBRE DE 2021)</w:t>
      </w:r>
    </w:p>
    <w:p w14:paraId="13293EB1" w14:textId="77777777" w:rsidR="00D3344B" w:rsidRDefault="00D3344B">
      <w:pPr>
        <w:pStyle w:val="Textosinformato"/>
        <w:widowControl w:val="0"/>
        <w:rPr>
          <w:rFonts w:ascii="Arial" w:hAnsi="Arial" w:cs="Arial"/>
          <w:sz w:val="24"/>
          <w:szCs w:val="24"/>
        </w:rPr>
      </w:pPr>
    </w:p>
    <w:p w14:paraId="3056D85B" w14:textId="77777777" w:rsidR="00D3344B" w:rsidRDefault="00143C25">
      <w:pPr>
        <w:pStyle w:val="Textosinformato"/>
        <w:widowControl w:val="0"/>
        <w:ind w:left="567" w:hanging="567"/>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bCs/>
          <w:i/>
          <w:iCs/>
          <w:sz w:val="16"/>
          <w:szCs w:val="16"/>
        </w:rPr>
        <w:t>(DEROGADA, P.O. 22 DE DICIEMBRE DE 2021)</w:t>
      </w:r>
    </w:p>
    <w:p w14:paraId="0EB6DC8D" w14:textId="77777777" w:rsidR="00D3344B" w:rsidRDefault="00143C25">
      <w:pPr>
        <w:widowControl w:val="0"/>
        <w:spacing w:after="5" w:line="247" w:lineRule="auto"/>
        <w:ind w:left="567" w:hanging="567"/>
        <w:jc w:val="both"/>
        <w:rPr>
          <w:rFonts w:ascii="Arial" w:hAnsi="Arial" w:cs="Arial"/>
        </w:rPr>
      </w:pPr>
      <w:r>
        <w:rPr>
          <w:rFonts w:ascii="Arial" w:hAnsi="Arial" w:cs="Arial"/>
        </w:rPr>
        <w:t xml:space="preserve">b)   </w:t>
      </w:r>
      <w:r>
        <w:rPr>
          <w:rFonts w:ascii="Arial" w:hAnsi="Arial" w:cs="Arial"/>
        </w:rPr>
        <w:tab/>
      </w:r>
      <w:r>
        <w:rPr>
          <w:rFonts w:ascii="Arial" w:hAnsi="Arial" w:cs="Arial"/>
          <w:bCs/>
          <w:i/>
          <w:iCs/>
          <w:sz w:val="16"/>
          <w:szCs w:val="16"/>
        </w:rPr>
        <w:t>(DEROGADA, P.O. 22 DE DICIEMBRE DE 2021)</w:t>
      </w:r>
    </w:p>
    <w:p w14:paraId="1837B743" w14:textId="77777777" w:rsidR="00D3344B" w:rsidRDefault="00143C25">
      <w:pPr>
        <w:pStyle w:val="Textosinformato"/>
        <w:widowControl w:val="0"/>
        <w:ind w:left="567" w:hanging="567"/>
        <w:rPr>
          <w:rFonts w:ascii="Arial" w:hAnsi="Arial" w:cs="Arial"/>
          <w:sz w:val="24"/>
          <w:szCs w:val="24"/>
        </w:rPr>
      </w:pPr>
      <w:r>
        <w:rPr>
          <w:rFonts w:ascii="Arial" w:hAnsi="Arial" w:cs="Arial"/>
          <w:sz w:val="24"/>
          <w:szCs w:val="24"/>
        </w:rPr>
        <w:t xml:space="preserve">c)  </w:t>
      </w:r>
      <w:r>
        <w:rPr>
          <w:rFonts w:ascii="Arial" w:hAnsi="Arial" w:cs="Arial"/>
          <w:sz w:val="24"/>
          <w:szCs w:val="24"/>
        </w:rPr>
        <w:tab/>
      </w:r>
      <w:r>
        <w:rPr>
          <w:rFonts w:ascii="Arial" w:hAnsi="Arial" w:cs="Arial"/>
          <w:bCs/>
          <w:i/>
          <w:iCs/>
          <w:sz w:val="16"/>
          <w:szCs w:val="16"/>
        </w:rPr>
        <w:t>(DEROGADA, P.O. 22 DE DICIEMBRE DE 2021)</w:t>
      </w:r>
    </w:p>
    <w:p w14:paraId="2C7E34FF" w14:textId="77777777" w:rsidR="00D3344B" w:rsidRDefault="00143C25">
      <w:pPr>
        <w:pStyle w:val="Textosinformato"/>
        <w:widowControl w:val="0"/>
        <w:ind w:left="567" w:hanging="567"/>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r>
      <w:r>
        <w:rPr>
          <w:rFonts w:ascii="Arial" w:hAnsi="Arial" w:cs="Arial"/>
          <w:bCs/>
          <w:i/>
          <w:iCs/>
          <w:sz w:val="16"/>
          <w:szCs w:val="16"/>
        </w:rPr>
        <w:t>(DEROGADA, P.O. 22 DE DICIEMBRE DE 2021)</w:t>
      </w:r>
    </w:p>
    <w:p w14:paraId="00C3E233" w14:textId="77777777" w:rsidR="00D3344B" w:rsidRDefault="00143C25">
      <w:pPr>
        <w:pStyle w:val="Textosinformato"/>
        <w:widowControl w:val="0"/>
        <w:ind w:left="567" w:hanging="567"/>
        <w:rPr>
          <w:rFonts w:ascii="Arial" w:hAnsi="Arial" w:cs="Arial"/>
          <w:bCs/>
          <w:i/>
          <w:iCs/>
          <w:sz w:val="16"/>
          <w:szCs w:val="16"/>
        </w:rPr>
      </w:pPr>
      <w:r>
        <w:rPr>
          <w:rFonts w:ascii="Arial" w:hAnsi="Arial" w:cs="Arial"/>
          <w:sz w:val="24"/>
          <w:szCs w:val="24"/>
        </w:rPr>
        <w:t xml:space="preserve">e)  </w:t>
      </w:r>
      <w:r>
        <w:rPr>
          <w:rFonts w:ascii="Arial" w:hAnsi="Arial" w:cs="Arial"/>
          <w:sz w:val="24"/>
          <w:szCs w:val="24"/>
        </w:rPr>
        <w:tab/>
      </w:r>
      <w:r>
        <w:rPr>
          <w:rFonts w:ascii="Arial" w:hAnsi="Arial" w:cs="Arial"/>
          <w:bCs/>
          <w:i/>
          <w:iCs/>
          <w:sz w:val="16"/>
          <w:szCs w:val="16"/>
        </w:rPr>
        <w:t>(DEROGADA, P.O. 22 DE DICIEMBRE DE 2021)</w:t>
      </w:r>
    </w:p>
    <w:p w14:paraId="75C95D8B" w14:textId="77777777" w:rsidR="00D3344B" w:rsidRDefault="00D3344B">
      <w:pPr>
        <w:pStyle w:val="Textosinformato"/>
        <w:widowControl w:val="0"/>
        <w:ind w:left="355" w:hanging="355"/>
        <w:rPr>
          <w:rFonts w:ascii="Arial" w:hAnsi="Arial" w:cs="Arial"/>
          <w:sz w:val="24"/>
          <w:szCs w:val="24"/>
        </w:rPr>
      </w:pPr>
    </w:p>
    <w:p w14:paraId="4916A558"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II. </w:t>
      </w:r>
      <w:r>
        <w:rPr>
          <w:rFonts w:ascii="Arial" w:hAnsi="Arial" w:cs="Arial"/>
          <w:bCs/>
          <w:i/>
          <w:iCs/>
          <w:sz w:val="16"/>
          <w:szCs w:val="16"/>
        </w:rPr>
        <w:t>(DEROGADA, P.O. 22 DE DICIEMBRE DE 2021)</w:t>
      </w:r>
    </w:p>
    <w:p w14:paraId="04D1EC20" w14:textId="77777777" w:rsidR="00D3344B" w:rsidRDefault="00D3344B">
      <w:pPr>
        <w:pStyle w:val="Textosinformato"/>
        <w:widowControl w:val="0"/>
        <w:rPr>
          <w:rFonts w:ascii="Arial" w:hAnsi="Arial" w:cs="Arial"/>
          <w:sz w:val="24"/>
          <w:szCs w:val="24"/>
        </w:rPr>
      </w:pPr>
    </w:p>
    <w:p w14:paraId="045C4239"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III. </w:t>
      </w:r>
      <w:r>
        <w:rPr>
          <w:rFonts w:ascii="Arial" w:hAnsi="Arial" w:cs="Arial"/>
          <w:bCs/>
          <w:i/>
          <w:iCs/>
          <w:sz w:val="16"/>
          <w:szCs w:val="16"/>
        </w:rPr>
        <w:t>(DEROGADA, P.O. 22 DE DICIEMBRE DE 2021)</w:t>
      </w:r>
    </w:p>
    <w:p w14:paraId="626539D4" w14:textId="77777777" w:rsidR="00D3344B" w:rsidRDefault="00D3344B">
      <w:pPr>
        <w:pStyle w:val="Textosinformato"/>
        <w:widowControl w:val="0"/>
        <w:jc w:val="both"/>
        <w:rPr>
          <w:rFonts w:ascii="Arial" w:hAnsi="Arial" w:cs="Arial"/>
          <w:sz w:val="24"/>
          <w:szCs w:val="24"/>
        </w:rPr>
      </w:pPr>
    </w:p>
    <w:p w14:paraId="606871E6" w14:textId="77777777" w:rsidR="00D3344B" w:rsidRDefault="00D3344B">
      <w:pPr>
        <w:pStyle w:val="Textosinformato"/>
        <w:widowControl w:val="0"/>
        <w:rPr>
          <w:rFonts w:ascii="Arial" w:hAnsi="Arial" w:cs="Arial"/>
          <w:sz w:val="24"/>
          <w:szCs w:val="24"/>
        </w:rPr>
      </w:pPr>
    </w:p>
    <w:p w14:paraId="21E6765F" w14:textId="77777777" w:rsidR="00D3344B" w:rsidRDefault="00143C25">
      <w:pPr>
        <w:pStyle w:val="Textosinformato"/>
        <w:widowControl w:val="0"/>
        <w:rPr>
          <w:rFonts w:ascii="Arial" w:hAnsi="Arial" w:cs="Arial"/>
          <w:sz w:val="24"/>
          <w:szCs w:val="24"/>
        </w:rPr>
      </w:pPr>
      <w:r>
        <w:rPr>
          <w:rFonts w:ascii="Arial" w:hAnsi="Arial" w:cs="Arial"/>
          <w:bCs/>
          <w:i/>
          <w:iCs/>
          <w:sz w:val="16"/>
          <w:szCs w:val="16"/>
        </w:rPr>
        <w:t>(REFORMADA, P.O. 29 DE NOVIEMBRE DE 2023)</w:t>
      </w:r>
    </w:p>
    <w:p w14:paraId="2157F0FB" w14:textId="77777777" w:rsidR="00D3344B" w:rsidRDefault="00143C25">
      <w:pPr>
        <w:pStyle w:val="Textosinformato"/>
        <w:widowControl w:val="0"/>
        <w:ind w:left="567" w:hanging="567"/>
        <w:rPr>
          <w:rFonts w:ascii="Arial" w:hAnsi="Arial" w:cs="Arial"/>
          <w:bCs/>
          <w:i/>
          <w:iCs/>
          <w:sz w:val="24"/>
          <w:szCs w:val="24"/>
        </w:rPr>
      </w:pPr>
      <w:r>
        <w:rPr>
          <w:rFonts w:ascii="Arial" w:hAnsi="Arial" w:cs="Arial"/>
          <w:sz w:val="24"/>
          <w:szCs w:val="24"/>
        </w:rPr>
        <w:t xml:space="preserve">IV. </w:t>
      </w:r>
      <w:r>
        <w:rPr>
          <w:rFonts w:ascii="Arial" w:hAnsi="Arial" w:cs="Arial"/>
          <w:sz w:val="24"/>
          <w:szCs w:val="24"/>
        </w:rPr>
        <w:tab/>
        <w:t xml:space="preserve">Por el registro de </w:t>
      </w:r>
      <w:proofErr w:type="gramStart"/>
      <w:r>
        <w:rPr>
          <w:rFonts w:ascii="Arial" w:hAnsi="Arial" w:cs="Arial"/>
          <w:sz w:val="24"/>
          <w:szCs w:val="24"/>
        </w:rPr>
        <w:t>Director</w:t>
      </w:r>
      <w:proofErr w:type="gramEnd"/>
      <w:r>
        <w:rPr>
          <w:rFonts w:ascii="Arial" w:hAnsi="Arial" w:cs="Arial"/>
          <w:sz w:val="24"/>
          <w:szCs w:val="24"/>
        </w:rPr>
        <w:t xml:space="preserve"> Responsable de Obra o Corresponsable, con vigencia de un año fiscal.</w:t>
      </w:r>
      <w:r>
        <w:rPr>
          <w:rFonts w:ascii="Arial" w:hAnsi="Arial" w:cs="Arial"/>
          <w:bCs/>
          <w:i/>
          <w:iCs/>
          <w:sz w:val="24"/>
          <w:szCs w:val="24"/>
        </w:rPr>
        <w:t xml:space="preserve">                                                           15 UMA.</w:t>
      </w:r>
    </w:p>
    <w:p w14:paraId="45C49830" w14:textId="77777777" w:rsidR="00D3344B" w:rsidRDefault="00D3344B">
      <w:pPr>
        <w:pStyle w:val="Textosinformato"/>
        <w:widowControl w:val="0"/>
        <w:rPr>
          <w:rFonts w:ascii="Arial" w:hAnsi="Arial" w:cs="Arial"/>
          <w:sz w:val="24"/>
          <w:szCs w:val="24"/>
        </w:rPr>
      </w:pPr>
    </w:p>
    <w:p w14:paraId="220F3C76"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V. </w:t>
      </w:r>
      <w:r>
        <w:rPr>
          <w:rFonts w:ascii="Arial" w:hAnsi="Arial" w:cs="Arial"/>
          <w:bCs/>
          <w:i/>
          <w:iCs/>
          <w:sz w:val="16"/>
          <w:szCs w:val="16"/>
        </w:rPr>
        <w:t>(DEROGADA, P.O. 22 DE DICIEMBRE DE 2021)</w:t>
      </w:r>
    </w:p>
    <w:p w14:paraId="3D8F383C" w14:textId="77777777" w:rsidR="00D3344B" w:rsidRDefault="00D3344B">
      <w:pPr>
        <w:pStyle w:val="Textosinformato"/>
        <w:widowControl w:val="0"/>
        <w:rPr>
          <w:rFonts w:ascii="Arial" w:hAnsi="Arial" w:cs="Arial"/>
          <w:sz w:val="24"/>
          <w:szCs w:val="24"/>
        </w:rPr>
      </w:pPr>
    </w:p>
    <w:p w14:paraId="3A6D2692"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VI. </w:t>
      </w:r>
      <w:r>
        <w:rPr>
          <w:rFonts w:ascii="Arial" w:hAnsi="Arial" w:cs="Arial"/>
          <w:bCs/>
          <w:i/>
          <w:iCs/>
          <w:sz w:val="16"/>
          <w:szCs w:val="16"/>
        </w:rPr>
        <w:t>(DEROGADA, P.O. 22 DE DICIEMBRE DE 2021)</w:t>
      </w:r>
    </w:p>
    <w:p w14:paraId="086D818A" w14:textId="77777777" w:rsidR="00D3344B" w:rsidRDefault="00D3344B">
      <w:pPr>
        <w:pStyle w:val="Textosinformato"/>
        <w:widowControl w:val="0"/>
        <w:rPr>
          <w:rFonts w:ascii="Arial" w:hAnsi="Arial" w:cs="Arial"/>
          <w:sz w:val="24"/>
          <w:szCs w:val="24"/>
        </w:rPr>
      </w:pPr>
    </w:p>
    <w:p w14:paraId="6C0F3E15"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VII. </w:t>
      </w:r>
      <w:r>
        <w:rPr>
          <w:rFonts w:ascii="Arial" w:hAnsi="Arial" w:cs="Arial"/>
          <w:bCs/>
          <w:i/>
          <w:iCs/>
          <w:sz w:val="16"/>
          <w:szCs w:val="16"/>
        </w:rPr>
        <w:t>(DEROGADA, P.O. 22 DE DICIEMBRE DE 2021)</w:t>
      </w:r>
    </w:p>
    <w:p w14:paraId="1FCD9940" w14:textId="77777777" w:rsidR="00D3344B" w:rsidRDefault="00D3344B">
      <w:pPr>
        <w:pStyle w:val="Estilo"/>
        <w:rPr>
          <w:rFonts w:cs="Arial"/>
        </w:rPr>
      </w:pPr>
    </w:p>
    <w:p w14:paraId="2D7CFC33" w14:textId="77777777" w:rsidR="00D3344B" w:rsidRDefault="00143C25">
      <w:pPr>
        <w:pStyle w:val="Textosinformato"/>
        <w:widowControl w:val="0"/>
        <w:rPr>
          <w:rFonts w:ascii="Arial" w:hAnsi="Arial" w:cs="Arial"/>
          <w:sz w:val="24"/>
          <w:szCs w:val="24"/>
        </w:rPr>
      </w:pPr>
      <w:r>
        <w:rPr>
          <w:rFonts w:ascii="Arial" w:hAnsi="Arial" w:cs="Arial"/>
          <w:bCs/>
          <w:i/>
          <w:iCs/>
          <w:sz w:val="16"/>
          <w:szCs w:val="16"/>
        </w:rPr>
        <w:t>(REFORMADA, P.O. 29 DE NOVIEMBRE DE 2023)</w:t>
      </w:r>
    </w:p>
    <w:tbl>
      <w:tblPr>
        <w:tblStyle w:val="Tablaconcuadrcula"/>
        <w:tblW w:w="8828" w:type="dxa"/>
        <w:tblLayout w:type="fixed"/>
        <w:tblLook w:val="04A0" w:firstRow="1" w:lastRow="0" w:firstColumn="1" w:lastColumn="0" w:noHBand="0" w:noVBand="1"/>
      </w:tblPr>
      <w:tblGrid>
        <w:gridCol w:w="7372"/>
        <w:gridCol w:w="1456"/>
      </w:tblGrid>
      <w:tr w:rsidR="00D3344B" w14:paraId="1C4A7BC5" w14:textId="77777777">
        <w:tc>
          <w:tcPr>
            <w:tcW w:w="7371" w:type="dxa"/>
            <w:tcBorders>
              <w:top w:val="nil"/>
              <w:left w:val="nil"/>
              <w:bottom w:val="nil"/>
              <w:right w:val="nil"/>
            </w:tcBorders>
          </w:tcPr>
          <w:p w14:paraId="2EE4031A" w14:textId="77777777" w:rsidR="00D3344B" w:rsidRDefault="00143C25">
            <w:pPr>
              <w:pStyle w:val="Estilo"/>
              <w:rPr>
                <w:rFonts w:cs="Arial"/>
              </w:rPr>
            </w:pPr>
            <w:r>
              <w:rPr>
                <w:rFonts w:eastAsia="Calibri" w:cs="Arial"/>
              </w:rPr>
              <w:t xml:space="preserve">VIII. Curso para la capacitación de aspirantes a inscripción y renovación del registro como </w:t>
            </w:r>
            <w:proofErr w:type="gramStart"/>
            <w:r>
              <w:rPr>
                <w:rFonts w:eastAsia="Calibri" w:cs="Arial"/>
              </w:rPr>
              <w:t>Director</w:t>
            </w:r>
            <w:proofErr w:type="gramEnd"/>
            <w:r>
              <w:rPr>
                <w:rFonts w:eastAsia="Calibri" w:cs="Arial"/>
              </w:rPr>
              <w:t xml:space="preserve"> Responsable de Obra o Corresponsable;</w:t>
            </w:r>
          </w:p>
        </w:tc>
        <w:tc>
          <w:tcPr>
            <w:tcW w:w="1456" w:type="dxa"/>
            <w:tcBorders>
              <w:top w:val="nil"/>
              <w:left w:val="nil"/>
              <w:bottom w:val="nil"/>
              <w:right w:val="nil"/>
            </w:tcBorders>
          </w:tcPr>
          <w:p w14:paraId="7C57B65D" w14:textId="77777777" w:rsidR="00D3344B" w:rsidRDefault="00143C25">
            <w:pPr>
              <w:pStyle w:val="Estilo"/>
              <w:jc w:val="right"/>
              <w:rPr>
                <w:rFonts w:cs="Arial"/>
              </w:rPr>
            </w:pPr>
            <w:r>
              <w:rPr>
                <w:rFonts w:eastAsia="Calibri" w:cs="Arial"/>
              </w:rPr>
              <w:t>31 UMA</w:t>
            </w:r>
          </w:p>
          <w:p w14:paraId="4BFBF749" w14:textId="77777777" w:rsidR="00D3344B" w:rsidRDefault="00D3344B">
            <w:pPr>
              <w:pStyle w:val="Estilo"/>
              <w:jc w:val="right"/>
              <w:rPr>
                <w:rFonts w:cs="Arial"/>
              </w:rPr>
            </w:pPr>
          </w:p>
        </w:tc>
      </w:tr>
    </w:tbl>
    <w:p w14:paraId="707AFCA5" w14:textId="77777777" w:rsidR="00D3344B" w:rsidRDefault="00D3344B">
      <w:pPr>
        <w:pStyle w:val="Estilo"/>
        <w:rPr>
          <w:rFonts w:cs="Arial"/>
        </w:rPr>
      </w:pPr>
    </w:p>
    <w:tbl>
      <w:tblPr>
        <w:tblStyle w:val="TableNormal"/>
        <w:tblW w:w="8839" w:type="dxa"/>
        <w:tblInd w:w="0" w:type="dxa"/>
        <w:tblLayout w:type="fixed"/>
        <w:tblLook w:val="01E0" w:firstRow="1" w:lastRow="1" w:firstColumn="1" w:lastColumn="1" w:noHBand="0" w:noVBand="0"/>
      </w:tblPr>
      <w:tblGrid>
        <w:gridCol w:w="7371"/>
        <w:gridCol w:w="1468"/>
      </w:tblGrid>
      <w:tr w:rsidR="00D3344B" w14:paraId="03F5F10C" w14:textId="77777777">
        <w:trPr>
          <w:trHeight w:val="626"/>
        </w:trPr>
        <w:tc>
          <w:tcPr>
            <w:tcW w:w="7370" w:type="dxa"/>
          </w:tcPr>
          <w:p w14:paraId="393B3C1B" w14:textId="77777777" w:rsidR="00D3344B" w:rsidRDefault="00143C25">
            <w:pPr>
              <w:pStyle w:val="Textosinformato"/>
              <w:widowControl w:val="0"/>
              <w:suppressAutoHyphens w:val="0"/>
              <w:rPr>
                <w:rFonts w:ascii="Arial" w:hAnsi="Arial" w:cs="Arial"/>
                <w:sz w:val="24"/>
                <w:szCs w:val="24"/>
              </w:rPr>
            </w:pPr>
            <w:r>
              <w:rPr>
                <w:rFonts w:ascii="Arial" w:hAnsi="Arial" w:cs="Arial"/>
                <w:bCs/>
                <w:i/>
                <w:iCs/>
                <w:sz w:val="16"/>
                <w:szCs w:val="16"/>
              </w:rPr>
              <w:t>(ADICIONADA, P.O. 29 DE NOVIEMBRE DE 2023)</w:t>
            </w:r>
          </w:p>
          <w:p w14:paraId="307D9C85" w14:textId="77777777" w:rsidR="00D3344B" w:rsidRDefault="00143C25">
            <w:pPr>
              <w:pStyle w:val="TableParagraph"/>
              <w:spacing w:line="237" w:lineRule="exact"/>
              <w:ind w:left="50"/>
              <w:rPr>
                <w:rFonts w:ascii="Arial" w:hAnsi="Arial" w:cs="Arial"/>
              </w:rPr>
            </w:pPr>
            <w:r>
              <w:rPr>
                <w:rFonts w:ascii="Arial" w:hAnsi="Arial" w:cs="Arial"/>
              </w:rPr>
              <w:t>IX.</w:t>
            </w:r>
            <w:r>
              <w:rPr>
                <w:rFonts w:ascii="Arial" w:hAnsi="Arial" w:cs="Arial"/>
                <w:spacing w:val="-3"/>
              </w:rPr>
              <w:t xml:space="preserve"> </w:t>
            </w:r>
            <w:r>
              <w:rPr>
                <w:rFonts w:ascii="Arial" w:hAnsi="Arial" w:cs="Arial"/>
              </w:rPr>
              <w:t>Copias</w:t>
            </w:r>
            <w:r>
              <w:rPr>
                <w:rFonts w:ascii="Arial" w:hAnsi="Arial" w:cs="Arial"/>
                <w:spacing w:val="-2"/>
              </w:rPr>
              <w:t xml:space="preserve"> certificadas</w:t>
            </w:r>
          </w:p>
        </w:tc>
        <w:tc>
          <w:tcPr>
            <w:tcW w:w="1468" w:type="dxa"/>
          </w:tcPr>
          <w:p w14:paraId="5DEA6372" w14:textId="77777777" w:rsidR="00D3344B" w:rsidRDefault="00D3344B">
            <w:pPr>
              <w:pStyle w:val="TableParagraph"/>
              <w:rPr>
                <w:rFonts w:ascii="Arial" w:hAnsi="Arial" w:cs="Arial"/>
              </w:rPr>
            </w:pPr>
          </w:p>
        </w:tc>
      </w:tr>
      <w:tr w:rsidR="00D3344B" w14:paraId="345DA012" w14:textId="77777777">
        <w:trPr>
          <w:trHeight w:val="251"/>
        </w:trPr>
        <w:tc>
          <w:tcPr>
            <w:tcW w:w="7370" w:type="dxa"/>
          </w:tcPr>
          <w:p w14:paraId="0D2D0AAA" w14:textId="77777777" w:rsidR="00D3344B" w:rsidRDefault="00143C25">
            <w:pPr>
              <w:pStyle w:val="TableParagraph"/>
              <w:tabs>
                <w:tab w:val="left" w:pos="757"/>
              </w:tabs>
              <w:spacing w:line="232" w:lineRule="exact"/>
              <w:ind w:left="50"/>
              <w:rPr>
                <w:rFonts w:ascii="Arial" w:hAnsi="Arial" w:cs="Arial"/>
              </w:rPr>
            </w:pPr>
            <w:r>
              <w:rPr>
                <w:rFonts w:ascii="Arial" w:hAnsi="Arial" w:cs="Arial"/>
                <w:spacing w:val="-5"/>
              </w:rPr>
              <w:t>a)</w:t>
            </w:r>
            <w:r>
              <w:rPr>
                <w:rFonts w:ascii="Arial" w:hAnsi="Arial" w:cs="Arial"/>
              </w:rPr>
              <w:tab/>
              <w:t>por</w:t>
            </w:r>
            <w:r>
              <w:rPr>
                <w:rFonts w:ascii="Arial" w:hAnsi="Arial" w:cs="Arial"/>
                <w:spacing w:val="-3"/>
              </w:rPr>
              <w:t xml:space="preserve"> </w:t>
            </w:r>
            <w:r>
              <w:rPr>
                <w:rFonts w:ascii="Arial" w:hAnsi="Arial" w:cs="Arial"/>
              </w:rPr>
              <w:t>las</w:t>
            </w:r>
            <w:r>
              <w:rPr>
                <w:rFonts w:ascii="Arial" w:hAnsi="Arial" w:cs="Arial"/>
                <w:spacing w:val="-3"/>
              </w:rPr>
              <w:t xml:space="preserve"> </w:t>
            </w:r>
            <w:r>
              <w:rPr>
                <w:rFonts w:ascii="Arial" w:hAnsi="Arial" w:cs="Arial"/>
              </w:rPr>
              <w:t>primeras</w:t>
            </w:r>
            <w:r>
              <w:rPr>
                <w:rFonts w:ascii="Arial" w:hAnsi="Arial" w:cs="Arial"/>
                <w:spacing w:val="-5"/>
              </w:rPr>
              <w:t xml:space="preserve"> </w:t>
            </w:r>
            <w:r>
              <w:rPr>
                <w:rFonts w:ascii="Arial" w:hAnsi="Arial" w:cs="Arial"/>
              </w:rPr>
              <w:t>diez</w:t>
            </w:r>
            <w:r>
              <w:rPr>
                <w:rFonts w:ascii="Arial" w:hAnsi="Arial" w:cs="Arial"/>
                <w:spacing w:val="-2"/>
              </w:rPr>
              <w:t xml:space="preserve"> fojas;</w:t>
            </w:r>
          </w:p>
        </w:tc>
        <w:tc>
          <w:tcPr>
            <w:tcW w:w="1468" w:type="dxa"/>
          </w:tcPr>
          <w:p w14:paraId="13FEE32B" w14:textId="77777777" w:rsidR="00D3344B" w:rsidRDefault="00143C25">
            <w:pPr>
              <w:pStyle w:val="TableParagraph"/>
              <w:spacing w:line="232" w:lineRule="exact"/>
              <w:ind w:left="109"/>
              <w:rPr>
                <w:rFonts w:ascii="Arial" w:hAnsi="Arial" w:cs="Arial"/>
              </w:rPr>
            </w:pPr>
            <w:r>
              <w:rPr>
                <w:rFonts w:ascii="Arial" w:hAnsi="Arial" w:cs="Arial"/>
              </w:rPr>
              <w:t xml:space="preserve">1 </w:t>
            </w:r>
            <w:r>
              <w:rPr>
                <w:rFonts w:ascii="Arial" w:hAnsi="Arial" w:cs="Arial"/>
                <w:spacing w:val="-5"/>
              </w:rPr>
              <w:t>UMA</w:t>
            </w:r>
          </w:p>
        </w:tc>
      </w:tr>
      <w:tr w:rsidR="00D3344B" w14:paraId="015C6AD7" w14:textId="77777777">
        <w:trPr>
          <w:trHeight w:val="248"/>
        </w:trPr>
        <w:tc>
          <w:tcPr>
            <w:tcW w:w="7370" w:type="dxa"/>
          </w:tcPr>
          <w:p w14:paraId="06D295E7" w14:textId="77777777" w:rsidR="00D3344B" w:rsidRDefault="00143C25">
            <w:pPr>
              <w:pStyle w:val="TableParagraph"/>
              <w:tabs>
                <w:tab w:val="left" w:pos="757"/>
              </w:tabs>
              <w:spacing w:line="228" w:lineRule="exact"/>
              <w:ind w:left="50"/>
              <w:rPr>
                <w:rFonts w:ascii="Arial" w:hAnsi="Arial" w:cs="Arial"/>
              </w:rPr>
            </w:pPr>
            <w:r>
              <w:rPr>
                <w:rFonts w:ascii="Arial" w:hAnsi="Arial" w:cs="Arial"/>
                <w:spacing w:val="-5"/>
              </w:rPr>
              <w:t>b)</w:t>
            </w:r>
            <w:r>
              <w:rPr>
                <w:rFonts w:ascii="Arial" w:hAnsi="Arial" w:cs="Arial"/>
              </w:rPr>
              <w:tab/>
              <w:t>por</w:t>
            </w:r>
            <w:r>
              <w:rPr>
                <w:rFonts w:ascii="Arial" w:hAnsi="Arial" w:cs="Arial"/>
                <w:spacing w:val="-2"/>
              </w:rPr>
              <w:t xml:space="preserve"> </w:t>
            </w:r>
            <w:r>
              <w:rPr>
                <w:rFonts w:ascii="Arial" w:hAnsi="Arial" w:cs="Arial"/>
              </w:rPr>
              <w:t>cada</w:t>
            </w:r>
            <w:r>
              <w:rPr>
                <w:rFonts w:ascii="Arial" w:hAnsi="Arial" w:cs="Arial"/>
                <w:spacing w:val="-3"/>
              </w:rPr>
              <w:t xml:space="preserve"> </w:t>
            </w:r>
            <w:r>
              <w:rPr>
                <w:rFonts w:ascii="Arial" w:hAnsi="Arial" w:cs="Arial"/>
              </w:rPr>
              <w:t>foja</w:t>
            </w:r>
            <w:r>
              <w:rPr>
                <w:rFonts w:ascii="Arial" w:hAnsi="Arial" w:cs="Arial"/>
                <w:spacing w:val="-1"/>
              </w:rPr>
              <w:t xml:space="preserve"> </w:t>
            </w:r>
            <w:r>
              <w:rPr>
                <w:rFonts w:ascii="Arial" w:hAnsi="Arial" w:cs="Arial"/>
                <w:spacing w:val="-2"/>
              </w:rPr>
              <w:t>adicional</w:t>
            </w:r>
          </w:p>
        </w:tc>
        <w:tc>
          <w:tcPr>
            <w:tcW w:w="1468" w:type="dxa"/>
          </w:tcPr>
          <w:p w14:paraId="57CD7DB5" w14:textId="77777777" w:rsidR="00D3344B" w:rsidRDefault="00143C25">
            <w:pPr>
              <w:pStyle w:val="TableParagraph"/>
              <w:spacing w:line="228" w:lineRule="exact"/>
              <w:ind w:left="109"/>
              <w:rPr>
                <w:rFonts w:ascii="Arial" w:hAnsi="Arial" w:cs="Arial"/>
              </w:rPr>
            </w:pPr>
            <w:r>
              <w:rPr>
                <w:rFonts w:ascii="Arial" w:hAnsi="Arial" w:cs="Arial"/>
              </w:rPr>
              <w:t xml:space="preserve">0.02 </w:t>
            </w:r>
            <w:r>
              <w:rPr>
                <w:rFonts w:ascii="Arial" w:hAnsi="Arial" w:cs="Arial"/>
                <w:spacing w:val="-5"/>
              </w:rPr>
              <w:t>UMA</w:t>
            </w:r>
          </w:p>
        </w:tc>
      </w:tr>
    </w:tbl>
    <w:p w14:paraId="517B64AA" w14:textId="77777777" w:rsidR="00D3344B" w:rsidRDefault="00D3344B">
      <w:pPr>
        <w:pStyle w:val="Estilo"/>
        <w:rPr>
          <w:rFonts w:cs="Arial"/>
        </w:rPr>
      </w:pPr>
    </w:p>
    <w:p w14:paraId="05D1AE32" w14:textId="77777777" w:rsidR="00D3344B" w:rsidRDefault="00D3344B">
      <w:pPr>
        <w:pStyle w:val="Estilo"/>
        <w:rPr>
          <w:rFonts w:cs="Arial"/>
        </w:rPr>
      </w:pPr>
    </w:p>
    <w:p w14:paraId="58146A56" w14:textId="77777777" w:rsidR="00D3344B" w:rsidRDefault="00143C25">
      <w:pPr>
        <w:pStyle w:val="Estilo"/>
        <w:jc w:val="center"/>
        <w:rPr>
          <w:rFonts w:cs="Arial"/>
          <w:i/>
          <w:iCs/>
          <w:sz w:val="16"/>
          <w:szCs w:val="16"/>
        </w:rPr>
      </w:pPr>
      <w:r>
        <w:rPr>
          <w:rFonts w:cs="Arial"/>
          <w:i/>
          <w:iCs/>
          <w:sz w:val="16"/>
          <w:szCs w:val="16"/>
        </w:rPr>
        <w:t>(ADICIONADA, P.O. 22 DE DICIEMBRE DE 2021)</w:t>
      </w:r>
    </w:p>
    <w:p w14:paraId="22404B99" w14:textId="77777777" w:rsidR="00D3344B" w:rsidRDefault="00143C25">
      <w:pPr>
        <w:pStyle w:val="Estilo"/>
        <w:jc w:val="center"/>
        <w:rPr>
          <w:rFonts w:cs="Arial"/>
          <w:b/>
          <w:bCs/>
        </w:rPr>
      </w:pPr>
      <w:r>
        <w:rPr>
          <w:rFonts w:cs="Arial"/>
          <w:b/>
          <w:bCs/>
        </w:rPr>
        <w:t>Subsección Quinta BIS</w:t>
      </w:r>
    </w:p>
    <w:p w14:paraId="17A0E4B5" w14:textId="77777777" w:rsidR="00D3344B" w:rsidRDefault="00143C25">
      <w:pPr>
        <w:pStyle w:val="Estilo"/>
        <w:jc w:val="center"/>
        <w:rPr>
          <w:rFonts w:cs="Arial"/>
        </w:rPr>
      </w:pPr>
      <w:r>
        <w:rPr>
          <w:rFonts w:cs="Arial"/>
          <w:b/>
          <w:bCs/>
        </w:rPr>
        <w:t>Derechos por los Servicios Prestados por la Secretaría de Ordenamiento Territorial y Vivienda</w:t>
      </w:r>
    </w:p>
    <w:p w14:paraId="1272A91B" w14:textId="77777777" w:rsidR="00D3344B" w:rsidRDefault="00D3344B">
      <w:pPr>
        <w:pStyle w:val="Estilo"/>
        <w:rPr>
          <w:rFonts w:cs="Arial"/>
        </w:rPr>
      </w:pPr>
    </w:p>
    <w:p w14:paraId="53CE30DF" w14:textId="77777777" w:rsidR="00D3344B" w:rsidRDefault="00143C25">
      <w:pPr>
        <w:pStyle w:val="Estilo"/>
        <w:jc w:val="left"/>
        <w:rPr>
          <w:rFonts w:cs="Arial"/>
          <w:i/>
          <w:iCs/>
          <w:sz w:val="16"/>
          <w:szCs w:val="16"/>
        </w:rPr>
      </w:pPr>
      <w:r>
        <w:rPr>
          <w:rFonts w:cs="Arial"/>
          <w:i/>
          <w:iCs/>
          <w:sz w:val="16"/>
          <w:szCs w:val="16"/>
        </w:rPr>
        <w:t>(REFORMADO, P.O. 29 DE NOVIEMBRE DE 2023)</w:t>
      </w:r>
    </w:p>
    <w:p w14:paraId="2835C077" w14:textId="77777777" w:rsidR="00D3344B" w:rsidRDefault="00143C25">
      <w:pPr>
        <w:pStyle w:val="Textoindependiente"/>
        <w:ind w:left="122"/>
        <w:rPr>
          <w:rFonts w:ascii="Arial" w:hAnsi="Arial" w:cs="Arial"/>
          <w:sz w:val="24"/>
          <w:szCs w:val="24"/>
        </w:rPr>
      </w:pPr>
      <w:r>
        <w:rPr>
          <w:rFonts w:ascii="Arial" w:hAnsi="Arial" w:cs="Arial"/>
          <w:b/>
          <w:bCs/>
        </w:rPr>
        <w:t>Artículo 159-A.</w:t>
      </w:r>
      <w:r>
        <w:rPr>
          <w:rFonts w:cs="Arial"/>
        </w:rPr>
        <w:t xml:space="preserve"> </w:t>
      </w:r>
      <w:r>
        <w:rPr>
          <w:rFonts w:ascii="Arial" w:hAnsi="Arial" w:cs="Arial"/>
          <w:sz w:val="24"/>
          <w:szCs w:val="24"/>
        </w:rPr>
        <w:t>Los servicios brindados por la Secretaría de Ordenamiento Territorial y Vivienda, causarán los respectivos derechos, mismos que deberán pagarse de la manera siguiente:</w:t>
      </w:r>
    </w:p>
    <w:p w14:paraId="31256CD3" w14:textId="77777777" w:rsidR="00D3344B" w:rsidRDefault="00143C25">
      <w:pPr>
        <w:pStyle w:val="Textoindependiente"/>
        <w:ind w:left="122"/>
        <w:rPr>
          <w:rFonts w:ascii="Arial" w:hAnsi="Arial" w:cs="Arial"/>
          <w:sz w:val="24"/>
          <w:szCs w:val="24"/>
        </w:rPr>
      </w:pPr>
      <w:r>
        <w:rPr>
          <w:rFonts w:ascii="Arial" w:hAnsi="Arial" w:cs="Arial"/>
          <w:sz w:val="24"/>
          <w:szCs w:val="24"/>
        </w:rPr>
        <w:t>Por la expedición de permisos de usos de suelo, se considerará el tipo de uso o destino del inmueble, la superficie construida y la superficie de terreno:</w:t>
      </w:r>
    </w:p>
    <w:p w14:paraId="03CC9B18" w14:textId="77777777" w:rsidR="00D3344B" w:rsidRDefault="00D3344B">
      <w:pPr>
        <w:pStyle w:val="Textoindependiente"/>
        <w:spacing w:before="11"/>
        <w:rPr>
          <w:rFonts w:ascii="Arial" w:hAnsi="Arial" w:cs="Arial"/>
          <w:sz w:val="24"/>
          <w:szCs w:val="24"/>
        </w:rPr>
      </w:pPr>
    </w:p>
    <w:tbl>
      <w:tblPr>
        <w:tblStyle w:val="TableNormal"/>
        <w:tblW w:w="8007" w:type="dxa"/>
        <w:tblInd w:w="851" w:type="dxa"/>
        <w:tblLayout w:type="fixed"/>
        <w:tblLook w:val="01E0" w:firstRow="1" w:lastRow="1" w:firstColumn="1" w:lastColumn="1" w:noHBand="0" w:noVBand="0"/>
      </w:tblPr>
      <w:tblGrid>
        <w:gridCol w:w="4678"/>
        <w:gridCol w:w="3329"/>
      </w:tblGrid>
      <w:tr w:rsidR="00D3344B" w14:paraId="23FAFD53" w14:textId="77777777">
        <w:trPr>
          <w:trHeight w:val="248"/>
        </w:trPr>
        <w:tc>
          <w:tcPr>
            <w:tcW w:w="4677" w:type="dxa"/>
          </w:tcPr>
          <w:p w14:paraId="5B66A349" w14:textId="77777777" w:rsidR="00D3344B" w:rsidRDefault="00143C25">
            <w:pPr>
              <w:pStyle w:val="TableParagraph"/>
              <w:spacing w:line="228" w:lineRule="exact"/>
              <w:ind w:left="50"/>
              <w:rPr>
                <w:rFonts w:ascii="Arial" w:hAnsi="Arial" w:cs="Arial"/>
                <w:b/>
                <w:sz w:val="24"/>
                <w:szCs w:val="24"/>
              </w:rPr>
            </w:pPr>
            <w:r>
              <w:rPr>
                <w:rFonts w:ascii="Arial" w:hAnsi="Arial" w:cs="Arial"/>
                <w:b/>
                <w:spacing w:val="-2"/>
                <w:sz w:val="24"/>
                <w:szCs w:val="24"/>
              </w:rPr>
              <w:t>Concepto</w:t>
            </w:r>
          </w:p>
        </w:tc>
        <w:tc>
          <w:tcPr>
            <w:tcW w:w="3329" w:type="dxa"/>
          </w:tcPr>
          <w:p w14:paraId="0B9310DF" w14:textId="77777777" w:rsidR="00D3344B" w:rsidRDefault="00143C25">
            <w:pPr>
              <w:pStyle w:val="TableParagraph"/>
              <w:spacing w:line="228" w:lineRule="exact"/>
              <w:ind w:left="138"/>
              <w:rPr>
                <w:rFonts w:ascii="Arial" w:hAnsi="Arial" w:cs="Arial"/>
                <w:b/>
                <w:sz w:val="24"/>
                <w:szCs w:val="24"/>
              </w:rPr>
            </w:pPr>
            <w:r>
              <w:rPr>
                <w:rFonts w:ascii="Arial" w:hAnsi="Arial" w:cs="Arial"/>
                <w:b/>
                <w:sz w:val="24"/>
                <w:szCs w:val="24"/>
              </w:rPr>
              <w:t>Derechos</w:t>
            </w:r>
            <w:r>
              <w:rPr>
                <w:rFonts w:ascii="Arial" w:hAnsi="Arial" w:cs="Arial"/>
                <w:b/>
                <w:spacing w:val="-5"/>
                <w:sz w:val="24"/>
                <w:szCs w:val="24"/>
              </w:rPr>
              <w:t xml:space="preserve"> </w:t>
            </w:r>
            <w:r>
              <w:rPr>
                <w:rFonts w:ascii="Arial" w:hAnsi="Arial" w:cs="Arial"/>
                <w:b/>
                <w:spacing w:val="-2"/>
                <w:sz w:val="24"/>
                <w:szCs w:val="24"/>
              </w:rPr>
              <w:t>causados</w:t>
            </w:r>
          </w:p>
        </w:tc>
      </w:tr>
      <w:tr w:rsidR="00D3344B" w14:paraId="5CAEC0AE" w14:textId="77777777">
        <w:trPr>
          <w:trHeight w:val="758"/>
        </w:trPr>
        <w:tc>
          <w:tcPr>
            <w:tcW w:w="4677" w:type="dxa"/>
          </w:tcPr>
          <w:p w14:paraId="6ED52979" w14:textId="77777777" w:rsidR="00D3344B" w:rsidRDefault="00143C25">
            <w:pPr>
              <w:pStyle w:val="TableParagraph"/>
              <w:spacing w:line="248" w:lineRule="exact"/>
              <w:ind w:left="50"/>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Para</w:t>
            </w:r>
            <w:r>
              <w:rPr>
                <w:rFonts w:ascii="Arial" w:hAnsi="Arial" w:cs="Arial"/>
                <w:spacing w:val="-1"/>
                <w:sz w:val="24"/>
                <w:szCs w:val="24"/>
              </w:rPr>
              <w:t xml:space="preserve"> </w:t>
            </w:r>
            <w:r>
              <w:rPr>
                <w:rFonts w:ascii="Arial" w:hAnsi="Arial" w:cs="Arial"/>
                <w:spacing w:val="-2"/>
                <w:sz w:val="24"/>
                <w:szCs w:val="24"/>
              </w:rPr>
              <w:t>vivienda.</w:t>
            </w:r>
          </w:p>
        </w:tc>
        <w:tc>
          <w:tcPr>
            <w:tcW w:w="3329" w:type="dxa"/>
          </w:tcPr>
          <w:p w14:paraId="02A4FC60" w14:textId="77777777" w:rsidR="00D3344B" w:rsidRDefault="00143C25">
            <w:pPr>
              <w:pStyle w:val="TableParagraph"/>
              <w:tabs>
                <w:tab w:val="left" w:pos="615"/>
              </w:tabs>
              <w:ind w:left="138" w:right="47"/>
              <w:rPr>
                <w:rFonts w:ascii="Arial" w:hAnsi="Arial" w:cs="Arial"/>
                <w:sz w:val="24"/>
                <w:szCs w:val="24"/>
              </w:rPr>
            </w:pPr>
            <w:r>
              <w:rPr>
                <w:rFonts w:ascii="Arial" w:hAnsi="Arial" w:cs="Arial"/>
                <w:spacing w:val="-4"/>
                <w:sz w:val="24"/>
                <w:szCs w:val="24"/>
              </w:rPr>
              <w:t>0.1</w:t>
            </w:r>
            <w:r>
              <w:rPr>
                <w:rFonts w:ascii="Arial" w:hAnsi="Arial" w:cs="Arial"/>
                <w:sz w:val="24"/>
                <w:szCs w:val="24"/>
              </w:rPr>
              <w:tab/>
              <w:t>UMA</w:t>
            </w:r>
            <w:r>
              <w:rPr>
                <w:rFonts w:ascii="Arial" w:hAnsi="Arial" w:cs="Arial"/>
                <w:spacing w:val="80"/>
                <w:sz w:val="24"/>
                <w:szCs w:val="24"/>
              </w:rPr>
              <w:t xml:space="preserve"> </w:t>
            </w:r>
            <w:r>
              <w:rPr>
                <w:rFonts w:ascii="Arial" w:hAnsi="Arial" w:cs="Arial"/>
                <w:sz w:val="24"/>
                <w:szCs w:val="24"/>
              </w:rPr>
              <w:t>por</w:t>
            </w:r>
            <w:r>
              <w:rPr>
                <w:rFonts w:ascii="Arial" w:hAnsi="Arial" w:cs="Arial"/>
                <w:spacing w:val="80"/>
                <w:sz w:val="24"/>
                <w:szCs w:val="24"/>
              </w:rPr>
              <w:t xml:space="preserve"> </w:t>
            </w:r>
            <w:r>
              <w:rPr>
                <w:rFonts w:ascii="Arial" w:hAnsi="Arial" w:cs="Arial"/>
                <w:sz w:val="24"/>
                <w:szCs w:val="24"/>
              </w:rPr>
              <w:t>metro</w:t>
            </w:r>
            <w:r>
              <w:rPr>
                <w:rFonts w:ascii="Arial" w:hAnsi="Arial" w:cs="Arial"/>
                <w:spacing w:val="80"/>
                <w:sz w:val="24"/>
                <w:szCs w:val="24"/>
              </w:rPr>
              <w:t xml:space="preserve"> </w:t>
            </w:r>
            <w:r>
              <w:rPr>
                <w:rFonts w:ascii="Arial" w:hAnsi="Arial" w:cs="Arial"/>
                <w:sz w:val="24"/>
                <w:szCs w:val="24"/>
              </w:rPr>
              <w:t>cuadrado</w:t>
            </w:r>
            <w:r>
              <w:rPr>
                <w:rFonts w:ascii="Arial" w:hAnsi="Arial" w:cs="Arial"/>
                <w:spacing w:val="136"/>
                <w:sz w:val="24"/>
                <w:szCs w:val="24"/>
              </w:rPr>
              <w:t xml:space="preserve"> </w:t>
            </w:r>
            <w:r>
              <w:rPr>
                <w:rFonts w:ascii="Arial" w:hAnsi="Arial" w:cs="Arial"/>
                <w:sz w:val="24"/>
                <w:szCs w:val="24"/>
              </w:rPr>
              <w:t>de construcción</w:t>
            </w:r>
            <w:r>
              <w:rPr>
                <w:rFonts w:ascii="Arial" w:hAnsi="Arial" w:cs="Arial"/>
                <w:spacing w:val="25"/>
                <w:sz w:val="24"/>
                <w:szCs w:val="24"/>
              </w:rPr>
              <w:t xml:space="preserve"> </w:t>
            </w:r>
            <w:r>
              <w:rPr>
                <w:rFonts w:ascii="Arial" w:hAnsi="Arial" w:cs="Arial"/>
                <w:sz w:val="24"/>
                <w:szCs w:val="24"/>
              </w:rPr>
              <w:t>más</w:t>
            </w:r>
            <w:r>
              <w:rPr>
                <w:rFonts w:ascii="Arial" w:hAnsi="Arial" w:cs="Arial"/>
                <w:spacing w:val="26"/>
                <w:sz w:val="24"/>
                <w:szCs w:val="24"/>
              </w:rPr>
              <w:t xml:space="preserve"> </w:t>
            </w:r>
            <w:r>
              <w:rPr>
                <w:rFonts w:ascii="Arial" w:hAnsi="Arial" w:cs="Arial"/>
                <w:sz w:val="24"/>
                <w:szCs w:val="24"/>
              </w:rPr>
              <w:t>0.02</w:t>
            </w:r>
            <w:r>
              <w:rPr>
                <w:rFonts w:ascii="Arial" w:hAnsi="Arial" w:cs="Arial"/>
                <w:spacing w:val="26"/>
                <w:sz w:val="24"/>
                <w:szCs w:val="24"/>
              </w:rPr>
              <w:t xml:space="preserve"> </w:t>
            </w:r>
            <w:r>
              <w:rPr>
                <w:rFonts w:ascii="Arial" w:hAnsi="Arial" w:cs="Arial"/>
                <w:sz w:val="24"/>
                <w:szCs w:val="24"/>
              </w:rPr>
              <w:t>UMA</w:t>
            </w:r>
            <w:r>
              <w:rPr>
                <w:rFonts w:ascii="Arial" w:hAnsi="Arial" w:cs="Arial"/>
                <w:spacing w:val="27"/>
                <w:sz w:val="24"/>
                <w:szCs w:val="24"/>
              </w:rPr>
              <w:t xml:space="preserve"> </w:t>
            </w:r>
            <w:r>
              <w:rPr>
                <w:rFonts w:ascii="Arial" w:hAnsi="Arial" w:cs="Arial"/>
                <w:sz w:val="24"/>
                <w:szCs w:val="24"/>
              </w:rPr>
              <w:t>por</w:t>
            </w:r>
            <w:r>
              <w:rPr>
                <w:rFonts w:ascii="Arial" w:hAnsi="Arial" w:cs="Arial"/>
                <w:spacing w:val="27"/>
                <w:sz w:val="24"/>
                <w:szCs w:val="24"/>
              </w:rPr>
              <w:t xml:space="preserve"> </w:t>
            </w:r>
            <w:r>
              <w:rPr>
                <w:rFonts w:ascii="Arial" w:hAnsi="Arial" w:cs="Arial"/>
                <w:spacing w:val="-4"/>
                <w:sz w:val="24"/>
                <w:szCs w:val="24"/>
              </w:rPr>
              <w:t>metro</w:t>
            </w:r>
          </w:p>
          <w:p w14:paraId="0E729444" w14:textId="77777777" w:rsidR="00D3344B" w:rsidRDefault="00143C25">
            <w:pPr>
              <w:pStyle w:val="TableParagraph"/>
              <w:spacing w:line="237" w:lineRule="exact"/>
              <w:ind w:left="138"/>
              <w:rPr>
                <w:rFonts w:ascii="Arial" w:hAnsi="Arial" w:cs="Arial"/>
                <w:sz w:val="24"/>
                <w:szCs w:val="24"/>
              </w:rPr>
            </w:pPr>
            <w:r>
              <w:rPr>
                <w:rFonts w:ascii="Arial" w:hAnsi="Arial" w:cs="Arial"/>
                <w:sz w:val="24"/>
                <w:szCs w:val="24"/>
              </w:rPr>
              <w:t>cuadrado</w:t>
            </w:r>
            <w:r>
              <w:rPr>
                <w:rFonts w:ascii="Arial" w:hAnsi="Arial" w:cs="Arial"/>
                <w:spacing w:val="-3"/>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terreno</w:t>
            </w:r>
            <w:r>
              <w:rPr>
                <w:rFonts w:ascii="Arial" w:hAnsi="Arial" w:cs="Arial"/>
                <w:spacing w:val="-2"/>
                <w:sz w:val="24"/>
                <w:szCs w:val="24"/>
              </w:rPr>
              <w:t xml:space="preserve"> </w:t>
            </w:r>
            <w:r>
              <w:rPr>
                <w:rFonts w:ascii="Arial" w:hAnsi="Arial" w:cs="Arial"/>
                <w:sz w:val="24"/>
                <w:szCs w:val="24"/>
              </w:rPr>
              <w:t>para</w:t>
            </w:r>
            <w:r>
              <w:rPr>
                <w:rFonts w:ascii="Arial" w:hAnsi="Arial" w:cs="Arial"/>
                <w:spacing w:val="-3"/>
                <w:sz w:val="24"/>
                <w:szCs w:val="24"/>
              </w:rPr>
              <w:t xml:space="preserve"> </w:t>
            </w:r>
            <w:r>
              <w:rPr>
                <w:rFonts w:ascii="Arial" w:hAnsi="Arial" w:cs="Arial"/>
                <w:spacing w:val="-2"/>
                <w:sz w:val="24"/>
                <w:szCs w:val="24"/>
              </w:rPr>
              <w:t>servicios.</w:t>
            </w:r>
          </w:p>
        </w:tc>
      </w:tr>
      <w:tr w:rsidR="00D3344B" w14:paraId="694D6629" w14:textId="77777777">
        <w:trPr>
          <w:trHeight w:val="758"/>
        </w:trPr>
        <w:tc>
          <w:tcPr>
            <w:tcW w:w="4677" w:type="dxa"/>
          </w:tcPr>
          <w:p w14:paraId="3722CB19" w14:textId="77777777" w:rsidR="00D3344B" w:rsidRDefault="00143C25">
            <w:pPr>
              <w:pStyle w:val="TableParagraph"/>
              <w:spacing w:line="248" w:lineRule="exact"/>
              <w:ind w:left="50"/>
              <w:rPr>
                <w:rFonts w:ascii="Arial" w:hAnsi="Arial" w:cs="Arial"/>
                <w:sz w:val="24"/>
                <w:szCs w:val="24"/>
              </w:rPr>
            </w:pPr>
            <w:r>
              <w:rPr>
                <w:rFonts w:ascii="Arial" w:hAnsi="Arial" w:cs="Arial"/>
                <w:sz w:val="24"/>
                <w:szCs w:val="24"/>
              </w:rPr>
              <w:t>b)</w:t>
            </w:r>
            <w:r>
              <w:rPr>
                <w:rFonts w:ascii="Arial" w:hAnsi="Arial" w:cs="Arial"/>
                <w:spacing w:val="-2"/>
                <w:sz w:val="24"/>
                <w:szCs w:val="24"/>
              </w:rPr>
              <w:t xml:space="preserve"> </w:t>
            </w:r>
            <w:r>
              <w:rPr>
                <w:rFonts w:ascii="Arial" w:hAnsi="Arial" w:cs="Arial"/>
                <w:sz w:val="24"/>
                <w:szCs w:val="24"/>
              </w:rPr>
              <w:t>Comercios</w:t>
            </w:r>
            <w:r>
              <w:rPr>
                <w:rFonts w:ascii="Arial" w:hAnsi="Arial" w:cs="Arial"/>
                <w:spacing w:val="-2"/>
                <w:sz w:val="24"/>
                <w:szCs w:val="24"/>
              </w:rPr>
              <w:t xml:space="preserve"> </w:t>
            </w:r>
            <w:r>
              <w:rPr>
                <w:rFonts w:ascii="Arial" w:hAnsi="Arial" w:cs="Arial"/>
                <w:sz w:val="24"/>
                <w:szCs w:val="24"/>
              </w:rPr>
              <w:t>y</w:t>
            </w:r>
            <w:r>
              <w:rPr>
                <w:rFonts w:ascii="Arial" w:hAnsi="Arial" w:cs="Arial"/>
                <w:spacing w:val="-2"/>
                <w:sz w:val="24"/>
                <w:szCs w:val="24"/>
              </w:rPr>
              <w:t xml:space="preserve"> servicios</w:t>
            </w:r>
          </w:p>
        </w:tc>
        <w:tc>
          <w:tcPr>
            <w:tcW w:w="3329" w:type="dxa"/>
          </w:tcPr>
          <w:p w14:paraId="4CD64989" w14:textId="77777777" w:rsidR="00D3344B" w:rsidRDefault="00143C25">
            <w:pPr>
              <w:pStyle w:val="TableParagraph"/>
              <w:spacing w:line="248" w:lineRule="exact"/>
              <w:ind w:left="138"/>
              <w:rPr>
                <w:rFonts w:ascii="Arial" w:hAnsi="Arial" w:cs="Arial"/>
                <w:sz w:val="24"/>
                <w:szCs w:val="24"/>
              </w:rPr>
            </w:pPr>
            <w:proofErr w:type="gramStart"/>
            <w:r>
              <w:rPr>
                <w:rFonts w:ascii="Arial" w:hAnsi="Arial" w:cs="Arial"/>
                <w:sz w:val="24"/>
                <w:szCs w:val="24"/>
              </w:rPr>
              <w:t>0.15</w:t>
            </w:r>
            <w:r>
              <w:rPr>
                <w:rFonts w:ascii="Arial" w:hAnsi="Arial" w:cs="Arial"/>
                <w:spacing w:val="30"/>
                <w:sz w:val="24"/>
                <w:szCs w:val="24"/>
              </w:rPr>
              <w:t xml:space="preserve">  </w:t>
            </w:r>
            <w:r>
              <w:rPr>
                <w:rFonts w:ascii="Arial" w:hAnsi="Arial" w:cs="Arial"/>
                <w:sz w:val="24"/>
                <w:szCs w:val="24"/>
              </w:rPr>
              <w:t>UMA</w:t>
            </w:r>
            <w:proofErr w:type="gramEnd"/>
            <w:r>
              <w:rPr>
                <w:rFonts w:ascii="Arial" w:hAnsi="Arial" w:cs="Arial"/>
                <w:spacing w:val="30"/>
                <w:sz w:val="24"/>
                <w:szCs w:val="24"/>
              </w:rPr>
              <w:t xml:space="preserve">  </w:t>
            </w:r>
            <w:r>
              <w:rPr>
                <w:rFonts w:ascii="Arial" w:hAnsi="Arial" w:cs="Arial"/>
                <w:sz w:val="24"/>
                <w:szCs w:val="24"/>
              </w:rPr>
              <w:t>por</w:t>
            </w:r>
            <w:r>
              <w:rPr>
                <w:rFonts w:ascii="Arial" w:hAnsi="Arial" w:cs="Arial"/>
                <w:spacing w:val="29"/>
                <w:sz w:val="24"/>
                <w:szCs w:val="24"/>
              </w:rPr>
              <w:t xml:space="preserve">  </w:t>
            </w:r>
            <w:r>
              <w:rPr>
                <w:rFonts w:ascii="Arial" w:hAnsi="Arial" w:cs="Arial"/>
                <w:sz w:val="24"/>
                <w:szCs w:val="24"/>
              </w:rPr>
              <w:t>metro</w:t>
            </w:r>
            <w:r>
              <w:rPr>
                <w:rFonts w:ascii="Arial" w:hAnsi="Arial" w:cs="Arial"/>
                <w:spacing w:val="30"/>
                <w:sz w:val="24"/>
                <w:szCs w:val="24"/>
              </w:rPr>
              <w:t xml:space="preserve">  </w:t>
            </w:r>
            <w:r>
              <w:rPr>
                <w:rFonts w:ascii="Arial" w:hAnsi="Arial" w:cs="Arial"/>
                <w:sz w:val="24"/>
                <w:szCs w:val="24"/>
              </w:rPr>
              <w:t>cuadrado</w:t>
            </w:r>
            <w:r>
              <w:rPr>
                <w:rFonts w:ascii="Arial" w:hAnsi="Arial" w:cs="Arial"/>
                <w:spacing w:val="31"/>
                <w:sz w:val="24"/>
                <w:szCs w:val="24"/>
              </w:rPr>
              <w:t xml:space="preserve">  </w:t>
            </w:r>
            <w:r>
              <w:rPr>
                <w:rFonts w:ascii="Arial" w:hAnsi="Arial" w:cs="Arial"/>
                <w:spacing w:val="-5"/>
                <w:sz w:val="24"/>
                <w:szCs w:val="24"/>
              </w:rPr>
              <w:t>de</w:t>
            </w:r>
          </w:p>
          <w:p w14:paraId="53CFE33C" w14:textId="77777777" w:rsidR="00D3344B" w:rsidRDefault="00143C25">
            <w:pPr>
              <w:pStyle w:val="TableParagraph"/>
              <w:spacing w:line="252" w:lineRule="exact"/>
              <w:ind w:left="138"/>
              <w:rPr>
                <w:rFonts w:ascii="Arial" w:hAnsi="Arial" w:cs="Arial"/>
                <w:sz w:val="24"/>
                <w:szCs w:val="24"/>
              </w:rPr>
            </w:pPr>
            <w:r>
              <w:rPr>
                <w:rFonts w:ascii="Arial" w:hAnsi="Arial" w:cs="Arial"/>
                <w:sz w:val="24"/>
                <w:szCs w:val="24"/>
              </w:rPr>
              <w:t>construcción más 0.02 UMA por metro cuadrado de terreno para servicios.</w:t>
            </w:r>
          </w:p>
        </w:tc>
      </w:tr>
      <w:tr w:rsidR="00D3344B" w14:paraId="423D40A3" w14:textId="77777777">
        <w:trPr>
          <w:trHeight w:val="759"/>
        </w:trPr>
        <w:tc>
          <w:tcPr>
            <w:tcW w:w="4677" w:type="dxa"/>
          </w:tcPr>
          <w:p w14:paraId="59552C47" w14:textId="77777777" w:rsidR="00D3344B" w:rsidRDefault="00143C25">
            <w:pPr>
              <w:pStyle w:val="TableParagraph"/>
              <w:spacing w:line="248" w:lineRule="exact"/>
              <w:ind w:left="50"/>
              <w:rPr>
                <w:rFonts w:ascii="Arial" w:hAnsi="Arial" w:cs="Arial"/>
                <w:sz w:val="24"/>
                <w:szCs w:val="24"/>
              </w:rPr>
            </w:pPr>
            <w:r>
              <w:rPr>
                <w:rFonts w:ascii="Arial" w:hAnsi="Arial" w:cs="Arial"/>
                <w:sz w:val="24"/>
                <w:szCs w:val="24"/>
              </w:rPr>
              <w:t>c)</w:t>
            </w:r>
            <w:r>
              <w:rPr>
                <w:rFonts w:ascii="Arial" w:hAnsi="Arial" w:cs="Arial"/>
                <w:spacing w:val="1"/>
                <w:sz w:val="24"/>
                <w:szCs w:val="24"/>
              </w:rPr>
              <w:t xml:space="preserve"> </w:t>
            </w:r>
            <w:r>
              <w:rPr>
                <w:rFonts w:ascii="Arial" w:hAnsi="Arial" w:cs="Arial"/>
                <w:spacing w:val="-2"/>
                <w:sz w:val="24"/>
                <w:szCs w:val="24"/>
              </w:rPr>
              <w:t>Industria.</w:t>
            </w:r>
          </w:p>
        </w:tc>
        <w:tc>
          <w:tcPr>
            <w:tcW w:w="3329" w:type="dxa"/>
          </w:tcPr>
          <w:p w14:paraId="33908386" w14:textId="77777777" w:rsidR="00D3344B" w:rsidRDefault="00143C25">
            <w:pPr>
              <w:pStyle w:val="TableParagraph"/>
              <w:spacing w:line="248" w:lineRule="exact"/>
              <w:ind w:left="138"/>
              <w:rPr>
                <w:rFonts w:ascii="Arial" w:hAnsi="Arial" w:cs="Arial"/>
                <w:sz w:val="24"/>
                <w:szCs w:val="24"/>
              </w:rPr>
            </w:pPr>
            <w:proofErr w:type="gramStart"/>
            <w:r>
              <w:rPr>
                <w:rFonts w:ascii="Arial" w:hAnsi="Arial" w:cs="Arial"/>
                <w:sz w:val="24"/>
                <w:szCs w:val="24"/>
              </w:rPr>
              <w:t>0.20</w:t>
            </w:r>
            <w:r>
              <w:rPr>
                <w:rFonts w:ascii="Arial" w:hAnsi="Arial" w:cs="Arial"/>
                <w:spacing w:val="30"/>
                <w:sz w:val="24"/>
                <w:szCs w:val="24"/>
              </w:rPr>
              <w:t xml:space="preserve">  </w:t>
            </w:r>
            <w:r>
              <w:rPr>
                <w:rFonts w:ascii="Arial" w:hAnsi="Arial" w:cs="Arial"/>
                <w:sz w:val="24"/>
                <w:szCs w:val="24"/>
              </w:rPr>
              <w:t>UMA</w:t>
            </w:r>
            <w:proofErr w:type="gramEnd"/>
            <w:r>
              <w:rPr>
                <w:rFonts w:ascii="Arial" w:hAnsi="Arial" w:cs="Arial"/>
                <w:spacing w:val="30"/>
                <w:sz w:val="24"/>
                <w:szCs w:val="24"/>
              </w:rPr>
              <w:t xml:space="preserve">  </w:t>
            </w:r>
            <w:r>
              <w:rPr>
                <w:rFonts w:ascii="Arial" w:hAnsi="Arial" w:cs="Arial"/>
                <w:sz w:val="24"/>
                <w:szCs w:val="24"/>
              </w:rPr>
              <w:t>por</w:t>
            </w:r>
            <w:r>
              <w:rPr>
                <w:rFonts w:ascii="Arial" w:hAnsi="Arial" w:cs="Arial"/>
                <w:spacing w:val="29"/>
                <w:sz w:val="24"/>
                <w:szCs w:val="24"/>
              </w:rPr>
              <w:t xml:space="preserve">  </w:t>
            </w:r>
            <w:r>
              <w:rPr>
                <w:rFonts w:ascii="Arial" w:hAnsi="Arial" w:cs="Arial"/>
                <w:sz w:val="24"/>
                <w:szCs w:val="24"/>
              </w:rPr>
              <w:t>metro</w:t>
            </w:r>
            <w:r>
              <w:rPr>
                <w:rFonts w:ascii="Arial" w:hAnsi="Arial" w:cs="Arial"/>
                <w:spacing w:val="30"/>
                <w:sz w:val="24"/>
                <w:szCs w:val="24"/>
              </w:rPr>
              <w:t xml:space="preserve">  </w:t>
            </w:r>
            <w:r>
              <w:rPr>
                <w:rFonts w:ascii="Arial" w:hAnsi="Arial" w:cs="Arial"/>
                <w:sz w:val="24"/>
                <w:szCs w:val="24"/>
              </w:rPr>
              <w:t>cuadrado</w:t>
            </w:r>
            <w:r>
              <w:rPr>
                <w:rFonts w:ascii="Arial" w:hAnsi="Arial" w:cs="Arial"/>
                <w:spacing w:val="31"/>
                <w:sz w:val="24"/>
                <w:szCs w:val="24"/>
              </w:rPr>
              <w:t xml:space="preserve">  </w:t>
            </w:r>
            <w:r>
              <w:rPr>
                <w:rFonts w:ascii="Arial" w:hAnsi="Arial" w:cs="Arial"/>
                <w:spacing w:val="-5"/>
                <w:sz w:val="24"/>
                <w:szCs w:val="24"/>
              </w:rPr>
              <w:t>de</w:t>
            </w:r>
          </w:p>
          <w:p w14:paraId="4A127C74" w14:textId="77777777" w:rsidR="00D3344B" w:rsidRDefault="00143C25">
            <w:pPr>
              <w:pStyle w:val="TableParagraph"/>
              <w:spacing w:line="252" w:lineRule="exact"/>
              <w:ind w:left="138"/>
              <w:rPr>
                <w:rFonts w:ascii="Arial" w:hAnsi="Arial" w:cs="Arial"/>
                <w:sz w:val="24"/>
                <w:szCs w:val="24"/>
              </w:rPr>
            </w:pPr>
            <w:r>
              <w:rPr>
                <w:rFonts w:ascii="Arial" w:hAnsi="Arial" w:cs="Arial"/>
                <w:sz w:val="24"/>
                <w:szCs w:val="24"/>
              </w:rPr>
              <w:t>construcción más 0.02 UMA por metro cuadrado de terreno para servicios.</w:t>
            </w:r>
          </w:p>
        </w:tc>
      </w:tr>
      <w:tr w:rsidR="00D3344B" w14:paraId="564607A1" w14:textId="77777777">
        <w:trPr>
          <w:trHeight w:val="506"/>
        </w:trPr>
        <w:tc>
          <w:tcPr>
            <w:tcW w:w="4677" w:type="dxa"/>
          </w:tcPr>
          <w:p w14:paraId="42E58688" w14:textId="77777777" w:rsidR="00D3344B" w:rsidRDefault="00143C25">
            <w:pPr>
              <w:pStyle w:val="TableParagraph"/>
              <w:spacing w:line="249" w:lineRule="exact"/>
              <w:ind w:left="50"/>
              <w:rPr>
                <w:rFonts w:ascii="Arial" w:hAnsi="Arial" w:cs="Arial"/>
                <w:sz w:val="24"/>
                <w:szCs w:val="24"/>
              </w:rPr>
            </w:pPr>
            <w:r>
              <w:rPr>
                <w:rFonts w:ascii="Arial" w:hAnsi="Arial" w:cs="Arial"/>
                <w:sz w:val="24"/>
                <w:szCs w:val="24"/>
              </w:rPr>
              <w:t>d).</w:t>
            </w:r>
            <w:r>
              <w:rPr>
                <w:rFonts w:ascii="Arial" w:hAnsi="Arial" w:cs="Arial"/>
                <w:spacing w:val="67"/>
                <w:w w:val="150"/>
                <w:sz w:val="24"/>
                <w:szCs w:val="24"/>
              </w:rPr>
              <w:t xml:space="preserve"> </w:t>
            </w:r>
            <w:r>
              <w:rPr>
                <w:rFonts w:ascii="Arial" w:hAnsi="Arial" w:cs="Arial"/>
                <w:sz w:val="24"/>
                <w:szCs w:val="24"/>
              </w:rPr>
              <w:t>Equipamiento</w:t>
            </w:r>
            <w:r>
              <w:rPr>
                <w:rFonts w:ascii="Arial" w:hAnsi="Arial" w:cs="Arial"/>
                <w:spacing w:val="68"/>
                <w:w w:val="150"/>
                <w:sz w:val="24"/>
                <w:szCs w:val="24"/>
              </w:rPr>
              <w:t xml:space="preserve"> </w:t>
            </w:r>
            <w:r>
              <w:rPr>
                <w:rFonts w:ascii="Arial" w:hAnsi="Arial" w:cs="Arial"/>
                <w:sz w:val="24"/>
                <w:szCs w:val="24"/>
              </w:rPr>
              <w:t>urbano,</w:t>
            </w:r>
            <w:r>
              <w:rPr>
                <w:rFonts w:ascii="Arial" w:hAnsi="Arial" w:cs="Arial"/>
                <w:spacing w:val="66"/>
                <w:w w:val="150"/>
                <w:sz w:val="24"/>
                <w:szCs w:val="24"/>
              </w:rPr>
              <w:t xml:space="preserve"> </w:t>
            </w:r>
            <w:r>
              <w:rPr>
                <w:rFonts w:ascii="Arial" w:hAnsi="Arial" w:cs="Arial"/>
                <w:sz w:val="24"/>
                <w:szCs w:val="24"/>
              </w:rPr>
              <w:t>bancos</w:t>
            </w:r>
            <w:r>
              <w:rPr>
                <w:rFonts w:ascii="Arial" w:hAnsi="Arial" w:cs="Arial"/>
                <w:spacing w:val="68"/>
                <w:w w:val="150"/>
                <w:sz w:val="24"/>
                <w:szCs w:val="24"/>
              </w:rPr>
              <w:t xml:space="preserve"> </w:t>
            </w:r>
            <w:r>
              <w:rPr>
                <w:rFonts w:ascii="Arial" w:hAnsi="Arial" w:cs="Arial"/>
                <w:sz w:val="24"/>
                <w:szCs w:val="24"/>
              </w:rPr>
              <w:t>de</w:t>
            </w:r>
            <w:r>
              <w:rPr>
                <w:rFonts w:ascii="Arial" w:hAnsi="Arial" w:cs="Arial"/>
                <w:spacing w:val="68"/>
                <w:w w:val="150"/>
                <w:sz w:val="24"/>
                <w:szCs w:val="24"/>
              </w:rPr>
              <w:t xml:space="preserve"> </w:t>
            </w:r>
            <w:r>
              <w:rPr>
                <w:rFonts w:ascii="Arial" w:hAnsi="Arial" w:cs="Arial"/>
                <w:spacing w:val="-2"/>
                <w:sz w:val="24"/>
                <w:szCs w:val="24"/>
              </w:rPr>
              <w:t xml:space="preserve">materiales, </w:t>
            </w:r>
            <w:r>
              <w:rPr>
                <w:rFonts w:ascii="Arial" w:hAnsi="Arial" w:cs="Arial"/>
                <w:sz w:val="24"/>
                <w:szCs w:val="24"/>
              </w:rPr>
              <w:t>minas,</w:t>
            </w:r>
            <w:r>
              <w:rPr>
                <w:rFonts w:ascii="Arial" w:hAnsi="Arial" w:cs="Arial"/>
                <w:spacing w:val="-4"/>
                <w:sz w:val="24"/>
                <w:szCs w:val="24"/>
              </w:rPr>
              <w:t xml:space="preserve"> </w:t>
            </w:r>
            <w:r>
              <w:rPr>
                <w:rFonts w:ascii="Arial" w:hAnsi="Arial" w:cs="Arial"/>
                <w:sz w:val="24"/>
                <w:szCs w:val="24"/>
              </w:rPr>
              <w:t>canteras</w:t>
            </w:r>
            <w:r>
              <w:rPr>
                <w:rFonts w:ascii="Arial" w:hAnsi="Arial" w:cs="Arial"/>
                <w:spacing w:val="-3"/>
                <w:sz w:val="24"/>
                <w:szCs w:val="24"/>
              </w:rPr>
              <w:t xml:space="preserve"> </w:t>
            </w:r>
            <w:r>
              <w:rPr>
                <w:rFonts w:ascii="Arial" w:hAnsi="Arial" w:cs="Arial"/>
                <w:sz w:val="24"/>
                <w:szCs w:val="24"/>
              </w:rPr>
              <w:t>y</w:t>
            </w:r>
            <w:r>
              <w:rPr>
                <w:rFonts w:ascii="Arial" w:hAnsi="Arial" w:cs="Arial"/>
                <w:spacing w:val="-4"/>
                <w:sz w:val="24"/>
                <w:szCs w:val="24"/>
              </w:rPr>
              <w:t xml:space="preserve"> </w:t>
            </w:r>
            <w:r>
              <w:rPr>
                <w:rFonts w:ascii="Arial" w:hAnsi="Arial" w:cs="Arial"/>
                <w:sz w:val="24"/>
                <w:szCs w:val="24"/>
              </w:rPr>
              <w:t>otros</w:t>
            </w:r>
            <w:r>
              <w:rPr>
                <w:rFonts w:ascii="Arial" w:hAnsi="Arial" w:cs="Arial"/>
                <w:spacing w:val="-3"/>
                <w:sz w:val="24"/>
                <w:szCs w:val="24"/>
              </w:rPr>
              <w:t xml:space="preserve"> </w:t>
            </w:r>
            <w:r>
              <w:rPr>
                <w:rFonts w:ascii="Arial" w:hAnsi="Arial" w:cs="Arial"/>
                <w:spacing w:val="-2"/>
                <w:sz w:val="24"/>
                <w:szCs w:val="24"/>
              </w:rPr>
              <w:t>similares.</w:t>
            </w:r>
          </w:p>
        </w:tc>
        <w:tc>
          <w:tcPr>
            <w:tcW w:w="3329" w:type="dxa"/>
          </w:tcPr>
          <w:p w14:paraId="7A66D6A9" w14:textId="77777777" w:rsidR="00D3344B" w:rsidRDefault="00143C25">
            <w:pPr>
              <w:pStyle w:val="TableParagraph"/>
              <w:spacing w:line="249" w:lineRule="exact"/>
              <w:ind w:left="138"/>
              <w:rPr>
                <w:rFonts w:ascii="Arial" w:hAnsi="Arial" w:cs="Arial"/>
                <w:sz w:val="24"/>
                <w:szCs w:val="24"/>
              </w:rPr>
            </w:pPr>
            <w:r>
              <w:rPr>
                <w:rFonts w:ascii="Arial" w:hAnsi="Arial" w:cs="Arial"/>
                <w:sz w:val="24"/>
                <w:szCs w:val="24"/>
              </w:rPr>
              <w:t xml:space="preserve">10 </w:t>
            </w:r>
            <w:r>
              <w:rPr>
                <w:rFonts w:ascii="Arial" w:hAnsi="Arial" w:cs="Arial"/>
                <w:spacing w:val="-4"/>
                <w:sz w:val="24"/>
                <w:szCs w:val="24"/>
              </w:rPr>
              <w:t>UMA.</w:t>
            </w:r>
          </w:p>
        </w:tc>
      </w:tr>
      <w:tr w:rsidR="00D3344B" w14:paraId="164D4468" w14:textId="77777777">
        <w:trPr>
          <w:trHeight w:val="501"/>
        </w:trPr>
        <w:tc>
          <w:tcPr>
            <w:tcW w:w="4677" w:type="dxa"/>
          </w:tcPr>
          <w:p w14:paraId="579F9D9A" w14:textId="77777777" w:rsidR="00D3344B" w:rsidRDefault="00143C25">
            <w:pPr>
              <w:pStyle w:val="TableParagraph"/>
              <w:spacing w:line="252" w:lineRule="exact"/>
              <w:ind w:left="50"/>
              <w:rPr>
                <w:rFonts w:ascii="Arial" w:hAnsi="Arial" w:cs="Arial"/>
                <w:sz w:val="24"/>
                <w:szCs w:val="24"/>
              </w:rPr>
            </w:pPr>
            <w:r>
              <w:rPr>
                <w:rFonts w:ascii="Arial" w:hAnsi="Arial" w:cs="Arial"/>
                <w:sz w:val="24"/>
                <w:szCs w:val="24"/>
              </w:rPr>
              <w:t>e).</w:t>
            </w:r>
            <w:r>
              <w:rPr>
                <w:rFonts w:ascii="Arial" w:hAnsi="Arial" w:cs="Arial"/>
                <w:spacing w:val="30"/>
                <w:sz w:val="24"/>
                <w:szCs w:val="24"/>
              </w:rPr>
              <w:t xml:space="preserve"> </w:t>
            </w:r>
            <w:r>
              <w:rPr>
                <w:rFonts w:ascii="Arial" w:hAnsi="Arial" w:cs="Arial"/>
                <w:sz w:val="24"/>
                <w:szCs w:val="24"/>
              </w:rPr>
              <w:t>Expedición</w:t>
            </w:r>
            <w:r>
              <w:rPr>
                <w:rFonts w:ascii="Arial" w:hAnsi="Arial" w:cs="Arial"/>
                <w:spacing w:val="28"/>
                <w:sz w:val="24"/>
                <w:szCs w:val="24"/>
              </w:rPr>
              <w:t xml:space="preserve"> </w:t>
            </w:r>
            <w:r>
              <w:rPr>
                <w:rFonts w:ascii="Arial" w:hAnsi="Arial" w:cs="Arial"/>
                <w:sz w:val="24"/>
                <w:szCs w:val="24"/>
              </w:rPr>
              <w:t>de</w:t>
            </w:r>
            <w:r>
              <w:rPr>
                <w:rFonts w:ascii="Arial" w:hAnsi="Arial" w:cs="Arial"/>
                <w:spacing w:val="31"/>
                <w:sz w:val="24"/>
                <w:szCs w:val="24"/>
              </w:rPr>
              <w:t xml:space="preserve"> </w:t>
            </w:r>
            <w:r>
              <w:rPr>
                <w:rFonts w:ascii="Arial" w:hAnsi="Arial" w:cs="Arial"/>
                <w:sz w:val="24"/>
                <w:szCs w:val="24"/>
              </w:rPr>
              <w:t>dictámenes</w:t>
            </w:r>
            <w:r>
              <w:rPr>
                <w:rFonts w:ascii="Arial" w:hAnsi="Arial" w:cs="Arial"/>
                <w:spacing w:val="31"/>
                <w:sz w:val="24"/>
                <w:szCs w:val="24"/>
              </w:rPr>
              <w:t xml:space="preserve"> </w:t>
            </w:r>
            <w:r>
              <w:rPr>
                <w:rFonts w:ascii="Arial" w:hAnsi="Arial" w:cs="Arial"/>
                <w:sz w:val="24"/>
                <w:szCs w:val="24"/>
              </w:rPr>
              <w:t>de</w:t>
            </w:r>
            <w:r>
              <w:rPr>
                <w:rFonts w:ascii="Arial" w:hAnsi="Arial" w:cs="Arial"/>
                <w:spacing w:val="28"/>
                <w:sz w:val="24"/>
                <w:szCs w:val="24"/>
              </w:rPr>
              <w:t xml:space="preserve"> </w:t>
            </w:r>
            <w:r>
              <w:rPr>
                <w:rFonts w:ascii="Arial" w:hAnsi="Arial" w:cs="Arial"/>
                <w:sz w:val="24"/>
                <w:szCs w:val="24"/>
              </w:rPr>
              <w:t>no</w:t>
            </w:r>
            <w:r>
              <w:rPr>
                <w:rFonts w:ascii="Arial" w:hAnsi="Arial" w:cs="Arial"/>
                <w:spacing w:val="30"/>
                <w:sz w:val="24"/>
                <w:szCs w:val="24"/>
              </w:rPr>
              <w:t xml:space="preserve"> </w:t>
            </w:r>
            <w:r>
              <w:rPr>
                <w:rFonts w:ascii="Arial" w:hAnsi="Arial" w:cs="Arial"/>
                <w:sz w:val="24"/>
                <w:szCs w:val="24"/>
              </w:rPr>
              <w:t>afectación</w:t>
            </w:r>
            <w:r>
              <w:rPr>
                <w:rFonts w:ascii="Arial" w:hAnsi="Arial" w:cs="Arial"/>
                <w:spacing w:val="28"/>
                <w:sz w:val="24"/>
                <w:szCs w:val="24"/>
              </w:rPr>
              <w:t xml:space="preserve"> </w:t>
            </w:r>
            <w:r>
              <w:rPr>
                <w:rFonts w:ascii="Arial" w:hAnsi="Arial" w:cs="Arial"/>
                <w:sz w:val="24"/>
                <w:szCs w:val="24"/>
              </w:rPr>
              <w:t>por obra pública</w:t>
            </w:r>
          </w:p>
        </w:tc>
        <w:tc>
          <w:tcPr>
            <w:tcW w:w="3329" w:type="dxa"/>
          </w:tcPr>
          <w:p w14:paraId="216E0F4A" w14:textId="77777777" w:rsidR="00D3344B" w:rsidRDefault="00143C25">
            <w:pPr>
              <w:pStyle w:val="TableParagraph"/>
              <w:spacing w:line="249" w:lineRule="exact"/>
              <w:ind w:left="138"/>
              <w:rPr>
                <w:rFonts w:ascii="Arial" w:hAnsi="Arial" w:cs="Arial"/>
                <w:sz w:val="24"/>
                <w:szCs w:val="24"/>
              </w:rPr>
            </w:pPr>
            <w:r>
              <w:rPr>
                <w:rFonts w:ascii="Arial" w:hAnsi="Arial" w:cs="Arial"/>
                <w:sz w:val="24"/>
                <w:szCs w:val="24"/>
              </w:rPr>
              <w:t xml:space="preserve">38 </w:t>
            </w:r>
            <w:r>
              <w:rPr>
                <w:rFonts w:ascii="Arial" w:hAnsi="Arial" w:cs="Arial"/>
                <w:spacing w:val="-4"/>
                <w:sz w:val="24"/>
                <w:szCs w:val="24"/>
              </w:rPr>
              <w:t>UMA.</w:t>
            </w:r>
          </w:p>
        </w:tc>
      </w:tr>
    </w:tbl>
    <w:p w14:paraId="2D45F7F0" w14:textId="77777777" w:rsidR="00D3344B" w:rsidRDefault="00D3344B">
      <w:pPr>
        <w:pStyle w:val="Textoindependiente"/>
        <w:spacing w:before="3"/>
        <w:rPr>
          <w:rFonts w:ascii="Arial" w:hAnsi="Arial" w:cs="Arial"/>
          <w:sz w:val="24"/>
          <w:szCs w:val="24"/>
        </w:rPr>
      </w:pPr>
    </w:p>
    <w:p w14:paraId="704587D4" w14:textId="77777777" w:rsidR="00D3344B" w:rsidRDefault="00143C25">
      <w:pPr>
        <w:pStyle w:val="Textoindependiente"/>
        <w:ind w:left="851" w:right="182"/>
        <w:jc w:val="both"/>
        <w:rPr>
          <w:rFonts w:ascii="Arial" w:hAnsi="Arial" w:cs="Arial"/>
          <w:sz w:val="24"/>
          <w:szCs w:val="24"/>
        </w:rPr>
      </w:pPr>
      <w:r>
        <w:rPr>
          <w:rFonts w:ascii="Arial" w:hAnsi="Arial" w:cs="Arial"/>
          <w:sz w:val="24"/>
          <w:szCs w:val="24"/>
        </w:rPr>
        <w:t>Por cada renovación de dictamen de uso de suelo correspondiente, se cobrará solo el 50% de lo establecido en esta fracción, siempre y cuando se haya cubierto anteriormente el cien por ciento del importe fijado.</w:t>
      </w:r>
    </w:p>
    <w:p w14:paraId="3678C175" w14:textId="77777777" w:rsidR="00D3344B" w:rsidRDefault="00D3344B">
      <w:pPr>
        <w:pStyle w:val="Textoindependiente"/>
        <w:spacing w:before="10"/>
        <w:rPr>
          <w:rFonts w:ascii="Arial" w:hAnsi="Arial" w:cs="Arial"/>
          <w:sz w:val="24"/>
          <w:szCs w:val="24"/>
        </w:rPr>
      </w:pPr>
    </w:p>
    <w:p w14:paraId="51A27FA4" w14:textId="77777777" w:rsidR="00D3344B" w:rsidRDefault="00143C25">
      <w:pPr>
        <w:pStyle w:val="Prrafodelista"/>
        <w:widowControl w:val="0"/>
        <w:numPr>
          <w:ilvl w:val="0"/>
          <w:numId w:val="13"/>
        </w:numPr>
        <w:tabs>
          <w:tab w:val="left" w:pos="828"/>
          <w:tab w:val="left" w:pos="830"/>
        </w:tabs>
        <w:suppressAutoHyphens w:val="0"/>
        <w:spacing w:after="0" w:line="240" w:lineRule="auto"/>
        <w:ind w:right="234"/>
        <w:contextualSpacing w:val="0"/>
        <w:jc w:val="both"/>
        <w:rPr>
          <w:rFonts w:ascii="Arial" w:hAnsi="Arial" w:cs="Arial"/>
          <w:sz w:val="24"/>
          <w:szCs w:val="24"/>
        </w:rPr>
      </w:pPr>
      <w:r>
        <w:rPr>
          <w:rFonts w:ascii="Arial" w:hAnsi="Arial" w:cs="Arial"/>
          <w:sz w:val="24"/>
          <w:szCs w:val="24"/>
        </w:rPr>
        <w:t>Por la autorización de fraccionamientos y lotificaciones de terrenos con fines urbanos, se pagarán 0.05 UMA;</w:t>
      </w:r>
    </w:p>
    <w:p w14:paraId="6207A41F" w14:textId="77777777" w:rsidR="00D3344B" w:rsidRDefault="00D3344B">
      <w:pPr>
        <w:pStyle w:val="Textoindependiente"/>
        <w:spacing w:before="2"/>
        <w:rPr>
          <w:rFonts w:ascii="Arial" w:hAnsi="Arial" w:cs="Arial"/>
          <w:sz w:val="24"/>
          <w:szCs w:val="24"/>
        </w:rPr>
      </w:pPr>
    </w:p>
    <w:p w14:paraId="5A302887" w14:textId="77777777" w:rsidR="00D3344B" w:rsidRDefault="00143C25">
      <w:pPr>
        <w:pStyle w:val="Prrafodelista"/>
        <w:widowControl w:val="0"/>
        <w:numPr>
          <w:ilvl w:val="0"/>
          <w:numId w:val="13"/>
        </w:numPr>
        <w:tabs>
          <w:tab w:val="left" w:pos="829"/>
        </w:tabs>
        <w:suppressAutoHyphens w:val="0"/>
        <w:spacing w:after="0" w:line="240" w:lineRule="auto"/>
        <w:ind w:left="829" w:hanging="707"/>
        <w:contextualSpacing w:val="0"/>
        <w:rPr>
          <w:rFonts w:ascii="Arial" w:hAnsi="Arial" w:cs="Arial"/>
          <w:sz w:val="24"/>
          <w:szCs w:val="24"/>
        </w:rPr>
      </w:pPr>
      <w:r>
        <w:rPr>
          <w:rFonts w:ascii="Arial" w:hAnsi="Arial" w:cs="Arial"/>
          <w:sz w:val="24"/>
          <w:szCs w:val="24"/>
        </w:rPr>
        <w:t>Por</w:t>
      </w:r>
      <w:r>
        <w:rPr>
          <w:rFonts w:ascii="Arial" w:hAnsi="Arial" w:cs="Arial"/>
          <w:spacing w:val="-4"/>
          <w:sz w:val="24"/>
          <w:szCs w:val="24"/>
        </w:rPr>
        <w:t xml:space="preserve"> </w:t>
      </w:r>
      <w:r>
        <w:rPr>
          <w:rFonts w:ascii="Arial" w:hAnsi="Arial" w:cs="Arial"/>
          <w:sz w:val="24"/>
          <w:szCs w:val="24"/>
        </w:rPr>
        <w:t>la</w:t>
      </w:r>
      <w:r>
        <w:rPr>
          <w:rFonts w:ascii="Arial" w:hAnsi="Arial" w:cs="Arial"/>
          <w:spacing w:val="-2"/>
          <w:sz w:val="24"/>
          <w:szCs w:val="24"/>
        </w:rPr>
        <w:t xml:space="preserve"> </w:t>
      </w:r>
      <w:r>
        <w:rPr>
          <w:rFonts w:ascii="Arial" w:hAnsi="Arial" w:cs="Arial"/>
          <w:sz w:val="24"/>
          <w:szCs w:val="24"/>
        </w:rPr>
        <w:t>división</w:t>
      </w:r>
      <w:r>
        <w:rPr>
          <w:rFonts w:ascii="Arial" w:hAnsi="Arial" w:cs="Arial"/>
          <w:spacing w:val="-1"/>
          <w:sz w:val="24"/>
          <w:szCs w:val="24"/>
        </w:rPr>
        <w:t xml:space="preserve"> </w:t>
      </w:r>
      <w:r>
        <w:rPr>
          <w:rFonts w:ascii="Arial" w:hAnsi="Arial" w:cs="Arial"/>
          <w:sz w:val="24"/>
          <w:szCs w:val="24"/>
        </w:rPr>
        <w:t>o</w:t>
      </w:r>
      <w:r>
        <w:rPr>
          <w:rFonts w:ascii="Arial" w:hAnsi="Arial" w:cs="Arial"/>
          <w:spacing w:val="-5"/>
          <w:sz w:val="24"/>
          <w:szCs w:val="24"/>
        </w:rPr>
        <w:t xml:space="preserve"> </w:t>
      </w:r>
      <w:r>
        <w:rPr>
          <w:rFonts w:ascii="Arial" w:hAnsi="Arial" w:cs="Arial"/>
          <w:sz w:val="24"/>
          <w:szCs w:val="24"/>
        </w:rPr>
        <w:t>fusión</w:t>
      </w:r>
      <w:r>
        <w:rPr>
          <w:rFonts w:ascii="Arial" w:hAnsi="Arial" w:cs="Arial"/>
          <w:spacing w:val="-4"/>
          <w:sz w:val="24"/>
          <w:szCs w:val="24"/>
        </w:rPr>
        <w:t xml:space="preserve"> </w:t>
      </w:r>
      <w:r>
        <w:rPr>
          <w:rFonts w:ascii="Arial" w:hAnsi="Arial" w:cs="Arial"/>
          <w:sz w:val="24"/>
          <w:szCs w:val="24"/>
        </w:rPr>
        <w:t>de</w:t>
      </w:r>
      <w:r>
        <w:rPr>
          <w:rFonts w:ascii="Arial" w:hAnsi="Arial" w:cs="Arial"/>
          <w:spacing w:val="-4"/>
          <w:sz w:val="24"/>
          <w:szCs w:val="24"/>
        </w:rPr>
        <w:t xml:space="preserve"> </w:t>
      </w:r>
      <w:r>
        <w:rPr>
          <w:rFonts w:ascii="Arial" w:hAnsi="Arial" w:cs="Arial"/>
          <w:sz w:val="24"/>
          <w:szCs w:val="24"/>
        </w:rPr>
        <w:t>predios,</w:t>
      </w:r>
      <w:r>
        <w:rPr>
          <w:rFonts w:ascii="Arial" w:hAnsi="Arial" w:cs="Arial"/>
          <w:spacing w:val="-4"/>
          <w:sz w:val="24"/>
          <w:szCs w:val="24"/>
        </w:rPr>
        <w:t xml:space="preserve"> </w:t>
      </w:r>
      <w:r>
        <w:rPr>
          <w:rFonts w:ascii="Arial" w:hAnsi="Arial" w:cs="Arial"/>
          <w:sz w:val="24"/>
          <w:szCs w:val="24"/>
        </w:rPr>
        <w:t>se</w:t>
      </w:r>
      <w:r>
        <w:rPr>
          <w:rFonts w:ascii="Arial" w:hAnsi="Arial" w:cs="Arial"/>
          <w:spacing w:val="-1"/>
          <w:sz w:val="24"/>
          <w:szCs w:val="24"/>
        </w:rPr>
        <w:t xml:space="preserve"> </w:t>
      </w:r>
      <w:r>
        <w:rPr>
          <w:rFonts w:ascii="Arial" w:hAnsi="Arial" w:cs="Arial"/>
          <w:sz w:val="24"/>
          <w:szCs w:val="24"/>
        </w:rPr>
        <w:t>pagarán</w:t>
      </w:r>
      <w:r>
        <w:rPr>
          <w:rFonts w:ascii="Arial" w:hAnsi="Arial" w:cs="Arial"/>
          <w:spacing w:val="-2"/>
          <w:sz w:val="24"/>
          <w:szCs w:val="24"/>
        </w:rPr>
        <w:t xml:space="preserve"> </w:t>
      </w:r>
      <w:r>
        <w:rPr>
          <w:rFonts w:ascii="Arial" w:hAnsi="Arial" w:cs="Arial"/>
          <w:sz w:val="24"/>
          <w:szCs w:val="24"/>
        </w:rPr>
        <w:t>0.05</w:t>
      </w:r>
      <w:r>
        <w:rPr>
          <w:rFonts w:ascii="Arial" w:hAnsi="Arial" w:cs="Arial"/>
          <w:spacing w:val="-2"/>
          <w:sz w:val="24"/>
          <w:szCs w:val="24"/>
        </w:rPr>
        <w:t xml:space="preserve"> </w:t>
      </w:r>
      <w:r>
        <w:rPr>
          <w:rFonts w:ascii="Arial" w:hAnsi="Arial" w:cs="Arial"/>
          <w:sz w:val="24"/>
          <w:szCs w:val="24"/>
        </w:rPr>
        <w:t>UMA</w:t>
      </w:r>
      <w:r>
        <w:rPr>
          <w:rFonts w:ascii="Arial" w:hAnsi="Arial" w:cs="Arial"/>
          <w:spacing w:val="-1"/>
          <w:sz w:val="24"/>
          <w:szCs w:val="24"/>
        </w:rPr>
        <w:t xml:space="preserve"> </w:t>
      </w:r>
      <w:r>
        <w:rPr>
          <w:rFonts w:ascii="Arial" w:hAnsi="Arial" w:cs="Arial"/>
          <w:sz w:val="24"/>
          <w:szCs w:val="24"/>
        </w:rPr>
        <w:t>por</w:t>
      </w:r>
      <w:r>
        <w:rPr>
          <w:rFonts w:ascii="Arial" w:hAnsi="Arial" w:cs="Arial"/>
          <w:spacing w:val="-4"/>
          <w:sz w:val="24"/>
          <w:szCs w:val="24"/>
        </w:rPr>
        <w:t xml:space="preserve"> </w:t>
      </w:r>
      <w:r>
        <w:rPr>
          <w:rFonts w:ascii="Arial" w:hAnsi="Arial" w:cs="Arial"/>
          <w:sz w:val="24"/>
          <w:szCs w:val="24"/>
        </w:rPr>
        <w:t>metro</w:t>
      </w:r>
      <w:r>
        <w:rPr>
          <w:rFonts w:ascii="Arial" w:hAnsi="Arial" w:cs="Arial"/>
          <w:spacing w:val="-4"/>
          <w:sz w:val="24"/>
          <w:szCs w:val="24"/>
        </w:rPr>
        <w:t xml:space="preserve"> </w:t>
      </w:r>
      <w:r>
        <w:rPr>
          <w:rFonts w:ascii="Arial" w:hAnsi="Arial" w:cs="Arial"/>
          <w:sz w:val="24"/>
          <w:szCs w:val="24"/>
        </w:rPr>
        <w:t>cuadrado</w:t>
      </w:r>
      <w:r>
        <w:rPr>
          <w:rFonts w:ascii="Arial" w:hAnsi="Arial" w:cs="Arial"/>
          <w:spacing w:val="-2"/>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pacing w:val="-2"/>
          <w:sz w:val="24"/>
          <w:szCs w:val="24"/>
        </w:rPr>
        <w:t>terreno;</w:t>
      </w:r>
    </w:p>
    <w:p w14:paraId="048FB922" w14:textId="77777777" w:rsidR="00D3344B" w:rsidRDefault="00D3344B">
      <w:pPr>
        <w:pStyle w:val="Textoindependiente"/>
        <w:spacing w:before="9"/>
        <w:rPr>
          <w:rFonts w:ascii="Arial" w:hAnsi="Arial" w:cs="Arial"/>
          <w:sz w:val="24"/>
          <w:szCs w:val="24"/>
        </w:rPr>
      </w:pPr>
    </w:p>
    <w:p w14:paraId="18BE0B05" w14:textId="77777777" w:rsidR="00D3344B" w:rsidRDefault="00143C25">
      <w:pPr>
        <w:pStyle w:val="Prrafodelista"/>
        <w:widowControl w:val="0"/>
        <w:numPr>
          <w:ilvl w:val="0"/>
          <w:numId w:val="13"/>
        </w:numPr>
        <w:tabs>
          <w:tab w:val="left" w:pos="829"/>
        </w:tabs>
        <w:suppressAutoHyphens w:val="0"/>
        <w:spacing w:after="0" w:line="240" w:lineRule="auto"/>
        <w:ind w:left="829" w:hanging="707"/>
        <w:contextualSpacing w:val="0"/>
        <w:rPr>
          <w:rFonts w:ascii="Arial" w:hAnsi="Arial" w:cs="Arial"/>
          <w:sz w:val="24"/>
          <w:szCs w:val="24"/>
        </w:rPr>
      </w:pPr>
      <w:r>
        <w:rPr>
          <w:rFonts w:ascii="Arial" w:hAnsi="Arial" w:cs="Arial"/>
          <w:sz w:val="24"/>
          <w:szCs w:val="24"/>
        </w:rPr>
        <w:t>Por</w:t>
      </w:r>
      <w:r>
        <w:rPr>
          <w:rFonts w:ascii="Arial" w:hAnsi="Arial" w:cs="Arial"/>
          <w:spacing w:val="-6"/>
          <w:sz w:val="24"/>
          <w:szCs w:val="24"/>
        </w:rPr>
        <w:t xml:space="preserve"> </w:t>
      </w:r>
      <w:r>
        <w:rPr>
          <w:rFonts w:ascii="Arial" w:hAnsi="Arial" w:cs="Arial"/>
          <w:sz w:val="24"/>
          <w:szCs w:val="24"/>
        </w:rPr>
        <w:t>la</w:t>
      </w:r>
      <w:r>
        <w:rPr>
          <w:rFonts w:ascii="Arial" w:hAnsi="Arial" w:cs="Arial"/>
          <w:spacing w:val="-3"/>
          <w:sz w:val="24"/>
          <w:szCs w:val="24"/>
        </w:rPr>
        <w:t xml:space="preserve"> </w:t>
      </w:r>
      <w:r>
        <w:rPr>
          <w:rFonts w:ascii="Arial" w:hAnsi="Arial" w:cs="Arial"/>
          <w:sz w:val="24"/>
          <w:szCs w:val="24"/>
        </w:rPr>
        <w:t>expedición</w:t>
      </w:r>
      <w:r>
        <w:rPr>
          <w:rFonts w:ascii="Arial" w:hAnsi="Arial" w:cs="Arial"/>
          <w:spacing w:val="-6"/>
          <w:sz w:val="24"/>
          <w:szCs w:val="24"/>
        </w:rPr>
        <w:t xml:space="preserve"> </w:t>
      </w:r>
      <w:r>
        <w:rPr>
          <w:rFonts w:ascii="Arial" w:hAnsi="Arial" w:cs="Arial"/>
          <w:sz w:val="24"/>
          <w:szCs w:val="24"/>
        </w:rPr>
        <w:t>de</w:t>
      </w:r>
      <w:r>
        <w:rPr>
          <w:rFonts w:ascii="Arial" w:hAnsi="Arial" w:cs="Arial"/>
          <w:spacing w:val="-4"/>
          <w:sz w:val="24"/>
          <w:szCs w:val="24"/>
        </w:rPr>
        <w:t xml:space="preserve"> </w:t>
      </w:r>
      <w:r>
        <w:rPr>
          <w:rFonts w:ascii="Arial" w:hAnsi="Arial" w:cs="Arial"/>
          <w:sz w:val="24"/>
          <w:szCs w:val="24"/>
        </w:rPr>
        <w:t>dictámenes</w:t>
      </w:r>
      <w:r>
        <w:rPr>
          <w:rFonts w:ascii="Arial" w:hAnsi="Arial" w:cs="Arial"/>
          <w:spacing w:val="-3"/>
          <w:sz w:val="24"/>
          <w:szCs w:val="24"/>
        </w:rPr>
        <w:t xml:space="preserve"> </w:t>
      </w:r>
      <w:r>
        <w:rPr>
          <w:rFonts w:ascii="Arial" w:hAnsi="Arial" w:cs="Arial"/>
          <w:sz w:val="24"/>
          <w:szCs w:val="24"/>
        </w:rPr>
        <w:t>de</w:t>
      </w:r>
      <w:r>
        <w:rPr>
          <w:rFonts w:ascii="Arial" w:hAnsi="Arial" w:cs="Arial"/>
          <w:spacing w:val="-4"/>
          <w:sz w:val="24"/>
          <w:szCs w:val="24"/>
        </w:rPr>
        <w:t xml:space="preserve"> </w:t>
      </w:r>
      <w:r>
        <w:rPr>
          <w:rFonts w:ascii="Arial" w:hAnsi="Arial" w:cs="Arial"/>
          <w:sz w:val="24"/>
          <w:szCs w:val="24"/>
        </w:rPr>
        <w:t>congruencia,</w:t>
      </w:r>
      <w:r>
        <w:rPr>
          <w:rFonts w:ascii="Arial" w:hAnsi="Arial" w:cs="Arial"/>
          <w:spacing w:val="-3"/>
          <w:sz w:val="24"/>
          <w:szCs w:val="24"/>
        </w:rPr>
        <w:t xml:space="preserve"> </w:t>
      </w:r>
      <w:r>
        <w:rPr>
          <w:rFonts w:ascii="Arial" w:hAnsi="Arial" w:cs="Arial"/>
          <w:sz w:val="24"/>
          <w:szCs w:val="24"/>
        </w:rPr>
        <w:t>se</w:t>
      </w:r>
      <w:r>
        <w:rPr>
          <w:rFonts w:ascii="Arial" w:hAnsi="Arial" w:cs="Arial"/>
          <w:spacing w:val="-3"/>
          <w:sz w:val="24"/>
          <w:szCs w:val="24"/>
        </w:rPr>
        <w:t xml:space="preserve"> </w:t>
      </w:r>
      <w:r>
        <w:rPr>
          <w:rFonts w:ascii="Arial" w:hAnsi="Arial" w:cs="Arial"/>
          <w:sz w:val="24"/>
          <w:szCs w:val="24"/>
        </w:rPr>
        <w:t>causarán</w:t>
      </w:r>
      <w:r>
        <w:rPr>
          <w:rFonts w:ascii="Arial" w:hAnsi="Arial" w:cs="Arial"/>
          <w:spacing w:val="-4"/>
          <w:sz w:val="24"/>
          <w:szCs w:val="24"/>
        </w:rPr>
        <w:t xml:space="preserve"> </w:t>
      </w:r>
      <w:r>
        <w:rPr>
          <w:rFonts w:ascii="Arial" w:hAnsi="Arial" w:cs="Arial"/>
          <w:sz w:val="24"/>
          <w:szCs w:val="24"/>
        </w:rPr>
        <w:t>los</w:t>
      </w:r>
      <w:r>
        <w:rPr>
          <w:rFonts w:ascii="Arial" w:hAnsi="Arial" w:cs="Arial"/>
          <w:spacing w:val="-3"/>
          <w:sz w:val="24"/>
          <w:szCs w:val="24"/>
        </w:rPr>
        <w:t xml:space="preserve"> </w:t>
      </w:r>
      <w:r>
        <w:rPr>
          <w:rFonts w:ascii="Arial" w:hAnsi="Arial" w:cs="Arial"/>
          <w:sz w:val="24"/>
          <w:szCs w:val="24"/>
        </w:rPr>
        <w:t>siguientes</w:t>
      </w:r>
      <w:r>
        <w:rPr>
          <w:rFonts w:ascii="Arial" w:hAnsi="Arial" w:cs="Arial"/>
          <w:spacing w:val="-3"/>
          <w:sz w:val="24"/>
          <w:szCs w:val="24"/>
        </w:rPr>
        <w:t xml:space="preserve"> </w:t>
      </w:r>
      <w:r>
        <w:rPr>
          <w:rFonts w:ascii="Arial" w:hAnsi="Arial" w:cs="Arial"/>
          <w:spacing w:val="-2"/>
          <w:sz w:val="24"/>
          <w:szCs w:val="24"/>
        </w:rPr>
        <w:t>derechos:</w:t>
      </w:r>
    </w:p>
    <w:p w14:paraId="4DB98519" w14:textId="77777777" w:rsidR="00D3344B" w:rsidRDefault="00D3344B">
      <w:pPr>
        <w:pStyle w:val="Textoindependiente"/>
        <w:spacing w:before="10"/>
        <w:rPr>
          <w:rFonts w:ascii="Arial" w:hAnsi="Arial" w:cs="Arial"/>
          <w:sz w:val="24"/>
          <w:szCs w:val="24"/>
        </w:rPr>
      </w:pPr>
    </w:p>
    <w:tbl>
      <w:tblPr>
        <w:tblStyle w:val="TableNormal"/>
        <w:tblW w:w="8010" w:type="dxa"/>
        <w:tblInd w:w="851" w:type="dxa"/>
        <w:tblLayout w:type="fixed"/>
        <w:tblLook w:val="01E0" w:firstRow="1" w:lastRow="1" w:firstColumn="1" w:lastColumn="1" w:noHBand="0" w:noVBand="0"/>
      </w:tblPr>
      <w:tblGrid>
        <w:gridCol w:w="5986"/>
        <w:gridCol w:w="2024"/>
      </w:tblGrid>
      <w:tr w:rsidR="00D3344B" w14:paraId="2FBAB1F6" w14:textId="77777777">
        <w:trPr>
          <w:trHeight w:val="375"/>
        </w:trPr>
        <w:tc>
          <w:tcPr>
            <w:tcW w:w="5985" w:type="dxa"/>
          </w:tcPr>
          <w:p w14:paraId="6133F875" w14:textId="77777777" w:rsidR="00D3344B" w:rsidRDefault="00143C25">
            <w:pPr>
              <w:pStyle w:val="TableParagraph"/>
              <w:spacing w:line="244" w:lineRule="exact"/>
              <w:ind w:left="50"/>
              <w:rPr>
                <w:rFonts w:ascii="Arial" w:hAnsi="Arial" w:cs="Arial"/>
                <w:b/>
                <w:sz w:val="24"/>
                <w:szCs w:val="24"/>
              </w:rPr>
            </w:pPr>
            <w:r>
              <w:rPr>
                <w:rFonts w:ascii="Arial" w:hAnsi="Arial" w:cs="Arial"/>
                <w:b/>
                <w:spacing w:val="-2"/>
                <w:sz w:val="24"/>
                <w:szCs w:val="24"/>
              </w:rPr>
              <w:t>Concepto</w:t>
            </w:r>
          </w:p>
        </w:tc>
        <w:tc>
          <w:tcPr>
            <w:tcW w:w="2024" w:type="dxa"/>
          </w:tcPr>
          <w:p w14:paraId="21CF7B52" w14:textId="77777777" w:rsidR="00D3344B" w:rsidRDefault="00143C25">
            <w:pPr>
              <w:pStyle w:val="TableParagraph"/>
              <w:spacing w:line="244" w:lineRule="exact"/>
              <w:ind w:right="49"/>
              <w:jc w:val="right"/>
              <w:rPr>
                <w:rFonts w:ascii="Arial" w:hAnsi="Arial" w:cs="Arial"/>
                <w:b/>
                <w:sz w:val="24"/>
                <w:szCs w:val="24"/>
              </w:rPr>
            </w:pPr>
            <w:r>
              <w:rPr>
                <w:rFonts w:ascii="Arial" w:hAnsi="Arial" w:cs="Arial"/>
                <w:b/>
                <w:sz w:val="24"/>
                <w:szCs w:val="24"/>
              </w:rPr>
              <w:t>Derechos</w:t>
            </w:r>
            <w:r>
              <w:rPr>
                <w:rFonts w:ascii="Arial" w:hAnsi="Arial" w:cs="Arial"/>
                <w:b/>
                <w:spacing w:val="-5"/>
                <w:sz w:val="24"/>
                <w:szCs w:val="24"/>
              </w:rPr>
              <w:t xml:space="preserve"> </w:t>
            </w:r>
            <w:r>
              <w:rPr>
                <w:rFonts w:ascii="Arial" w:hAnsi="Arial" w:cs="Arial"/>
                <w:b/>
                <w:spacing w:val="-2"/>
                <w:sz w:val="24"/>
                <w:szCs w:val="24"/>
              </w:rPr>
              <w:t>causados</w:t>
            </w:r>
          </w:p>
        </w:tc>
      </w:tr>
      <w:tr w:rsidR="00D3344B" w14:paraId="421B8857" w14:textId="77777777">
        <w:trPr>
          <w:trHeight w:val="758"/>
        </w:trPr>
        <w:tc>
          <w:tcPr>
            <w:tcW w:w="5985" w:type="dxa"/>
          </w:tcPr>
          <w:p w14:paraId="2849F48C" w14:textId="77777777" w:rsidR="00D3344B" w:rsidRDefault="00143C25">
            <w:pPr>
              <w:pStyle w:val="TableParagraph"/>
              <w:spacing w:before="122"/>
              <w:ind w:left="50" w:right="156"/>
              <w:rPr>
                <w:rFonts w:ascii="Arial" w:hAnsi="Arial" w:cs="Arial"/>
                <w:sz w:val="24"/>
                <w:szCs w:val="24"/>
              </w:rPr>
            </w:pPr>
            <w:r>
              <w:rPr>
                <w:rFonts w:ascii="Arial" w:hAnsi="Arial" w:cs="Arial"/>
                <w:sz w:val="24"/>
                <w:szCs w:val="24"/>
              </w:rPr>
              <w:t>a) Fraccionamientos en todos sus tipos y lotificaciones de terreno para uso habitacional;</w:t>
            </w:r>
          </w:p>
        </w:tc>
        <w:tc>
          <w:tcPr>
            <w:tcW w:w="2024" w:type="dxa"/>
          </w:tcPr>
          <w:p w14:paraId="383771F5" w14:textId="77777777" w:rsidR="00D3344B" w:rsidRDefault="00143C25">
            <w:pPr>
              <w:pStyle w:val="TableParagraph"/>
              <w:spacing w:before="122"/>
              <w:ind w:right="49"/>
              <w:jc w:val="right"/>
              <w:rPr>
                <w:rFonts w:ascii="Arial" w:hAnsi="Arial" w:cs="Arial"/>
                <w:sz w:val="24"/>
                <w:szCs w:val="24"/>
              </w:rPr>
            </w:pPr>
            <w:r>
              <w:rPr>
                <w:rFonts w:ascii="Arial" w:hAnsi="Arial" w:cs="Arial"/>
                <w:sz w:val="24"/>
                <w:szCs w:val="24"/>
              </w:rPr>
              <w:t xml:space="preserve">50 </w:t>
            </w:r>
            <w:r>
              <w:rPr>
                <w:rFonts w:ascii="Arial" w:hAnsi="Arial" w:cs="Arial"/>
                <w:spacing w:val="-5"/>
                <w:sz w:val="24"/>
                <w:szCs w:val="24"/>
              </w:rPr>
              <w:t>UMA</w:t>
            </w:r>
          </w:p>
        </w:tc>
      </w:tr>
      <w:tr w:rsidR="00D3344B" w14:paraId="3A8226A0" w14:textId="77777777">
        <w:trPr>
          <w:trHeight w:val="760"/>
        </w:trPr>
        <w:tc>
          <w:tcPr>
            <w:tcW w:w="5985" w:type="dxa"/>
          </w:tcPr>
          <w:p w14:paraId="354A3E42" w14:textId="77777777" w:rsidR="00D3344B" w:rsidRDefault="00143C25">
            <w:pPr>
              <w:pStyle w:val="TableParagraph"/>
              <w:spacing w:before="122"/>
              <w:ind w:left="50"/>
              <w:rPr>
                <w:rFonts w:ascii="Arial" w:hAnsi="Arial" w:cs="Arial"/>
                <w:sz w:val="24"/>
                <w:szCs w:val="24"/>
              </w:rPr>
            </w:pPr>
            <w:r>
              <w:rPr>
                <w:rFonts w:ascii="Arial" w:hAnsi="Arial" w:cs="Arial"/>
                <w:sz w:val="24"/>
                <w:szCs w:val="24"/>
              </w:rPr>
              <w:t xml:space="preserve">b) Equipamiento urbano, bancos de materiales, minas, canteras y otros </w:t>
            </w:r>
            <w:r>
              <w:rPr>
                <w:rFonts w:ascii="Arial" w:hAnsi="Arial" w:cs="Arial"/>
                <w:spacing w:val="-2"/>
                <w:sz w:val="24"/>
                <w:szCs w:val="24"/>
              </w:rPr>
              <w:t>similares;</w:t>
            </w:r>
          </w:p>
        </w:tc>
        <w:tc>
          <w:tcPr>
            <w:tcW w:w="2024" w:type="dxa"/>
          </w:tcPr>
          <w:p w14:paraId="7C433CD8" w14:textId="77777777" w:rsidR="00D3344B" w:rsidRDefault="00143C25">
            <w:pPr>
              <w:pStyle w:val="TableParagraph"/>
              <w:spacing w:before="122"/>
              <w:ind w:right="49"/>
              <w:jc w:val="right"/>
              <w:rPr>
                <w:rFonts w:ascii="Arial" w:hAnsi="Arial" w:cs="Arial"/>
                <w:sz w:val="24"/>
                <w:szCs w:val="24"/>
              </w:rPr>
            </w:pPr>
            <w:r>
              <w:rPr>
                <w:rFonts w:ascii="Arial" w:hAnsi="Arial" w:cs="Arial"/>
                <w:sz w:val="24"/>
                <w:szCs w:val="24"/>
              </w:rPr>
              <w:t xml:space="preserve">50 </w:t>
            </w:r>
            <w:r>
              <w:rPr>
                <w:rFonts w:ascii="Arial" w:hAnsi="Arial" w:cs="Arial"/>
                <w:spacing w:val="-5"/>
                <w:sz w:val="24"/>
                <w:szCs w:val="24"/>
              </w:rPr>
              <w:t>UMA</w:t>
            </w:r>
          </w:p>
        </w:tc>
      </w:tr>
      <w:tr w:rsidR="00D3344B" w14:paraId="23FFEFE7" w14:textId="77777777">
        <w:trPr>
          <w:trHeight w:val="505"/>
        </w:trPr>
        <w:tc>
          <w:tcPr>
            <w:tcW w:w="5985" w:type="dxa"/>
          </w:tcPr>
          <w:p w14:paraId="2E10A137" w14:textId="77777777" w:rsidR="00D3344B" w:rsidRDefault="00143C25">
            <w:pPr>
              <w:pStyle w:val="TableParagraph"/>
              <w:spacing w:before="122"/>
              <w:ind w:left="50"/>
              <w:rPr>
                <w:rFonts w:ascii="Arial" w:hAnsi="Arial" w:cs="Arial"/>
                <w:sz w:val="24"/>
                <w:szCs w:val="24"/>
              </w:rPr>
            </w:pPr>
            <w:r>
              <w:rPr>
                <w:rFonts w:ascii="Arial" w:hAnsi="Arial" w:cs="Arial"/>
                <w:sz w:val="24"/>
                <w:szCs w:val="24"/>
              </w:rPr>
              <w:t>c)</w:t>
            </w:r>
            <w:r>
              <w:rPr>
                <w:rFonts w:ascii="Arial" w:hAnsi="Arial" w:cs="Arial"/>
                <w:spacing w:val="-2"/>
                <w:sz w:val="24"/>
                <w:szCs w:val="24"/>
              </w:rPr>
              <w:t xml:space="preserve"> </w:t>
            </w:r>
            <w:r>
              <w:rPr>
                <w:rFonts w:ascii="Arial" w:hAnsi="Arial" w:cs="Arial"/>
                <w:sz w:val="24"/>
                <w:szCs w:val="24"/>
              </w:rPr>
              <w:t>Comercios</w:t>
            </w:r>
            <w:r>
              <w:rPr>
                <w:rFonts w:ascii="Arial" w:hAnsi="Arial" w:cs="Arial"/>
                <w:spacing w:val="-3"/>
                <w:sz w:val="24"/>
                <w:szCs w:val="24"/>
              </w:rPr>
              <w:t xml:space="preserve"> </w:t>
            </w:r>
            <w:r>
              <w:rPr>
                <w:rFonts w:ascii="Arial" w:hAnsi="Arial" w:cs="Arial"/>
                <w:sz w:val="24"/>
                <w:szCs w:val="24"/>
              </w:rPr>
              <w:t>y</w:t>
            </w:r>
            <w:r>
              <w:rPr>
                <w:rFonts w:ascii="Arial" w:hAnsi="Arial" w:cs="Arial"/>
                <w:spacing w:val="-2"/>
                <w:sz w:val="24"/>
                <w:szCs w:val="24"/>
              </w:rPr>
              <w:t xml:space="preserve"> Servicios;</w:t>
            </w:r>
          </w:p>
        </w:tc>
        <w:tc>
          <w:tcPr>
            <w:tcW w:w="2024" w:type="dxa"/>
          </w:tcPr>
          <w:p w14:paraId="4F0593B2" w14:textId="77777777" w:rsidR="00D3344B" w:rsidRDefault="00143C25">
            <w:pPr>
              <w:pStyle w:val="TableParagraph"/>
              <w:spacing w:before="122"/>
              <w:ind w:right="49"/>
              <w:jc w:val="right"/>
              <w:rPr>
                <w:rFonts w:ascii="Arial" w:hAnsi="Arial" w:cs="Arial"/>
                <w:sz w:val="24"/>
                <w:szCs w:val="24"/>
              </w:rPr>
            </w:pPr>
            <w:r>
              <w:rPr>
                <w:rFonts w:ascii="Arial" w:hAnsi="Arial" w:cs="Arial"/>
                <w:sz w:val="24"/>
                <w:szCs w:val="24"/>
              </w:rPr>
              <w:t xml:space="preserve">75 </w:t>
            </w:r>
            <w:r>
              <w:rPr>
                <w:rFonts w:ascii="Arial" w:hAnsi="Arial" w:cs="Arial"/>
                <w:spacing w:val="-5"/>
                <w:sz w:val="24"/>
                <w:szCs w:val="24"/>
              </w:rPr>
              <w:t>UMA</w:t>
            </w:r>
          </w:p>
        </w:tc>
      </w:tr>
      <w:tr w:rsidR="00D3344B" w14:paraId="3296AD9C" w14:textId="77777777">
        <w:trPr>
          <w:trHeight w:val="505"/>
        </w:trPr>
        <w:tc>
          <w:tcPr>
            <w:tcW w:w="5985" w:type="dxa"/>
          </w:tcPr>
          <w:p w14:paraId="2CA33B66" w14:textId="77777777" w:rsidR="00D3344B" w:rsidRDefault="00143C25">
            <w:pPr>
              <w:pStyle w:val="TableParagraph"/>
              <w:spacing w:before="121"/>
              <w:ind w:left="50"/>
              <w:rPr>
                <w:rFonts w:ascii="Arial" w:hAnsi="Arial" w:cs="Arial"/>
                <w:sz w:val="24"/>
                <w:szCs w:val="24"/>
              </w:rPr>
            </w:pPr>
            <w:r>
              <w:rPr>
                <w:rFonts w:ascii="Arial" w:hAnsi="Arial" w:cs="Arial"/>
                <w:sz w:val="24"/>
                <w:szCs w:val="24"/>
              </w:rPr>
              <w:t xml:space="preserve">d) </w:t>
            </w:r>
            <w:r>
              <w:rPr>
                <w:rFonts w:ascii="Arial" w:hAnsi="Arial" w:cs="Arial"/>
                <w:spacing w:val="-2"/>
                <w:sz w:val="24"/>
                <w:szCs w:val="24"/>
              </w:rPr>
              <w:t>Industria;</w:t>
            </w:r>
          </w:p>
        </w:tc>
        <w:tc>
          <w:tcPr>
            <w:tcW w:w="2024" w:type="dxa"/>
          </w:tcPr>
          <w:p w14:paraId="0D2A80AA" w14:textId="77777777" w:rsidR="00D3344B" w:rsidRDefault="00143C25">
            <w:pPr>
              <w:pStyle w:val="TableParagraph"/>
              <w:spacing w:before="121"/>
              <w:ind w:right="47"/>
              <w:jc w:val="right"/>
              <w:rPr>
                <w:rFonts w:ascii="Arial" w:hAnsi="Arial" w:cs="Arial"/>
                <w:sz w:val="24"/>
                <w:szCs w:val="24"/>
              </w:rPr>
            </w:pPr>
            <w:r>
              <w:rPr>
                <w:rFonts w:ascii="Arial" w:hAnsi="Arial" w:cs="Arial"/>
                <w:sz w:val="24"/>
                <w:szCs w:val="24"/>
              </w:rPr>
              <w:t xml:space="preserve">100 </w:t>
            </w:r>
            <w:r>
              <w:rPr>
                <w:rFonts w:ascii="Arial" w:hAnsi="Arial" w:cs="Arial"/>
                <w:spacing w:val="-5"/>
                <w:sz w:val="24"/>
                <w:szCs w:val="24"/>
              </w:rPr>
              <w:t>UMA</w:t>
            </w:r>
          </w:p>
        </w:tc>
      </w:tr>
      <w:tr w:rsidR="00D3344B" w14:paraId="33670EC9" w14:textId="77777777">
        <w:trPr>
          <w:trHeight w:val="630"/>
        </w:trPr>
        <w:tc>
          <w:tcPr>
            <w:tcW w:w="5985" w:type="dxa"/>
          </w:tcPr>
          <w:p w14:paraId="598F07D2" w14:textId="77777777" w:rsidR="00D3344B" w:rsidRDefault="00143C25">
            <w:pPr>
              <w:pStyle w:val="TableParagraph"/>
              <w:spacing w:before="104" w:line="250" w:lineRule="atLeast"/>
              <w:ind w:left="50" w:right="156"/>
              <w:rPr>
                <w:rFonts w:ascii="Arial" w:hAnsi="Arial" w:cs="Arial"/>
                <w:sz w:val="24"/>
                <w:szCs w:val="24"/>
              </w:rPr>
            </w:pPr>
            <w:r>
              <w:rPr>
                <w:rFonts w:ascii="Arial" w:hAnsi="Arial" w:cs="Arial"/>
                <w:sz w:val="24"/>
                <w:szCs w:val="24"/>
              </w:rPr>
              <w:t>e) Por la prórroga en la vigencia de los Dictámenes de congruencia por un año.</w:t>
            </w:r>
          </w:p>
        </w:tc>
        <w:tc>
          <w:tcPr>
            <w:tcW w:w="2024" w:type="dxa"/>
          </w:tcPr>
          <w:p w14:paraId="5F2BEE6F" w14:textId="77777777" w:rsidR="00D3344B" w:rsidRDefault="00143C25">
            <w:pPr>
              <w:pStyle w:val="TableParagraph"/>
              <w:spacing w:before="104" w:line="250" w:lineRule="atLeast"/>
              <w:ind w:left="339" w:firstLine="403"/>
              <w:rPr>
                <w:rFonts w:ascii="Arial" w:hAnsi="Arial" w:cs="Arial"/>
                <w:sz w:val="24"/>
                <w:szCs w:val="24"/>
              </w:rPr>
            </w:pPr>
            <w:r>
              <w:rPr>
                <w:rFonts w:ascii="Arial" w:hAnsi="Arial" w:cs="Arial"/>
                <w:sz w:val="24"/>
                <w:szCs w:val="24"/>
              </w:rPr>
              <w:t>El</w:t>
            </w:r>
            <w:r>
              <w:rPr>
                <w:rFonts w:ascii="Arial" w:hAnsi="Arial" w:cs="Arial"/>
                <w:spacing w:val="-12"/>
                <w:sz w:val="24"/>
                <w:szCs w:val="24"/>
              </w:rPr>
              <w:t xml:space="preserve"> </w:t>
            </w:r>
            <w:r>
              <w:rPr>
                <w:rFonts w:ascii="Arial" w:hAnsi="Arial" w:cs="Arial"/>
                <w:sz w:val="24"/>
                <w:szCs w:val="24"/>
              </w:rPr>
              <w:t>50%</w:t>
            </w:r>
            <w:r>
              <w:rPr>
                <w:rFonts w:ascii="Arial" w:hAnsi="Arial" w:cs="Arial"/>
                <w:spacing w:val="-12"/>
                <w:sz w:val="24"/>
                <w:szCs w:val="24"/>
              </w:rPr>
              <w:t xml:space="preserve"> </w:t>
            </w:r>
            <w:r>
              <w:rPr>
                <w:rFonts w:ascii="Arial" w:hAnsi="Arial" w:cs="Arial"/>
                <w:sz w:val="24"/>
                <w:szCs w:val="24"/>
              </w:rPr>
              <w:t>de</w:t>
            </w:r>
            <w:r>
              <w:rPr>
                <w:rFonts w:ascii="Arial" w:hAnsi="Arial" w:cs="Arial"/>
                <w:spacing w:val="-13"/>
                <w:sz w:val="24"/>
                <w:szCs w:val="24"/>
              </w:rPr>
              <w:t xml:space="preserve"> </w:t>
            </w:r>
            <w:r>
              <w:rPr>
                <w:rFonts w:ascii="Arial" w:hAnsi="Arial" w:cs="Arial"/>
                <w:sz w:val="24"/>
                <w:szCs w:val="24"/>
              </w:rPr>
              <w:t>los derechos</w:t>
            </w:r>
            <w:r>
              <w:rPr>
                <w:rFonts w:ascii="Arial" w:hAnsi="Arial" w:cs="Arial"/>
                <w:spacing w:val="-3"/>
                <w:sz w:val="24"/>
                <w:szCs w:val="24"/>
              </w:rPr>
              <w:t xml:space="preserve"> </w:t>
            </w:r>
            <w:r>
              <w:rPr>
                <w:rFonts w:ascii="Arial" w:hAnsi="Arial" w:cs="Arial"/>
                <w:spacing w:val="-2"/>
                <w:sz w:val="24"/>
                <w:szCs w:val="24"/>
              </w:rPr>
              <w:t>causados</w:t>
            </w:r>
          </w:p>
        </w:tc>
      </w:tr>
    </w:tbl>
    <w:p w14:paraId="13AF1588" w14:textId="77777777" w:rsidR="00D3344B" w:rsidRDefault="00D3344B">
      <w:pPr>
        <w:pStyle w:val="Textoindependiente"/>
        <w:rPr>
          <w:rFonts w:ascii="Arial" w:hAnsi="Arial" w:cs="Arial"/>
          <w:sz w:val="24"/>
          <w:szCs w:val="24"/>
        </w:rPr>
      </w:pPr>
    </w:p>
    <w:p w14:paraId="3ED9B416" w14:textId="77777777" w:rsidR="00D3344B" w:rsidRDefault="00143C25">
      <w:pPr>
        <w:pStyle w:val="Prrafodelista"/>
        <w:widowControl w:val="0"/>
        <w:numPr>
          <w:ilvl w:val="0"/>
          <w:numId w:val="13"/>
        </w:numPr>
        <w:tabs>
          <w:tab w:val="left" w:pos="829"/>
        </w:tabs>
        <w:suppressAutoHyphens w:val="0"/>
        <w:spacing w:after="0" w:line="240" w:lineRule="auto"/>
        <w:ind w:left="829" w:hanging="707"/>
        <w:contextualSpacing w:val="0"/>
        <w:rPr>
          <w:rFonts w:ascii="Arial" w:hAnsi="Arial" w:cs="Arial"/>
          <w:sz w:val="24"/>
          <w:szCs w:val="24"/>
        </w:rPr>
      </w:pPr>
      <w:r>
        <w:rPr>
          <w:rFonts w:ascii="Arial" w:hAnsi="Arial" w:cs="Arial"/>
          <w:sz w:val="24"/>
          <w:szCs w:val="24"/>
        </w:rPr>
        <w:t>Por</w:t>
      </w:r>
      <w:r>
        <w:rPr>
          <w:rFonts w:ascii="Arial" w:hAnsi="Arial" w:cs="Arial"/>
          <w:spacing w:val="-5"/>
          <w:sz w:val="24"/>
          <w:szCs w:val="24"/>
        </w:rPr>
        <w:t xml:space="preserve"> </w:t>
      </w:r>
      <w:r>
        <w:rPr>
          <w:rFonts w:ascii="Arial" w:hAnsi="Arial" w:cs="Arial"/>
          <w:sz w:val="24"/>
          <w:szCs w:val="24"/>
        </w:rPr>
        <w:t>la</w:t>
      </w:r>
      <w:r>
        <w:rPr>
          <w:rFonts w:ascii="Arial" w:hAnsi="Arial" w:cs="Arial"/>
          <w:spacing w:val="-2"/>
          <w:sz w:val="24"/>
          <w:szCs w:val="24"/>
        </w:rPr>
        <w:t xml:space="preserve"> </w:t>
      </w:r>
      <w:r>
        <w:rPr>
          <w:rFonts w:ascii="Arial" w:hAnsi="Arial" w:cs="Arial"/>
          <w:sz w:val="24"/>
          <w:szCs w:val="24"/>
        </w:rPr>
        <w:t>expedición</w:t>
      </w:r>
      <w:r>
        <w:rPr>
          <w:rFonts w:ascii="Arial" w:hAnsi="Arial" w:cs="Arial"/>
          <w:spacing w:val="-4"/>
          <w:sz w:val="24"/>
          <w:szCs w:val="24"/>
        </w:rPr>
        <w:t xml:space="preserve"> </w:t>
      </w:r>
      <w:r>
        <w:rPr>
          <w:rFonts w:ascii="Arial" w:hAnsi="Arial" w:cs="Arial"/>
          <w:sz w:val="24"/>
          <w:szCs w:val="24"/>
        </w:rPr>
        <w:t>de</w:t>
      </w:r>
      <w:r>
        <w:rPr>
          <w:rFonts w:ascii="Arial" w:hAnsi="Arial" w:cs="Arial"/>
          <w:spacing w:val="-3"/>
          <w:sz w:val="24"/>
          <w:szCs w:val="24"/>
        </w:rPr>
        <w:t xml:space="preserve"> </w:t>
      </w:r>
      <w:r>
        <w:rPr>
          <w:rFonts w:ascii="Arial" w:hAnsi="Arial" w:cs="Arial"/>
          <w:sz w:val="24"/>
          <w:szCs w:val="24"/>
        </w:rPr>
        <w:t>copias</w:t>
      </w:r>
      <w:r>
        <w:rPr>
          <w:rFonts w:ascii="Arial" w:hAnsi="Arial" w:cs="Arial"/>
          <w:spacing w:val="-4"/>
          <w:sz w:val="24"/>
          <w:szCs w:val="24"/>
        </w:rPr>
        <w:t xml:space="preserve"> </w:t>
      </w:r>
      <w:r>
        <w:rPr>
          <w:rFonts w:ascii="Arial" w:hAnsi="Arial" w:cs="Arial"/>
          <w:sz w:val="24"/>
          <w:szCs w:val="24"/>
        </w:rPr>
        <w:t>certificadas,</w:t>
      </w:r>
      <w:r>
        <w:rPr>
          <w:rFonts w:ascii="Arial" w:hAnsi="Arial" w:cs="Arial"/>
          <w:spacing w:val="-2"/>
          <w:sz w:val="24"/>
          <w:szCs w:val="24"/>
        </w:rPr>
        <w:t xml:space="preserve"> </w:t>
      </w:r>
      <w:r>
        <w:rPr>
          <w:rFonts w:ascii="Arial" w:hAnsi="Arial" w:cs="Arial"/>
          <w:sz w:val="24"/>
          <w:szCs w:val="24"/>
        </w:rPr>
        <w:t>se</w:t>
      </w:r>
      <w:r>
        <w:rPr>
          <w:rFonts w:ascii="Arial" w:hAnsi="Arial" w:cs="Arial"/>
          <w:spacing w:val="-4"/>
          <w:sz w:val="24"/>
          <w:szCs w:val="24"/>
        </w:rPr>
        <w:t xml:space="preserve"> </w:t>
      </w:r>
      <w:r>
        <w:rPr>
          <w:rFonts w:ascii="Arial" w:hAnsi="Arial" w:cs="Arial"/>
          <w:sz w:val="24"/>
          <w:szCs w:val="24"/>
        </w:rPr>
        <w:t>pagarán</w:t>
      </w:r>
      <w:r>
        <w:rPr>
          <w:rFonts w:ascii="Arial" w:hAnsi="Arial" w:cs="Arial"/>
          <w:spacing w:val="-3"/>
          <w:sz w:val="24"/>
          <w:szCs w:val="24"/>
        </w:rPr>
        <w:t xml:space="preserve"> </w:t>
      </w:r>
      <w:r>
        <w:rPr>
          <w:rFonts w:ascii="Arial" w:hAnsi="Arial" w:cs="Arial"/>
          <w:sz w:val="24"/>
          <w:szCs w:val="24"/>
        </w:rPr>
        <w:t>0.06</w:t>
      </w:r>
      <w:r>
        <w:rPr>
          <w:rFonts w:ascii="Arial" w:hAnsi="Arial" w:cs="Arial"/>
          <w:spacing w:val="-3"/>
          <w:sz w:val="24"/>
          <w:szCs w:val="24"/>
        </w:rPr>
        <w:t xml:space="preserve"> </w:t>
      </w:r>
      <w:r>
        <w:rPr>
          <w:rFonts w:ascii="Arial" w:hAnsi="Arial" w:cs="Arial"/>
          <w:sz w:val="24"/>
          <w:szCs w:val="24"/>
        </w:rPr>
        <w:t>UMA</w:t>
      </w:r>
      <w:r>
        <w:rPr>
          <w:rFonts w:ascii="Arial" w:hAnsi="Arial" w:cs="Arial"/>
          <w:spacing w:val="-2"/>
          <w:sz w:val="24"/>
          <w:szCs w:val="24"/>
        </w:rPr>
        <w:t xml:space="preserve"> </w:t>
      </w:r>
      <w:r>
        <w:rPr>
          <w:rFonts w:ascii="Arial" w:hAnsi="Arial" w:cs="Arial"/>
          <w:sz w:val="24"/>
          <w:szCs w:val="24"/>
        </w:rPr>
        <w:t>por</w:t>
      </w:r>
      <w:r>
        <w:rPr>
          <w:rFonts w:ascii="Arial" w:hAnsi="Arial" w:cs="Arial"/>
          <w:spacing w:val="-4"/>
          <w:sz w:val="24"/>
          <w:szCs w:val="24"/>
        </w:rPr>
        <w:t xml:space="preserve"> </w:t>
      </w:r>
      <w:r>
        <w:rPr>
          <w:rFonts w:ascii="Arial" w:hAnsi="Arial" w:cs="Arial"/>
          <w:sz w:val="24"/>
          <w:szCs w:val="24"/>
        </w:rPr>
        <w:t>cada</w:t>
      </w:r>
      <w:r>
        <w:rPr>
          <w:rFonts w:ascii="Arial" w:hAnsi="Arial" w:cs="Arial"/>
          <w:spacing w:val="-3"/>
          <w:sz w:val="24"/>
          <w:szCs w:val="24"/>
        </w:rPr>
        <w:t xml:space="preserve"> </w:t>
      </w:r>
      <w:r>
        <w:rPr>
          <w:rFonts w:ascii="Arial" w:hAnsi="Arial" w:cs="Arial"/>
          <w:spacing w:val="-2"/>
          <w:sz w:val="24"/>
          <w:szCs w:val="24"/>
        </w:rPr>
        <w:t>hoja;</w:t>
      </w:r>
    </w:p>
    <w:p w14:paraId="40DE73E1" w14:textId="77777777" w:rsidR="00D3344B" w:rsidRDefault="00D3344B">
      <w:pPr>
        <w:pStyle w:val="Textoindependiente"/>
        <w:rPr>
          <w:rFonts w:ascii="Arial" w:hAnsi="Arial" w:cs="Arial"/>
          <w:sz w:val="24"/>
          <w:szCs w:val="24"/>
        </w:rPr>
      </w:pPr>
    </w:p>
    <w:p w14:paraId="311047F2" w14:textId="77777777" w:rsidR="00D3344B" w:rsidRDefault="00143C25">
      <w:pPr>
        <w:pStyle w:val="Prrafodelista"/>
        <w:widowControl w:val="0"/>
        <w:numPr>
          <w:ilvl w:val="0"/>
          <w:numId w:val="13"/>
        </w:numPr>
        <w:tabs>
          <w:tab w:val="left" w:pos="828"/>
          <w:tab w:val="left" w:pos="830"/>
        </w:tabs>
        <w:suppressAutoHyphens w:val="0"/>
        <w:spacing w:before="1" w:after="0" w:line="240" w:lineRule="auto"/>
        <w:ind w:right="229"/>
        <w:contextualSpacing w:val="0"/>
        <w:jc w:val="both"/>
        <w:rPr>
          <w:rFonts w:ascii="Arial" w:hAnsi="Arial" w:cs="Arial"/>
          <w:sz w:val="24"/>
          <w:szCs w:val="24"/>
        </w:rPr>
      </w:pPr>
      <w:r>
        <w:rPr>
          <w:rFonts w:ascii="Arial" w:hAnsi="Arial" w:cs="Arial"/>
          <w:sz w:val="24"/>
          <w:szCs w:val="24"/>
        </w:rPr>
        <w:t>Las sanciones impuestas por infracciones a la normatividad, se cobrarán de acuerdo a lo previsto en la Ley de Asentamientos Humanos, Ordenamiento Territorial y Desarrollo Urbano del Estado de Tlaxcala.</w:t>
      </w:r>
    </w:p>
    <w:p w14:paraId="58A4D426" w14:textId="77777777" w:rsidR="00D3344B" w:rsidRDefault="00D3344B">
      <w:pPr>
        <w:pStyle w:val="Textoindependiente"/>
        <w:spacing w:before="81"/>
        <w:ind w:left="122" w:right="226"/>
        <w:jc w:val="both"/>
        <w:rPr>
          <w:rFonts w:ascii="Arial" w:hAnsi="Arial" w:cs="Arial"/>
          <w:sz w:val="24"/>
          <w:szCs w:val="24"/>
        </w:rPr>
      </w:pPr>
    </w:p>
    <w:p w14:paraId="466B895A" w14:textId="77777777" w:rsidR="00D3344B" w:rsidRDefault="00143C25">
      <w:pPr>
        <w:pStyle w:val="Textoindependiente"/>
        <w:spacing w:before="81"/>
        <w:ind w:left="122" w:right="226"/>
        <w:jc w:val="both"/>
        <w:rPr>
          <w:rFonts w:ascii="Arial" w:hAnsi="Arial" w:cs="Arial"/>
          <w:sz w:val="24"/>
          <w:szCs w:val="24"/>
        </w:rPr>
      </w:pPr>
      <w:r>
        <w:rPr>
          <w:rFonts w:ascii="Arial" w:hAnsi="Arial" w:cs="Arial"/>
          <w:sz w:val="24"/>
          <w:szCs w:val="24"/>
        </w:rPr>
        <w:t>Para</w:t>
      </w:r>
      <w:r>
        <w:rPr>
          <w:rFonts w:ascii="Arial" w:hAnsi="Arial" w:cs="Arial"/>
          <w:spacing w:val="-14"/>
          <w:sz w:val="24"/>
          <w:szCs w:val="24"/>
        </w:rPr>
        <w:t xml:space="preserve"> </w:t>
      </w:r>
      <w:r>
        <w:rPr>
          <w:rFonts w:ascii="Arial" w:hAnsi="Arial" w:cs="Arial"/>
          <w:sz w:val="24"/>
          <w:szCs w:val="24"/>
        </w:rPr>
        <w:t>que</w:t>
      </w:r>
      <w:r>
        <w:rPr>
          <w:rFonts w:ascii="Arial" w:hAnsi="Arial" w:cs="Arial"/>
          <w:spacing w:val="-14"/>
          <w:sz w:val="24"/>
          <w:szCs w:val="24"/>
        </w:rPr>
        <w:t xml:space="preserve"> </w:t>
      </w:r>
      <w:r>
        <w:rPr>
          <w:rFonts w:ascii="Arial" w:hAnsi="Arial" w:cs="Arial"/>
          <w:sz w:val="24"/>
          <w:szCs w:val="24"/>
        </w:rPr>
        <w:t>la</w:t>
      </w:r>
      <w:r>
        <w:rPr>
          <w:rFonts w:ascii="Arial" w:hAnsi="Arial" w:cs="Arial"/>
          <w:spacing w:val="-14"/>
          <w:sz w:val="24"/>
          <w:szCs w:val="24"/>
        </w:rPr>
        <w:t xml:space="preserve"> </w:t>
      </w:r>
      <w:r>
        <w:rPr>
          <w:rFonts w:ascii="Arial" w:hAnsi="Arial" w:cs="Arial"/>
          <w:sz w:val="24"/>
          <w:szCs w:val="24"/>
        </w:rPr>
        <w:t>Secretaría</w:t>
      </w:r>
      <w:r>
        <w:rPr>
          <w:rFonts w:ascii="Arial" w:hAnsi="Arial" w:cs="Arial"/>
          <w:spacing w:val="-13"/>
          <w:sz w:val="24"/>
          <w:szCs w:val="24"/>
        </w:rPr>
        <w:t xml:space="preserve"> </w:t>
      </w:r>
      <w:r>
        <w:rPr>
          <w:rFonts w:ascii="Arial" w:hAnsi="Arial" w:cs="Arial"/>
          <w:sz w:val="24"/>
          <w:szCs w:val="24"/>
        </w:rPr>
        <w:t>de</w:t>
      </w:r>
      <w:r>
        <w:rPr>
          <w:rFonts w:ascii="Arial" w:hAnsi="Arial" w:cs="Arial"/>
          <w:spacing w:val="-12"/>
          <w:sz w:val="24"/>
          <w:szCs w:val="24"/>
        </w:rPr>
        <w:t xml:space="preserve"> </w:t>
      </w:r>
      <w:r>
        <w:rPr>
          <w:rFonts w:ascii="Arial" w:hAnsi="Arial" w:cs="Arial"/>
          <w:sz w:val="24"/>
          <w:szCs w:val="24"/>
        </w:rPr>
        <w:t>Ordenamiento</w:t>
      </w:r>
      <w:r>
        <w:rPr>
          <w:rFonts w:ascii="Arial" w:hAnsi="Arial" w:cs="Arial"/>
          <w:spacing w:val="-14"/>
          <w:sz w:val="24"/>
          <w:szCs w:val="24"/>
        </w:rPr>
        <w:t xml:space="preserve"> </w:t>
      </w:r>
      <w:r>
        <w:rPr>
          <w:rFonts w:ascii="Arial" w:hAnsi="Arial" w:cs="Arial"/>
          <w:sz w:val="24"/>
          <w:szCs w:val="24"/>
        </w:rPr>
        <w:t>Territorial</w:t>
      </w:r>
      <w:r>
        <w:rPr>
          <w:rFonts w:ascii="Arial" w:hAnsi="Arial" w:cs="Arial"/>
          <w:spacing w:val="-13"/>
          <w:sz w:val="24"/>
          <w:szCs w:val="24"/>
        </w:rPr>
        <w:t xml:space="preserve"> </w:t>
      </w:r>
      <w:r>
        <w:rPr>
          <w:rFonts w:ascii="Arial" w:hAnsi="Arial" w:cs="Arial"/>
          <w:sz w:val="24"/>
          <w:szCs w:val="24"/>
        </w:rPr>
        <w:t>y</w:t>
      </w:r>
      <w:r>
        <w:rPr>
          <w:rFonts w:ascii="Arial" w:hAnsi="Arial" w:cs="Arial"/>
          <w:spacing w:val="-14"/>
          <w:sz w:val="24"/>
          <w:szCs w:val="24"/>
        </w:rPr>
        <w:t xml:space="preserve"> </w:t>
      </w:r>
      <w:r>
        <w:rPr>
          <w:rFonts w:ascii="Arial" w:hAnsi="Arial" w:cs="Arial"/>
          <w:sz w:val="24"/>
          <w:szCs w:val="24"/>
        </w:rPr>
        <w:t>Vivienda</w:t>
      </w:r>
      <w:r>
        <w:rPr>
          <w:rFonts w:ascii="Arial" w:hAnsi="Arial" w:cs="Arial"/>
          <w:spacing w:val="-12"/>
          <w:sz w:val="24"/>
          <w:szCs w:val="24"/>
        </w:rPr>
        <w:t xml:space="preserve"> </w:t>
      </w:r>
      <w:r>
        <w:rPr>
          <w:rFonts w:ascii="Arial" w:hAnsi="Arial" w:cs="Arial"/>
          <w:sz w:val="24"/>
          <w:szCs w:val="24"/>
        </w:rPr>
        <w:t>pueda</w:t>
      </w:r>
      <w:r>
        <w:rPr>
          <w:rFonts w:ascii="Arial" w:hAnsi="Arial" w:cs="Arial"/>
          <w:spacing w:val="-14"/>
          <w:sz w:val="24"/>
          <w:szCs w:val="24"/>
        </w:rPr>
        <w:t xml:space="preserve"> </w:t>
      </w:r>
      <w:r>
        <w:rPr>
          <w:rFonts w:ascii="Arial" w:hAnsi="Arial" w:cs="Arial"/>
          <w:sz w:val="24"/>
          <w:szCs w:val="24"/>
        </w:rPr>
        <w:t>realizar</w:t>
      </w:r>
      <w:r>
        <w:rPr>
          <w:rFonts w:ascii="Arial" w:hAnsi="Arial" w:cs="Arial"/>
          <w:spacing w:val="-13"/>
          <w:sz w:val="24"/>
          <w:szCs w:val="24"/>
        </w:rPr>
        <w:t xml:space="preserve"> </w:t>
      </w:r>
      <w:r>
        <w:rPr>
          <w:rFonts w:ascii="Arial" w:hAnsi="Arial" w:cs="Arial"/>
          <w:sz w:val="24"/>
          <w:szCs w:val="24"/>
        </w:rPr>
        <w:t>el</w:t>
      </w:r>
      <w:r>
        <w:rPr>
          <w:rFonts w:ascii="Arial" w:hAnsi="Arial" w:cs="Arial"/>
          <w:spacing w:val="-12"/>
          <w:sz w:val="24"/>
          <w:szCs w:val="24"/>
        </w:rPr>
        <w:t xml:space="preserve"> </w:t>
      </w:r>
      <w:r>
        <w:rPr>
          <w:rFonts w:ascii="Arial" w:hAnsi="Arial" w:cs="Arial"/>
          <w:sz w:val="24"/>
          <w:szCs w:val="24"/>
        </w:rPr>
        <w:t>cobro</w:t>
      </w:r>
      <w:r>
        <w:rPr>
          <w:rFonts w:ascii="Arial" w:hAnsi="Arial" w:cs="Arial"/>
          <w:spacing w:val="-12"/>
          <w:sz w:val="24"/>
          <w:szCs w:val="24"/>
        </w:rPr>
        <w:t xml:space="preserve"> </w:t>
      </w:r>
      <w:r>
        <w:rPr>
          <w:rFonts w:ascii="Arial" w:hAnsi="Arial" w:cs="Arial"/>
          <w:sz w:val="24"/>
          <w:szCs w:val="24"/>
        </w:rPr>
        <w:t>de</w:t>
      </w:r>
      <w:r>
        <w:rPr>
          <w:rFonts w:ascii="Arial" w:hAnsi="Arial" w:cs="Arial"/>
          <w:spacing w:val="-14"/>
          <w:sz w:val="24"/>
          <w:szCs w:val="24"/>
        </w:rPr>
        <w:t xml:space="preserve"> </w:t>
      </w:r>
      <w:r>
        <w:rPr>
          <w:rFonts w:ascii="Arial" w:hAnsi="Arial" w:cs="Arial"/>
          <w:sz w:val="24"/>
          <w:szCs w:val="24"/>
        </w:rPr>
        <w:t>los</w:t>
      </w:r>
      <w:r>
        <w:rPr>
          <w:rFonts w:ascii="Arial" w:hAnsi="Arial" w:cs="Arial"/>
          <w:spacing w:val="-14"/>
          <w:sz w:val="24"/>
          <w:szCs w:val="24"/>
        </w:rPr>
        <w:t xml:space="preserve"> </w:t>
      </w:r>
      <w:r>
        <w:rPr>
          <w:rFonts w:ascii="Arial" w:hAnsi="Arial" w:cs="Arial"/>
          <w:sz w:val="24"/>
          <w:szCs w:val="24"/>
        </w:rPr>
        <w:t>derechos a que se refieren las fracciones I, II y III de este artículo, será necesaria la celebración del convenio correspondiente con el Municipio, derivado de la carencia de órganos técnicos y administrativos municipales para otorgar los permisos de uso de suelo y licencias de fraccionamientos y lotificaciones o cualquier otra causa justificada.</w:t>
      </w:r>
    </w:p>
    <w:p w14:paraId="2681097A" w14:textId="77777777" w:rsidR="00D3344B" w:rsidRDefault="00D3344B">
      <w:pPr>
        <w:pStyle w:val="Estilo"/>
        <w:rPr>
          <w:rFonts w:cs="Arial"/>
        </w:rPr>
      </w:pPr>
    </w:p>
    <w:p w14:paraId="3F55679C" w14:textId="77777777" w:rsidR="00D3344B" w:rsidRDefault="00143C25">
      <w:pPr>
        <w:pStyle w:val="Estilo"/>
        <w:jc w:val="center"/>
        <w:rPr>
          <w:rFonts w:cs="Arial"/>
          <w:i/>
          <w:iCs/>
          <w:sz w:val="16"/>
          <w:szCs w:val="16"/>
        </w:rPr>
      </w:pPr>
      <w:r>
        <w:rPr>
          <w:rFonts w:cs="Arial"/>
          <w:i/>
          <w:iCs/>
          <w:sz w:val="16"/>
          <w:szCs w:val="16"/>
        </w:rPr>
        <w:t>(REFORMADA DENOMINACIÓN, P.O. 22 DE DICIEMBRE DE 2021)</w:t>
      </w:r>
    </w:p>
    <w:p w14:paraId="4A74A0CA" w14:textId="77777777" w:rsidR="00D3344B" w:rsidRDefault="00143C25">
      <w:pPr>
        <w:pStyle w:val="Estilo"/>
        <w:jc w:val="center"/>
        <w:rPr>
          <w:rFonts w:cs="Arial"/>
          <w:b/>
        </w:rPr>
      </w:pPr>
      <w:r>
        <w:rPr>
          <w:rFonts w:cs="Arial"/>
          <w:b/>
        </w:rPr>
        <w:t>Subsección Sexta</w:t>
      </w:r>
    </w:p>
    <w:p w14:paraId="77494C68" w14:textId="77777777" w:rsidR="00D3344B" w:rsidRDefault="00143C25">
      <w:pPr>
        <w:pStyle w:val="Estilo"/>
        <w:jc w:val="center"/>
        <w:rPr>
          <w:rFonts w:cs="Arial"/>
          <w:b/>
        </w:rPr>
      </w:pPr>
      <w:r>
        <w:rPr>
          <w:rFonts w:cs="Arial"/>
          <w:b/>
        </w:rPr>
        <w:t>Derechos por los Servicios Prestados por la Secretaría de Medio Ambiente</w:t>
      </w:r>
    </w:p>
    <w:p w14:paraId="5205289E" w14:textId="77777777" w:rsidR="00D3344B" w:rsidRDefault="00D3344B">
      <w:pPr>
        <w:pStyle w:val="Estilo"/>
        <w:rPr>
          <w:rFonts w:cs="Arial"/>
        </w:rPr>
      </w:pPr>
    </w:p>
    <w:p w14:paraId="2AF41289"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7077E324" w14:textId="77777777" w:rsidR="00D3344B" w:rsidRDefault="00143C25">
      <w:pPr>
        <w:pStyle w:val="Estilo"/>
        <w:rPr>
          <w:rFonts w:cs="Arial"/>
        </w:rPr>
      </w:pPr>
      <w:r>
        <w:rPr>
          <w:rFonts w:cs="Arial"/>
          <w:b/>
        </w:rPr>
        <w:t>Artículo 160.</w:t>
      </w:r>
      <w:r>
        <w:rPr>
          <w:rFonts w:cs="Arial"/>
        </w:rPr>
        <w:t xml:space="preserve"> Los servicios que proporciona la Secretaría de Medio Ambiente, causarán los respectivos derechos, mismos que deberán pagarse de la manera siguiente:</w:t>
      </w:r>
    </w:p>
    <w:p w14:paraId="4251BFF5" w14:textId="77777777" w:rsidR="00D3344B" w:rsidRDefault="00D3344B">
      <w:pPr>
        <w:pStyle w:val="Estilo"/>
        <w:rPr>
          <w:rFonts w:cs="Arial"/>
        </w:rPr>
      </w:pPr>
    </w:p>
    <w:p w14:paraId="553DF8CA" w14:textId="77777777" w:rsidR="00D3344B" w:rsidRDefault="00D3344B">
      <w:pPr>
        <w:jc w:val="both"/>
        <w:rPr>
          <w:rFonts w:ascii="Arial" w:hAnsi="Arial" w:cs="Arial"/>
        </w:rPr>
      </w:pPr>
    </w:p>
    <w:tbl>
      <w:tblPr>
        <w:tblW w:w="8925" w:type="dxa"/>
        <w:tblLayout w:type="fixed"/>
        <w:tblCellMar>
          <w:left w:w="70" w:type="dxa"/>
          <w:right w:w="70" w:type="dxa"/>
        </w:tblCellMar>
        <w:tblLook w:val="0000" w:firstRow="0" w:lastRow="0" w:firstColumn="0" w:lastColumn="0" w:noHBand="0" w:noVBand="0"/>
      </w:tblPr>
      <w:tblGrid>
        <w:gridCol w:w="704"/>
        <w:gridCol w:w="5670"/>
        <w:gridCol w:w="2551"/>
      </w:tblGrid>
      <w:tr w:rsidR="00D3344B" w14:paraId="017BD066" w14:textId="77777777">
        <w:tc>
          <w:tcPr>
            <w:tcW w:w="704" w:type="dxa"/>
          </w:tcPr>
          <w:p w14:paraId="457E2E9B" w14:textId="77777777" w:rsidR="00D3344B" w:rsidRDefault="00D3344B">
            <w:pPr>
              <w:widowControl w:val="0"/>
              <w:jc w:val="both"/>
              <w:rPr>
                <w:rFonts w:ascii="Arial" w:hAnsi="Arial" w:cs="Arial"/>
              </w:rPr>
            </w:pPr>
          </w:p>
        </w:tc>
        <w:tc>
          <w:tcPr>
            <w:tcW w:w="5670" w:type="dxa"/>
          </w:tcPr>
          <w:p w14:paraId="14CEC641" w14:textId="77777777" w:rsidR="00D3344B" w:rsidRDefault="00143C25">
            <w:pPr>
              <w:widowControl w:val="0"/>
              <w:jc w:val="center"/>
              <w:rPr>
                <w:rFonts w:ascii="Arial" w:hAnsi="Arial" w:cs="Arial"/>
                <w:b/>
              </w:rPr>
            </w:pPr>
            <w:r>
              <w:rPr>
                <w:rFonts w:ascii="Arial" w:hAnsi="Arial" w:cs="Arial"/>
                <w:b/>
              </w:rPr>
              <w:t>CONCEPTO</w:t>
            </w:r>
          </w:p>
        </w:tc>
        <w:tc>
          <w:tcPr>
            <w:tcW w:w="2551" w:type="dxa"/>
          </w:tcPr>
          <w:p w14:paraId="5B986C33" w14:textId="77777777" w:rsidR="00D3344B" w:rsidRDefault="00143C25">
            <w:pPr>
              <w:widowControl w:val="0"/>
              <w:jc w:val="center"/>
              <w:rPr>
                <w:rFonts w:ascii="Arial" w:hAnsi="Arial" w:cs="Arial"/>
                <w:b/>
              </w:rPr>
            </w:pPr>
            <w:r>
              <w:rPr>
                <w:rFonts w:ascii="Arial" w:hAnsi="Arial" w:cs="Arial"/>
                <w:b/>
              </w:rPr>
              <w:t xml:space="preserve">DERECHOS </w:t>
            </w:r>
            <w:r>
              <w:rPr>
                <w:rFonts w:ascii="Arial" w:hAnsi="Arial" w:cs="Arial"/>
                <w:b/>
              </w:rPr>
              <w:lastRenderedPageBreak/>
              <w:t>CAUSADOS</w:t>
            </w:r>
          </w:p>
        </w:tc>
      </w:tr>
      <w:tr w:rsidR="00D3344B" w14:paraId="0783AC1C" w14:textId="77777777">
        <w:tc>
          <w:tcPr>
            <w:tcW w:w="704" w:type="dxa"/>
          </w:tcPr>
          <w:p w14:paraId="05F693CD" w14:textId="77777777" w:rsidR="00D3344B" w:rsidRDefault="00143C25">
            <w:pPr>
              <w:widowControl w:val="0"/>
              <w:jc w:val="both"/>
              <w:rPr>
                <w:rFonts w:ascii="Arial" w:hAnsi="Arial" w:cs="Arial"/>
              </w:rPr>
            </w:pPr>
            <w:r>
              <w:rPr>
                <w:rFonts w:ascii="Arial" w:hAnsi="Arial" w:cs="Arial"/>
              </w:rPr>
              <w:lastRenderedPageBreak/>
              <w:t>I.</w:t>
            </w:r>
          </w:p>
        </w:tc>
        <w:tc>
          <w:tcPr>
            <w:tcW w:w="5670" w:type="dxa"/>
          </w:tcPr>
          <w:p w14:paraId="5F90E288" w14:textId="77777777" w:rsidR="00D3344B" w:rsidRDefault="00143C25">
            <w:pPr>
              <w:widowControl w:val="0"/>
              <w:jc w:val="both"/>
              <w:rPr>
                <w:rFonts w:ascii="Arial" w:hAnsi="Arial" w:cs="Arial"/>
              </w:rPr>
            </w:pPr>
            <w:r>
              <w:rPr>
                <w:rFonts w:ascii="Arial" w:hAnsi="Arial" w:cs="Arial"/>
              </w:rPr>
              <w:t>Manifestaciones de impacto ambiental:</w:t>
            </w:r>
          </w:p>
        </w:tc>
        <w:tc>
          <w:tcPr>
            <w:tcW w:w="2551" w:type="dxa"/>
          </w:tcPr>
          <w:p w14:paraId="544F768C" w14:textId="77777777" w:rsidR="00D3344B" w:rsidRDefault="00D3344B">
            <w:pPr>
              <w:widowControl w:val="0"/>
              <w:jc w:val="both"/>
              <w:rPr>
                <w:rFonts w:ascii="Arial" w:hAnsi="Arial" w:cs="Arial"/>
              </w:rPr>
            </w:pPr>
          </w:p>
        </w:tc>
      </w:tr>
      <w:tr w:rsidR="00D3344B" w14:paraId="70552F5C" w14:textId="77777777">
        <w:tc>
          <w:tcPr>
            <w:tcW w:w="704" w:type="dxa"/>
          </w:tcPr>
          <w:p w14:paraId="616E5A14" w14:textId="77777777" w:rsidR="00D3344B" w:rsidRDefault="00D3344B">
            <w:pPr>
              <w:widowControl w:val="0"/>
              <w:jc w:val="both"/>
              <w:rPr>
                <w:rFonts w:ascii="Arial" w:hAnsi="Arial" w:cs="Arial"/>
              </w:rPr>
            </w:pPr>
          </w:p>
        </w:tc>
        <w:tc>
          <w:tcPr>
            <w:tcW w:w="5670" w:type="dxa"/>
            <w:vAlign w:val="bottom"/>
          </w:tcPr>
          <w:p w14:paraId="61829C09" w14:textId="77777777" w:rsidR="00D3344B" w:rsidRDefault="00143C25">
            <w:pPr>
              <w:widowControl w:val="0"/>
              <w:spacing w:after="0"/>
              <w:rPr>
                <w:rFonts w:ascii="Arial" w:hAnsi="Arial" w:cs="Arial"/>
              </w:rPr>
            </w:pPr>
            <w:r>
              <w:rPr>
                <w:rFonts w:ascii="Arial" w:hAnsi="Arial" w:cs="Arial"/>
                <w:i/>
                <w:sz w:val="16"/>
                <w:szCs w:val="16"/>
              </w:rPr>
              <w:t>(REFORMADO, P.O. 21 DE JUNIO DE 2021)</w:t>
            </w:r>
          </w:p>
        </w:tc>
        <w:tc>
          <w:tcPr>
            <w:tcW w:w="2551" w:type="dxa"/>
          </w:tcPr>
          <w:p w14:paraId="6AA8FF40" w14:textId="77777777" w:rsidR="00D3344B" w:rsidRDefault="00D3344B">
            <w:pPr>
              <w:widowControl w:val="0"/>
              <w:jc w:val="both"/>
              <w:rPr>
                <w:rFonts w:ascii="Arial" w:hAnsi="Arial" w:cs="Arial"/>
              </w:rPr>
            </w:pPr>
          </w:p>
        </w:tc>
      </w:tr>
      <w:tr w:rsidR="00D3344B" w14:paraId="107E0493" w14:textId="77777777">
        <w:tc>
          <w:tcPr>
            <w:tcW w:w="704" w:type="dxa"/>
          </w:tcPr>
          <w:p w14:paraId="0F06D8F5" w14:textId="77777777" w:rsidR="00D3344B" w:rsidRDefault="00D3344B">
            <w:pPr>
              <w:widowControl w:val="0"/>
              <w:jc w:val="both"/>
              <w:rPr>
                <w:rFonts w:ascii="Arial" w:hAnsi="Arial" w:cs="Arial"/>
              </w:rPr>
            </w:pPr>
          </w:p>
        </w:tc>
        <w:tc>
          <w:tcPr>
            <w:tcW w:w="5670" w:type="dxa"/>
          </w:tcPr>
          <w:p w14:paraId="14BDDE49" w14:textId="77777777" w:rsidR="00D3344B" w:rsidRDefault="00143C25">
            <w:pPr>
              <w:widowControl w:val="0"/>
              <w:ind w:left="355" w:hanging="355"/>
              <w:jc w:val="both"/>
              <w:rPr>
                <w:rFonts w:ascii="Arial" w:hAnsi="Arial" w:cs="Arial"/>
              </w:rPr>
            </w:pPr>
            <w:r>
              <w:rPr>
                <w:rFonts w:ascii="Arial" w:hAnsi="Arial" w:cs="Arial"/>
              </w:rPr>
              <w:t>a)   Por la evaluación de manifestaciones de impacto ambiental por obras y actividades públicas o privadas que pudieran modificar el ambiente negativamente, pagarán los siguientes derechos:</w:t>
            </w:r>
          </w:p>
        </w:tc>
        <w:tc>
          <w:tcPr>
            <w:tcW w:w="2551" w:type="dxa"/>
          </w:tcPr>
          <w:p w14:paraId="53056199" w14:textId="77777777" w:rsidR="00D3344B" w:rsidRDefault="00D3344B">
            <w:pPr>
              <w:widowControl w:val="0"/>
              <w:jc w:val="both"/>
              <w:rPr>
                <w:rFonts w:ascii="Arial" w:hAnsi="Arial" w:cs="Arial"/>
              </w:rPr>
            </w:pPr>
          </w:p>
        </w:tc>
      </w:tr>
      <w:tr w:rsidR="00D3344B" w14:paraId="2B79E2CE" w14:textId="77777777">
        <w:trPr>
          <w:trHeight w:val="424"/>
        </w:trPr>
        <w:tc>
          <w:tcPr>
            <w:tcW w:w="704" w:type="dxa"/>
          </w:tcPr>
          <w:p w14:paraId="4D8234A6" w14:textId="77777777" w:rsidR="00D3344B" w:rsidRDefault="00D3344B">
            <w:pPr>
              <w:widowControl w:val="0"/>
              <w:spacing w:after="0"/>
              <w:jc w:val="both"/>
              <w:rPr>
                <w:rFonts w:ascii="Arial" w:hAnsi="Arial" w:cs="Arial"/>
              </w:rPr>
            </w:pPr>
          </w:p>
        </w:tc>
        <w:tc>
          <w:tcPr>
            <w:tcW w:w="5670" w:type="dxa"/>
          </w:tcPr>
          <w:p w14:paraId="172A9574"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57B4521D" w14:textId="77777777" w:rsidR="00D3344B" w:rsidRDefault="00143C25">
            <w:pPr>
              <w:pStyle w:val="Sinespaciado"/>
              <w:widowControl w:val="0"/>
              <w:ind w:left="355"/>
              <w:jc w:val="both"/>
              <w:rPr>
                <w:rFonts w:ascii="Arial" w:hAnsi="Arial" w:cs="Arial"/>
                <w:i/>
                <w:sz w:val="16"/>
                <w:szCs w:val="16"/>
              </w:rPr>
            </w:pPr>
            <w:r>
              <w:rPr>
                <w:rFonts w:ascii="Arial" w:hAnsi="Arial" w:cs="Arial"/>
                <w:sz w:val="24"/>
                <w:szCs w:val="24"/>
              </w:rPr>
              <w:t xml:space="preserve">1. </w:t>
            </w:r>
            <w:r>
              <w:rPr>
                <w:rFonts w:ascii="Arial" w:hAnsi="Arial" w:cs="Arial"/>
                <w:bCs/>
                <w:sz w:val="24"/>
                <w:szCs w:val="24"/>
                <w:lang w:val="es-ES"/>
              </w:rPr>
              <w:t>Modalidad particular</w:t>
            </w:r>
          </w:p>
        </w:tc>
        <w:tc>
          <w:tcPr>
            <w:tcW w:w="2551" w:type="dxa"/>
          </w:tcPr>
          <w:p w14:paraId="3BBF0D9C" w14:textId="77777777" w:rsidR="00D3344B" w:rsidRDefault="00143C25">
            <w:pPr>
              <w:widowControl w:val="0"/>
              <w:spacing w:after="0"/>
              <w:rPr>
                <w:rFonts w:ascii="Arial" w:hAnsi="Arial" w:cs="Arial"/>
                <w:i/>
                <w:sz w:val="16"/>
                <w:szCs w:val="16"/>
              </w:rPr>
            </w:pPr>
            <w:r>
              <w:rPr>
                <w:rFonts w:ascii="Arial" w:hAnsi="Arial" w:cs="Arial"/>
                <w:b/>
              </w:rPr>
              <w:t>176 UMA</w:t>
            </w:r>
          </w:p>
        </w:tc>
      </w:tr>
      <w:tr w:rsidR="00D3344B" w14:paraId="3D992514" w14:textId="77777777">
        <w:tc>
          <w:tcPr>
            <w:tcW w:w="704" w:type="dxa"/>
          </w:tcPr>
          <w:p w14:paraId="7DFEB719" w14:textId="77777777" w:rsidR="00D3344B" w:rsidRDefault="00D3344B">
            <w:pPr>
              <w:widowControl w:val="0"/>
              <w:spacing w:after="0"/>
              <w:jc w:val="both"/>
              <w:rPr>
                <w:rFonts w:ascii="Arial" w:hAnsi="Arial" w:cs="Arial"/>
              </w:rPr>
            </w:pPr>
          </w:p>
        </w:tc>
        <w:tc>
          <w:tcPr>
            <w:tcW w:w="5670" w:type="dxa"/>
          </w:tcPr>
          <w:p w14:paraId="2FC3381D"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6F4C7817" w14:textId="77777777" w:rsidR="00D3344B" w:rsidRDefault="00143C25">
            <w:pPr>
              <w:pStyle w:val="Sinespaciado"/>
              <w:widowControl w:val="0"/>
              <w:ind w:left="355"/>
              <w:rPr>
                <w:rFonts w:ascii="Arial" w:hAnsi="Arial" w:cs="Arial"/>
                <w:i/>
                <w:sz w:val="16"/>
                <w:szCs w:val="16"/>
              </w:rPr>
            </w:pPr>
            <w:r>
              <w:rPr>
                <w:rFonts w:ascii="Arial" w:hAnsi="Arial" w:cs="Arial"/>
                <w:sz w:val="24"/>
                <w:szCs w:val="24"/>
              </w:rPr>
              <w:t xml:space="preserve">2. </w:t>
            </w:r>
            <w:r>
              <w:rPr>
                <w:rFonts w:ascii="Arial" w:hAnsi="Arial" w:cs="Arial"/>
                <w:bCs/>
                <w:sz w:val="24"/>
                <w:szCs w:val="24"/>
                <w:lang w:val="es-ES"/>
              </w:rPr>
              <w:t>Modalidad intermedio (informe preventivo)</w:t>
            </w:r>
          </w:p>
        </w:tc>
        <w:tc>
          <w:tcPr>
            <w:tcW w:w="2551" w:type="dxa"/>
          </w:tcPr>
          <w:p w14:paraId="63A7F61A" w14:textId="77777777" w:rsidR="00D3344B" w:rsidRDefault="00143C25">
            <w:pPr>
              <w:widowControl w:val="0"/>
              <w:rPr>
                <w:rFonts w:ascii="Arial" w:hAnsi="Arial" w:cs="Arial"/>
                <w:i/>
                <w:sz w:val="16"/>
                <w:szCs w:val="16"/>
              </w:rPr>
            </w:pPr>
            <w:r>
              <w:rPr>
                <w:rFonts w:ascii="Arial" w:hAnsi="Arial" w:cs="Arial"/>
                <w:b/>
              </w:rPr>
              <w:t>90 UMA</w:t>
            </w:r>
          </w:p>
        </w:tc>
      </w:tr>
      <w:tr w:rsidR="00D3344B" w14:paraId="2FC6DBDC" w14:textId="77777777">
        <w:tc>
          <w:tcPr>
            <w:tcW w:w="704" w:type="dxa"/>
          </w:tcPr>
          <w:p w14:paraId="37303DBE" w14:textId="77777777" w:rsidR="00D3344B" w:rsidRDefault="00D3344B">
            <w:pPr>
              <w:widowControl w:val="0"/>
              <w:spacing w:after="0"/>
              <w:jc w:val="both"/>
              <w:rPr>
                <w:rFonts w:ascii="Arial" w:hAnsi="Arial" w:cs="Arial"/>
              </w:rPr>
            </w:pPr>
          </w:p>
        </w:tc>
        <w:tc>
          <w:tcPr>
            <w:tcW w:w="5670" w:type="dxa"/>
          </w:tcPr>
          <w:p w14:paraId="50BD74D2"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0F376B1E" w14:textId="77777777" w:rsidR="00D3344B" w:rsidRDefault="00143C25">
            <w:pPr>
              <w:pStyle w:val="Sinespaciado"/>
              <w:widowControl w:val="0"/>
              <w:ind w:left="355"/>
              <w:jc w:val="both"/>
              <w:rPr>
                <w:rFonts w:ascii="Arial" w:hAnsi="Arial" w:cs="Arial"/>
                <w:i/>
                <w:sz w:val="16"/>
                <w:szCs w:val="16"/>
              </w:rPr>
            </w:pPr>
            <w:r>
              <w:rPr>
                <w:rFonts w:ascii="Arial" w:hAnsi="Arial" w:cs="Arial"/>
              </w:rPr>
              <w:t xml:space="preserve">3) </w:t>
            </w:r>
            <w:proofErr w:type="spellStart"/>
            <w:r>
              <w:rPr>
                <w:rFonts w:ascii="Arial" w:hAnsi="Arial" w:cs="Arial"/>
              </w:rPr>
              <w:t>Modalidad</w:t>
            </w:r>
            <w:proofErr w:type="spellEnd"/>
            <w:r>
              <w:rPr>
                <w:rFonts w:ascii="Arial" w:hAnsi="Arial" w:cs="Arial"/>
              </w:rPr>
              <w:t xml:space="preserve"> </w:t>
            </w:r>
            <w:proofErr w:type="spellStart"/>
            <w:r>
              <w:rPr>
                <w:rFonts w:ascii="Arial" w:hAnsi="Arial" w:cs="Arial"/>
              </w:rPr>
              <w:t>específica</w:t>
            </w:r>
            <w:proofErr w:type="spellEnd"/>
            <w:r>
              <w:rPr>
                <w:rFonts w:ascii="Arial" w:hAnsi="Arial" w:cs="Arial"/>
              </w:rPr>
              <w:t>.</w:t>
            </w:r>
          </w:p>
        </w:tc>
        <w:tc>
          <w:tcPr>
            <w:tcW w:w="2551" w:type="dxa"/>
          </w:tcPr>
          <w:p w14:paraId="5C1514AB" w14:textId="77777777" w:rsidR="00D3344B" w:rsidRDefault="00143C25">
            <w:pPr>
              <w:widowControl w:val="0"/>
              <w:jc w:val="both"/>
              <w:rPr>
                <w:rFonts w:ascii="Arial" w:hAnsi="Arial" w:cs="Arial"/>
              </w:rPr>
            </w:pPr>
            <w:r>
              <w:rPr>
                <w:rFonts w:ascii="Arial" w:hAnsi="Arial" w:cs="Arial"/>
                <w:b/>
              </w:rPr>
              <w:t>22 UMA</w:t>
            </w:r>
          </w:p>
        </w:tc>
      </w:tr>
      <w:tr w:rsidR="00D3344B" w14:paraId="7673A149" w14:textId="77777777">
        <w:tc>
          <w:tcPr>
            <w:tcW w:w="704" w:type="dxa"/>
          </w:tcPr>
          <w:p w14:paraId="7AED446F" w14:textId="77777777" w:rsidR="00D3344B" w:rsidRDefault="00D3344B">
            <w:pPr>
              <w:widowControl w:val="0"/>
              <w:spacing w:after="0"/>
              <w:jc w:val="both"/>
              <w:rPr>
                <w:rFonts w:ascii="Arial" w:hAnsi="Arial" w:cs="Arial"/>
              </w:rPr>
            </w:pPr>
          </w:p>
        </w:tc>
        <w:tc>
          <w:tcPr>
            <w:tcW w:w="5670" w:type="dxa"/>
          </w:tcPr>
          <w:p w14:paraId="7B675B65"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472A224F" w14:textId="77777777" w:rsidR="00D3344B" w:rsidRDefault="00143C25">
            <w:pPr>
              <w:widowControl w:val="0"/>
              <w:ind w:left="355"/>
              <w:jc w:val="both"/>
              <w:rPr>
                <w:rFonts w:ascii="Arial" w:hAnsi="Arial" w:cs="Arial"/>
              </w:rPr>
            </w:pPr>
            <w:r>
              <w:rPr>
                <w:rFonts w:ascii="Arial" w:hAnsi="Arial" w:cs="Arial"/>
              </w:rPr>
              <w:t>4) Estudio de Riesgo.</w:t>
            </w:r>
          </w:p>
        </w:tc>
        <w:tc>
          <w:tcPr>
            <w:tcW w:w="2551" w:type="dxa"/>
          </w:tcPr>
          <w:p w14:paraId="36730AD7" w14:textId="77777777" w:rsidR="00D3344B" w:rsidRDefault="00143C25">
            <w:pPr>
              <w:widowControl w:val="0"/>
              <w:jc w:val="both"/>
              <w:rPr>
                <w:rFonts w:ascii="Arial" w:hAnsi="Arial" w:cs="Arial"/>
              </w:rPr>
            </w:pPr>
            <w:r>
              <w:rPr>
                <w:rFonts w:ascii="Arial" w:hAnsi="Arial" w:cs="Arial"/>
                <w:b/>
              </w:rPr>
              <w:t>90 UMA</w:t>
            </w:r>
          </w:p>
        </w:tc>
      </w:tr>
      <w:tr w:rsidR="00D3344B" w14:paraId="05458448" w14:textId="77777777">
        <w:tc>
          <w:tcPr>
            <w:tcW w:w="704" w:type="dxa"/>
          </w:tcPr>
          <w:p w14:paraId="4CFF5CCA" w14:textId="77777777" w:rsidR="00D3344B" w:rsidRDefault="00D3344B">
            <w:pPr>
              <w:widowControl w:val="0"/>
              <w:spacing w:after="0"/>
              <w:jc w:val="both"/>
              <w:rPr>
                <w:rFonts w:ascii="Arial" w:hAnsi="Arial" w:cs="Arial"/>
              </w:rPr>
            </w:pPr>
          </w:p>
        </w:tc>
        <w:tc>
          <w:tcPr>
            <w:tcW w:w="5670" w:type="dxa"/>
            <w:vAlign w:val="bottom"/>
          </w:tcPr>
          <w:p w14:paraId="7B97812E" w14:textId="77777777" w:rsidR="00D3344B" w:rsidRDefault="00143C25">
            <w:pPr>
              <w:widowControl w:val="0"/>
              <w:spacing w:after="0" w:line="240" w:lineRule="auto"/>
              <w:rPr>
                <w:rFonts w:ascii="Arial" w:hAnsi="Arial" w:cs="Arial"/>
              </w:rPr>
            </w:pPr>
            <w:r>
              <w:rPr>
                <w:rFonts w:ascii="Arial" w:hAnsi="Arial" w:cs="Arial"/>
                <w:i/>
                <w:sz w:val="16"/>
                <w:szCs w:val="16"/>
              </w:rPr>
              <w:t>(REFORMADO, P.O. 21 DE JUNIO DE 2021)</w:t>
            </w:r>
          </w:p>
        </w:tc>
        <w:tc>
          <w:tcPr>
            <w:tcW w:w="2551" w:type="dxa"/>
          </w:tcPr>
          <w:p w14:paraId="7E43ACB4" w14:textId="77777777" w:rsidR="00D3344B" w:rsidRDefault="00D3344B">
            <w:pPr>
              <w:widowControl w:val="0"/>
              <w:jc w:val="both"/>
              <w:rPr>
                <w:rFonts w:ascii="Arial" w:hAnsi="Arial" w:cs="Arial"/>
              </w:rPr>
            </w:pPr>
          </w:p>
        </w:tc>
      </w:tr>
      <w:tr w:rsidR="00D3344B" w14:paraId="35CAAC52" w14:textId="77777777">
        <w:tc>
          <w:tcPr>
            <w:tcW w:w="704" w:type="dxa"/>
          </w:tcPr>
          <w:p w14:paraId="56F0809E" w14:textId="77777777" w:rsidR="00D3344B" w:rsidRDefault="00D3344B">
            <w:pPr>
              <w:widowControl w:val="0"/>
              <w:spacing w:after="0"/>
              <w:jc w:val="both"/>
              <w:rPr>
                <w:rFonts w:ascii="Arial" w:hAnsi="Arial" w:cs="Arial"/>
              </w:rPr>
            </w:pPr>
          </w:p>
        </w:tc>
        <w:tc>
          <w:tcPr>
            <w:tcW w:w="5670" w:type="dxa"/>
          </w:tcPr>
          <w:p w14:paraId="63830BA8" w14:textId="77777777" w:rsidR="00D3344B" w:rsidRDefault="00143C25">
            <w:pPr>
              <w:widowControl w:val="0"/>
              <w:ind w:left="355" w:hanging="355"/>
              <w:jc w:val="both"/>
              <w:rPr>
                <w:rFonts w:ascii="Arial" w:hAnsi="Arial" w:cs="Arial"/>
                <w:i/>
                <w:sz w:val="16"/>
              </w:rPr>
            </w:pPr>
            <w:r>
              <w:rPr>
                <w:rFonts w:ascii="Arial" w:hAnsi="Arial" w:cs="Arial"/>
              </w:rPr>
              <w:t>b)  Prórroga al resolutivo del manifiesto de impacto ambiental según modalidad, por un año:</w:t>
            </w:r>
          </w:p>
        </w:tc>
        <w:tc>
          <w:tcPr>
            <w:tcW w:w="2551" w:type="dxa"/>
          </w:tcPr>
          <w:p w14:paraId="35631934" w14:textId="77777777" w:rsidR="00D3344B" w:rsidRDefault="00D3344B">
            <w:pPr>
              <w:widowControl w:val="0"/>
              <w:jc w:val="both"/>
              <w:rPr>
                <w:rFonts w:ascii="Arial" w:hAnsi="Arial" w:cs="Arial"/>
              </w:rPr>
            </w:pPr>
          </w:p>
        </w:tc>
      </w:tr>
      <w:tr w:rsidR="00D3344B" w14:paraId="230872E0" w14:textId="77777777">
        <w:trPr>
          <w:trHeight w:val="457"/>
        </w:trPr>
        <w:tc>
          <w:tcPr>
            <w:tcW w:w="704" w:type="dxa"/>
          </w:tcPr>
          <w:p w14:paraId="3B4183C1" w14:textId="77777777" w:rsidR="00D3344B" w:rsidRDefault="00D3344B">
            <w:pPr>
              <w:widowControl w:val="0"/>
              <w:spacing w:after="0"/>
              <w:jc w:val="both"/>
              <w:rPr>
                <w:rFonts w:ascii="Arial" w:hAnsi="Arial" w:cs="Arial"/>
              </w:rPr>
            </w:pPr>
          </w:p>
        </w:tc>
        <w:tc>
          <w:tcPr>
            <w:tcW w:w="5670" w:type="dxa"/>
          </w:tcPr>
          <w:p w14:paraId="5B686545"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4F01DFF5" w14:textId="77777777" w:rsidR="00D3344B" w:rsidRDefault="00143C25">
            <w:pPr>
              <w:widowControl w:val="0"/>
              <w:ind w:left="355"/>
              <w:jc w:val="both"/>
              <w:rPr>
                <w:rFonts w:ascii="Arial" w:hAnsi="Arial" w:cs="Arial"/>
              </w:rPr>
            </w:pPr>
            <w:r>
              <w:rPr>
                <w:rFonts w:ascii="Arial" w:hAnsi="Arial" w:cs="Arial"/>
              </w:rPr>
              <w:t>1. Modalidad Particular.</w:t>
            </w:r>
          </w:p>
        </w:tc>
        <w:tc>
          <w:tcPr>
            <w:tcW w:w="2551" w:type="dxa"/>
          </w:tcPr>
          <w:p w14:paraId="15F99652" w14:textId="77777777" w:rsidR="00D3344B" w:rsidRDefault="00143C25">
            <w:pPr>
              <w:widowControl w:val="0"/>
              <w:jc w:val="both"/>
              <w:rPr>
                <w:rFonts w:ascii="Arial" w:hAnsi="Arial" w:cs="Arial"/>
              </w:rPr>
            </w:pPr>
            <w:r>
              <w:rPr>
                <w:rFonts w:ascii="Arial" w:hAnsi="Arial" w:cs="Arial"/>
                <w:b/>
              </w:rPr>
              <w:t xml:space="preserve">89 UMA </w:t>
            </w:r>
          </w:p>
        </w:tc>
      </w:tr>
      <w:tr w:rsidR="00D3344B" w14:paraId="6636BD82" w14:textId="77777777">
        <w:tc>
          <w:tcPr>
            <w:tcW w:w="704" w:type="dxa"/>
          </w:tcPr>
          <w:p w14:paraId="162BBFDD" w14:textId="77777777" w:rsidR="00D3344B" w:rsidRDefault="00D3344B">
            <w:pPr>
              <w:widowControl w:val="0"/>
              <w:spacing w:after="0"/>
              <w:jc w:val="both"/>
              <w:rPr>
                <w:rFonts w:ascii="Arial" w:hAnsi="Arial" w:cs="Arial"/>
              </w:rPr>
            </w:pPr>
          </w:p>
        </w:tc>
        <w:tc>
          <w:tcPr>
            <w:tcW w:w="5670" w:type="dxa"/>
          </w:tcPr>
          <w:p w14:paraId="276C3583"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7D4DAD37" w14:textId="77777777" w:rsidR="00D3344B" w:rsidRDefault="00143C25">
            <w:pPr>
              <w:pStyle w:val="Sinespaciado"/>
              <w:widowControl w:val="0"/>
              <w:ind w:left="355"/>
              <w:rPr>
                <w:rFonts w:ascii="Arial" w:hAnsi="Arial" w:cs="Arial"/>
                <w:sz w:val="24"/>
                <w:szCs w:val="24"/>
              </w:rPr>
            </w:pPr>
            <w:r>
              <w:rPr>
                <w:rFonts w:ascii="Arial" w:hAnsi="Arial" w:cs="Arial"/>
                <w:sz w:val="24"/>
                <w:szCs w:val="24"/>
              </w:rPr>
              <w:t xml:space="preserve">2. </w:t>
            </w:r>
            <w:r>
              <w:rPr>
                <w:rFonts w:ascii="Arial" w:hAnsi="Arial" w:cs="Arial"/>
                <w:bCs/>
                <w:sz w:val="24"/>
                <w:szCs w:val="24"/>
                <w:lang w:val="es-ES"/>
              </w:rPr>
              <w:t>Modalidad Intermedio (informe preventivo)</w:t>
            </w:r>
          </w:p>
        </w:tc>
        <w:tc>
          <w:tcPr>
            <w:tcW w:w="2551" w:type="dxa"/>
            <w:vAlign w:val="center"/>
          </w:tcPr>
          <w:p w14:paraId="27FB13E3" w14:textId="77777777" w:rsidR="00D3344B" w:rsidRDefault="00143C25">
            <w:pPr>
              <w:widowControl w:val="0"/>
              <w:jc w:val="both"/>
              <w:rPr>
                <w:rFonts w:ascii="Arial" w:hAnsi="Arial" w:cs="Arial"/>
              </w:rPr>
            </w:pPr>
            <w:r>
              <w:rPr>
                <w:rFonts w:ascii="Arial" w:hAnsi="Arial" w:cs="Arial"/>
                <w:b/>
              </w:rPr>
              <w:t xml:space="preserve">46 UMA </w:t>
            </w:r>
          </w:p>
        </w:tc>
      </w:tr>
      <w:tr w:rsidR="00D3344B" w14:paraId="366EB7F2" w14:textId="77777777">
        <w:trPr>
          <w:trHeight w:val="573"/>
        </w:trPr>
        <w:tc>
          <w:tcPr>
            <w:tcW w:w="704" w:type="dxa"/>
          </w:tcPr>
          <w:p w14:paraId="5D112075" w14:textId="77777777" w:rsidR="00D3344B" w:rsidRDefault="00D3344B">
            <w:pPr>
              <w:widowControl w:val="0"/>
              <w:jc w:val="both"/>
              <w:rPr>
                <w:rFonts w:ascii="Arial" w:hAnsi="Arial" w:cs="Arial"/>
              </w:rPr>
            </w:pPr>
          </w:p>
        </w:tc>
        <w:tc>
          <w:tcPr>
            <w:tcW w:w="5670" w:type="dxa"/>
          </w:tcPr>
          <w:p w14:paraId="7517087C"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0FAD710A" w14:textId="77777777" w:rsidR="00D3344B" w:rsidRDefault="00143C25">
            <w:pPr>
              <w:widowControl w:val="0"/>
              <w:ind w:left="355"/>
              <w:jc w:val="both"/>
              <w:rPr>
                <w:rFonts w:ascii="Arial" w:hAnsi="Arial" w:cs="Arial"/>
              </w:rPr>
            </w:pPr>
            <w:r>
              <w:rPr>
                <w:rFonts w:ascii="Arial" w:hAnsi="Arial" w:cs="Arial"/>
              </w:rPr>
              <w:t>3. Modalidad Específica.</w:t>
            </w:r>
          </w:p>
        </w:tc>
        <w:tc>
          <w:tcPr>
            <w:tcW w:w="2551" w:type="dxa"/>
          </w:tcPr>
          <w:p w14:paraId="0BD64701" w14:textId="77777777" w:rsidR="00D3344B" w:rsidRDefault="00143C25">
            <w:pPr>
              <w:widowControl w:val="0"/>
              <w:jc w:val="both"/>
              <w:rPr>
                <w:rFonts w:ascii="Arial" w:hAnsi="Arial" w:cs="Arial"/>
              </w:rPr>
            </w:pPr>
            <w:r>
              <w:rPr>
                <w:rFonts w:ascii="Arial" w:hAnsi="Arial" w:cs="Arial"/>
                <w:b/>
              </w:rPr>
              <w:t xml:space="preserve">11.5 UMA </w:t>
            </w:r>
          </w:p>
        </w:tc>
      </w:tr>
      <w:tr w:rsidR="00D3344B" w14:paraId="41D71931" w14:textId="77777777">
        <w:trPr>
          <w:trHeight w:val="798"/>
        </w:trPr>
        <w:tc>
          <w:tcPr>
            <w:tcW w:w="704" w:type="dxa"/>
          </w:tcPr>
          <w:p w14:paraId="50939CCC" w14:textId="77777777" w:rsidR="00D3344B" w:rsidRDefault="00D3344B">
            <w:pPr>
              <w:widowControl w:val="0"/>
              <w:jc w:val="both"/>
              <w:rPr>
                <w:rFonts w:ascii="Arial" w:hAnsi="Arial" w:cs="Arial"/>
              </w:rPr>
            </w:pPr>
          </w:p>
        </w:tc>
        <w:tc>
          <w:tcPr>
            <w:tcW w:w="5670" w:type="dxa"/>
          </w:tcPr>
          <w:p w14:paraId="49F32ECD" w14:textId="77777777" w:rsidR="00D3344B" w:rsidRDefault="00143C25">
            <w:pPr>
              <w:pStyle w:val="Estilo"/>
              <w:widowControl w:val="0"/>
              <w:jc w:val="left"/>
              <w:rPr>
                <w:rFonts w:cs="Arial"/>
                <w:i/>
                <w:iCs/>
                <w:sz w:val="16"/>
                <w:szCs w:val="16"/>
              </w:rPr>
            </w:pPr>
            <w:r>
              <w:rPr>
                <w:rFonts w:cs="Arial"/>
                <w:i/>
                <w:iCs/>
                <w:sz w:val="16"/>
                <w:szCs w:val="16"/>
              </w:rPr>
              <w:t>(REFORMADO, P.O. 29 DE NOVIEMBRE DE 2023)</w:t>
            </w:r>
          </w:p>
          <w:p w14:paraId="11574F82" w14:textId="77777777" w:rsidR="00D3344B" w:rsidRDefault="00143C25">
            <w:pPr>
              <w:widowControl w:val="0"/>
              <w:ind w:left="355"/>
              <w:jc w:val="both"/>
              <w:rPr>
                <w:rFonts w:ascii="Arial" w:hAnsi="Arial" w:cs="Arial"/>
              </w:rPr>
            </w:pPr>
            <w:r>
              <w:rPr>
                <w:rFonts w:ascii="Arial" w:hAnsi="Arial" w:cs="Arial"/>
              </w:rPr>
              <w:t xml:space="preserve">4. </w:t>
            </w:r>
            <w:r>
              <w:rPr>
                <w:rFonts w:ascii="Arial" w:hAnsi="Arial" w:cs="Arial"/>
                <w:bCs/>
                <w:lang w:val="es-ES"/>
              </w:rPr>
              <w:t>Estudio de Riesgo</w:t>
            </w:r>
          </w:p>
        </w:tc>
        <w:tc>
          <w:tcPr>
            <w:tcW w:w="2551" w:type="dxa"/>
            <w:vAlign w:val="center"/>
          </w:tcPr>
          <w:p w14:paraId="5D91EA51" w14:textId="77777777" w:rsidR="00D3344B" w:rsidRDefault="00143C25">
            <w:pPr>
              <w:widowControl w:val="0"/>
              <w:jc w:val="both"/>
              <w:rPr>
                <w:rFonts w:ascii="Arial" w:hAnsi="Arial" w:cs="Arial"/>
              </w:rPr>
            </w:pPr>
            <w:r>
              <w:rPr>
                <w:rFonts w:ascii="Arial" w:hAnsi="Arial" w:cs="Arial"/>
                <w:b/>
              </w:rPr>
              <w:t xml:space="preserve">46 UMA </w:t>
            </w:r>
          </w:p>
        </w:tc>
      </w:tr>
    </w:tbl>
    <w:p w14:paraId="73EE38A0" w14:textId="77777777" w:rsidR="00D3344B" w:rsidRDefault="00D3344B"/>
    <w:p w14:paraId="14FF4B70" w14:textId="77777777" w:rsidR="00D3344B" w:rsidRDefault="00143C25">
      <w:r>
        <w:t>En caso de que el promovente requiera un plazo mayor deberá solicitarlo al concluir el anterior y realizar el pago respectivo.</w:t>
      </w:r>
      <w:r>
        <w:tab/>
      </w:r>
    </w:p>
    <w:p w14:paraId="20FDBE2A" w14:textId="77777777" w:rsidR="00D3344B" w:rsidRDefault="00143C25">
      <w:pPr>
        <w:pStyle w:val="Estilo"/>
        <w:jc w:val="left"/>
        <w:rPr>
          <w:rFonts w:cs="Arial"/>
          <w:i/>
          <w:iCs/>
          <w:sz w:val="16"/>
          <w:szCs w:val="16"/>
        </w:rPr>
      </w:pPr>
      <w:r>
        <w:rPr>
          <w:rFonts w:cs="Arial"/>
          <w:i/>
          <w:iCs/>
          <w:sz w:val="16"/>
          <w:szCs w:val="16"/>
        </w:rPr>
        <w:t>(REFORMADO, P.O. 29 DE NOVIEMBRE DE 2023)</w:t>
      </w:r>
    </w:p>
    <w:p w14:paraId="417506C2" w14:textId="77777777" w:rsidR="00D3344B" w:rsidRDefault="00143C25">
      <w:pPr>
        <w:ind w:left="567" w:hanging="567"/>
        <w:rPr>
          <w:rFonts w:ascii="Arial" w:hAnsi="Arial" w:cs="Arial"/>
        </w:rPr>
      </w:pPr>
      <w:r>
        <w:rPr>
          <w:rFonts w:ascii="Arial" w:hAnsi="Arial" w:cs="Arial"/>
        </w:rPr>
        <w:t>II.</w:t>
      </w:r>
      <w:r>
        <w:rPr>
          <w:rFonts w:ascii="Arial" w:hAnsi="Arial" w:cs="Arial"/>
        </w:rPr>
        <w:tab/>
        <w:t>Registro y control de consultores ambientales, con vigencia de un año, se pagarán 32 UMA;</w:t>
      </w:r>
    </w:p>
    <w:p w14:paraId="41910E7A" w14:textId="77777777" w:rsidR="00D3344B" w:rsidRDefault="00143C25">
      <w:pPr>
        <w:pStyle w:val="Estilo"/>
        <w:jc w:val="left"/>
        <w:rPr>
          <w:rFonts w:cs="Arial"/>
          <w:i/>
          <w:iCs/>
          <w:sz w:val="16"/>
          <w:szCs w:val="16"/>
        </w:rPr>
      </w:pPr>
      <w:r>
        <w:rPr>
          <w:rFonts w:cs="Arial"/>
          <w:i/>
          <w:iCs/>
          <w:sz w:val="16"/>
          <w:szCs w:val="16"/>
        </w:rPr>
        <w:t>(REFORMADO, P.O. 29 DE NOVIEMBRE DE 2023)</w:t>
      </w:r>
    </w:p>
    <w:p w14:paraId="74E53B87" w14:textId="77777777" w:rsidR="00D3344B" w:rsidRDefault="00143C25">
      <w:pPr>
        <w:ind w:left="567" w:hanging="567"/>
        <w:rPr>
          <w:rFonts w:ascii="Arial" w:hAnsi="Arial" w:cs="Arial"/>
        </w:rPr>
      </w:pPr>
      <w:r>
        <w:rPr>
          <w:rFonts w:ascii="Arial" w:hAnsi="Arial" w:cs="Arial"/>
        </w:rPr>
        <w:t>III.</w:t>
      </w:r>
      <w:r>
        <w:rPr>
          <w:rFonts w:ascii="Arial" w:hAnsi="Arial" w:cs="Arial"/>
        </w:rPr>
        <w:tab/>
        <w:t>Los derivados de la operación del programa de verificación vehicular, causarán los siguientes derechos:</w:t>
      </w:r>
      <w:r>
        <w:rPr>
          <w:rFonts w:ascii="Arial" w:hAnsi="Arial" w:cs="Arial"/>
        </w:rPr>
        <w:tab/>
      </w:r>
    </w:p>
    <w:tbl>
      <w:tblPr>
        <w:tblStyle w:val="TableNormal"/>
        <w:tblW w:w="8729" w:type="dxa"/>
        <w:tblInd w:w="199" w:type="dxa"/>
        <w:tblLayout w:type="fixed"/>
        <w:tblLook w:val="01E0" w:firstRow="1" w:lastRow="1" w:firstColumn="1" w:lastColumn="1" w:noHBand="0" w:noVBand="0"/>
      </w:tblPr>
      <w:tblGrid>
        <w:gridCol w:w="7028"/>
        <w:gridCol w:w="1701"/>
      </w:tblGrid>
      <w:tr w:rsidR="00D3344B" w14:paraId="533BECD1" w14:textId="77777777">
        <w:trPr>
          <w:trHeight w:val="502"/>
        </w:trPr>
        <w:tc>
          <w:tcPr>
            <w:tcW w:w="7028" w:type="dxa"/>
          </w:tcPr>
          <w:p w14:paraId="1929A8C0" w14:textId="77777777" w:rsidR="00D3344B" w:rsidRDefault="00143C25">
            <w:pPr>
              <w:pStyle w:val="TableParagraph"/>
              <w:spacing w:line="244" w:lineRule="exact"/>
              <w:ind w:left="50"/>
              <w:rPr>
                <w:rFonts w:ascii="Arial" w:hAnsi="Arial" w:cs="Arial"/>
                <w:b/>
              </w:rPr>
            </w:pPr>
            <w:r>
              <w:rPr>
                <w:rFonts w:ascii="Arial" w:hAnsi="Arial" w:cs="Arial"/>
                <w:b/>
                <w:spacing w:val="-2"/>
              </w:rPr>
              <w:t>Concepto</w:t>
            </w:r>
          </w:p>
        </w:tc>
        <w:tc>
          <w:tcPr>
            <w:tcW w:w="1701" w:type="dxa"/>
          </w:tcPr>
          <w:p w14:paraId="6E3B8738" w14:textId="77777777" w:rsidR="00D3344B" w:rsidRDefault="00143C25">
            <w:pPr>
              <w:pStyle w:val="TableParagraph"/>
              <w:spacing w:line="244" w:lineRule="exact"/>
              <w:ind w:left="329"/>
              <w:rPr>
                <w:rFonts w:ascii="Arial" w:hAnsi="Arial" w:cs="Arial"/>
                <w:b/>
              </w:rPr>
            </w:pPr>
            <w:r>
              <w:rPr>
                <w:rFonts w:ascii="Arial" w:hAnsi="Arial" w:cs="Arial"/>
                <w:b/>
                <w:spacing w:val="-2"/>
              </w:rPr>
              <w:t>Derechos</w:t>
            </w:r>
          </w:p>
          <w:p w14:paraId="7CBF5565" w14:textId="77777777" w:rsidR="00D3344B" w:rsidRDefault="00143C25">
            <w:pPr>
              <w:pStyle w:val="TableParagraph"/>
              <w:spacing w:before="1" w:line="237" w:lineRule="exact"/>
              <w:ind w:left="341"/>
              <w:rPr>
                <w:rFonts w:ascii="Arial" w:hAnsi="Arial" w:cs="Arial"/>
                <w:b/>
              </w:rPr>
            </w:pPr>
            <w:r>
              <w:rPr>
                <w:rFonts w:ascii="Arial" w:hAnsi="Arial" w:cs="Arial"/>
                <w:b/>
                <w:spacing w:val="-2"/>
              </w:rPr>
              <w:t>causados</w:t>
            </w:r>
          </w:p>
        </w:tc>
      </w:tr>
      <w:tr w:rsidR="00D3344B" w14:paraId="2ACDD235" w14:textId="77777777">
        <w:trPr>
          <w:trHeight w:val="621"/>
        </w:trPr>
        <w:tc>
          <w:tcPr>
            <w:tcW w:w="7028" w:type="dxa"/>
          </w:tcPr>
          <w:p w14:paraId="3CF8E1C5"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lastRenderedPageBreak/>
              <w:t>(REFORMADO, P.O. 29 DE NOVIEMBRE DE 2023)</w:t>
            </w:r>
          </w:p>
          <w:p w14:paraId="32FA2639" w14:textId="77777777" w:rsidR="00D3344B" w:rsidRDefault="00143C25">
            <w:pPr>
              <w:pStyle w:val="TableParagraph"/>
              <w:spacing w:line="248" w:lineRule="exact"/>
              <w:ind w:left="50"/>
              <w:rPr>
                <w:rFonts w:ascii="Arial" w:hAnsi="Arial" w:cs="Arial"/>
              </w:rPr>
            </w:pPr>
            <w:r>
              <w:rPr>
                <w:rFonts w:ascii="Arial" w:hAnsi="Arial" w:cs="Arial"/>
              </w:rPr>
              <w:t>a)</w:t>
            </w:r>
            <w:r>
              <w:rPr>
                <w:rFonts w:ascii="Arial" w:hAnsi="Arial" w:cs="Arial"/>
                <w:spacing w:val="78"/>
              </w:rPr>
              <w:t xml:space="preserve"> </w:t>
            </w:r>
            <w:r>
              <w:rPr>
                <w:rFonts w:ascii="Arial" w:hAnsi="Arial" w:cs="Arial"/>
              </w:rPr>
              <w:t>Por</w:t>
            </w:r>
            <w:r>
              <w:rPr>
                <w:rFonts w:ascii="Arial" w:hAnsi="Arial" w:cs="Arial"/>
                <w:spacing w:val="79"/>
              </w:rPr>
              <w:t xml:space="preserve"> </w:t>
            </w:r>
            <w:r>
              <w:rPr>
                <w:rFonts w:ascii="Arial" w:hAnsi="Arial" w:cs="Arial"/>
              </w:rPr>
              <w:t>el</w:t>
            </w:r>
            <w:r>
              <w:rPr>
                <w:rFonts w:ascii="Arial" w:hAnsi="Arial" w:cs="Arial"/>
                <w:spacing w:val="53"/>
                <w:w w:val="150"/>
              </w:rPr>
              <w:t xml:space="preserve"> </w:t>
            </w:r>
            <w:r>
              <w:rPr>
                <w:rFonts w:ascii="Arial" w:hAnsi="Arial" w:cs="Arial"/>
              </w:rPr>
              <w:t>otorgamiento</w:t>
            </w:r>
            <w:r>
              <w:rPr>
                <w:rFonts w:ascii="Arial" w:hAnsi="Arial" w:cs="Arial"/>
                <w:spacing w:val="76"/>
              </w:rPr>
              <w:t xml:space="preserve"> </w:t>
            </w:r>
            <w:r>
              <w:rPr>
                <w:rFonts w:ascii="Arial" w:hAnsi="Arial" w:cs="Arial"/>
              </w:rPr>
              <w:t>de</w:t>
            </w:r>
            <w:r>
              <w:rPr>
                <w:rFonts w:ascii="Arial" w:hAnsi="Arial" w:cs="Arial"/>
                <w:spacing w:val="78"/>
              </w:rPr>
              <w:t xml:space="preserve"> </w:t>
            </w:r>
            <w:r>
              <w:rPr>
                <w:rFonts w:ascii="Arial" w:hAnsi="Arial" w:cs="Arial"/>
              </w:rPr>
              <w:t>concesiones</w:t>
            </w:r>
            <w:r>
              <w:rPr>
                <w:rFonts w:ascii="Arial" w:hAnsi="Arial" w:cs="Arial"/>
                <w:spacing w:val="79"/>
              </w:rPr>
              <w:t xml:space="preserve"> </w:t>
            </w:r>
            <w:r>
              <w:rPr>
                <w:rFonts w:ascii="Arial" w:hAnsi="Arial" w:cs="Arial"/>
              </w:rPr>
              <w:t>para</w:t>
            </w:r>
            <w:r>
              <w:rPr>
                <w:rFonts w:ascii="Arial" w:hAnsi="Arial" w:cs="Arial"/>
                <w:spacing w:val="78"/>
              </w:rPr>
              <w:t xml:space="preserve"> </w:t>
            </w:r>
            <w:r>
              <w:rPr>
                <w:rFonts w:ascii="Arial" w:hAnsi="Arial" w:cs="Arial"/>
              </w:rPr>
              <w:t>Centros</w:t>
            </w:r>
            <w:r>
              <w:rPr>
                <w:rFonts w:ascii="Arial" w:hAnsi="Arial" w:cs="Arial"/>
                <w:spacing w:val="76"/>
              </w:rPr>
              <w:t xml:space="preserve"> </w:t>
            </w:r>
            <w:r>
              <w:rPr>
                <w:rFonts w:ascii="Arial" w:hAnsi="Arial" w:cs="Arial"/>
              </w:rPr>
              <w:t>de</w:t>
            </w:r>
            <w:r>
              <w:rPr>
                <w:rFonts w:ascii="Arial" w:hAnsi="Arial" w:cs="Arial"/>
                <w:spacing w:val="78"/>
              </w:rPr>
              <w:t xml:space="preserve"> </w:t>
            </w:r>
            <w:r>
              <w:rPr>
                <w:rFonts w:ascii="Arial" w:hAnsi="Arial" w:cs="Arial"/>
                <w:spacing w:val="-2"/>
              </w:rPr>
              <w:t>Verificación Vehicular</w:t>
            </w:r>
          </w:p>
        </w:tc>
        <w:tc>
          <w:tcPr>
            <w:tcW w:w="1701" w:type="dxa"/>
          </w:tcPr>
          <w:p w14:paraId="41992283" w14:textId="77777777" w:rsidR="00D3344B" w:rsidRDefault="00143C25">
            <w:pPr>
              <w:pStyle w:val="TableParagraph"/>
              <w:spacing w:line="248" w:lineRule="exact"/>
              <w:ind w:right="48"/>
              <w:jc w:val="right"/>
              <w:rPr>
                <w:rFonts w:ascii="Arial" w:hAnsi="Arial" w:cs="Arial"/>
              </w:rPr>
            </w:pPr>
            <w:r>
              <w:rPr>
                <w:rFonts w:ascii="Arial" w:hAnsi="Arial" w:cs="Arial"/>
              </w:rPr>
              <w:t xml:space="preserve">602 </w:t>
            </w:r>
            <w:r>
              <w:rPr>
                <w:rFonts w:ascii="Arial" w:hAnsi="Arial" w:cs="Arial"/>
                <w:spacing w:val="-5"/>
              </w:rPr>
              <w:t>UMA</w:t>
            </w:r>
          </w:p>
        </w:tc>
      </w:tr>
      <w:tr w:rsidR="00D3344B" w14:paraId="7AFAA2A2" w14:textId="77777777">
        <w:trPr>
          <w:trHeight w:val="747"/>
        </w:trPr>
        <w:tc>
          <w:tcPr>
            <w:tcW w:w="7028" w:type="dxa"/>
          </w:tcPr>
          <w:p w14:paraId="35061432"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45418CF1" w14:textId="77777777" w:rsidR="00D3344B" w:rsidRDefault="00143C25">
            <w:pPr>
              <w:pStyle w:val="TableParagraph"/>
              <w:ind w:left="50"/>
              <w:rPr>
                <w:rFonts w:ascii="Arial" w:hAnsi="Arial" w:cs="Arial"/>
              </w:rPr>
            </w:pPr>
            <w:r>
              <w:rPr>
                <w:rFonts w:ascii="Arial" w:hAnsi="Arial" w:cs="Arial"/>
              </w:rPr>
              <w:t>b)</w:t>
            </w:r>
            <w:r>
              <w:rPr>
                <w:rFonts w:ascii="Arial" w:hAnsi="Arial" w:cs="Arial"/>
                <w:spacing w:val="40"/>
              </w:rPr>
              <w:t xml:space="preserve"> </w:t>
            </w:r>
            <w:r>
              <w:rPr>
                <w:rFonts w:ascii="Arial" w:hAnsi="Arial" w:cs="Arial"/>
              </w:rPr>
              <w:t>Por</w:t>
            </w:r>
            <w:r>
              <w:rPr>
                <w:rFonts w:ascii="Arial" w:hAnsi="Arial" w:cs="Arial"/>
                <w:spacing w:val="40"/>
              </w:rPr>
              <w:t xml:space="preserve"> </w:t>
            </w:r>
            <w:r>
              <w:rPr>
                <w:rFonts w:ascii="Arial" w:hAnsi="Arial" w:cs="Arial"/>
              </w:rPr>
              <w:t>revalidación</w:t>
            </w:r>
            <w:r>
              <w:rPr>
                <w:rFonts w:ascii="Arial" w:hAnsi="Arial" w:cs="Arial"/>
                <w:spacing w:val="40"/>
              </w:rPr>
              <w:t xml:space="preserve"> </w:t>
            </w:r>
            <w:r>
              <w:rPr>
                <w:rFonts w:ascii="Arial" w:hAnsi="Arial" w:cs="Arial"/>
              </w:rPr>
              <w:t>anual</w:t>
            </w:r>
            <w:r>
              <w:rPr>
                <w:rFonts w:ascii="Arial" w:hAnsi="Arial" w:cs="Arial"/>
                <w:spacing w:val="40"/>
              </w:rPr>
              <w:t xml:space="preserve"> </w:t>
            </w:r>
            <w:r>
              <w:rPr>
                <w:rFonts w:ascii="Arial" w:hAnsi="Arial" w:cs="Arial"/>
              </w:rPr>
              <w:t>de</w:t>
            </w:r>
            <w:r>
              <w:rPr>
                <w:rFonts w:ascii="Arial" w:hAnsi="Arial" w:cs="Arial"/>
                <w:spacing w:val="40"/>
              </w:rPr>
              <w:t xml:space="preserve"> </w:t>
            </w:r>
            <w:r>
              <w:rPr>
                <w:rFonts w:ascii="Arial" w:hAnsi="Arial" w:cs="Arial"/>
              </w:rPr>
              <w:t>la</w:t>
            </w:r>
            <w:r>
              <w:rPr>
                <w:rFonts w:ascii="Arial" w:hAnsi="Arial" w:cs="Arial"/>
                <w:spacing w:val="40"/>
              </w:rPr>
              <w:t xml:space="preserve"> </w:t>
            </w:r>
            <w:r>
              <w:rPr>
                <w:rFonts w:ascii="Arial" w:hAnsi="Arial" w:cs="Arial"/>
              </w:rPr>
              <w:t>concesión</w:t>
            </w:r>
            <w:r>
              <w:rPr>
                <w:rFonts w:ascii="Arial" w:hAnsi="Arial" w:cs="Arial"/>
                <w:spacing w:val="40"/>
              </w:rPr>
              <w:t xml:space="preserve"> </w:t>
            </w:r>
            <w:r>
              <w:rPr>
                <w:rFonts w:ascii="Arial" w:hAnsi="Arial" w:cs="Arial"/>
              </w:rPr>
              <w:t>para</w:t>
            </w:r>
            <w:r>
              <w:rPr>
                <w:rFonts w:ascii="Arial" w:hAnsi="Arial" w:cs="Arial"/>
                <w:spacing w:val="40"/>
              </w:rPr>
              <w:t xml:space="preserve"> </w:t>
            </w:r>
            <w:r>
              <w:rPr>
                <w:rFonts w:ascii="Arial" w:hAnsi="Arial" w:cs="Arial"/>
              </w:rPr>
              <w:t>Centros</w:t>
            </w:r>
            <w:r>
              <w:rPr>
                <w:rFonts w:ascii="Arial" w:hAnsi="Arial" w:cs="Arial"/>
                <w:spacing w:val="40"/>
              </w:rPr>
              <w:t xml:space="preserve"> </w:t>
            </w:r>
            <w:r>
              <w:rPr>
                <w:rFonts w:ascii="Arial" w:hAnsi="Arial" w:cs="Arial"/>
              </w:rPr>
              <w:t>de</w:t>
            </w:r>
            <w:r>
              <w:rPr>
                <w:rFonts w:ascii="Arial" w:hAnsi="Arial" w:cs="Arial"/>
                <w:spacing w:val="40"/>
              </w:rPr>
              <w:t xml:space="preserve"> </w:t>
            </w:r>
            <w:r>
              <w:rPr>
                <w:rFonts w:ascii="Arial" w:hAnsi="Arial" w:cs="Arial"/>
              </w:rPr>
              <w:t>Verificación Vehicular, se pagará dentro de los primeros cuatro meses de cada año.</w:t>
            </w:r>
          </w:p>
        </w:tc>
        <w:tc>
          <w:tcPr>
            <w:tcW w:w="1701" w:type="dxa"/>
          </w:tcPr>
          <w:p w14:paraId="7EC8DE07" w14:textId="77777777" w:rsidR="00D3344B" w:rsidRDefault="00143C25">
            <w:pPr>
              <w:pStyle w:val="TableParagraph"/>
              <w:spacing w:line="249" w:lineRule="exact"/>
              <w:ind w:right="48"/>
              <w:jc w:val="right"/>
              <w:rPr>
                <w:rFonts w:ascii="Arial" w:hAnsi="Arial" w:cs="Arial"/>
              </w:rPr>
            </w:pPr>
            <w:r>
              <w:rPr>
                <w:rFonts w:ascii="Arial" w:hAnsi="Arial" w:cs="Arial"/>
              </w:rPr>
              <w:t xml:space="preserve">352 </w:t>
            </w:r>
            <w:r>
              <w:rPr>
                <w:rFonts w:ascii="Arial" w:hAnsi="Arial" w:cs="Arial"/>
                <w:spacing w:val="-5"/>
              </w:rPr>
              <w:t>UMA</w:t>
            </w:r>
          </w:p>
        </w:tc>
      </w:tr>
      <w:tr w:rsidR="00D3344B" w14:paraId="0A8ADD28" w14:textId="77777777">
        <w:trPr>
          <w:trHeight w:val="859"/>
        </w:trPr>
        <w:tc>
          <w:tcPr>
            <w:tcW w:w="7028" w:type="dxa"/>
          </w:tcPr>
          <w:p w14:paraId="7C3E16DC" w14:textId="77777777" w:rsidR="00D3344B" w:rsidRDefault="00D3344B">
            <w:pPr>
              <w:pStyle w:val="TableParagraph"/>
              <w:spacing w:before="7"/>
              <w:rPr>
                <w:rFonts w:ascii="Arial" w:hAnsi="Arial" w:cs="Arial"/>
                <w:sz w:val="20"/>
              </w:rPr>
            </w:pPr>
          </w:p>
          <w:p w14:paraId="74FFF96B"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1B1075AF" w14:textId="77777777" w:rsidR="00D3344B" w:rsidRDefault="00143C25">
            <w:pPr>
              <w:pStyle w:val="TableParagraph"/>
              <w:spacing w:before="1"/>
              <w:ind w:left="50"/>
              <w:rPr>
                <w:rFonts w:ascii="Arial" w:hAnsi="Arial" w:cs="Arial"/>
              </w:rPr>
            </w:pPr>
            <w:r>
              <w:rPr>
                <w:rFonts w:ascii="Arial" w:hAnsi="Arial" w:cs="Arial"/>
              </w:rPr>
              <w:t>c)</w:t>
            </w:r>
            <w:r>
              <w:rPr>
                <w:rFonts w:ascii="Arial" w:hAnsi="Arial" w:cs="Arial"/>
                <w:spacing w:val="40"/>
              </w:rPr>
              <w:t xml:space="preserve"> </w:t>
            </w:r>
            <w:r>
              <w:rPr>
                <w:rFonts w:ascii="Arial" w:hAnsi="Arial" w:cs="Arial"/>
              </w:rPr>
              <w:t>Por</w:t>
            </w:r>
            <w:r>
              <w:rPr>
                <w:rFonts w:ascii="Arial" w:hAnsi="Arial" w:cs="Arial"/>
                <w:spacing w:val="40"/>
              </w:rPr>
              <w:t xml:space="preserve"> </w:t>
            </w:r>
            <w:r>
              <w:rPr>
                <w:rFonts w:ascii="Arial" w:hAnsi="Arial" w:cs="Arial"/>
              </w:rPr>
              <w:t>la</w:t>
            </w:r>
            <w:r>
              <w:rPr>
                <w:rFonts w:ascii="Arial" w:hAnsi="Arial" w:cs="Arial"/>
                <w:spacing w:val="40"/>
              </w:rPr>
              <w:t xml:space="preserve"> </w:t>
            </w:r>
            <w:r>
              <w:rPr>
                <w:rFonts w:ascii="Arial" w:hAnsi="Arial" w:cs="Arial"/>
              </w:rPr>
              <w:t>adquisición</w:t>
            </w:r>
            <w:r>
              <w:rPr>
                <w:rFonts w:ascii="Arial" w:hAnsi="Arial" w:cs="Arial"/>
                <w:spacing w:val="40"/>
              </w:rPr>
              <w:t xml:space="preserve"> </w:t>
            </w:r>
            <w:r>
              <w:rPr>
                <w:rFonts w:ascii="Arial" w:hAnsi="Arial" w:cs="Arial"/>
              </w:rPr>
              <w:t>que</w:t>
            </w:r>
            <w:r>
              <w:rPr>
                <w:rFonts w:ascii="Arial" w:hAnsi="Arial" w:cs="Arial"/>
                <w:spacing w:val="38"/>
              </w:rPr>
              <w:t xml:space="preserve"> </w:t>
            </w:r>
            <w:r>
              <w:rPr>
                <w:rFonts w:ascii="Arial" w:hAnsi="Arial" w:cs="Arial"/>
              </w:rPr>
              <w:t>realicen</w:t>
            </w:r>
            <w:r>
              <w:rPr>
                <w:rFonts w:ascii="Arial" w:hAnsi="Arial" w:cs="Arial"/>
                <w:spacing w:val="40"/>
              </w:rPr>
              <w:t xml:space="preserve"> </w:t>
            </w:r>
            <w:r>
              <w:rPr>
                <w:rFonts w:ascii="Arial" w:hAnsi="Arial" w:cs="Arial"/>
              </w:rPr>
              <w:t>los</w:t>
            </w:r>
            <w:r>
              <w:rPr>
                <w:rFonts w:ascii="Arial" w:hAnsi="Arial" w:cs="Arial"/>
                <w:spacing w:val="40"/>
              </w:rPr>
              <w:t xml:space="preserve"> </w:t>
            </w:r>
            <w:r>
              <w:rPr>
                <w:rFonts w:ascii="Arial" w:hAnsi="Arial" w:cs="Arial"/>
              </w:rPr>
              <w:t>concesionarios</w:t>
            </w:r>
            <w:r>
              <w:rPr>
                <w:rFonts w:ascii="Arial" w:hAnsi="Arial" w:cs="Arial"/>
                <w:spacing w:val="40"/>
              </w:rPr>
              <w:t xml:space="preserve"> </w:t>
            </w:r>
            <w:r>
              <w:rPr>
                <w:rFonts w:ascii="Arial" w:hAnsi="Arial" w:cs="Arial"/>
              </w:rPr>
              <w:t>de</w:t>
            </w:r>
            <w:r>
              <w:rPr>
                <w:rFonts w:ascii="Arial" w:hAnsi="Arial" w:cs="Arial"/>
                <w:spacing w:val="40"/>
              </w:rPr>
              <w:t xml:space="preserve"> </w:t>
            </w:r>
            <w:r>
              <w:rPr>
                <w:rFonts w:ascii="Arial" w:hAnsi="Arial" w:cs="Arial"/>
              </w:rPr>
              <w:t>los</w:t>
            </w:r>
            <w:r>
              <w:rPr>
                <w:rFonts w:ascii="Arial" w:hAnsi="Arial" w:cs="Arial"/>
                <w:spacing w:val="40"/>
              </w:rPr>
              <w:t xml:space="preserve"> </w:t>
            </w:r>
            <w:r>
              <w:rPr>
                <w:rFonts w:ascii="Arial" w:hAnsi="Arial" w:cs="Arial"/>
              </w:rPr>
              <w:t>Centros</w:t>
            </w:r>
            <w:r>
              <w:rPr>
                <w:rFonts w:ascii="Arial" w:hAnsi="Arial" w:cs="Arial"/>
                <w:spacing w:val="40"/>
              </w:rPr>
              <w:t xml:space="preserve"> </w:t>
            </w:r>
            <w:r>
              <w:rPr>
                <w:rFonts w:ascii="Arial" w:hAnsi="Arial" w:cs="Arial"/>
              </w:rPr>
              <w:t>de Verificación Vehicular pagarán por cada certificado.</w:t>
            </w:r>
          </w:p>
        </w:tc>
        <w:tc>
          <w:tcPr>
            <w:tcW w:w="1701" w:type="dxa"/>
          </w:tcPr>
          <w:p w14:paraId="617F7F22" w14:textId="77777777" w:rsidR="00D3344B" w:rsidRDefault="00D3344B">
            <w:pPr>
              <w:pStyle w:val="TableParagraph"/>
              <w:spacing w:before="7"/>
              <w:rPr>
                <w:rFonts w:ascii="Arial" w:hAnsi="Arial" w:cs="Arial"/>
                <w:sz w:val="20"/>
              </w:rPr>
            </w:pPr>
          </w:p>
          <w:p w14:paraId="733D1CE8" w14:textId="77777777" w:rsidR="00D3344B" w:rsidRDefault="00143C25">
            <w:pPr>
              <w:pStyle w:val="TableParagraph"/>
              <w:spacing w:before="1"/>
              <w:ind w:right="77"/>
              <w:jc w:val="right"/>
              <w:rPr>
                <w:rFonts w:ascii="Arial" w:hAnsi="Arial" w:cs="Arial"/>
              </w:rPr>
            </w:pPr>
            <w:r>
              <w:rPr>
                <w:rFonts w:ascii="Arial" w:hAnsi="Arial" w:cs="Arial"/>
              </w:rPr>
              <w:t xml:space="preserve">0.5 </w:t>
            </w:r>
            <w:r>
              <w:rPr>
                <w:rFonts w:ascii="Arial" w:hAnsi="Arial" w:cs="Arial"/>
                <w:spacing w:val="-5"/>
              </w:rPr>
              <w:t>UMA</w:t>
            </w:r>
          </w:p>
        </w:tc>
      </w:tr>
      <w:tr w:rsidR="00D3344B" w14:paraId="6537CAEF" w14:textId="77777777">
        <w:trPr>
          <w:trHeight w:val="472"/>
        </w:trPr>
        <w:tc>
          <w:tcPr>
            <w:tcW w:w="7028" w:type="dxa"/>
          </w:tcPr>
          <w:p w14:paraId="0C52F82A"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66071250" w14:textId="77777777" w:rsidR="00D3344B" w:rsidRDefault="00143C25">
            <w:pPr>
              <w:pStyle w:val="TableParagraph"/>
              <w:spacing w:before="108"/>
              <w:ind w:left="50"/>
              <w:rPr>
                <w:rFonts w:ascii="Arial" w:hAnsi="Arial" w:cs="Arial"/>
              </w:rPr>
            </w:pPr>
            <w:r>
              <w:rPr>
                <w:rFonts w:ascii="Arial" w:hAnsi="Arial" w:cs="Arial"/>
              </w:rPr>
              <w:t>d)</w:t>
            </w:r>
            <w:r>
              <w:rPr>
                <w:rFonts w:ascii="Arial" w:hAnsi="Arial" w:cs="Arial"/>
                <w:spacing w:val="-4"/>
              </w:rPr>
              <w:t xml:space="preserve"> </w:t>
            </w:r>
            <w:r>
              <w:rPr>
                <w:rFonts w:ascii="Arial" w:hAnsi="Arial" w:cs="Arial"/>
              </w:rPr>
              <w:t>Reposición</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constancia</w:t>
            </w:r>
            <w:r>
              <w:rPr>
                <w:rFonts w:ascii="Arial" w:hAnsi="Arial" w:cs="Arial"/>
                <w:spacing w:val="-4"/>
              </w:rPr>
              <w:t xml:space="preserve"> </w:t>
            </w:r>
            <w:r>
              <w:rPr>
                <w:rFonts w:ascii="Arial" w:hAnsi="Arial" w:cs="Arial"/>
              </w:rPr>
              <w:t>de</w:t>
            </w:r>
            <w:r>
              <w:rPr>
                <w:rFonts w:ascii="Arial" w:hAnsi="Arial" w:cs="Arial"/>
                <w:spacing w:val="-4"/>
              </w:rPr>
              <w:t xml:space="preserve"> </w:t>
            </w:r>
            <w:r>
              <w:rPr>
                <w:rFonts w:ascii="Arial" w:hAnsi="Arial" w:cs="Arial"/>
              </w:rPr>
              <w:t>verificación</w:t>
            </w:r>
            <w:r>
              <w:rPr>
                <w:rFonts w:ascii="Arial" w:hAnsi="Arial" w:cs="Arial"/>
                <w:spacing w:val="-3"/>
              </w:rPr>
              <w:t xml:space="preserve"> </w:t>
            </w:r>
            <w:r>
              <w:rPr>
                <w:rFonts w:ascii="Arial" w:hAnsi="Arial" w:cs="Arial"/>
                <w:spacing w:val="-2"/>
              </w:rPr>
              <w:t>vehicular.</w:t>
            </w:r>
          </w:p>
        </w:tc>
        <w:tc>
          <w:tcPr>
            <w:tcW w:w="1701" w:type="dxa"/>
          </w:tcPr>
          <w:p w14:paraId="3856639A" w14:textId="77777777" w:rsidR="00D3344B" w:rsidRDefault="00143C25">
            <w:pPr>
              <w:pStyle w:val="TableParagraph"/>
              <w:spacing w:before="108"/>
              <w:ind w:right="77"/>
              <w:jc w:val="right"/>
              <w:rPr>
                <w:rFonts w:ascii="Arial" w:hAnsi="Arial" w:cs="Arial"/>
              </w:rPr>
            </w:pPr>
            <w:r>
              <w:rPr>
                <w:rFonts w:ascii="Arial" w:hAnsi="Arial" w:cs="Arial"/>
              </w:rPr>
              <w:t xml:space="preserve">2.5 </w:t>
            </w:r>
            <w:r>
              <w:rPr>
                <w:rFonts w:ascii="Arial" w:hAnsi="Arial" w:cs="Arial"/>
                <w:spacing w:val="-5"/>
              </w:rPr>
              <w:t>UMA</w:t>
            </w:r>
          </w:p>
        </w:tc>
      </w:tr>
      <w:tr w:rsidR="00D3344B" w14:paraId="26E0B77E" w14:textId="77777777">
        <w:trPr>
          <w:trHeight w:val="608"/>
        </w:trPr>
        <w:tc>
          <w:tcPr>
            <w:tcW w:w="7028" w:type="dxa"/>
          </w:tcPr>
          <w:p w14:paraId="28711150"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14B1DF6A" w14:textId="77777777" w:rsidR="00D3344B" w:rsidRDefault="00143C25">
            <w:pPr>
              <w:pStyle w:val="TableParagraph"/>
              <w:spacing w:before="84" w:line="252" w:lineRule="exact"/>
              <w:ind w:left="50"/>
              <w:rPr>
                <w:rFonts w:ascii="Arial" w:hAnsi="Arial" w:cs="Arial"/>
              </w:rPr>
            </w:pPr>
            <w:r>
              <w:rPr>
                <w:rFonts w:ascii="Arial" w:hAnsi="Arial" w:cs="Arial"/>
              </w:rPr>
              <w:t>e) Autorización para cambio de combustión de vehículos</w:t>
            </w:r>
            <w:r>
              <w:rPr>
                <w:rFonts w:ascii="Arial" w:hAnsi="Arial" w:cs="Arial"/>
                <w:spacing w:val="28"/>
              </w:rPr>
              <w:t xml:space="preserve"> </w:t>
            </w:r>
            <w:r>
              <w:rPr>
                <w:rFonts w:ascii="Arial" w:hAnsi="Arial" w:cs="Arial"/>
              </w:rPr>
              <w:t>automotores de gasolina a gas.</w:t>
            </w:r>
          </w:p>
        </w:tc>
        <w:tc>
          <w:tcPr>
            <w:tcW w:w="1701" w:type="dxa"/>
          </w:tcPr>
          <w:p w14:paraId="06D4A593" w14:textId="77777777" w:rsidR="00D3344B" w:rsidRDefault="00143C25">
            <w:pPr>
              <w:pStyle w:val="TableParagraph"/>
              <w:spacing w:before="103"/>
              <w:ind w:right="77"/>
              <w:jc w:val="right"/>
              <w:rPr>
                <w:rFonts w:ascii="Arial" w:hAnsi="Arial" w:cs="Arial"/>
              </w:rPr>
            </w:pPr>
            <w:r>
              <w:rPr>
                <w:rFonts w:ascii="Arial" w:hAnsi="Arial" w:cs="Arial"/>
              </w:rPr>
              <w:t xml:space="preserve">0.5 </w:t>
            </w:r>
            <w:r>
              <w:rPr>
                <w:rFonts w:ascii="Arial" w:hAnsi="Arial" w:cs="Arial"/>
                <w:spacing w:val="-5"/>
              </w:rPr>
              <w:t>UMA</w:t>
            </w:r>
          </w:p>
        </w:tc>
      </w:tr>
      <w:tr w:rsidR="00D3344B" w14:paraId="4AEA8E95" w14:textId="77777777">
        <w:trPr>
          <w:trHeight w:val="1169"/>
        </w:trPr>
        <w:tc>
          <w:tcPr>
            <w:tcW w:w="7028" w:type="dxa"/>
          </w:tcPr>
          <w:p w14:paraId="15EC345E"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21A1BA97" w14:textId="77777777" w:rsidR="00D3344B" w:rsidRDefault="00143C25">
            <w:pPr>
              <w:pStyle w:val="TableParagraph"/>
              <w:ind w:left="50" w:right="325"/>
              <w:jc w:val="both"/>
              <w:rPr>
                <w:rFonts w:ascii="Arial" w:hAnsi="Arial" w:cs="Arial"/>
              </w:rPr>
            </w:pPr>
            <w:r>
              <w:rPr>
                <w:rFonts w:ascii="Arial" w:hAnsi="Arial" w:cs="Arial"/>
              </w:rPr>
              <w:t>f) A</w:t>
            </w:r>
            <w:r>
              <w:rPr>
                <w:rFonts w:ascii="Arial" w:hAnsi="Arial" w:cs="Arial"/>
                <w:spacing w:val="-1"/>
              </w:rPr>
              <w:t xml:space="preserve"> </w:t>
            </w:r>
            <w:r>
              <w:rPr>
                <w:rFonts w:ascii="Arial" w:hAnsi="Arial" w:cs="Arial"/>
              </w:rPr>
              <w:t>los prestadores de servicios ambientales para el Estado de Tlaxcala, en las especialidades de mantenimiento preventivo correctivo y equipos analizadores</w:t>
            </w:r>
            <w:r>
              <w:rPr>
                <w:rFonts w:ascii="Arial" w:hAnsi="Arial" w:cs="Arial"/>
                <w:spacing w:val="-7"/>
              </w:rPr>
              <w:t xml:space="preserve"> </w:t>
            </w:r>
            <w:r>
              <w:rPr>
                <w:rFonts w:ascii="Arial" w:hAnsi="Arial" w:cs="Arial"/>
              </w:rPr>
              <w:t>de</w:t>
            </w:r>
            <w:r>
              <w:rPr>
                <w:rFonts w:ascii="Arial" w:hAnsi="Arial" w:cs="Arial"/>
                <w:spacing w:val="-8"/>
              </w:rPr>
              <w:t xml:space="preserve"> </w:t>
            </w:r>
            <w:r>
              <w:rPr>
                <w:rFonts w:ascii="Arial" w:hAnsi="Arial" w:cs="Arial"/>
              </w:rPr>
              <w:t>gas</w:t>
            </w:r>
            <w:r>
              <w:rPr>
                <w:rFonts w:ascii="Arial" w:hAnsi="Arial" w:cs="Arial"/>
                <w:spacing w:val="-7"/>
              </w:rPr>
              <w:t xml:space="preserve"> </w:t>
            </w:r>
            <w:r>
              <w:rPr>
                <w:rFonts w:ascii="Arial" w:hAnsi="Arial" w:cs="Arial"/>
              </w:rPr>
              <w:t>y</w:t>
            </w:r>
            <w:r>
              <w:rPr>
                <w:rFonts w:ascii="Arial" w:hAnsi="Arial" w:cs="Arial"/>
                <w:spacing w:val="-8"/>
              </w:rPr>
              <w:t xml:space="preserve"> </w:t>
            </w:r>
            <w:r>
              <w:rPr>
                <w:rFonts w:ascii="Arial" w:hAnsi="Arial" w:cs="Arial"/>
              </w:rPr>
              <w:t>sistemas</w:t>
            </w:r>
            <w:r>
              <w:rPr>
                <w:rFonts w:ascii="Arial" w:hAnsi="Arial" w:cs="Arial"/>
                <w:spacing w:val="-7"/>
              </w:rPr>
              <w:t xml:space="preserve"> </w:t>
            </w:r>
            <w:r>
              <w:rPr>
                <w:rFonts w:ascii="Arial" w:hAnsi="Arial" w:cs="Arial"/>
              </w:rPr>
              <w:t>de</w:t>
            </w:r>
            <w:r>
              <w:rPr>
                <w:rFonts w:ascii="Arial" w:hAnsi="Arial" w:cs="Arial"/>
                <w:spacing w:val="-8"/>
              </w:rPr>
              <w:t xml:space="preserve"> </w:t>
            </w:r>
            <w:r>
              <w:rPr>
                <w:rFonts w:ascii="Arial" w:hAnsi="Arial" w:cs="Arial"/>
              </w:rPr>
              <w:t>video</w:t>
            </w:r>
            <w:r>
              <w:rPr>
                <w:rFonts w:ascii="Arial" w:hAnsi="Arial" w:cs="Arial"/>
                <w:spacing w:val="-8"/>
              </w:rPr>
              <w:t xml:space="preserve"> </w:t>
            </w:r>
            <w:r>
              <w:rPr>
                <w:rFonts w:ascii="Arial" w:hAnsi="Arial" w:cs="Arial"/>
              </w:rPr>
              <w:t>vigilancia,</w:t>
            </w:r>
            <w:r>
              <w:rPr>
                <w:rFonts w:ascii="Arial" w:hAnsi="Arial" w:cs="Arial"/>
                <w:spacing w:val="-8"/>
              </w:rPr>
              <w:t xml:space="preserve"> </w:t>
            </w:r>
            <w:r>
              <w:rPr>
                <w:rFonts w:ascii="Arial" w:hAnsi="Arial" w:cs="Arial"/>
              </w:rPr>
              <w:t>entre</w:t>
            </w:r>
            <w:r>
              <w:rPr>
                <w:rFonts w:ascii="Arial" w:hAnsi="Arial" w:cs="Arial"/>
                <w:spacing w:val="-8"/>
              </w:rPr>
              <w:t xml:space="preserve"> </w:t>
            </w:r>
            <w:r>
              <w:rPr>
                <w:rFonts w:ascii="Arial" w:hAnsi="Arial" w:cs="Arial"/>
              </w:rPr>
              <w:t>otros</w:t>
            </w:r>
            <w:r>
              <w:rPr>
                <w:rFonts w:ascii="Arial" w:hAnsi="Arial" w:cs="Arial"/>
                <w:spacing w:val="-4"/>
              </w:rPr>
              <w:t xml:space="preserve"> </w:t>
            </w:r>
            <w:r>
              <w:rPr>
                <w:rFonts w:ascii="Arial" w:hAnsi="Arial" w:cs="Arial"/>
              </w:rPr>
              <w:t>“con</w:t>
            </w:r>
            <w:r>
              <w:rPr>
                <w:rFonts w:ascii="Arial" w:hAnsi="Arial" w:cs="Arial"/>
                <w:spacing w:val="-8"/>
              </w:rPr>
              <w:t xml:space="preserve"> </w:t>
            </w:r>
            <w:r>
              <w:rPr>
                <w:rFonts w:ascii="Arial" w:hAnsi="Arial" w:cs="Arial"/>
              </w:rPr>
              <w:t>vigencia de un año”.</w:t>
            </w:r>
          </w:p>
        </w:tc>
        <w:tc>
          <w:tcPr>
            <w:tcW w:w="1701" w:type="dxa"/>
          </w:tcPr>
          <w:p w14:paraId="547FEE6C" w14:textId="77777777" w:rsidR="00D3344B" w:rsidRDefault="00143C25">
            <w:pPr>
              <w:pStyle w:val="TableParagraph"/>
              <w:spacing w:line="244" w:lineRule="exact"/>
              <w:ind w:right="76"/>
              <w:jc w:val="right"/>
              <w:rPr>
                <w:rFonts w:ascii="Arial" w:hAnsi="Arial" w:cs="Arial"/>
              </w:rPr>
            </w:pPr>
            <w:r>
              <w:rPr>
                <w:rFonts w:ascii="Arial" w:hAnsi="Arial" w:cs="Arial"/>
              </w:rPr>
              <w:t xml:space="preserve">52 </w:t>
            </w:r>
            <w:r>
              <w:rPr>
                <w:rFonts w:ascii="Arial" w:hAnsi="Arial" w:cs="Arial"/>
                <w:spacing w:val="-5"/>
              </w:rPr>
              <w:t>UMA</w:t>
            </w:r>
          </w:p>
        </w:tc>
      </w:tr>
      <w:tr w:rsidR="00D3344B" w14:paraId="32D4D798" w14:textId="77777777">
        <w:trPr>
          <w:trHeight w:val="1042"/>
        </w:trPr>
        <w:tc>
          <w:tcPr>
            <w:tcW w:w="7028" w:type="dxa"/>
          </w:tcPr>
          <w:p w14:paraId="236CD2CE"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20DFF929" w14:textId="77777777" w:rsidR="00D3344B" w:rsidRDefault="00143C25">
            <w:pPr>
              <w:pStyle w:val="TableParagraph"/>
              <w:spacing w:before="154"/>
              <w:ind w:left="50" w:right="330"/>
              <w:jc w:val="both"/>
              <w:rPr>
                <w:rFonts w:ascii="Arial" w:hAnsi="Arial" w:cs="Arial"/>
              </w:rPr>
            </w:pP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4"/>
              </w:rPr>
              <w:t xml:space="preserve"> </w:t>
            </w:r>
            <w:r>
              <w:rPr>
                <w:rFonts w:ascii="Arial" w:hAnsi="Arial" w:cs="Arial"/>
              </w:rPr>
              <w:t>los</w:t>
            </w:r>
            <w:r>
              <w:rPr>
                <w:rFonts w:ascii="Arial" w:hAnsi="Arial" w:cs="Arial"/>
                <w:spacing w:val="-3"/>
              </w:rPr>
              <w:t xml:space="preserve"> </w:t>
            </w:r>
            <w:r>
              <w:rPr>
                <w:rFonts w:ascii="Arial" w:hAnsi="Arial" w:cs="Arial"/>
              </w:rPr>
              <w:t>prestadores</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servicios</w:t>
            </w:r>
            <w:r>
              <w:rPr>
                <w:rFonts w:ascii="Arial" w:hAnsi="Arial" w:cs="Arial"/>
                <w:spacing w:val="-3"/>
              </w:rPr>
              <w:t xml:space="preserve"> </w:t>
            </w:r>
            <w:r>
              <w:rPr>
                <w:rFonts w:ascii="Arial" w:hAnsi="Arial" w:cs="Arial"/>
              </w:rPr>
              <w:t>ambientales</w:t>
            </w:r>
            <w:r>
              <w:rPr>
                <w:rFonts w:ascii="Arial" w:hAnsi="Arial" w:cs="Arial"/>
                <w:spacing w:val="-3"/>
              </w:rPr>
              <w:t xml:space="preserve"> </w:t>
            </w:r>
            <w:r>
              <w:rPr>
                <w:rFonts w:ascii="Arial" w:hAnsi="Arial" w:cs="Arial"/>
              </w:rPr>
              <w:t>para</w:t>
            </w:r>
            <w:r>
              <w:rPr>
                <w:rFonts w:ascii="Arial" w:hAnsi="Arial" w:cs="Arial"/>
                <w:spacing w:val="-3"/>
              </w:rPr>
              <w:t xml:space="preserve"> </w:t>
            </w:r>
            <w:r>
              <w:rPr>
                <w:rFonts w:ascii="Arial" w:hAnsi="Arial" w:cs="Arial"/>
              </w:rPr>
              <w:t>el</w:t>
            </w:r>
            <w:r>
              <w:rPr>
                <w:rFonts w:ascii="Arial" w:hAnsi="Arial" w:cs="Arial"/>
                <w:spacing w:val="-2"/>
              </w:rPr>
              <w:t xml:space="preserve"> </w:t>
            </w:r>
            <w:r>
              <w:rPr>
                <w:rFonts w:ascii="Arial" w:hAnsi="Arial" w:cs="Arial"/>
              </w:rPr>
              <w:t>Estado</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rPr>
              <w:t>Tlaxcala,</w:t>
            </w:r>
            <w:r>
              <w:rPr>
                <w:rFonts w:ascii="Arial" w:hAnsi="Arial" w:cs="Arial"/>
                <w:spacing w:val="-3"/>
              </w:rPr>
              <w:t xml:space="preserve"> </w:t>
            </w:r>
            <w:r>
              <w:rPr>
                <w:rFonts w:ascii="Arial" w:hAnsi="Arial" w:cs="Arial"/>
              </w:rPr>
              <w:t>en la especialidad de calibración de equipos analizadores de gases (curva de calibración) “con vigencia de un año”.</w:t>
            </w:r>
          </w:p>
        </w:tc>
        <w:tc>
          <w:tcPr>
            <w:tcW w:w="1701" w:type="dxa"/>
          </w:tcPr>
          <w:p w14:paraId="4B6668F2" w14:textId="77777777" w:rsidR="00D3344B" w:rsidRDefault="00143C25">
            <w:pPr>
              <w:pStyle w:val="TableParagraph"/>
              <w:spacing w:before="154"/>
              <w:ind w:right="76"/>
              <w:jc w:val="right"/>
              <w:rPr>
                <w:rFonts w:ascii="Arial" w:hAnsi="Arial" w:cs="Arial"/>
              </w:rPr>
            </w:pPr>
            <w:r>
              <w:rPr>
                <w:rFonts w:ascii="Arial" w:hAnsi="Arial" w:cs="Arial"/>
              </w:rPr>
              <w:t xml:space="preserve">52 </w:t>
            </w:r>
            <w:r>
              <w:rPr>
                <w:rFonts w:ascii="Arial" w:hAnsi="Arial" w:cs="Arial"/>
                <w:spacing w:val="-5"/>
              </w:rPr>
              <w:t>UMA</w:t>
            </w:r>
          </w:p>
        </w:tc>
      </w:tr>
      <w:tr w:rsidR="00D3344B" w14:paraId="14758787" w14:textId="77777777">
        <w:trPr>
          <w:trHeight w:val="723"/>
        </w:trPr>
        <w:tc>
          <w:tcPr>
            <w:tcW w:w="7028" w:type="dxa"/>
          </w:tcPr>
          <w:p w14:paraId="2A5FA73B"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329F4113" w14:textId="77777777" w:rsidR="00D3344B" w:rsidRDefault="00143C25">
            <w:pPr>
              <w:pStyle w:val="TableParagraph"/>
              <w:spacing w:before="122"/>
              <w:ind w:left="50" w:right="10"/>
              <w:rPr>
                <w:rFonts w:ascii="Arial" w:hAnsi="Arial" w:cs="Arial"/>
              </w:rPr>
            </w:pPr>
            <w:r>
              <w:rPr>
                <w:rFonts w:ascii="Arial" w:hAnsi="Arial" w:cs="Arial"/>
              </w:rPr>
              <w:t>h)</w:t>
            </w:r>
            <w:r>
              <w:rPr>
                <w:rFonts w:ascii="Arial" w:hAnsi="Arial" w:cs="Arial"/>
                <w:spacing w:val="-3"/>
              </w:rPr>
              <w:t xml:space="preserve"> </w:t>
            </w:r>
            <w:r>
              <w:rPr>
                <w:rFonts w:ascii="Arial" w:hAnsi="Arial" w:cs="Arial"/>
              </w:rPr>
              <w:t>Por</w:t>
            </w:r>
            <w:r>
              <w:rPr>
                <w:rFonts w:ascii="Arial" w:hAnsi="Arial" w:cs="Arial"/>
                <w:spacing w:val="-3"/>
              </w:rPr>
              <w:t xml:space="preserve"> </w:t>
            </w:r>
            <w:r>
              <w:rPr>
                <w:rFonts w:ascii="Arial" w:hAnsi="Arial" w:cs="Arial"/>
              </w:rPr>
              <w:t>la</w:t>
            </w:r>
            <w:r>
              <w:rPr>
                <w:rFonts w:ascii="Arial" w:hAnsi="Arial" w:cs="Arial"/>
                <w:spacing w:val="-3"/>
              </w:rPr>
              <w:t xml:space="preserve"> </w:t>
            </w:r>
            <w:r>
              <w:rPr>
                <w:rFonts w:ascii="Arial" w:hAnsi="Arial" w:cs="Arial"/>
              </w:rPr>
              <w:t>adquisición</w:t>
            </w:r>
            <w:r>
              <w:rPr>
                <w:rFonts w:ascii="Arial" w:hAnsi="Arial" w:cs="Arial"/>
                <w:spacing w:val="-3"/>
              </w:rPr>
              <w:t xml:space="preserve"> </w:t>
            </w:r>
            <w:r>
              <w:rPr>
                <w:rFonts w:ascii="Arial" w:hAnsi="Arial" w:cs="Arial"/>
              </w:rPr>
              <w:t>que</w:t>
            </w:r>
            <w:r>
              <w:rPr>
                <w:rFonts w:ascii="Arial" w:hAnsi="Arial" w:cs="Arial"/>
                <w:spacing w:val="-3"/>
              </w:rPr>
              <w:t xml:space="preserve"> </w:t>
            </w:r>
            <w:r>
              <w:rPr>
                <w:rFonts w:ascii="Arial" w:hAnsi="Arial" w:cs="Arial"/>
              </w:rPr>
              <w:t>realice</w:t>
            </w:r>
            <w:r>
              <w:rPr>
                <w:rFonts w:ascii="Arial" w:hAnsi="Arial" w:cs="Arial"/>
                <w:spacing w:val="-3"/>
              </w:rPr>
              <w:t xml:space="preserve"> </w:t>
            </w:r>
            <w:r>
              <w:rPr>
                <w:rFonts w:ascii="Arial" w:hAnsi="Arial" w:cs="Arial"/>
              </w:rPr>
              <w:t>el</w:t>
            </w:r>
            <w:r>
              <w:rPr>
                <w:rFonts w:ascii="Arial" w:hAnsi="Arial" w:cs="Arial"/>
                <w:spacing w:val="-2"/>
              </w:rPr>
              <w:t xml:space="preserve"> </w:t>
            </w:r>
            <w:r>
              <w:rPr>
                <w:rFonts w:ascii="Arial" w:hAnsi="Arial" w:cs="Arial"/>
              </w:rPr>
              <w:t>concesionario</w:t>
            </w:r>
            <w:r>
              <w:rPr>
                <w:rFonts w:ascii="Arial" w:hAnsi="Arial" w:cs="Arial"/>
                <w:spacing w:val="-3"/>
              </w:rPr>
              <w:t xml:space="preserve"> </w:t>
            </w:r>
            <w:r>
              <w:rPr>
                <w:rFonts w:ascii="Arial" w:hAnsi="Arial" w:cs="Arial"/>
              </w:rPr>
              <w:t>de</w:t>
            </w:r>
            <w:r>
              <w:rPr>
                <w:rFonts w:ascii="Arial" w:hAnsi="Arial" w:cs="Arial"/>
                <w:spacing w:val="-3"/>
              </w:rPr>
              <w:t xml:space="preserve"> </w:t>
            </w:r>
            <w:proofErr w:type="spellStart"/>
            <w:r>
              <w:rPr>
                <w:rFonts w:ascii="Arial" w:hAnsi="Arial" w:cs="Arial"/>
              </w:rPr>
              <w:t>verificentro</w:t>
            </w:r>
            <w:proofErr w:type="spellEnd"/>
            <w:r>
              <w:rPr>
                <w:rFonts w:ascii="Arial" w:hAnsi="Arial" w:cs="Arial"/>
                <w:spacing w:val="-3"/>
              </w:rPr>
              <w:t xml:space="preserve"> </w:t>
            </w:r>
            <w:r>
              <w:rPr>
                <w:rFonts w:ascii="Arial" w:hAnsi="Arial" w:cs="Arial"/>
              </w:rPr>
              <w:t>pagará</w:t>
            </w:r>
            <w:r>
              <w:rPr>
                <w:rFonts w:ascii="Arial" w:hAnsi="Arial" w:cs="Arial"/>
                <w:spacing w:val="-3"/>
              </w:rPr>
              <w:t xml:space="preserve"> </w:t>
            </w:r>
            <w:r>
              <w:rPr>
                <w:rFonts w:ascii="Arial" w:hAnsi="Arial" w:cs="Arial"/>
              </w:rPr>
              <w:t>por cada certificado y holograma cero “0”.</w:t>
            </w:r>
          </w:p>
        </w:tc>
        <w:tc>
          <w:tcPr>
            <w:tcW w:w="1701" w:type="dxa"/>
          </w:tcPr>
          <w:p w14:paraId="22904A0D" w14:textId="77777777" w:rsidR="00D3344B" w:rsidRDefault="00143C25">
            <w:pPr>
              <w:pStyle w:val="TableParagraph"/>
              <w:spacing w:before="122"/>
              <w:ind w:left="410"/>
              <w:rPr>
                <w:rFonts w:ascii="Arial" w:hAnsi="Arial" w:cs="Arial"/>
              </w:rPr>
            </w:pPr>
            <w:r>
              <w:rPr>
                <w:rFonts w:ascii="Arial" w:hAnsi="Arial" w:cs="Arial"/>
              </w:rPr>
              <w:t xml:space="preserve">1 </w:t>
            </w:r>
            <w:r>
              <w:rPr>
                <w:rFonts w:ascii="Arial" w:hAnsi="Arial" w:cs="Arial"/>
                <w:spacing w:val="-5"/>
              </w:rPr>
              <w:t>UMA</w:t>
            </w:r>
          </w:p>
        </w:tc>
      </w:tr>
      <w:tr w:rsidR="00D3344B" w14:paraId="4A4D7303" w14:textId="77777777">
        <w:trPr>
          <w:trHeight w:val="695"/>
        </w:trPr>
        <w:tc>
          <w:tcPr>
            <w:tcW w:w="7028" w:type="dxa"/>
          </w:tcPr>
          <w:p w14:paraId="7BDCFF5C"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683D6AE6" w14:textId="77777777" w:rsidR="00D3344B" w:rsidRDefault="00143C25">
            <w:pPr>
              <w:pStyle w:val="TableParagraph"/>
              <w:spacing w:before="85"/>
              <w:ind w:left="50" w:right="10"/>
              <w:rPr>
                <w:rFonts w:ascii="Arial" w:hAnsi="Arial" w:cs="Arial"/>
              </w:rPr>
            </w:pPr>
            <w:r>
              <w:rPr>
                <w:rFonts w:ascii="Arial" w:hAnsi="Arial" w:cs="Arial"/>
              </w:rPr>
              <w:t>i) Por</w:t>
            </w:r>
            <w:r>
              <w:rPr>
                <w:rFonts w:ascii="Arial" w:hAnsi="Arial" w:cs="Arial"/>
                <w:spacing w:val="-1"/>
              </w:rPr>
              <w:t xml:space="preserve"> </w:t>
            </w:r>
            <w:r>
              <w:rPr>
                <w:rFonts w:ascii="Arial" w:hAnsi="Arial" w:cs="Arial"/>
              </w:rPr>
              <w:t>la adquisición que</w:t>
            </w:r>
            <w:r>
              <w:rPr>
                <w:rFonts w:ascii="Arial" w:hAnsi="Arial" w:cs="Arial"/>
                <w:spacing w:val="-1"/>
              </w:rPr>
              <w:t xml:space="preserve"> </w:t>
            </w:r>
            <w:r>
              <w:rPr>
                <w:rFonts w:ascii="Arial" w:hAnsi="Arial" w:cs="Arial"/>
              </w:rPr>
              <w:t xml:space="preserve">realice el concesionario de </w:t>
            </w:r>
            <w:proofErr w:type="spellStart"/>
            <w:r>
              <w:rPr>
                <w:rFonts w:ascii="Arial" w:hAnsi="Arial" w:cs="Arial"/>
              </w:rPr>
              <w:t>verificentro</w:t>
            </w:r>
            <w:proofErr w:type="spellEnd"/>
            <w:r>
              <w:rPr>
                <w:rFonts w:ascii="Arial" w:hAnsi="Arial" w:cs="Arial"/>
              </w:rPr>
              <w:t xml:space="preserve"> pagará por cada certificado y holograma doble cero “00”.</w:t>
            </w:r>
          </w:p>
        </w:tc>
        <w:tc>
          <w:tcPr>
            <w:tcW w:w="1701" w:type="dxa"/>
          </w:tcPr>
          <w:p w14:paraId="173AEAC6" w14:textId="77777777" w:rsidR="00D3344B" w:rsidRDefault="00143C25">
            <w:pPr>
              <w:pStyle w:val="TableParagraph"/>
              <w:spacing w:before="85"/>
              <w:ind w:left="410"/>
              <w:rPr>
                <w:rFonts w:ascii="Arial" w:hAnsi="Arial" w:cs="Arial"/>
              </w:rPr>
            </w:pPr>
            <w:r>
              <w:rPr>
                <w:rFonts w:ascii="Arial" w:hAnsi="Arial" w:cs="Arial"/>
              </w:rPr>
              <w:t xml:space="preserve">2 </w:t>
            </w:r>
            <w:r>
              <w:rPr>
                <w:rFonts w:ascii="Arial" w:hAnsi="Arial" w:cs="Arial"/>
                <w:spacing w:val="-5"/>
              </w:rPr>
              <w:t>UMA</w:t>
            </w:r>
          </w:p>
        </w:tc>
      </w:tr>
      <w:tr w:rsidR="00D3344B" w14:paraId="22576052" w14:textId="77777777">
        <w:trPr>
          <w:trHeight w:val="711"/>
        </w:trPr>
        <w:tc>
          <w:tcPr>
            <w:tcW w:w="7028" w:type="dxa"/>
          </w:tcPr>
          <w:p w14:paraId="18422610"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3CBB03D6" w14:textId="77777777" w:rsidR="00D3344B" w:rsidRDefault="00143C25">
            <w:pPr>
              <w:pStyle w:val="TableParagraph"/>
              <w:spacing w:before="96"/>
              <w:ind w:left="50" w:right="10"/>
              <w:rPr>
                <w:rFonts w:ascii="Arial" w:hAnsi="Arial" w:cs="Arial"/>
              </w:rPr>
            </w:pPr>
            <w:r>
              <w:rPr>
                <w:rFonts w:ascii="Arial" w:hAnsi="Arial" w:cs="Arial"/>
              </w:rPr>
              <w:t>j) En caso de ser procedente la autorización por alguna de las excepciones previstas en el programa de verificación vehicular.</w:t>
            </w:r>
          </w:p>
        </w:tc>
        <w:tc>
          <w:tcPr>
            <w:tcW w:w="1701" w:type="dxa"/>
          </w:tcPr>
          <w:p w14:paraId="6D8F0247" w14:textId="77777777" w:rsidR="00D3344B" w:rsidRDefault="00143C25">
            <w:pPr>
              <w:pStyle w:val="TableParagraph"/>
              <w:spacing w:before="96"/>
              <w:ind w:left="410"/>
              <w:rPr>
                <w:rFonts w:ascii="Arial" w:hAnsi="Arial" w:cs="Arial"/>
              </w:rPr>
            </w:pPr>
            <w:r>
              <w:rPr>
                <w:rFonts w:ascii="Arial" w:hAnsi="Arial" w:cs="Arial"/>
              </w:rPr>
              <w:t xml:space="preserve">1 </w:t>
            </w:r>
            <w:r>
              <w:rPr>
                <w:rFonts w:ascii="Arial" w:hAnsi="Arial" w:cs="Arial"/>
                <w:spacing w:val="-5"/>
              </w:rPr>
              <w:t>UMA</w:t>
            </w:r>
          </w:p>
        </w:tc>
      </w:tr>
      <w:tr w:rsidR="00D3344B" w14:paraId="4BEC59BA" w14:textId="77777777">
        <w:trPr>
          <w:trHeight w:val="1365"/>
        </w:trPr>
        <w:tc>
          <w:tcPr>
            <w:tcW w:w="7028" w:type="dxa"/>
          </w:tcPr>
          <w:p w14:paraId="0D16ED74" w14:textId="77777777" w:rsidR="00D3344B" w:rsidRDefault="00143C25">
            <w:pPr>
              <w:pStyle w:val="Estilo"/>
              <w:widowControl w:val="0"/>
              <w:suppressAutoHyphens w:val="0"/>
              <w:jc w:val="left"/>
              <w:rPr>
                <w:rFonts w:cs="Arial"/>
                <w:i/>
                <w:iCs/>
                <w:sz w:val="16"/>
                <w:szCs w:val="16"/>
              </w:rPr>
            </w:pPr>
            <w:r>
              <w:rPr>
                <w:rFonts w:eastAsia="Calibri" w:cs="Arial"/>
                <w:i/>
                <w:iCs/>
                <w:sz w:val="16"/>
                <w:szCs w:val="16"/>
              </w:rPr>
              <w:t>(REFORMADO, P.O. 29 DE NOVIEMBRE DE 2023)</w:t>
            </w:r>
          </w:p>
          <w:p w14:paraId="43A02F71" w14:textId="77777777" w:rsidR="00D3344B" w:rsidRDefault="00143C25">
            <w:pPr>
              <w:pStyle w:val="TableParagraph"/>
              <w:spacing w:before="99"/>
              <w:ind w:left="50" w:right="328"/>
              <w:jc w:val="both"/>
              <w:rPr>
                <w:rFonts w:ascii="Arial" w:hAnsi="Arial" w:cs="Arial"/>
              </w:rPr>
            </w:pPr>
            <w:r>
              <w:rPr>
                <w:rFonts w:ascii="Arial" w:hAnsi="Arial" w:cs="Arial"/>
              </w:rPr>
              <w:t>k) Por la prestación del servicio de plataforma y porcada certificado aprobatorio emitido por las Unidades de Inspección de Emisiones Contaminantes</w:t>
            </w:r>
            <w:r>
              <w:rPr>
                <w:rFonts w:ascii="Arial" w:hAnsi="Arial" w:cs="Arial"/>
                <w:spacing w:val="-11"/>
              </w:rPr>
              <w:t xml:space="preserve"> </w:t>
            </w:r>
            <w:r>
              <w:rPr>
                <w:rFonts w:ascii="Arial" w:hAnsi="Arial" w:cs="Arial"/>
              </w:rPr>
              <w:t>Vehiculares</w:t>
            </w:r>
            <w:r>
              <w:rPr>
                <w:rFonts w:ascii="Arial" w:hAnsi="Arial" w:cs="Arial"/>
                <w:spacing w:val="-13"/>
              </w:rPr>
              <w:t xml:space="preserve"> </w:t>
            </w:r>
            <w:r>
              <w:rPr>
                <w:rFonts w:ascii="Arial" w:hAnsi="Arial" w:cs="Arial"/>
              </w:rPr>
              <w:t>(UIECV),</w:t>
            </w:r>
            <w:r>
              <w:rPr>
                <w:rFonts w:ascii="Arial" w:hAnsi="Arial" w:cs="Arial"/>
                <w:spacing w:val="-12"/>
              </w:rPr>
              <w:t xml:space="preserve"> </w:t>
            </w:r>
            <w:r>
              <w:rPr>
                <w:rFonts w:ascii="Arial" w:hAnsi="Arial" w:cs="Arial"/>
              </w:rPr>
              <w:t>realizando</w:t>
            </w:r>
            <w:r>
              <w:rPr>
                <w:rFonts w:ascii="Arial" w:hAnsi="Arial" w:cs="Arial"/>
                <w:spacing w:val="-12"/>
              </w:rPr>
              <w:t xml:space="preserve"> </w:t>
            </w:r>
            <w:r>
              <w:rPr>
                <w:rFonts w:ascii="Arial" w:hAnsi="Arial" w:cs="Arial"/>
              </w:rPr>
              <w:t>el</w:t>
            </w:r>
            <w:r>
              <w:rPr>
                <w:rFonts w:ascii="Arial" w:hAnsi="Arial" w:cs="Arial"/>
                <w:spacing w:val="-11"/>
              </w:rPr>
              <w:t xml:space="preserve"> </w:t>
            </w:r>
            <w:r>
              <w:rPr>
                <w:rFonts w:ascii="Arial" w:hAnsi="Arial" w:cs="Arial"/>
              </w:rPr>
              <w:t>pago</w:t>
            </w:r>
            <w:r>
              <w:rPr>
                <w:rFonts w:ascii="Arial" w:hAnsi="Arial" w:cs="Arial"/>
                <w:spacing w:val="-12"/>
              </w:rPr>
              <w:t xml:space="preserve"> </w:t>
            </w:r>
            <w:r>
              <w:rPr>
                <w:rFonts w:ascii="Arial" w:hAnsi="Arial" w:cs="Arial"/>
              </w:rPr>
              <w:t>dentro</w:t>
            </w:r>
            <w:r>
              <w:rPr>
                <w:rFonts w:ascii="Arial" w:hAnsi="Arial" w:cs="Arial"/>
                <w:spacing w:val="-14"/>
              </w:rPr>
              <w:t xml:space="preserve"> </w:t>
            </w:r>
            <w:r>
              <w:rPr>
                <w:rFonts w:ascii="Arial" w:hAnsi="Arial" w:cs="Arial"/>
              </w:rPr>
              <w:t>de</w:t>
            </w:r>
            <w:r>
              <w:rPr>
                <w:rFonts w:ascii="Arial" w:hAnsi="Arial" w:cs="Arial"/>
                <w:spacing w:val="-13"/>
              </w:rPr>
              <w:t xml:space="preserve"> </w:t>
            </w:r>
            <w:r>
              <w:rPr>
                <w:rFonts w:ascii="Arial" w:hAnsi="Arial" w:cs="Arial"/>
              </w:rPr>
              <w:t>los</w:t>
            </w:r>
            <w:r>
              <w:rPr>
                <w:rFonts w:ascii="Arial" w:hAnsi="Arial" w:cs="Arial"/>
                <w:spacing w:val="-13"/>
              </w:rPr>
              <w:t xml:space="preserve"> </w:t>
            </w:r>
            <w:r>
              <w:rPr>
                <w:rFonts w:ascii="Arial" w:hAnsi="Arial" w:cs="Arial"/>
              </w:rPr>
              <w:t>cinco días</w:t>
            </w:r>
            <w:r>
              <w:rPr>
                <w:rFonts w:ascii="Arial" w:hAnsi="Arial" w:cs="Arial"/>
                <w:spacing w:val="53"/>
              </w:rPr>
              <w:t xml:space="preserve"> </w:t>
            </w:r>
            <w:r>
              <w:rPr>
                <w:rFonts w:ascii="Arial" w:hAnsi="Arial" w:cs="Arial"/>
              </w:rPr>
              <w:t>hábiles</w:t>
            </w:r>
            <w:r>
              <w:rPr>
                <w:rFonts w:ascii="Arial" w:hAnsi="Arial" w:cs="Arial"/>
                <w:spacing w:val="55"/>
              </w:rPr>
              <w:t xml:space="preserve"> </w:t>
            </w:r>
            <w:r>
              <w:rPr>
                <w:rFonts w:ascii="Arial" w:hAnsi="Arial" w:cs="Arial"/>
              </w:rPr>
              <w:t>posteriores</w:t>
            </w:r>
            <w:r>
              <w:rPr>
                <w:rFonts w:ascii="Arial" w:hAnsi="Arial" w:cs="Arial"/>
                <w:spacing w:val="58"/>
              </w:rPr>
              <w:t xml:space="preserve"> </w:t>
            </w:r>
            <w:r>
              <w:rPr>
                <w:rFonts w:ascii="Arial" w:hAnsi="Arial" w:cs="Arial"/>
              </w:rPr>
              <w:t>a</w:t>
            </w:r>
            <w:r>
              <w:rPr>
                <w:rFonts w:ascii="Arial" w:hAnsi="Arial" w:cs="Arial"/>
                <w:spacing w:val="55"/>
              </w:rPr>
              <w:t xml:space="preserve"> </w:t>
            </w:r>
            <w:r>
              <w:rPr>
                <w:rFonts w:ascii="Arial" w:hAnsi="Arial" w:cs="Arial"/>
              </w:rPr>
              <w:t>la</w:t>
            </w:r>
            <w:r>
              <w:rPr>
                <w:rFonts w:ascii="Arial" w:hAnsi="Arial" w:cs="Arial"/>
                <w:spacing w:val="56"/>
              </w:rPr>
              <w:t xml:space="preserve"> </w:t>
            </w:r>
            <w:r>
              <w:rPr>
                <w:rFonts w:ascii="Arial" w:hAnsi="Arial" w:cs="Arial"/>
              </w:rPr>
              <w:t>conclusión</w:t>
            </w:r>
            <w:r>
              <w:rPr>
                <w:rFonts w:ascii="Arial" w:hAnsi="Arial" w:cs="Arial"/>
                <w:spacing w:val="54"/>
              </w:rPr>
              <w:t xml:space="preserve"> </w:t>
            </w:r>
            <w:r>
              <w:rPr>
                <w:rFonts w:ascii="Arial" w:hAnsi="Arial" w:cs="Arial"/>
              </w:rPr>
              <w:t>del</w:t>
            </w:r>
            <w:r>
              <w:rPr>
                <w:rFonts w:ascii="Arial" w:hAnsi="Arial" w:cs="Arial"/>
                <w:spacing w:val="54"/>
              </w:rPr>
              <w:t xml:space="preserve"> </w:t>
            </w:r>
            <w:r>
              <w:rPr>
                <w:rFonts w:ascii="Arial" w:hAnsi="Arial" w:cs="Arial"/>
              </w:rPr>
              <w:t>mes</w:t>
            </w:r>
            <w:r>
              <w:rPr>
                <w:rFonts w:ascii="Arial" w:hAnsi="Arial" w:cs="Arial"/>
                <w:spacing w:val="55"/>
              </w:rPr>
              <w:t xml:space="preserve"> </w:t>
            </w:r>
            <w:r>
              <w:rPr>
                <w:rFonts w:ascii="Arial" w:hAnsi="Arial" w:cs="Arial"/>
              </w:rPr>
              <w:t>que</w:t>
            </w:r>
            <w:r>
              <w:rPr>
                <w:rFonts w:ascii="Arial" w:hAnsi="Arial" w:cs="Arial"/>
                <w:spacing w:val="58"/>
              </w:rPr>
              <w:t xml:space="preserve"> </w:t>
            </w:r>
            <w:r>
              <w:rPr>
                <w:rFonts w:ascii="Arial" w:hAnsi="Arial" w:cs="Arial"/>
              </w:rPr>
              <w:t>corresponda</w:t>
            </w:r>
            <w:r>
              <w:rPr>
                <w:rFonts w:ascii="Arial" w:hAnsi="Arial" w:cs="Arial"/>
                <w:spacing w:val="55"/>
              </w:rPr>
              <w:t xml:space="preserve"> </w:t>
            </w:r>
            <w:r>
              <w:rPr>
                <w:rFonts w:ascii="Arial" w:hAnsi="Arial" w:cs="Arial"/>
              </w:rPr>
              <w:t>a</w:t>
            </w:r>
            <w:r>
              <w:rPr>
                <w:rFonts w:ascii="Arial" w:hAnsi="Arial" w:cs="Arial"/>
                <w:spacing w:val="56"/>
              </w:rPr>
              <w:t xml:space="preserve"> </w:t>
            </w:r>
            <w:r>
              <w:rPr>
                <w:rFonts w:ascii="Arial" w:hAnsi="Arial" w:cs="Arial"/>
                <w:spacing w:val="-5"/>
              </w:rPr>
              <w:t xml:space="preserve">la </w:t>
            </w:r>
            <w:r>
              <w:rPr>
                <w:rFonts w:ascii="Arial" w:hAnsi="Arial" w:cs="Arial"/>
              </w:rPr>
              <w:t>prestación</w:t>
            </w:r>
            <w:r>
              <w:rPr>
                <w:rFonts w:ascii="Arial" w:hAnsi="Arial" w:cs="Arial"/>
                <w:spacing w:val="-5"/>
              </w:rPr>
              <w:t xml:space="preserve"> </w:t>
            </w:r>
            <w:r>
              <w:rPr>
                <w:rFonts w:ascii="Arial" w:hAnsi="Arial" w:cs="Arial"/>
              </w:rPr>
              <w:t>del</w:t>
            </w:r>
            <w:r>
              <w:rPr>
                <w:rFonts w:ascii="Arial" w:hAnsi="Arial" w:cs="Arial"/>
                <w:spacing w:val="-2"/>
              </w:rPr>
              <w:t xml:space="preserve"> </w:t>
            </w:r>
            <w:proofErr w:type="gramStart"/>
            <w:r>
              <w:rPr>
                <w:rFonts w:ascii="Arial" w:hAnsi="Arial" w:cs="Arial"/>
              </w:rPr>
              <w:t>servicio</w:t>
            </w:r>
            <w:r>
              <w:rPr>
                <w:rFonts w:ascii="Arial" w:hAnsi="Arial" w:cs="Arial"/>
                <w:spacing w:val="55"/>
                <w:w w:val="150"/>
              </w:rPr>
              <w:t xml:space="preserve"> </w:t>
            </w:r>
            <w:r>
              <w:rPr>
                <w:rFonts w:ascii="Arial" w:hAnsi="Arial" w:cs="Arial"/>
                <w:spacing w:val="-10"/>
              </w:rPr>
              <w:t>.</w:t>
            </w:r>
            <w:proofErr w:type="gramEnd"/>
          </w:p>
        </w:tc>
        <w:tc>
          <w:tcPr>
            <w:tcW w:w="1701" w:type="dxa"/>
          </w:tcPr>
          <w:p w14:paraId="7348D3A5" w14:textId="77777777" w:rsidR="00D3344B" w:rsidRDefault="00143C25">
            <w:pPr>
              <w:pStyle w:val="TableParagraph"/>
              <w:spacing w:before="99"/>
              <w:ind w:right="47"/>
              <w:jc w:val="right"/>
              <w:rPr>
                <w:rFonts w:ascii="Arial" w:hAnsi="Arial" w:cs="Arial"/>
              </w:rPr>
            </w:pPr>
            <w:r>
              <w:rPr>
                <w:rFonts w:ascii="Arial" w:hAnsi="Arial" w:cs="Arial"/>
              </w:rPr>
              <w:t xml:space="preserve">0.4 </w:t>
            </w:r>
            <w:r>
              <w:rPr>
                <w:rFonts w:ascii="Arial" w:hAnsi="Arial" w:cs="Arial"/>
                <w:spacing w:val="-5"/>
              </w:rPr>
              <w:t>UMA</w:t>
            </w:r>
          </w:p>
        </w:tc>
      </w:tr>
    </w:tbl>
    <w:p w14:paraId="453B06EB" w14:textId="77777777" w:rsidR="00D3344B" w:rsidRDefault="00D3344B"/>
    <w:p w14:paraId="048530C1" w14:textId="77777777" w:rsidR="00D3344B" w:rsidRDefault="00143C25">
      <w:pPr>
        <w:spacing w:after="0"/>
        <w:rPr>
          <w:rFonts w:ascii="Arial" w:hAnsi="Arial" w:cs="Arial"/>
          <w:i/>
          <w:iCs/>
          <w:sz w:val="16"/>
          <w:szCs w:val="16"/>
        </w:rPr>
      </w:pPr>
      <w:r>
        <w:rPr>
          <w:rFonts w:ascii="Arial" w:hAnsi="Arial" w:cs="Arial"/>
          <w:i/>
          <w:iCs/>
          <w:sz w:val="16"/>
          <w:szCs w:val="16"/>
        </w:rPr>
        <w:t>(REFORMADA, P.O. 29 DE NOVIEMBRE DE 2023)</w:t>
      </w:r>
      <w:r>
        <w:rPr>
          <w:rFonts w:ascii="Arial" w:hAnsi="Arial" w:cs="Arial"/>
          <w:i/>
          <w:iCs/>
          <w:sz w:val="16"/>
          <w:szCs w:val="16"/>
        </w:rPr>
        <w:tab/>
      </w:r>
    </w:p>
    <w:p w14:paraId="04AC0541" w14:textId="77777777" w:rsidR="00D3344B" w:rsidRDefault="00143C25">
      <w:pPr>
        <w:rPr>
          <w:rFonts w:ascii="Arial" w:hAnsi="Arial" w:cs="Arial"/>
        </w:rPr>
      </w:pPr>
      <w:r>
        <w:rPr>
          <w:rFonts w:ascii="Arial" w:hAnsi="Arial" w:cs="Arial"/>
        </w:rPr>
        <w:t>IV.</w:t>
      </w:r>
      <w:r>
        <w:rPr>
          <w:rFonts w:ascii="Arial" w:hAnsi="Arial" w:cs="Arial"/>
        </w:rPr>
        <w:tab/>
        <w:t>Por la expedición y la actualización de la Licencia Ambiental Estatal:</w:t>
      </w:r>
    </w:p>
    <w:p w14:paraId="56523760" w14:textId="77777777" w:rsidR="00D3344B" w:rsidRDefault="00143C25">
      <w:pPr>
        <w:ind w:left="1134" w:hanging="426"/>
        <w:rPr>
          <w:rFonts w:ascii="Arial" w:hAnsi="Arial" w:cs="Arial"/>
        </w:rPr>
      </w:pPr>
      <w:r>
        <w:rPr>
          <w:rFonts w:ascii="Arial" w:hAnsi="Arial" w:cs="Arial"/>
        </w:rPr>
        <w:t>a)</w:t>
      </w:r>
      <w:r>
        <w:rPr>
          <w:rFonts w:ascii="Arial" w:hAnsi="Arial" w:cs="Arial"/>
        </w:rPr>
        <w:tab/>
        <w:t>Los derechos por la expedición de la licencia se pagarán, de conformidad con la siguiente clasificación:</w:t>
      </w:r>
    </w:p>
    <w:tbl>
      <w:tblPr>
        <w:tblStyle w:val="TableNormal"/>
        <w:tblW w:w="7513" w:type="dxa"/>
        <w:tblInd w:w="1129" w:type="dxa"/>
        <w:tblLayout w:type="fixed"/>
        <w:tblCellMar>
          <w:left w:w="5" w:type="dxa"/>
          <w:right w:w="5" w:type="dxa"/>
        </w:tblCellMar>
        <w:tblLook w:val="01E0" w:firstRow="1" w:lastRow="1" w:firstColumn="1" w:lastColumn="1" w:noHBand="0" w:noVBand="0"/>
      </w:tblPr>
      <w:tblGrid>
        <w:gridCol w:w="1559"/>
        <w:gridCol w:w="1766"/>
        <w:gridCol w:w="1391"/>
        <w:gridCol w:w="1456"/>
        <w:gridCol w:w="1341"/>
      </w:tblGrid>
      <w:tr w:rsidR="00D3344B" w14:paraId="739AF23B" w14:textId="77777777">
        <w:trPr>
          <w:trHeight w:val="844"/>
        </w:trPr>
        <w:tc>
          <w:tcPr>
            <w:tcW w:w="1559" w:type="dxa"/>
            <w:tcBorders>
              <w:top w:val="single" w:sz="4" w:space="0" w:color="000000"/>
              <w:left w:val="single" w:sz="4" w:space="0" w:color="000000"/>
              <w:bottom w:val="single" w:sz="4" w:space="0" w:color="000000"/>
              <w:right w:val="single" w:sz="4" w:space="0" w:color="000000"/>
            </w:tcBorders>
          </w:tcPr>
          <w:p w14:paraId="2B233086" w14:textId="77777777" w:rsidR="00D3344B" w:rsidRDefault="00143C25">
            <w:pPr>
              <w:pStyle w:val="TableParagraph"/>
              <w:ind w:left="167" w:right="199" w:firstLine="43"/>
            </w:pPr>
            <w:r>
              <w:rPr>
                <w:w w:val="110"/>
              </w:rPr>
              <w:lastRenderedPageBreak/>
              <w:t>Tipo</w:t>
            </w:r>
            <w:r>
              <w:rPr>
                <w:spacing w:val="-16"/>
                <w:w w:val="110"/>
              </w:rPr>
              <w:t xml:space="preserve"> </w:t>
            </w:r>
            <w:r>
              <w:rPr>
                <w:w w:val="110"/>
              </w:rPr>
              <w:t xml:space="preserve">de </w:t>
            </w:r>
            <w:r>
              <w:rPr>
                <w:spacing w:val="-5"/>
                <w:w w:val="110"/>
              </w:rPr>
              <w:t>empresa</w:t>
            </w:r>
          </w:p>
        </w:tc>
        <w:tc>
          <w:tcPr>
            <w:tcW w:w="1766" w:type="dxa"/>
            <w:tcBorders>
              <w:top w:val="single" w:sz="4" w:space="0" w:color="000000"/>
              <w:left w:val="single" w:sz="4" w:space="0" w:color="000000"/>
              <w:bottom w:val="single" w:sz="4" w:space="0" w:color="000000"/>
              <w:right w:val="single" w:sz="4" w:space="0" w:color="000000"/>
            </w:tcBorders>
          </w:tcPr>
          <w:p w14:paraId="00094592" w14:textId="77777777" w:rsidR="00D3344B" w:rsidRDefault="00D3344B">
            <w:pPr>
              <w:pStyle w:val="TableParagraph"/>
              <w:spacing w:before="8"/>
              <w:rPr>
                <w:sz w:val="21"/>
              </w:rPr>
            </w:pPr>
          </w:p>
          <w:p w14:paraId="7EBEB10D" w14:textId="77777777" w:rsidR="00D3344B" w:rsidRDefault="00143C25">
            <w:pPr>
              <w:pStyle w:val="TableParagraph"/>
              <w:spacing w:before="1"/>
              <w:ind w:left="281"/>
            </w:pPr>
            <w:r>
              <w:rPr>
                <w:spacing w:val="-2"/>
                <w:w w:val="110"/>
              </w:rPr>
              <w:t>Industria</w:t>
            </w:r>
          </w:p>
        </w:tc>
        <w:tc>
          <w:tcPr>
            <w:tcW w:w="1391" w:type="dxa"/>
            <w:tcBorders>
              <w:top w:val="single" w:sz="4" w:space="0" w:color="000000"/>
              <w:left w:val="single" w:sz="4" w:space="0" w:color="000000"/>
              <w:bottom w:val="single" w:sz="4" w:space="0" w:color="000000"/>
              <w:right w:val="single" w:sz="4" w:space="0" w:color="000000"/>
            </w:tcBorders>
          </w:tcPr>
          <w:p w14:paraId="749B36B5" w14:textId="77777777" w:rsidR="00D3344B" w:rsidRDefault="00D3344B">
            <w:pPr>
              <w:pStyle w:val="TableParagraph"/>
              <w:spacing w:before="8"/>
              <w:rPr>
                <w:sz w:val="21"/>
              </w:rPr>
            </w:pPr>
          </w:p>
          <w:p w14:paraId="018EB678" w14:textId="77777777" w:rsidR="00D3344B" w:rsidRDefault="00143C25">
            <w:pPr>
              <w:pStyle w:val="TableParagraph"/>
              <w:spacing w:before="1"/>
              <w:ind w:left="178"/>
            </w:pPr>
            <w:r>
              <w:rPr>
                <w:spacing w:val="-2"/>
                <w:w w:val="115"/>
              </w:rPr>
              <w:t>Comercio</w:t>
            </w:r>
          </w:p>
        </w:tc>
        <w:tc>
          <w:tcPr>
            <w:tcW w:w="1456" w:type="dxa"/>
            <w:tcBorders>
              <w:top w:val="single" w:sz="4" w:space="0" w:color="000000"/>
              <w:left w:val="single" w:sz="4" w:space="0" w:color="000000"/>
              <w:bottom w:val="single" w:sz="4" w:space="0" w:color="000000"/>
              <w:right w:val="single" w:sz="4" w:space="0" w:color="000000"/>
            </w:tcBorders>
          </w:tcPr>
          <w:p w14:paraId="5AFABEAF" w14:textId="77777777" w:rsidR="00D3344B" w:rsidRDefault="00D3344B">
            <w:pPr>
              <w:pStyle w:val="TableParagraph"/>
              <w:spacing w:before="8"/>
              <w:rPr>
                <w:sz w:val="21"/>
              </w:rPr>
            </w:pPr>
          </w:p>
          <w:p w14:paraId="6072160A" w14:textId="77777777" w:rsidR="00D3344B" w:rsidRDefault="00143C25">
            <w:pPr>
              <w:pStyle w:val="TableParagraph"/>
              <w:spacing w:before="1"/>
              <w:ind w:left="238"/>
            </w:pPr>
            <w:r>
              <w:rPr>
                <w:spacing w:val="-2"/>
                <w:w w:val="115"/>
              </w:rPr>
              <w:t>Servicios</w:t>
            </w:r>
          </w:p>
        </w:tc>
        <w:tc>
          <w:tcPr>
            <w:tcW w:w="1341" w:type="dxa"/>
            <w:tcBorders>
              <w:top w:val="single" w:sz="4" w:space="0" w:color="000000"/>
              <w:left w:val="single" w:sz="4" w:space="0" w:color="000000"/>
              <w:bottom w:val="single" w:sz="4" w:space="0" w:color="000000"/>
              <w:right w:val="single" w:sz="4" w:space="0" w:color="000000"/>
            </w:tcBorders>
          </w:tcPr>
          <w:p w14:paraId="13C47A77" w14:textId="77777777" w:rsidR="00D3344B" w:rsidRDefault="00143C25">
            <w:pPr>
              <w:pStyle w:val="TableParagraph"/>
              <w:ind w:left="80" w:hanging="11"/>
            </w:pPr>
            <w:r>
              <w:rPr>
                <w:w w:val="110"/>
              </w:rPr>
              <w:t>Derechos a pagar</w:t>
            </w:r>
            <w:r>
              <w:rPr>
                <w:spacing w:val="-16"/>
                <w:w w:val="110"/>
              </w:rPr>
              <w:t xml:space="preserve"> </w:t>
            </w:r>
            <w:r>
              <w:rPr>
                <w:w w:val="110"/>
              </w:rPr>
              <w:t>en</w:t>
            </w:r>
            <w:r>
              <w:rPr>
                <w:spacing w:val="-15"/>
                <w:w w:val="110"/>
              </w:rPr>
              <w:t xml:space="preserve"> </w:t>
            </w:r>
            <w:r>
              <w:rPr>
                <w:w w:val="110"/>
              </w:rPr>
              <w:t>UMA</w:t>
            </w:r>
          </w:p>
        </w:tc>
      </w:tr>
      <w:tr w:rsidR="00D3344B" w14:paraId="48B66455" w14:textId="77777777">
        <w:trPr>
          <w:trHeight w:val="630"/>
        </w:trPr>
        <w:tc>
          <w:tcPr>
            <w:tcW w:w="1559" w:type="dxa"/>
            <w:tcBorders>
              <w:top w:val="single" w:sz="4" w:space="0" w:color="000000"/>
              <w:left w:val="single" w:sz="4" w:space="0" w:color="000000"/>
              <w:bottom w:val="single" w:sz="4" w:space="0" w:color="000000"/>
              <w:right w:val="single" w:sz="4" w:space="0" w:color="000000"/>
            </w:tcBorders>
          </w:tcPr>
          <w:p w14:paraId="1A4BBAD2" w14:textId="77777777" w:rsidR="00D3344B" w:rsidRDefault="00143C25">
            <w:pPr>
              <w:pStyle w:val="TableParagraph"/>
              <w:ind w:left="119" w:right="163"/>
              <w:jc w:val="center"/>
            </w:pPr>
            <w:r>
              <w:rPr>
                <w:spacing w:val="-2"/>
                <w:w w:val="110"/>
              </w:rPr>
              <w:t>Micro</w:t>
            </w:r>
          </w:p>
        </w:tc>
        <w:tc>
          <w:tcPr>
            <w:tcW w:w="1766" w:type="dxa"/>
            <w:tcBorders>
              <w:top w:val="single" w:sz="4" w:space="0" w:color="000000"/>
              <w:left w:val="single" w:sz="4" w:space="0" w:color="000000"/>
              <w:bottom w:val="single" w:sz="4" w:space="0" w:color="000000"/>
              <w:right w:val="single" w:sz="4" w:space="0" w:color="000000"/>
            </w:tcBorders>
          </w:tcPr>
          <w:p w14:paraId="664AC7A7" w14:textId="77777777" w:rsidR="00D3344B" w:rsidRDefault="00143C25">
            <w:pPr>
              <w:pStyle w:val="TableParagraph"/>
              <w:ind w:left="50" w:right="96"/>
              <w:jc w:val="center"/>
            </w:pPr>
            <w:r>
              <w:rPr>
                <w:spacing w:val="-2"/>
              </w:rPr>
              <w:t>0-</w:t>
            </w:r>
            <w:r>
              <w:rPr>
                <w:spacing w:val="-5"/>
              </w:rPr>
              <w:t>30</w:t>
            </w:r>
          </w:p>
          <w:p w14:paraId="5DDA48CD" w14:textId="77777777" w:rsidR="00D3344B" w:rsidRDefault="00143C25">
            <w:pPr>
              <w:pStyle w:val="TableParagraph"/>
              <w:spacing w:before="1"/>
              <w:ind w:left="50" w:right="94"/>
              <w:jc w:val="center"/>
            </w:pPr>
            <w:r>
              <w:rPr>
                <w:spacing w:val="-2"/>
                <w:w w:val="110"/>
              </w:rPr>
              <w:t>Empleados</w:t>
            </w:r>
          </w:p>
        </w:tc>
        <w:tc>
          <w:tcPr>
            <w:tcW w:w="1391" w:type="dxa"/>
            <w:tcBorders>
              <w:top w:val="single" w:sz="4" w:space="0" w:color="000000"/>
              <w:left w:val="single" w:sz="4" w:space="0" w:color="000000"/>
              <w:bottom w:val="single" w:sz="4" w:space="0" w:color="000000"/>
              <w:right w:val="single" w:sz="4" w:space="0" w:color="000000"/>
            </w:tcBorders>
          </w:tcPr>
          <w:p w14:paraId="1A27D956" w14:textId="77777777" w:rsidR="00D3344B" w:rsidRDefault="00143C25">
            <w:pPr>
              <w:pStyle w:val="TableParagraph"/>
              <w:ind w:left="17" w:right="50"/>
              <w:jc w:val="center"/>
            </w:pPr>
            <w:r>
              <w:t>0-</w:t>
            </w:r>
            <w:r>
              <w:rPr>
                <w:spacing w:val="-10"/>
              </w:rPr>
              <w:t>5</w:t>
            </w:r>
          </w:p>
          <w:p w14:paraId="05C96B33" w14:textId="77777777" w:rsidR="00D3344B" w:rsidRDefault="00143C25">
            <w:pPr>
              <w:pStyle w:val="TableParagraph"/>
              <w:spacing w:before="1"/>
              <w:ind w:left="17" w:right="61"/>
              <w:jc w:val="center"/>
            </w:pPr>
            <w:r>
              <w:rPr>
                <w:spacing w:val="-2"/>
                <w:w w:val="110"/>
              </w:rPr>
              <w:t>Empleados</w:t>
            </w:r>
          </w:p>
        </w:tc>
        <w:tc>
          <w:tcPr>
            <w:tcW w:w="1456" w:type="dxa"/>
            <w:tcBorders>
              <w:top w:val="single" w:sz="4" w:space="0" w:color="000000"/>
              <w:left w:val="single" w:sz="4" w:space="0" w:color="000000"/>
              <w:bottom w:val="single" w:sz="4" w:space="0" w:color="000000"/>
              <w:right w:val="single" w:sz="4" w:space="0" w:color="000000"/>
            </w:tcBorders>
          </w:tcPr>
          <w:p w14:paraId="1B22246C" w14:textId="77777777" w:rsidR="00D3344B" w:rsidRDefault="00143C25">
            <w:pPr>
              <w:pStyle w:val="TableParagraph"/>
              <w:ind w:left="48" w:right="88"/>
              <w:jc w:val="center"/>
            </w:pPr>
            <w:r>
              <w:rPr>
                <w:spacing w:val="-2"/>
              </w:rPr>
              <w:t>0-</w:t>
            </w:r>
            <w:r>
              <w:rPr>
                <w:spacing w:val="-5"/>
              </w:rPr>
              <w:t>20</w:t>
            </w:r>
          </w:p>
          <w:p w14:paraId="07DC131D" w14:textId="77777777" w:rsidR="00D3344B" w:rsidRDefault="00143C25">
            <w:pPr>
              <w:pStyle w:val="TableParagraph"/>
              <w:spacing w:before="1"/>
              <w:ind w:left="48" w:right="94"/>
              <w:jc w:val="center"/>
            </w:pPr>
            <w:r>
              <w:rPr>
                <w:spacing w:val="-2"/>
                <w:w w:val="110"/>
              </w:rPr>
              <w:t>Empleados</w:t>
            </w:r>
          </w:p>
        </w:tc>
        <w:tc>
          <w:tcPr>
            <w:tcW w:w="1341" w:type="dxa"/>
            <w:tcBorders>
              <w:top w:val="single" w:sz="4" w:space="0" w:color="000000"/>
              <w:left w:val="single" w:sz="4" w:space="0" w:color="000000"/>
              <w:bottom w:val="single" w:sz="4" w:space="0" w:color="000000"/>
              <w:right w:val="single" w:sz="4" w:space="0" w:color="000000"/>
            </w:tcBorders>
          </w:tcPr>
          <w:p w14:paraId="20D5E4C7" w14:textId="77777777" w:rsidR="00D3344B" w:rsidRDefault="00143C25">
            <w:pPr>
              <w:pStyle w:val="TableParagraph"/>
              <w:ind w:left="80" w:hanging="11"/>
              <w:jc w:val="center"/>
            </w:pPr>
            <w:r>
              <w:rPr>
                <w:spacing w:val="-5"/>
                <w:w w:val="110"/>
              </w:rPr>
              <w:t>24</w:t>
            </w:r>
          </w:p>
        </w:tc>
      </w:tr>
      <w:tr w:rsidR="00D3344B" w14:paraId="42738D1D" w14:textId="77777777">
        <w:trPr>
          <w:trHeight w:val="515"/>
        </w:trPr>
        <w:tc>
          <w:tcPr>
            <w:tcW w:w="1559" w:type="dxa"/>
            <w:tcBorders>
              <w:top w:val="single" w:sz="4" w:space="0" w:color="000000"/>
              <w:left w:val="single" w:sz="4" w:space="0" w:color="000000"/>
              <w:bottom w:val="single" w:sz="4" w:space="0" w:color="000000"/>
              <w:right w:val="single" w:sz="4" w:space="0" w:color="000000"/>
            </w:tcBorders>
          </w:tcPr>
          <w:p w14:paraId="1833FA02" w14:textId="77777777" w:rsidR="00D3344B" w:rsidRDefault="00143C25">
            <w:pPr>
              <w:pStyle w:val="TableParagraph"/>
              <w:ind w:left="120" w:right="163"/>
              <w:jc w:val="center"/>
            </w:pPr>
            <w:r>
              <w:rPr>
                <w:spacing w:val="-2"/>
                <w:w w:val="110"/>
              </w:rPr>
              <w:t>Pequeña</w:t>
            </w:r>
          </w:p>
        </w:tc>
        <w:tc>
          <w:tcPr>
            <w:tcW w:w="1766" w:type="dxa"/>
            <w:tcBorders>
              <w:top w:val="single" w:sz="4" w:space="0" w:color="000000"/>
              <w:left w:val="single" w:sz="4" w:space="0" w:color="000000"/>
              <w:bottom w:val="single" w:sz="4" w:space="0" w:color="000000"/>
              <w:right w:val="single" w:sz="4" w:space="0" w:color="000000"/>
            </w:tcBorders>
          </w:tcPr>
          <w:p w14:paraId="1D0ACC23" w14:textId="77777777" w:rsidR="00D3344B" w:rsidRDefault="00143C25">
            <w:pPr>
              <w:pStyle w:val="TableParagraph"/>
              <w:ind w:left="50" w:right="90"/>
              <w:jc w:val="center"/>
            </w:pPr>
            <w:r>
              <w:t>31-</w:t>
            </w:r>
            <w:r>
              <w:rPr>
                <w:spacing w:val="-5"/>
              </w:rPr>
              <w:t>100</w:t>
            </w:r>
          </w:p>
          <w:p w14:paraId="4246110A" w14:textId="77777777" w:rsidR="00D3344B" w:rsidRDefault="00143C25">
            <w:pPr>
              <w:pStyle w:val="TableParagraph"/>
              <w:spacing w:before="1" w:line="243" w:lineRule="exact"/>
              <w:ind w:left="50" w:right="94"/>
              <w:jc w:val="center"/>
            </w:pPr>
            <w:r>
              <w:rPr>
                <w:spacing w:val="-2"/>
                <w:w w:val="110"/>
              </w:rPr>
              <w:t>Empleados</w:t>
            </w:r>
          </w:p>
        </w:tc>
        <w:tc>
          <w:tcPr>
            <w:tcW w:w="1391" w:type="dxa"/>
            <w:tcBorders>
              <w:top w:val="single" w:sz="4" w:space="0" w:color="000000"/>
              <w:left w:val="single" w:sz="4" w:space="0" w:color="000000"/>
              <w:bottom w:val="single" w:sz="4" w:space="0" w:color="000000"/>
              <w:right w:val="single" w:sz="4" w:space="0" w:color="000000"/>
            </w:tcBorders>
          </w:tcPr>
          <w:p w14:paraId="15087A90" w14:textId="77777777" w:rsidR="00D3344B" w:rsidRDefault="00143C25">
            <w:pPr>
              <w:pStyle w:val="TableParagraph"/>
              <w:ind w:left="17" w:right="56"/>
              <w:jc w:val="center"/>
            </w:pPr>
            <w:r>
              <w:rPr>
                <w:spacing w:val="-2"/>
              </w:rPr>
              <w:t>6-</w:t>
            </w:r>
            <w:r>
              <w:rPr>
                <w:spacing w:val="-5"/>
              </w:rPr>
              <w:t>20</w:t>
            </w:r>
          </w:p>
          <w:p w14:paraId="01529632" w14:textId="77777777" w:rsidR="00D3344B" w:rsidRDefault="00143C25">
            <w:pPr>
              <w:pStyle w:val="TableParagraph"/>
              <w:spacing w:before="1" w:line="243" w:lineRule="exact"/>
              <w:ind w:left="17" w:right="61"/>
              <w:jc w:val="center"/>
            </w:pPr>
            <w:r>
              <w:rPr>
                <w:spacing w:val="-2"/>
                <w:w w:val="110"/>
              </w:rPr>
              <w:t>Empleados</w:t>
            </w:r>
          </w:p>
        </w:tc>
        <w:tc>
          <w:tcPr>
            <w:tcW w:w="1456" w:type="dxa"/>
            <w:tcBorders>
              <w:top w:val="single" w:sz="4" w:space="0" w:color="000000"/>
              <w:left w:val="single" w:sz="4" w:space="0" w:color="000000"/>
              <w:bottom w:val="single" w:sz="4" w:space="0" w:color="000000"/>
              <w:right w:val="single" w:sz="4" w:space="0" w:color="000000"/>
            </w:tcBorders>
          </w:tcPr>
          <w:p w14:paraId="5858B243" w14:textId="77777777" w:rsidR="00D3344B" w:rsidRDefault="00143C25">
            <w:pPr>
              <w:pStyle w:val="TableParagraph"/>
              <w:ind w:left="48" w:right="91"/>
              <w:jc w:val="center"/>
            </w:pPr>
            <w:r>
              <w:t>21-</w:t>
            </w:r>
            <w:r>
              <w:rPr>
                <w:spacing w:val="-5"/>
              </w:rPr>
              <w:t>50</w:t>
            </w:r>
          </w:p>
          <w:p w14:paraId="5DBB93B9" w14:textId="77777777" w:rsidR="00D3344B" w:rsidRDefault="00143C25">
            <w:pPr>
              <w:pStyle w:val="TableParagraph"/>
              <w:spacing w:before="1" w:line="243" w:lineRule="exact"/>
              <w:ind w:left="48" w:right="94"/>
              <w:jc w:val="center"/>
            </w:pPr>
            <w:r>
              <w:rPr>
                <w:spacing w:val="-2"/>
                <w:w w:val="110"/>
              </w:rPr>
              <w:t>Empleados</w:t>
            </w:r>
          </w:p>
        </w:tc>
        <w:tc>
          <w:tcPr>
            <w:tcW w:w="1341" w:type="dxa"/>
            <w:tcBorders>
              <w:top w:val="single" w:sz="4" w:space="0" w:color="000000"/>
              <w:left w:val="single" w:sz="4" w:space="0" w:color="000000"/>
              <w:bottom w:val="single" w:sz="4" w:space="0" w:color="000000"/>
              <w:right w:val="single" w:sz="4" w:space="0" w:color="000000"/>
            </w:tcBorders>
          </w:tcPr>
          <w:p w14:paraId="001F0E48" w14:textId="77777777" w:rsidR="00D3344B" w:rsidRDefault="00143C25">
            <w:pPr>
              <w:pStyle w:val="TableParagraph"/>
              <w:ind w:left="80" w:hanging="11"/>
              <w:jc w:val="center"/>
            </w:pPr>
            <w:r>
              <w:rPr>
                <w:spacing w:val="-5"/>
                <w:w w:val="110"/>
              </w:rPr>
              <w:t>62</w:t>
            </w:r>
          </w:p>
        </w:tc>
      </w:tr>
      <w:tr w:rsidR="00D3344B" w14:paraId="7FBADA25" w14:textId="77777777">
        <w:trPr>
          <w:trHeight w:val="705"/>
        </w:trPr>
        <w:tc>
          <w:tcPr>
            <w:tcW w:w="1559" w:type="dxa"/>
            <w:tcBorders>
              <w:top w:val="single" w:sz="4" w:space="0" w:color="000000"/>
              <w:left w:val="single" w:sz="4" w:space="0" w:color="000000"/>
              <w:bottom w:val="single" w:sz="4" w:space="0" w:color="000000"/>
              <w:right w:val="single" w:sz="4" w:space="0" w:color="000000"/>
            </w:tcBorders>
          </w:tcPr>
          <w:p w14:paraId="65F96AC6" w14:textId="77777777" w:rsidR="00D3344B" w:rsidRDefault="00143C25">
            <w:pPr>
              <w:pStyle w:val="TableParagraph"/>
              <w:ind w:left="122" w:right="163"/>
              <w:jc w:val="center"/>
            </w:pPr>
            <w:r>
              <w:rPr>
                <w:spacing w:val="-2"/>
                <w:w w:val="110"/>
              </w:rPr>
              <w:t>Mediana</w:t>
            </w:r>
          </w:p>
        </w:tc>
        <w:tc>
          <w:tcPr>
            <w:tcW w:w="1766" w:type="dxa"/>
            <w:tcBorders>
              <w:top w:val="single" w:sz="4" w:space="0" w:color="000000"/>
              <w:left w:val="single" w:sz="4" w:space="0" w:color="000000"/>
              <w:bottom w:val="single" w:sz="4" w:space="0" w:color="000000"/>
              <w:right w:val="single" w:sz="4" w:space="0" w:color="000000"/>
            </w:tcBorders>
          </w:tcPr>
          <w:p w14:paraId="2C8222F8" w14:textId="77777777" w:rsidR="00D3344B" w:rsidRDefault="00143C25">
            <w:pPr>
              <w:pStyle w:val="TableParagraph"/>
              <w:ind w:left="49" w:right="96"/>
              <w:jc w:val="center"/>
            </w:pPr>
            <w:r>
              <w:rPr>
                <w:w w:val="105"/>
              </w:rPr>
              <w:t>101-</w:t>
            </w:r>
            <w:r>
              <w:rPr>
                <w:spacing w:val="-5"/>
                <w:w w:val="110"/>
              </w:rPr>
              <w:t>500</w:t>
            </w:r>
          </w:p>
          <w:p w14:paraId="1784534C" w14:textId="77777777" w:rsidR="00D3344B" w:rsidRDefault="00143C25">
            <w:pPr>
              <w:pStyle w:val="TableParagraph"/>
              <w:spacing w:line="252" w:lineRule="exact"/>
              <w:ind w:left="50" w:right="94"/>
              <w:jc w:val="center"/>
            </w:pPr>
            <w:r>
              <w:rPr>
                <w:spacing w:val="-2"/>
                <w:w w:val="110"/>
              </w:rPr>
              <w:t>Empleados</w:t>
            </w:r>
          </w:p>
        </w:tc>
        <w:tc>
          <w:tcPr>
            <w:tcW w:w="1391" w:type="dxa"/>
            <w:tcBorders>
              <w:top w:val="single" w:sz="4" w:space="0" w:color="000000"/>
              <w:left w:val="single" w:sz="4" w:space="0" w:color="000000"/>
              <w:bottom w:val="single" w:sz="4" w:space="0" w:color="000000"/>
              <w:right w:val="single" w:sz="4" w:space="0" w:color="000000"/>
            </w:tcBorders>
          </w:tcPr>
          <w:p w14:paraId="4A7C3DDC" w14:textId="77777777" w:rsidR="00D3344B" w:rsidRDefault="00143C25">
            <w:pPr>
              <w:pStyle w:val="TableParagraph"/>
              <w:ind w:left="17" w:right="57"/>
              <w:jc w:val="center"/>
            </w:pPr>
            <w:r>
              <w:rPr>
                <w:w w:val="105"/>
              </w:rPr>
              <w:t>21-</w:t>
            </w:r>
            <w:r>
              <w:rPr>
                <w:spacing w:val="-5"/>
                <w:w w:val="110"/>
              </w:rPr>
              <w:t>100</w:t>
            </w:r>
          </w:p>
          <w:p w14:paraId="1B5E040E" w14:textId="77777777" w:rsidR="00D3344B" w:rsidRDefault="00143C25">
            <w:pPr>
              <w:pStyle w:val="TableParagraph"/>
              <w:spacing w:line="252" w:lineRule="exact"/>
              <w:ind w:left="17" w:right="61"/>
              <w:jc w:val="center"/>
            </w:pPr>
            <w:r>
              <w:rPr>
                <w:spacing w:val="-2"/>
                <w:w w:val="110"/>
              </w:rPr>
              <w:t>Empleados</w:t>
            </w:r>
          </w:p>
        </w:tc>
        <w:tc>
          <w:tcPr>
            <w:tcW w:w="1456" w:type="dxa"/>
            <w:tcBorders>
              <w:top w:val="single" w:sz="4" w:space="0" w:color="000000"/>
              <w:left w:val="single" w:sz="4" w:space="0" w:color="000000"/>
              <w:bottom w:val="single" w:sz="4" w:space="0" w:color="000000"/>
              <w:right w:val="single" w:sz="4" w:space="0" w:color="000000"/>
            </w:tcBorders>
          </w:tcPr>
          <w:p w14:paraId="00CE4C7B" w14:textId="77777777" w:rsidR="00D3344B" w:rsidRDefault="00143C25">
            <w:pPr>
              <w:pStyle w:val="TableParagraph"/>
              <w:ind w:left="48" w:right="89"/>
              <w:jc w:val="center"/>
            </w:pPr>
            <w:r>
              <w:t>51-</w:t>
            </w:r>
            <w:r>
              <w:rPr>
                <w:spacing w:val="-5"/>
              </w:rPr>
              <w:t>100</w:t>
            </w:r>
          </w:p>
          <w:p w14:paraId="0558B16D" w14:textId="77777777" w:rsidR="00D3344B" w:rsidRDefault="00143C25">
            <w:pPr>
              <w:pStyle w:val="TableParagraph"/>
              <w:spacing w:line="252" w:lineRule="exact"/>
              <w:ind w:left="48" w:right="94"/>
              <w:jc w:val="center"/>
            </w:pPr>
            <w:r>
              <w:rPr>
                <w:spacing w:val="-2"/>
                <w:w w:val="110"/>
              </w:rPr>
              <w:t>Empleados</w:t>
            </w:r>
          </w:p>
        </w:tc>
        <w:tc>
          <w:tcPr>
            <w:tcW w:w="1341" w:type="dxa"/>
            <w:tcBorders>
              <w:top w:val="single" w:sz="4" w:space="0" w:color="000000"/>
              <w:left w:val="single" w:sz="4" w:space="0" w:color="000000"/>
              <w:bottom w:val="single" w:sz="4" w:space="0" w:color="000000"/>
              <w:right w:val="single" w:sz="4" w:space="0" w:color="000000"/>
            </w:tcBorders>
          </w:tcPr>
          <w:p w14:paraId="369B528E" w14:textId="77777777" w:rsidR="00D3344B" w:rsidRDefault="00143C25">
            <w:pPr>
              <w:pStyle w:val="TableParagraph"/>
              <w:ind w:left="80" w:hanging="11"/>
              <w:jc w:val="center"/>
            </w:pPr>
            <w:r>
              <w:rPr>
                <w:spacing w:val="-5"/>
                <w:w w:val="110"/>
              </w:rPr>
              <w:t>92</w:t>
            </w:r>
          </w:p>
        </w:tc>
      </w:tr>
      <w:tr w:rsidR="00D3344B" w14:paraId="6F9CCB19" w14:textId="77777777">
        <w:trPr>
          <w:trHeight w:val="833"/>
        </w:trPr>
        <w:tc>
          <w:tcPr>
            <w:tcW w:w="1559" w:type="dxa"/>
            <w:tcBorders>
              <w:top w:val="single" w:sz="4" w:space="0" w:color="000000"/>
              <w:left w:val="single" w:sz="4" w:space="0" w:color="000000"/>
              <w:bottom w:val="single" w:sz="4" w:space="0" w:color="000000"/>
              <w:right w:val="single" w:sz="4" w:space="0" w:color="000000"/>
            </w:tcBorders>
          </w:tcPr>
          <w:p w14:paraId="3E4FC61C" w14:textId="77777777" w:rsidR="00D3344B" w:rsidRDefault="00D3344B">
            <w:pPr>
              <w:pStyle w:val="TableParagraph"/>
              <w:spacing w:before="11"/>
              <w:rPr>
                <w:sz w:val="21"/>
              </w:rPr>
            </w:pPr>
          </w:p>
          <w:p w14:paraId="15700601" w14:textId="77777777" w:rsidR="00D3344B" w:rsidRDefault="00143C25">
            <w:pPr>
              <w:pStyle w:val="TableParagraph"/>
              <w:ind w:left="119" w:right="163"/>
              <w:jc w:val="center"/>
            </w:pPr>
            <w:r>
              <w:rPr>
                <w:spacing w:val="-2"/>
                <w:w w:val="110"/>
              </w:rPr>
              <w:t>Grande</w:t>
            </w:r>
          </w:p>
        </w:tc>
        <w:tc>
          <w:tcPr>
            <w:tcW w:w="1766" w:type="dxa"/>
            <w:tcBorders>
              <w:top w:val="single" w:sz="4" w:space="0" w:color="000000"/>
              <w:left w:val="single" w:sz="4" w:space="0" w:color="000000"/>
              <w:bottom w:val="single" w:sz="4" w:space="0" w:color="000000"/>
              <w:right w:val="single" w:sz="4" w:space="0" w:color="000000"/>
            </w:tcBorders>
          </w:tcPr>
          <w:p w14:paraId="05A30213" w14:textId="77777777" w:rsidR="00D3344B" w:rsidRDefault="00143C25">
            <w:pPr>
              <w:pStyle w:val="TableParagraph"/>
              <w:spacing w:before="1" w:line="252" w:lineRule="exact"/>
              <w:ind w:left="50" w:right="96"/>
              <w:jc w:val="center"/>
            </w:pPr>
            <w:r>
              <w:rPr>
                <w:spacing w:val="-5"/>
                <w:w w:val="110"/>
              </w:rPr>
              <w:t>501</w:t>
            </w:r>
          </w:p>
          <w:p w14:paraId="59933EBC" w14:textId="77777777" w:rsidR="00D3344B" w:rsidRDefault="00143C25">
            <w:pPr>
              <w:pStyle w:val="TableParagraph"/>
              <w:ind w:left="50" w:right="96"/>
              <w:jc w:val="center"/>
            </w:pPr>
            <w:r>
              <w:rPr>
                <w:spacing w:val="-2"/>
                <w:w w:val="110"/>
              </w:rPr>
              <w:t>empleados</w:t>
            </w:r>
            <w:r>
              <w:rPr>
                <w:spacing w:val="-14"/>
                <w:w w:val="110"/>
              </w:rPr>
              <w:t xml:space="preserve"> </w:t>
            </w:r>
            <w:r>
              <w:rPr>
                <w:spacing w:val="-2"/>
                <w:w w:val="110"/>
              </w:rPr>
              <w:t>en adelante</w:t>
            </w:r>
          </w:p>
        </w:tc>
        <w:tc>
          <w:tcPr>
            <w:tcW w:w="1391" w:type="dxa"/>
            <w:tcBorders>
              <w:top w:val="single" w:sz="4" w:space="0" w:color="000000"/>
              <w:left w:val="single" w:sz="4" w:space="0" w:color="000000"/>
              <w:bottom w:val="single" w:sz="4" w:space="0" w:color="000000"/>
              <w:right w:val="single" w:sz="4" w:space="0" w:color="000000"/>
            </w:tcBorders>
          </w:tcPr>
          <w:p w14:paraId="00DA961B" w14:textId="77777777" w:rsidR="00D3344B" w:rsidRDefault="00143C25">
            <w:pPr>
              <w:pStyle w:val="TableParagraph"/>
              <w:spacing w:before="1" w:line="252" w:lineRule="exact"/>
              <w:ind w:left="17" w:right="61"/>
              <w:jc w:val="center"/>
            </w:pPr>
            <w:r>
              <w:rPr>
                <w:spacing w:val="-5"/>
                <w:w w:val="110"/>
              </w:rPr>
              <w:t>101</w:t>
            </w:r>
          </w:p>
          <w:p w14:paraId="5CBD3B2F" w14:textId="77777777" w:rsidR="00D3344B" w:rsidRDefault="00143C25">
            <w:pPr>
              <w:pStyle w:val="TableParagraph"/>
              <w:ind w:left="17" w:right="62"/>
              <w:jc w:val="center"/>
            </w:pPr>
            <w:r>
              <w:rPr>
                <w:spacing w:val="-2"/>
                <w:w w:val="110"/>
              </w:rPr>
              <w:t>empleados</w:t>
            </w:r>
            <w:r>
              <w:rPr>
                <w:spacing w:val="-14"/>
                <w:w w:val="110"/>
              </w:rPr>
              <w:t xml:space="preserve"> </w:t>
            </w:r>
            <w:r>
              <w:rPr>
                <w:spacing w:val="-2"/>
                <w:w w:val="110"/>
              </w:rPr>
              <w:t>en adelante</w:t>
            </w:r>
          </w:p>
        </w:tc>
        <w:tc>
          <w:tcPr>
            <w:tcW w:w="1456" w:type="dxa"/>
            <w:tcBorders>
              <w:top w:val="single" w:sz="4" w:space="0" w:color="000000"/>
              <w:left w:val="single" w:sz="4" w:space="0" w:color="000000"/>
              <w:bottom w:val="single" w:sz="4" w:space="0" w:color="000000"/>
              <w:right w:val="single" w:sz="4" w:space="0" w:color="000000"/>
            </w:tcBorders>
          </w:tcPr>
          <w:p w14:paraId="62946ED0" w14:textId="77777777" w:rsidR="00D3344B" w:rsidRDefault="00143C25">
            <w:pPr>
              <w:pStyle w:val="TableParagraph"/>
              <w:spacing w:before="1" w:line="252" w:lineRule="exact"/>
              <w:ind w:left="48" w:right="93"/>
              <w:jc w:val="center"/>
            </w:pPr>
            <w:r>
              <w:rPr>
                <w:spacing w:val="-5"/>
                <w:w w:val="110"/>
              </w:rPr>
              <w:t>101</w:t>
            </w:r>
          </w:p>
          <w:p w14:paraId="736C06B6" w14:textId="77777777" w:rsidR="00D3344B" w:rsidRDefault="00143C25">
            <w:pPr>
              <w:pStyle w:val="TableParagraph"/>
              <w:ind w:left="48" w:right="95"/>
              <w:jc w:val="center"/>
            </w:pPr>
            <w:r>
              <w:rPr>
                <w:spacing w:val="-2"/>
                <w:w w:val="110"/>
              </w:rPr>
              <w:t>empleados</w:t>
            </w:r>
            <w:r>
              <w:rPr>
                <w:spacing w:val="-14"/>
                <w:w w:val="110"/>
              </w:rPr>
              <w:t xml:space="preserve"> </w:t>
            </w:r>
            <w:r>
              <w:rPr>
                <w:spacing w:val="-2"/>
                <w:w w:val="110"/>
              </w:rPr>
              <w:t>en adelante</w:t>
            </w:r>
          </w:p>
        </w:tc>
        <w:tc>
          <w:tcPr>
            <w:tcW w:w="1341" w:type="dxa"/>
            <w:tcBorders>
              <w:top w:val="single" w:sz="4" w:space="0" w:color="000000"/>
              <w:left w:val="single" w:sz="4" w:space="0" w:color="000000"/>
              <w:bottom w:val="single" w:sz="4" w:space="0" w:color="000000"/>
              <w:right w:val="single" w:sz="4" w:space="0" w:color="000000"/>
            </w:tcBorders>
          </w:tcPr>
          <w:p w14:paraId="124A7C91" w14:textId="77777777" w:rsidR="00D3344B" w:rsidRDefault="00D3344B">
            <w:pPr>
              <w:pStyle w:val="TableParagraph"/>
              <w:spacing w:before="11"/>
              <w:ind w:left="80" w:hanging="11"/>
              <w:rPr>
                <w:sz w:val="21"/>
              </w:rPr>
            </w:pPr>
          </w:p>
          <w:p w14:paraId="4E99714F" w14:textId="77777777" w:rsidR="00D3344B" w:rsidRDefault="00143C25">
            <w:pPr>
              <w:pStyle w:val="TableParagraph"/>
              <w:ind w:left="80" w:hanging="11"/>
              <w:jc w:val="center"/>
            </w:pPr>
            <w:r>
              <w:rPr>
                <w:spacing w:val="-5"/>
                <w:w w:val="110"/>
              </w:rPr>
              <w:t>152</w:t>
            </w:r>
          </w:p>
        </w:tc>
      </w:tr>
    </w:tbl>
    <w:p w14:paraId="6D287165" w14:textId="77777777" w:rsidR="00D3344B" w:rsidRDefault="00D3344B">
      <w:pPr>
        <w:ind w:left="1134" w:hanging="426"/>
        <w:rPr>
          <w:rFonts w:ascii="Arial" w:hAnsi="Arial" w:cs="Arial"/>
        </w:rPr>
      </w:pPr>
    </w:p>
    <w:p w14:paraId="43931E83" w14:textId="77777777" w:rsidR="00D3344B" w:rsidRDefault="00143C25">
      <w:pPr>
        <w:ind w:left="1134" w:hanging="426"/>
        <w:rPr>
          <w:rFonts w:ascii="Arial" w:hAnsi="Arial" w:cs="Arial"/>
        </w:rPr>
      </w:pPr>
      <w:r>
        <w:rPr>
          <w:rFonts w:ascii="Arial" w:hAnsi="Arial" w:cs="Arial"/>
        </w:rPr>
        <w:t>b)</w:t>
      </w:r>
      <w:r>
        <w:rPr>
          <w:rFonts w:ascii="Arial" w:hAnsi="Arial" w:cs="Arial"/>
        </w:rPr>
        <w:tab/>
        <w:t>Los derechos por la actualización de la licencia se pagarán, de conformidad con la siguiente clasificación:</w:t>
      </w:r>
    </w:p>
    <w:tbl>
      <w:tblPr>
        <w:tblStyle w:val="TableNormal"/>
        <w:tblW w:w="7371" w:type="dxa"/>
        <w:tblInd w:w="1129" w:type="dxa"/>
        <w:tblLayout w:type="fixed"/>
        <w:tblCellMar>
          <w:left w:w="5" w:type="dxa"/>
          <w:right w:w="5" w:type="dxa"/>
        </w:tblCellMar>
        <w:tblLook w:val="01E0" w:firstRow="1" w:lastRow="1" w:firstColumn="1" w:lastColumn="1" w:noHBand="0" w:noVBand="0"/>
      </w:tblPr>
      <w:tblGrid>
        <w:gridCol w:w="1275"/>
        <w:gridCol w:w="1559"/>
        <w:gridCol w:w="1702"/>
        <w:gridCol w:w="1418"/>
        <w:gridCol w:w="1417"/>
      </w:tblGrid>
      <w:tr w:rsidR="00D3344B" w14:paraId="7E468529" w14:textId="77777777">
        <w:trPr>
          <w:trHeight w:val="590"/>
        </w:trPr>
        <w:tc>
          <w:tcPr>
            <w:tcW w:w="1275" w:type="dxa"/>
            <w:tcBorders>
              <w:top w:val="single" w:sz="4" w:space="0" w:color="000000"/>
              <w:left w:val="single" w:sz="4" w:space="0" w:color="000000"/>
              <w:bottom w:val="single" w:sz="4" w:space="0" w:color="000000"/>
              <w:right w:val="single" w:sz="4" w:space="0" w:color="000000"/>
            </w:tcBorders>
          </w:tcPr>
          <w:p w14:paraId="7E0653F0" w14:textId="77777777" w:rsidR="00D3344B" w:rsidRDefault="00143C25">
            <w:pPr>
              <w:pStyle w:val="TableParagraph"/>
              <w:spacing w:before="1"/>
              <w:ind w:left="201" w:right="205" w:firstLine="14"/>
            </w:pPr>
            <w:r>
              <w:rPr>
                <w:w w:val="105"/>
              </w:rPr>
              <w:t>Tipo</w:t>
            </w:r>
            <w:r>
              <w:rPr>
                <w:spacing w:val="-6"/>
                <w:w w:val="105"/>
              </w:rPr>
              <w:t xml:space="preserve"> </w:t>
            </w:r>
            <w:r>
              <w:rPr>
                <w:w w:val="105"/>
              </w:rPr>
              <w:t xml:space="preserve">de </w:t>
            </w:r>
            <w:r>
              <w:rPr>
                <w:spacing w:val="-4"/>
                <w:w w:val="105"/>
              </w:rPr>
              <w:t>empresa</w:t>
            </w:r>
          </w:p>
        </w:tc>
        <w:tc>
          <w:tcPr>
            <w:tcW w:w="1559" w:type="dxa"/>
            <w:tcBorders>
              <w:top w:val="single" w:sz="4" w:space="0" w:color="000000"/>
              <w:left w:val="single" w:sz="4" w:space="0" w:color="000000"/>
              <w:bottom w:val="single" w:sz="4" w:space="0" w:color="000000"/>
              <w:right w:val="single" w:sz="4" w:space="0" w:color="000000"/>
            </w:tcBorders>
          </w:tcPr>
          <w:p w14:paraId="53CF21E9" w14:textId="77777777" w:rsidR="00D3344B" w:rsidRDefault="00143C25">
            <w:pPr>
              <w:pStyle w:val="TableParagraph"/>
              <w:spacing w:before="1"/>
              <w:ind w:left="275"/>
            </w:pPr>
            <w:r>
              <w:rPr>
                <w:spacing w:val="-2"/>
                <w:w w:val="110"/>
              </w:rPr>
              <w:t>Industria</w:t>
            </w:r>
          </w:p>
        </w:tc>
        <w:tc>
          <w:tcPr>
            <w:tcW w:w="1702" w:type="dxa"/>
            <w:tcBorders>
              <w:top w:val="single" w:sz="4" w:space="0" w:color="000000"/>
              <w:left w:val="single" w:sz="4" w:space="0" w:color="000000"/>
              <w:bottom w:val="single" w:sz="4" w:space="0" w:color="000000"/>
              <w:right w:val="single" w:sz="4" w:space="0" w:color="000000"/>
            </w:tcBorders>
          </w:tcPr>
          <w:p w14:paraId="4C54CE12" w14:textId="77777777" w:rsidR="00D3344B" w:rsidRDefault="00143C25">
            <w:pPr>
              <w:pStyle w:val="TableParagraph"/>
              <w:spacing w:before="1"/>
              <w:ind w:left="197"/>
            </w:pPr>
            <w:r>
              <w:rPr>
                <w:spacing w:val="-2"/>
                <w:w w:val="115"/>
              </w:rPr>
              <w:t>Comercio</w:t>
            </w:r>
          </w:p>
        </w:tc>
        <w:tc>
          <w:tcPr>
            <w:tcW w:w="1418" w:type="dxa"/>
            <w:tcBorders>
              <w:top w:val="single" w:sz="4" w:space="0" w:color="000000"/>
              <w:left w:val="single" w:sz="4" w:space="0" w:color="000000"/>
              <w:bottom w:val="single" w:sz="4" w:space="0" w:color="000000"/>
              <w:right w:val="single" w:sz="4" w:space="0" w:color="000000"/>
            </w:tcBorders>
          </w:tcPr>
          <w:p w14:paraId="6C726DFD" w14:textId="77777777" w:rsidR="00D3344B" w:rsidRDefault="00143C25">
            <w:pPr>
              <w:pStyle w:val="TableParagraph"/>
              <w:spacing w:before="1"/>
              <w:ind w:left="230"/>
            </w:pPr>
            <w:r>
              <w:rPr>
                <w:spacing w:val="-2"/>
                <w:w w:val="115"/>
              </w:rPr>
              <w:t>Servicios</w:t>
            </w:r>
          </w:p>
        </w:tc>
        <w:tc>
          <w:tcPr>
            <w:tcW w:w="1417" w:type="dxa"/>
            <w:tcBorders>
              <w:top w:val="single" w:sz="4" w:space="0" w:color="000000"/>
              <w:left w:val="single" w:sz="4" w:space="0" w:color="000000"/>
              <w:bottom w:val="single" w:sz="4" w:space="0" w:color="000000"/>
              <w:right w:val="single" w:sz="4" w:space="0" w:color="000000"/>
            </w:tcBorders>
          </w:tcPr>
          <w:p w14:paraId="7CF280DC" w14:textId="77777777" w:rsidR="00D3344B" w:rsidRDefault="00143C25">
            <w:pPr>
              <w:pStyle w:val="TableParagraph"/>
              <w:spacing w:before="1"/>
              <w:ind w:left="4"/>
            </w:pPr>
            <w:r>
              <w:rPr>
                <w:w w:val="110"/>
              </w:rPr>
              <w:t>Derechos a pagar</w:t>
            </w:r>
            <w:r>
              <w:rPr>
                <w:spacing w:val="-16"/>
                <w:w w:val="110"/>
              </w:rPr>
              <w:t xml:space="preserve"> </w:t>
            </w:r>
            <w:r>
              <w:rPr>
                <w:w w:val="110"/>
              </w:rPr>
              <w:t>en</w:t>
            </w:r>
            <w:r>
              <w:rPr>
                <w:spacing w:val="-15"/>
                <w:w w:val="110"/>
              </w:rPr>
              <w:t xml:space="preserve"> </w:t>
            </w:r>
            <w:r>
              <w:rPr>
                <w:w w:val="110"/>
              </w:rPr>
              <w:t>UMA</w:t>
            </w:r>
          </w:p>
        </w:tc>
      </w:tr>
      <w:tr w:rsidR="00D3344B" w14:paraId="29AD1DD5" w14:textId="77777777">
        <w:trPr>
          <w:trHeight w:val="674"/>
        </w:trPr>
        <w:tc>
          <w:tcPr>
            <w:tcW w:w="1275" w:type="dxa"/>
            <w:tcBorders>
              <w:top w:val="single" w:sz="4" w:space="0" w:color="000000"/>
              <w:left w:val="single" w:sz="4" w:space="0" w:color="000000"/>
              <w:bottom w:val="single" w:sz="4" w:space="0" w:color="000000"/>
              <w:right w:val="single" w:sz="4" w:space="0" w:color="000000"/>
            </w:tcBorders>
          </w:tcPr>
          <w:p w14:paraId="726F5EDE" w14:textId="77777777" w:rsidR="00D3344B" w:rsidRDefault="00143C25">
            <w:pPr>
              <w:pStyle w:val="TableParagraph"/>
              <w:ind w:left="125" w:right="167"/>
              <w:jc w:val="center"/>
            </w:pPr>
            <w:r>
              <w:rPr>
                <w:spacing w:val="-2"/>
                <w:w w:val="110"/>
              </w:rPr>
              <w:t>Micro</w:t>
            </w:r>
          </w:p>
        </w:tc>
        <w:tc>
          <w:tcPr>
            <w:tcW w:w="1559" w:type="dxa"/>
            <w:tcBorders>
              <w:top w:val="single" w:sz="4" w:space="0" w:color="000000"/>
              <w:left w:val="single" w:sz="4" w:space="0" w:color="000000"/>
              <w:bottom w:val="single" w:sz="4" w:space="0" w:color="000000"/>
              <w:right w:val="single" w:sz="4" w:space="0" w:color="000000"/>
            </w:tcBorders>
          </w:tcPr>
          <w:p w14:paraId="359756EC" w14:textId="77777777" w:rsidR="00D3344B" w:rsidRDefault="00143C25">
            <w:pPr>
              <w:pStyle w:val="TableParagraph"/>
              <w:ind w:left="45" w:right="85"/>
              <w:jc w:val="center"/>
            </w:pPr>
            <w:r>
              <w:rPr>
                <w:spacing w:val="-2"/>
              </w:rPr>
              <w:t>0-</w:t>
            </w:r>
            <w:r>
              <w:rPr>
                <w:spacing w:val="-5"/>
              </w:rPr>
              <w:t>30</w:t>
            </w:r>
          </w:p>
          <w:p w14:paraId="09EE6159" w14:textId="77777777" w:rsidR="00D3344B" w:rsidRDefault="00143C25">
            <w:pPr>
              <w:pStyle w:val="TableParagraph"/>
              <w:spacing w:before="1"/>
              <w:ind w:left="45" w:right="89"/>
              <w:jc w:val="center"/>
            </w:pPr>
            <w:r>
              <w:rPr>
                <w:spacing w:val="-2"/>
                <w:w w:val="110"/>
              </w:rPr>
              <w:t>Empleados</w:t>
            </w:r>
          </w:p>
        </w:tc>
        <w:tc>
          <w:tcPr>
            <w:tcW w:w="1702" w:type="dxa"/>
            <w:tcBorders>
              <w:top w:val="single" w:sz="4" w:space="0" w:color="000000"/>
              <w:left w:val="single" w:sz="4" w:space="0" w:color="000000"/>
              <w:bottom w:val="single" w:sz="4" w:space="0" w:color="000000"/>
              <w:right w:val="single" w:sz="4" w:space="0" w:color="000000"/>
            </w:tcBorders>
          </w:tcPr>
          <w:p w14:paraId="19193CFF" w14:textId="77777777" w:rsidR="00D3344B" w:rsidRDefault="00143C25">
            <w:pPr>
              <w:pStyle w:val="TableParagraph"/>
              <w:ind w:left="37" w:right="76"/>
              <w:jc w:val="center"/>
            </w:pPr>
            <w:r>
              <w:t>0-</w:t>
            </w:r>
            <w:r>
              <w:rPr>
                <w:spacing w:val="-10"/>
              </w:rPr>
              <w:t>5</w:t>
            </w:r>
          </w:p>
          <w:p w14:paraId="7845B5CF" w14:textId="77777777" w:rsidR="00D3344B" w:rsidRDefault="00143C25">
            <w:pPr>
              <w:pStyle w:val="TableParagraph"/>
              <w:spacing w:before="1"/>
              <w:ind w:left="37" w:right="83"/>
              <w:jc w:val="center"/>
            </w:pPr>
            <w:r>
              <w:rPr>
                <w:spacing w:val="-2"/>
                <w:w w:val="110"/>
              </w:rPr>
              <w:t>Empleados</w:t>
            </w:r>
          </w:p>
        </w:tc>
        <w:tc>
          <w:tcPr>
            <w:tcW w:w="1418" w:type="dxa"/>
            <w:tcBorders>
              <w:top w:val="single" w:sz="4" w:space="0" w:color="000000"/>
              <w:left w:val="single" w:sz="4" w:space="0" w:color="000000"/>
              <w:bottom w:val="single" w:sz="4" w:space="0" w:color="000000"/>
              <w:right w:val="single" w:sz="4" w:space="0" w:color="000000"/>
            </w:tcBorders>
          </w:tcPr>
          <w:p w14:paraId="255CC8BA" w14:textId="77777777" w:rsidR="00D3344B" w:rsidRDefault="00143C25">
            <w:pPr>
              <w:pStyle w:val="TableParagraph"/>
              <w:ind w:left="41" w:right="87"/>
              <w:jc w:val="center"/>
            </w:pPr>
            <w:r>
              <w:rPr>
                <w:spacing w:val="-2"/>
              </w:rPr>
              <w:t>0-</w:t>
            </w:r>
            <w:r>
              <w:rPr>
                <w:spacing w:val="-5"/>
              </w:rPr>
              <w:t>20</w:t>
            </w:r>
          </w:p>
          <w:p w14:paraId="738D4B3A" w14:textId="77777777" w:rsidR="00D3344B" w:rsidRDefault="00143C25">
            <w:pPr>
              <w:pStyle w:val="TableParagraph"/>
              <w:spacing w:before="1"/>
              <w:ind w:left="41" w:right="91"/>
              <w:jc w:val="center"/>
            </w:pPr>
            <w:r>
              <w:rPr>
                <w:spacing w:val="-2"/>
                <w:w w:val="110"/>
              </w:rPr>
              <w:t>Empleados</w:t>
            </w:r>
          </w:p>
        </w:tc>
        <w:tc>
          <w:tcPr>
            <w:tcW w:w="1417" w:type="dxa"/>
            <w:tcBorders>
              <w:top w:val="single" w:sz="4" w:space="0" w:color="000000"/>
              <w:left w:val="single" w:sz="4" w:space="0" w:color="000000"/>
              <w:bottom w:val="single" w:sz="4" w:space="0" w:color="000000"/>
              <w:right w:val="single" w:sz="4" w:space="0" w:color="000000"/>
            </w:tcBorders>
          </w:tcPr>
          <w:p w14:paraId="0E8BF11A" w14:textId="77777777" w:rsidR="00D3344B" w:rsidRDefault="00143C25">
            <w:pPr>
              <w:pStyle w:val="TableParagraph"/>
              <w:ind w:left="4"/>
              <w:jc w:val="center"/>
            </w:pPr>
            <w:r>
              <w:rPr>
                <w:spacing w:val="-5"/>
                <w:w w:val="110"/>
              </w:rPr>
              <w:t>11</w:t>
            </w:r>
          </w:p>
        </w:tc>
      </w:tr>
      <w:tr w:rsidR="00D3344B" w14:paraId="4EAC75B8" w14:textId="77777777">
        <w:trPr>
          <w:trHeight w:val="565"/>
        </w:trPr>
        <w:tc>
          <w:tcPr>
            <w:tcW w:w="1275" w:type="dxa"/>
            <w:tcBorders>
              <w:top w:val="single" w:sz="4" w:space="0" w:color="000000"/>
              <w:left w:val="single" w:sz="4" w:space="0" w:color="000000"/>
              <w:bottom w:val="single" w:sz="4" w:space="0" w:color="000000"/>
              <w:right w:val="single" w:sz="4" w:space="0" w:color="000000"/>
            </w:tcBorders>
          </w:tcPr>
          <w:p w14:paraId="715E2E5F" w14:textId="77777777" w:rsidR="00D3344B" w:rsidRDefault="00143C25">
            <w:pPr>
              <w:pStyle w:val="TableParagraph"/>
              <w:ind w:left="125" w:right="167"/>
              <w:jc w:val="center"/>
            </w:pPr>
            <w:r>
              <w:rPr>
                <w:spacing w:val="-2"/>
                <w:w w:val="110"/>
              </w:rPr>
              <w:t>Pequeña</w:t>
            </w:r>
          </w:p>
        </w:tc>
        <w:tc>
          <w:tcPr>
            <w:tcW w:w="1559" w:type="dxa"/>
            <w:tcBorders>
              <w:top w:val="single" w:sz="4" w:space="0" w:color="000000"/>
              <w:left w:val="single" w:sz="4" w:space="0" w:color="000000"/>
              <w:bottom w:val="single" w:sz="4" w:space="0" w:color="000000"/>
              <w:right w:val="single" w:sz="4" w:space="0" w:color="000000"/>
            </w:tcBorders>
          </w:tcPr>
          <w:p w14:paraId="4525E2FB" w14:textId="77777777" w:rsidR="00D3344B" w:rsidRDefault="00143C25">
            <w:pPr>
              <w:pStyle w:val="TableParagraph"/>
              <w:ind w:left="45" w:right="85"/>
              <w:jc w:val="center"/>
            </w:pPr>
            <w:r>
              <w:t>31-</w:t>
            </w:r>
            <w:r>
              <w:rPr>
                <w:spacing w:val="-5"/>
              </w:rPr>
              <w:t>100</w:t>
            </w:r>
          </w:p>
          <w:p w14:paraId="59818362" w14:textId="77777777" w:rsidR="00D3344B" w:rsidRDefault="00143C25">
            <w:pPr>
              <w:pStyle w:val="TableParagraph"/>
              <w:spacing w:before="1"/>
              <w:ind w:left="45" w:right="89"/>
              <w:jc w:val="center"/>
            </w:pPr>
            <w:r>
              <w:rPr>
                <w:spacing w:val="-2"/>
                <w:w w:val="110"/>
              </w:rPr>
              <w:t>Empleados</w:t>
            </w:r>
          </w:p>
        </w:tc>
        <w:tc>
          <w:tcPr>
            <w:tcW w:w="1702" w:type="dxa"/>
            <w:tcBorders>
              <w:top w:val="single" w:sz="4" w:space="0" w:color="000000"/>
              <w:left w:val="single" w:sz="4" w:space="0" w:color="000000"/>
              <w:bottom w:val="single" w:sz="4" w:space="0" w:color="000000"/>
              <w:right w:val="single" w:sz="4" w:space="0" w:color="000000"/>
            </w:tcBorders>
          </w:tcPr>
          <w:p w14:paraId="589A3C63" w14:textId="77777777" w:rsidR="00D3344B" w:rsidRDefault="00143C25">
            <w:pPr>
              <w:pStyle w:val="TableParagraph"/>
              <w:ind w:left="37" w:right="83"/>
              <w:jc w:val="center"/>
            </w:pPr>
            <w:r>
              <w:rPr>
                <w:spacing w:val="-2"/>
              </w:rPr>
              <w:t>6-</w:t>
            </w:r>
            <w:r>
              <w:rPr>
                <w:spacing w:val="-5"/>
              </w:rPr>
              <w:t>20</w:t>
            </w:r>
          </w:p>
          <w:p w14:paraId="300B907C" w14:textId="77777777" w:rsidR="00D3344B" w:rsidRDefault="00143C25">
            <w:pPr>
              <w:pStyle w:val="TableParagraph"/>
              <w:spacing w:before="1"/>
              <w:ind w:left="37" w:right="83"/>
              <w:jc w:val="center"/>
            </w:pPr>
            <w:r>
              <w:rPr>
                <w:spacing w:val="-2"/>
                <w:w w:val="110"/>
              </w:rPr>
              <w:t>Empleados</w:t>
            </w:r>
          </w:p>
        </w:tc>
        <w:tc>
          <w:tcPr>
            <w:tcW w:w="1418" w:type="dxa"/>
            <w:tcBorders>
              <w:top w:val="single" w:sz="4" w:space="0" w:color="000000"/>
              <w:left w:val="single" w:sz="4" w:space="0" w:color="000000"/>
              <w:bottom w:val="single" w:sz="4" w:space="0" w:color="000000"/>
              <w:right w:val="single" w:sz="4" w:space="0" w:color="000000"/>
            </w:tcBorders>
          </w:tcPr>
          <w:p w14:paraId="46B2BBD0" w14:textId="77777777" w:rsidR="00D3344B" w:rsidRDefault="00143C25">
            <w:pPr>
              <w:pStyle w:val="TableParagraph"/>
              <w:ind w:left="41" w:right="89"/>
              <w:jc w:val="center"/>
            </w:pPr>
            <w:r>
              <w:t>21-</w:t>
            </w:r>
            <w:r>
              <w:rPr>
                <w:spacing w:val="-5"/>
              </w:rPr>
              <w:t>50</w:t>
            </w:r>
          </w:p>
          <w:p w14:paraId="51DC0170" w14:textId="77777777" w:rsidR="00D3344B" w:rsidRDefault="00143C25">
            <w:pPr>
              <w:pStyle w:val="TableParagraph"/>
              <w:spacing w:before="1"/>
              <w:ind w:left="41" w:right="91"/>
              <w:jc w:val="center"/>
            </w:pPr>
            <w:r>
              <w:rPr>
                <w:spacing w:val="-2"/>
                <w:w w:val="110"/>
              </w:rPr>
              <w:t>Empleados</w:t>
            </w:r>
          </w:p>
        </w:tc>
        <w:tc>
          <w:tcPr>
            <w:tcW w:w="1417" w:type="dxa"/>
            <w:tcBorders>
              <w:top w:val="single" w:sz="4" w:space="0" w:color="000000"/>
              <w:left w:val="single" w:sz="4" w:space="0" w:color="000000"/>
              <w:bottom w:val="single" w:sz="4" w:space="0" w:color="000000"/>
              <w:right w:val="single" w:sz="4" w:space="0" w:color="000000"/>
            </w:tcBorders>
          </w:tcPr>
          <w:p w14:paraId="00300E97" w14:textId="77777777" w:rsidR="00D3344B" w:rsidRDefault="00143C25">
            <w:pPr>
              <w:pStyle w:val="TableParagraph"/>
              <w:ind w:left="4"/>
              <w:jc w:val="center"/>
            </w:pPr>
            <w:r>
              <w:rPr>
                <w:spacing w:val="-5"/>
                <w:w w:val="110"/>
              </w:rPr>
              <w:t>32</w:t>
            </w:r>
          </w:p>
        </w:tc>
      </w:tr>
      <w:tr w:rsidR="00D3344B" w14:paraId="4C1AD1AD" w14:textId="77777777">
        <w:trPr>
          <w:trHeight w:val="710"/>
        </w:trPr>
        <w:tc>
          <w:tcPr>
            <w:tcW w:w="1275" w:type="dxa"/>
            <w:tcBorders>
              <w:top w:val="single" w:sz="4" w:space="0" w:color="000000"/>
              <w:left w:val="single" w:sz="4" w:space="0" w:color="000000"/>
              <w:bottom w:val="single" w:sz="4" w:space="0" w:color="000000"/>
              <w:right w:val="single" w:sz="4" w:space="0" w:color="000000"/>
            </w:tcBorders>
          </w:tcPr>
          <w:p w14:paraId="492CFCE5" w14:textId="77777777" w:rsidR="00D3344B" w:rsidRDefault="00143C25">
            <w:pPr>
              <w:pStyle w:val="TableParagraph"/>
              <w:ind w:left="127" w:right="167"/>
              <w:jc w:val="center"/>
            </w:pPr>
            <w:r>
              <w:rPr>
                <w:spacing w:val="-2"/>
                <w:w w:val="110"/>
              </w:rPr>
              <w:t>Mediana</w:t>
            </w:r>
          </w:p>
        </w:tc>
        <w:tc>
          <w:tcPr>
            <w:tcW w:w="1559" w:type="dxa"/>
            <w:tcBorders>
              <w:top w:val="single" w:sz="4" w:space="0" w:color="000000"/>
              <w:left w:val="single" w:sz="4" w:space="0" w:color="000000"/>
              <w:bottom w:val="single" w:sz="4" w:space="0" w:color="000000"/>
              <w:right w:val="single" w:sz="4" w:space="0" w:color="000000"/>
            </w:tcBorders>
          </w:tcPr>
          <w:p w14:paraId="5DEEB861" w14:textId="77777777" w:rsidR="00D3344B" w:rsidRDefault="00143C25">
            <w:pPr>
              <w:pStyle w:val="TableParagraph"/>
              <w:ind w:left="45" w:right="87"/>
              <w:jc w:val="center"/>
            </w:pPr>
            <w:r>
              <w:rPr>
                <w:w w:val="105"/>
              </w:rPr>
              <w:t>101-</w:t>
            </w:r>
            <w:r>
              <w:rPr>
                <w:spacing w:val="-5"/>
                <w:w w:val="110"/>
              </w:rPr>
              <w:t>500</w:t>
            </w:r>
          </w:p>
          <w:p w14:paraId="2A243D40" w14:textId="77777777" w:rsidR="00D3344B" w:rsidRDefault="00143C25">
            <w:pPr>
              <w:pStyle w:val="TableParagraph"/>
              <w:spacing w:line="252" w:lineRule="exact"/>
              <w:ind w:left="45" w:right="89"/>
              <w:jc w:val="center"/>
            </w:pPr>
            <w:r>
              <w:rPr>
                <w:spacing w:val="-2"/>
                <w:w w:val="110"/>
              </w:rPr>
              <w:t>Empleados</w:t>
            </w:r>
          </w:p>
        </w:tc>
        <w:tc>
          <w:tcPr>
            <w:tcW w:w="1702" w:type="dxa"/>
            <w:tcBorders>
              <w:top w:val="single" w:sz="4" w:space="0" w:color="000000"/>
              <w:left w:val="single" w:sz="4" w:space="0" w:color="000000"/>
              <w:bottom w:val="single" w:sz="4" w:space="0" w:color="000000"/>
              <w:right w:val="single" w:sz="4" w:space="0" w:color="000000"/>
            </w:tcBorders>
          </w:tcPr>
          <w:p w14:paraId="4B4E9C30" w14:textId="77777777" w:rsidR="00D3344B" w:rsidRDefault="00143C25">
            <w:pPr>
              <w:pStyle w:val="TableParagraph"/>
              <w:ind w:left="37" w:right="79"/>
              <w:jc w:val="center"/>
            </w:pPr>
            <w:r>
              <w:rPr>
                <w:w w:val="105"/>
              </w:rPr>
              <w:t>21-</w:t>
            </w:r>
            <w:r>
              <w:rPr>
                <w:spacing w:val="-5"/>
                <w:w w:val="110"/>
              </w:rPr>
              <w:t>100</w:t>
            </w:r>
          </w:p>
          <w:p w14:paraId="21CAB269" w14:textId="77777777" w:rsidR="00D3344B" w:rsidRDefault="00143C25">
            <w:pPr>
              <w:pStyle w:val="TableParagraph"/>
              <w:spacing w:line="252" w:lineRule="exact"/>
              <w:ind w:left="37" w:right="83"/>
              <w:jc w:val="center"/>
            </w:pPr>
            <w:r>
              <w:rPr>
                <w:spacing w:val="-2"/>
                <w:w w:val="110"/>
              </w:rPr>
              <w:t>Empleados</w:t>
            </w:r>
          </w:p>
        </w:tc>
        <w:tc>
          <w:tcPr>
            <w:tcW w:w="1418" w:type="dxa"/>
            <w:tcBorders>
              <w:top w:val="single" w:sz="4" w:space="0" w:color="000000"/>
              <w:left w:val="single" w:sz="4" w:space="0" w:color="000000"/>
              <w:bottom w:val="single" w:sz="4" w:space="0" w:color="000000"/>
              <w:right w:val="single" w:sz="4" w:space="0" w:color="000000"/>
            </w:tcBorders>
          </w:tcPr>
          <w:p w14:paraId="782B18DE" w14:textId="77777777" w:rsidR="00D3344B" w:rsidRDefault="00143C25">
            <w:pPr>
              <w:pStyle w:val="TableParagraph"/>
              <w:ind w:left="41" w:right="87"/>
              <w:jc w:val="center"/>
            </w:pPr>
            <w:r>
              <w:t>51-</w:t>
            </w:r>
            <w:r>
              <w:rPr>
                <w:spacing w:val="-5"/>
              </w:rPr>
              <w:t>100</w:t>
            </w:r>
          </w:p>
          <w:p w14:paraId="2865FBBB" w14:textId="77777777" w:rsidR="00D3344B" w:rsidRDefault="00143C25">
            <w:pPr>
              <w:pStyle w:val="TableParagraph"/>
              <w:spacing w:line="252" w:lineRule="exact"/>
              <w:ind w:left="41" w:right="91"/>
              <w:jc w:val="center"/>
            </w:pPr>
            <w:r>
              <w:rPr>
                <w:spacing w:val="-2"/>
                <w:w w:val="110"/>
              </w:rPr>
              <w:t>Empleados</w:t>
            </w:r>
          </w:p>
        </w:tc>
        <w:tc>
          <w:tcPr>
            <w:tcW w:w="1417" w:type="dxa"/>
            <w:tcBorders>
              <w:top w:val="single" w:sz="4" w:space="0" w:color="000000"/>
              <w:left w:val="single" w:sz="4" w:space="0" w:color="000000"/>
              <w:bottom w:val="single" w:sz="4" w:space="0" w:color="000000"/>
              <w:right w:val="single" w:sz="4" w:space="0" w:color="000000"/>
            </w:tcBorders>
          </w:tcPr>
          <w:p w14:paraId="6B76EACE" w14:textId="77777777" w:rsidR="00D3344B" w:rsidRDefault="00143C25">
            <w:pPr>
              <w:pStyle w:val="TableParagraph"/>
              <w:ind w:left="4"/>
              <w:jc w:val="center"/>
            </w:pPr>
            <w:r>
              <w:rPr>
                <w:spacing w:val="-5"/>
                <w:w w:val="110"/>
              </w:rPr>
              <w:t>47</w:t>
            </w:r>
          </w:p>
        </w:tc>
      </w:tr>
      <w:tr w:rsidR="00D3344B" w14:paraId="738134B1" w14:textId="77777777">
        <w:trPr>
          <w:trHeight w:val="772"/>
        </w:trPr>
        <w:tc>
          <w:tcPr>
            <w:tcW w:w="1275" w:type="dxa"/>
            <w:tcBorders>
              <w:top w:val="single" w:sz="4" w:space="0" w:color="000000"/>
              <w:left w:val="single" w:sz="4" w:space="0" w:color="000000"/>
              <w:bottom w:val="single" w:sz="4" w:space="0" w:color="000000"/>
              <w:right w:val="single" w:sz="4" w:space="0" w:color="000000"/>
            </w:tcBorders>
          </w:tcPr>
          <w:p w14:paraId="3BEAC8F8" w14:textId="77777777" w:rsidR="00D3344B" w:rsidRDefault="00143C25">
            <w:pPr>
              <w:pStyle w:val="TableParagraph"/>
              <w:ind w:left="125" w:right="167"/>
              <w:jc w:val="center"/>
            </w:pPr>
            <w:r>
              <w:rPr>
                <w:spacing w:val="-2"/>
                <w:w w:val="110"/>
              </w:rPr>
              <w:t>Grande</w:t>
            </w:r>
          </w:p>
        </w:tc>
        <w:tc>
          <w:tcPr>
            <w:tcW w:w="1559" w:type="dxa"/>
            <w:tcBorders>
              <w:top w:val="single" w:sz="4" w:space="0" w:color="000000"/>
              <w:left w:val="single" w:sz="4" w:space="0" w:color="000000"/>
              <w:bottom w:val="single" w:sz="4" w:space="0" w:color="000000"/>
              <w:right w:val="single" w:sz="4" w:space="0" w:color="000000"/>
            </w:tcBorders>
          </w:tcPr>
          <w:p w14:paraId="392C93E2" w14:textId="77777777" w:rsidR="00D3344B" w:rsidRDefault="00143C25">
            <w:pPr>
              <w:pStyle w:val="TableParagraph"/>
              <w:ind w:left="45" w:right="90"/>
              <w:jc w:val="center"/>
            </w:pPr>
            <w:r>
              <w:rPr>
                <w:spacing w:val="-5"/>
                <w:w w:val="110"/>
              </w:rPr>
              <w:t>501</w:t>
            </w:r>
          </w:p>
          <w:p w14:paraId="7E320B02" w14:textId="77777777" w:rsidR="00D3344B" w:rsidRDefault="00143C25">
            <w:pPr>
              <w:pStyle w:val="TableParagraph"/>
              <w:spacing w:line="254" w:lineRule="exact"/>
              <w:ind w:left="45" w:right="91"/>
              <w:jc w:val="center"/>
            </w:pPr>
            <w:r>
              <w:rPr>
                <w:spacing w:val="-2"/>
                <w:w w:val="110"/>
              </w:rPr>
              <w:t>empleados</w:t>
            </w:r>
            <w:r>
              <w:rPr>
                <w:spacing w:val="-14"/>
                <w:w w:val="110"/>
              </w:rPr>
              <w:t xml:space="preserve"> </w:t>
            </w:r>
            <w:r>
              <w:rPr>
                <w:spacing w:val="-2"/>
                <w:w w:val="110"/>
              </w:rPr>
              <w:t>en adelante</w:t>
            </w:r>
          </w:p>
        </w:tc>
        <w:tc>
          <w:tcPr>
            <w:tcW w:w="1702" w:type="dxa"/>
            <w:tcBorders>
              <w:top w:val="single" w:sz="4" w:space="0" w:color="000000"/>
              <w:left w:val="single" w:sz="4" w:space="0" w:color="000000"/>
              <w:bottom w:val="single" w:sz="4" w:space="0" w:color="000000"/>
              <w:right w:val="single" w:sz="4" w:space="0" w:color="000000"/>
            </w:tcBorders>
          </w:tcPr>
          <w:p w14:paraId="60DD379F" w14:textId="77777777" w:rsidR="00D3344B" w:rsidRDefault="00143C25">
            <w:pPr>
              <w:pStyle w:val="TableParagraph"/>
              <w:ind w:left="37" w:right="84"/>
              <w:jc w:val="center"/>
            </w:pPr>
            <w:r>
              <w:rPr>
                <w:spacing w:val="-5"/>
                <w:w w:val="110"/>
              </w:rPr>
              <w:t>101</w:t>
            </w:r>
          </w:p>
          <w:p w14:paraId="21ABBE2F" w14:textId="77777777" w:rsidR="00D3344B" w:rsidRDefault="00143C25">
            <w:pPr>
              <w:pStyle w:val="TableParagraph"/>
              <w:spacing w:line="254" w:lineRule="exact"/>
              <w:ind w:left="37" w:right="84"/>
              <w:jc w:val="center"/>
            </w:pPr>
            <w:r>
              <w:rPr>
                <w:spacing w:val="-2"/>
                <w:w w:val="110"/>
              </w:rPr>
              <w:t>empleados</w:t>
            </w:r>
            <w:r>
              <w:rPr>
                <w:spacing w:val="-14"/>
                <w:w w:val="110"/>
              </w:rPr>
              <w:t xml:space="preserve"> </w:t>
            </w:r>
            <w:r>
              <w:rPr>
                <w:spacing w:val="-2"/>
                <w:w w:val="110"/>
              </w:rPr>
              <w:t>en adelante</w:t>
            </w:r>
          </w:p>
        </w:tc>
        <w:tc>
          <w:tcPr>
            <w:tcW w:w="1418" w:type="dxa"/>
            <w:tcBorders>
              <w:top w:val="single" w:sz="4" w:space="0" w:color="000000"/>
              <w:left w:val="single" w:sz="4" w:space="0" w:color="000000"/>
              <w:bottom w:val="single" w:sz="4" w:space="0" w:color="000000"/>
              <w:right w:val="single" w:sz="4" w:space="0" w:color="000000"/>
            </w:tcBorders>
          </w:tcPr>
          <w:p w14:paraId="54ABC85F" w14:textId="77777777" w:rsidR="00D3344B" w:rsidRDefault="00143C25">
            <w:pPr>
              <w:pStyle w:val="TableParagraph"/>
              <w:ind w:left="41" w:right="92"/>
              <w:jc w:val="center"/>
            </w:pPr>
            <w:r>
              <w:rPr>
                <w:spacing w:val="-5"/>
                <w:w w:val="110"/>
              </w:rPr>
              <w:t>101</w:t>
            </w:r>
          </w:p>
          <w:p w14:paraId="5D32C04C" w14:textId="77777777" w:rsidR="00D3344B" w:rsidRDefault="00143C25">
            <w:pPr>
              <w:pStyle w:val="TableParagraph"/>
              <w:spacing w:line="254" w:lineRule="exact"/>
              <w:ind w:left="41" w:right="93"/>
              <w:jc w:val="center"/>
            </w:pPr>
            <w:r>
              <w:rPr>
                <w:spacing w:val="-2"/>
                <w:w w:val="110"/>
              </w:rPr>
              <w:t>empleados</w:t>
            </w:r>
            <w:r>
              <w:rPr>
                <w:spacing w:val="-14"/>
                <w:w w:val="110"/>
              </w:rPr>
              <w:t xml:space="preserve"> </w:t>
            </w:r>
            <w:r>
              <w:rPr>
                <w:spacing w:val="-2"/>
                <w:w w:val="110"/>
              </w:rPr>
              <w:t>en adelante</w:t>
            </w:r>
          </w:p>
        </w:tc>
        <w:tc>
          <w:tcPr>
            <w:tcW w:w="1417" w:type="dxa"/>
            <w:tcBorders>
              <w:top w:val="single" w:sz="4" w:space="0" w:color="000000"/>
              <w:left w:val="single" w:sz="4" w:space="0" w:color="000000"/>
              <w:bottom w:val="single" w:sz="4" w:space="0" w:color="000000"/>
              <w:right w:val="single" w:sz="4" w:space="0" w:color="000000"/>
            </w:tcBorders>
          </w:tcPr>
          <w:p w14:paraId="7F081100" w14:textId="77777777" w:rsidR="00D3344B" w:rsidRDefault="00143C25">
            <w:pPr>
              <w:pStyle w:val="TableParagraph"/>
              <w:ind w:left="4"/>
              <w:jc w:val="center"/>
            </w:pPr>
            <w:r>
              <w:rPr>
                <w:spacing w:val="-5"/>
                <w:w w:val="110"/>
              </w:rPr>
              <w:t>72</w:t>
            </w:r>
          </w:p>
        </w:tc>
      </w:tr>
    </w:tbl>
    <w:p w14:paraId="3ECF68B5" w14:textId="77777777" w:rsidR="00D3344B" w:rsidRDefault="00D3344B">
      <w:pPr>
        <w:ind w:left="1134" w:hanging="426"/>
        <w:rPr>
          <w:rFonts w:ascii="Arial" w:hAnsi="Arial" w:cs="Arial"/>
        </w:rPr>
      </w:pPr>
    </w:p>
    <w:p w14:paraId="35F0ABB7" w14:textId="77777777" w:rsidR="00D3344B" w:rsidRDefault="00143C25">
      <w:pPr>
        <w:ind w:left="709" w:hanging="1"/>
        <w:rPr>
          <w:rFonts w:ascii="Arial" w:hAnsi="Arial" w:cs="Arial"/>
        </w:rPr>
      </w:pPr>
      <w:r>
        <w:rPr>
          <w:rFonts w:ascii="Arial" w:hAnsi="Arial" w:cs="Arial"/>
        </w:rPr>
        <w:t>Las empresas y negociaciones de tipo agropecuario o agrícola no estarán obligadas al pago de derechos por la obtención de la licencia o su actualización, sin embargo, deberán cumplir con la obligación de registrarse y obtener licencia.</w:t>
      </w:r>
    </w:p>
    <w:p w14:paraId="6CF85BA7" w14:textId="77777777" w:rsidR="00D3344B" w:rsidRDefault="00143C25">
      <w:pPr>
        <w:ind w:left="709" w:hanging="1"/>
        <w:rPr>
          <w:rFonts w:ascii="Arial" w:hAnsi="Arial" w:cs="Arial"/>
        </w:rPr>
      </w:pPr>
      <w:r>
        <w:rPr>
          <w:rFonts w:ascii="Arial" w:hAnsi="Arial" w:cs="Arial"/>
        </w:rPr>
        <w:t>El trámite de la Licencia Ambiental Estatal será obligatorio para los responsables de los establecimientos que realizan actividades de competencia estatal.</w:t>
      </w:r>
    </w:p>
    <w:p w14:paraId="0EE0FD26" w14:textId="77777777" w:rsidR="00D3344B" w:rsidRDefault="00143C25">
      <w:pPr>
        <w:ind w:left="1134" w:hanging="426"/>
        <w:rPr>
          <w:rFonts w:ascii="Arial" w:hAnsi="Arial" w:cs="Arial"/>
        </w:rPr>
      </w:pPr>
      <w:r>
        <w:rPr>
          <w:rFonts w:ascii="Arial" w:hAnsi="Arial" w:cs="Arial"/>
        </w:rPr>
        <w:t>c)</w:t>
      </w:r>
      <w:r>
        <w:rPr>
          <w:rFonts w:ascii="Arial" w:hAnsi="Arial" w:cs="Arial"/>
        </w:rPr>
        <w:tab/>
        <w:t>Por la expedición de la Cédula de Operación Anual (COA), se pagarán 23 UMA.</w:t>
      </w:r>
    </w:p>
    <w:p w14:paraId="685C486F" w14:textId="77777777" w:rsidR="00D3344B" w:rsidRDefault="00143C25">
      <w:pPr>
        <w:ind w:left="1134" w:hanging="426"/>
        <w:rPr>
          <w:rFonts w:ascii="Arial" w:hAnsi="Arial" w:cs="Arial"/>
        </w:rPr>
      </w:pPr>
      <w:r>
        <w:rPr>
          <w:rFonts w:ascii="Arial" w:hAnsi="Arial" w:cs="Arial"/>
        </w:rPr>
        <w:t>d)</w:t>
      </w:r>
      <w:r>
        <w:rPr>
          <w:rFonts w:ascii="Arial" w:hAnsi="Arial" w:cs="Arial"/>
        </w:rPr>
        <w:tab/>
        <w:t>Por expedición de la Cédula de Operación Anual (COA), tramitada extemporáneamente, se pagarán 35 UMA.</w:t>
      </w:r>
    </w:p>
    <w:p w14:paraId="3753BBEB" w14:textId="77777777" w:rsidR="00D3344B" w:rsidRDefault="00143C25">
      <w:pPr>
        <w:spacing w:after="0"/>
        <w:rPr>
          <w:rFonts w:ascii="Arial" w:hAnsi="Arial" w:cs="Arial"/>
          <w:i/>
          <w:iCs/>
          <w:sz w:val="16"/>
          <w:szCs w:val="16"/>
        </w:rPr>
      </w:pPr>
      <w:r>
        <w:rPr>
          <w:rFonts w:ascii="Arial" w:hAnsi="Arial" w:cs="Arial"/>
          <w:i/>
          <w:iCs/>
          <w:sz w:val="16"/>
          <w:szCs w:val="16"/>
        </w:rPr>
        <w:t>(REFORMADA, P.O. 29 DE NOVIEMBRE DE 2023)</w:t>
      </w:r>
    </w:p>
    <w:p w14:paraId="225CE7EF" w14:textId="77777777" w:rsidR="00D3344B" w:rsidRDefault="00143C25">
      <w:pPr>
        <w:spacing w:after="0"/>
        <w:rPr>
          <w:rFonts w:ascii="Arial" w:hAnsi="Arial" w:cs="Arial"/>
        </w:rPr>
      </w:pPr>
      <w:r>
        <w:rPr>
          <w:rFonts w:ascii="Arial" w:hAnsi="Arial" w:cs="Arial"/>
        </w:rPr>
        <w:t>V.</w:t>
      </w:r>
      <w:r>
        <w:rPr>
          <w:rFonts w:ascii="Arial" w:hAnsi="Arial" w:cs="Arial"/>
        </w:rPr>
        <w:tab/>
        <w:t>Por la evaluación y dictaminación:</w:t>
      </w:r>
    </w:p>
    <w:tbl>
      <w:tblPr>
        <w:tblStyle w:val="TableNormal"/>
        <w:tblW w:w="8148" w:type="dxa"/>
        <w:tblInd w:w="709" w:type="dxa"/>
        <w:tblLayout w:type="fixed"/>
        <w:tblLook w:val="01E0" w:firstRow="1" w:lastRow="1" w:firstColumn="1" w:lastColumn="1" w:noHBand="0" w:noVBand="0"/>
      </w:tblPr>
      <w:tblGrid>
        <w:gridCol w:w="6198"/>
        <w:gridCol w:w="1950"/>
      </w:tblGrid>
      <w:tr w:rsidR="00D3344B" w14:paraId="3214EAF6" w14:textId="77777777">
        <w:trPr>
          <w:trHeight w:val="374"/>
        </w:trPr>
        <w:tc>
          <w:tcPr>
            <w:tcW w:w="6197" w:type="dxa"/>
          </w:tcPr>
          <w:p w14:paraId="613A9330" w14:textId="77777777" w:rsidR="00D3344B" w:rsidRDefault="00143C25">
            <w:pPr>
              <w:pStyle w:val="TableParagraph"/>
              <w:spacing w:line="244" w:lineRule="exact"/>
              <w:ind w:left="50"/>
              <w:rPr>
                <w:b/>
              </w:rPr>
            </w:pPr>
            <w:r>
              <w:rPr>
                <w:b/>
                <w:spacing w:val="-2"/>
              </w:rPr>
              <w:lastRenderedPageBreak/>
              <w:t>Concepto</w:t>
            </w:r>
          </w:p>
        </w:tc>
        <w:tc>
          <w:tcPr>
            <w:tcW w:w="1950" w:type="dxa"/>
          </w:tcPr>
          <w:p w14:paraId="1F2D90B3" w14:textId="77777777" w:rsidR="00D3344B" w:rsidRDefault="00143C25">
            <w:pPr>
              <w:pStyle w:val="TableParagraph"/>
              <w:spacing w:line="244" w:lineRule="exact"/>
              <w:ind w:left="124" w:right="41"/>
              <w:jc w:val="center"/>
              <w:rPr>
                <w:b/>
              </w:rPr>
            </w:pPr>
            <w:r>
              <w:rPr>
                <w:b/>
              </w:rPr>
              <w:t>Derechos</w:t>
            </w:r>
            <w:r>
              <w:rPr>
                <w:b/>
                <w:spacing w:val="-5"/>
              </w:rPr>
              <w:t xml:space="preserve"> </w:t>
            </w:r>
            <w:r>
              <w:rPr>
                <w:b/>
                <w:spacing w:val="-2"/>
              </w:rPr>
              <w:t>causados</w:t>
            </w:r>
          </w:p>
        </w:tc>
      </w:tr>
      <w:tr w:rsidR="00D3344B" w14:paraId="74DEBB79" w14:textId="77777777">
        <w:trPr>
          <w:trHeight w:val="759"/>
        </w:trPr>
        <w:tc>
          <w:tcPr>
            <w:tcW w:w="6197" w:type="dxa"/>
          </w:tcPr>
          <w:p w14:paraId="6786A13A" w14:textId="77777777" w:rsidR="00D3344B" w:rsidRDefault="00143C25">
            <w:pPr>
              <w:pStyle w:val="TableParagraph"/>
              <w:spacing w:before="121"/>
              <w:ind w:left="50"/>
            </w:pPr>
            <w:r>
              <w:t>a)</w:t>
            </w:r>
            <w:r>
              <w:rPr>
                <w:spacing w:val="-4"/>
              </w:rPr>
              <w:t xml:space="preserve"> </w:t>
            </w:r>
            <w:r>
              <w:t>Por</w:t>
            </w:r>
            <w:r>
              <w:rPr>
                <w:spacing w:val="-4"/>
              </w:rPr>
              <w:t xml:space="preserve"> </w:t>
            </w:r>
            <w:r>
              <w:t>la</w:t>
            </w:r>
            <w:r>
              <w:rPr>
                <w:spacing w:val="-4"/>
              </w:rPr>
              <w:t xml:space="preserve"> </w:t>
            </w:r>
            <w:r>
              <w:t>solicitud</w:t>
            </w:r>
            <w:r>
              <w:rPr>
                <w:spacing w:val="-5"/>
              </w:rPr>
              <w:t xml:space="preserve"> </w:t>
            </w:r>
            <w:r>
              <w:t>para</w:t>
            </w:r>
            <w:r>
              <w:rPr>
                <w:spacing w:val="-4"/>
              </w:rPr>
              <w:t xml:space="preserve"> </w:t>
            </w:r>
            <w:r>
              <w:t>el</w:t>
            </w:r>
            <w:r>
              <w:rPr>
                <w:spacing w:val="-4"/>
              </w:rPr>
              <w:t xml:space="preserve"> </w:t>
            </w:r>
            <w:r>
              <w:t>derribo</w:t>
            </w:r>
            <w:r>
              <w:rPr>
                <w:spacing w:val="-5"/>
              </w:rPr>
              <w:t xml:space="preserve"> </w:t>
            </w:r>
            <w:r>
              <w:t>de</w:t>
            </w:r>
            <w:r>
              <w:rPr>
                <w:spacing w:val="-4"/>
              </w:rPr>
              <w:t xml:space="preserve"> </w:t>
            </w:r>
            <w:r>
              <w:t>árboles</w:t>
            </w:r>
            <w:r>
              <w:rPr>
                <w:spacing w:val="-4"/>
              </w:rPr>
              <w:t xml:space="preserve"> </w:t>
            </w:r>
            <w:r>
              <w:t>y/o</w:t>
            </w:r>
            <w:r>
              <w:rPr>
                <w:spacing w:val="-5"/>
              </w:rPr>
              <w:t xml:space="preserve"> </w:t>
            </w:r>
            <w:r>
              <w:t>arbustos,</w:t>
            </w:r>
            <w:r>
              <w:rPr>
                <w:spacing w:val="-4"/>
              </w:rPr>
              <w:t xml:space="preserve"> </w:t>
            </w:r>
            <w:r>
              <w:t>el</w:t>
            </w:r>
            <w:r>
              <w:rPr>
                <w:spacing w:val="-4"/>
              </w:rPr>
              <w:t xml:space="preserve"> </w:t>
            </w:r>
            <w:r>
              <w:t>cobro</w:t>
            </w:r>
            <w:r>
              <w:rPr>
                <w:spacing w:val="-5"/>
              </w:rPr>
              <w:t xml:space="preserve"> </w:t>
            </w:r>
            <w:r>
              <w:t>será</w:t>
            </w:r>
            <w:r>
              <w:rPr>
                <w:spacing w:val="-4"/>
              </w:rPr>
              <w:t xml:space="preserve"> </w:t>
            </w:r>
            <w:r>
              <w:t>por cada espécimen o ejemplar autorizado.</w:t>
            </w:r>
          </w:p>
        </w:tc>
        <w:tc>
          <w:tcPr>
            <w:tcW w:w="1950" w:type="dxa"/>
          </w:tcPr>
          <w:p w14:paraId="32E42150" w14:textId="77777777" w:rsidR="00D3344B" w:rsidRDefault="00143C25">
            <w:pPr>
              <w:pStyle w:val="TableParagraph"/>
              <w:spacing w:before="121"/>
              <w:ind w:left="124" w:right="39"/>
              <w:jc w:val="center"/>
            </w:pPr>
            <w:r>
              <w:t xml:space="preserve">1 </w:t>
            </w:r>
            <w:r>
              <w:rPr>
                <w:spacing w:val="-5"/>
              </w:rPr>
              <w:t>UMA</w:t>
            </w:r>
          </w:p>
        </w:tc>
      </w:tr>
      <w:tr w:rsidR="00D3344B" w14:paraId="7C4AB502" w14:textId="77777777">
        <w:trPr>
          <w:trHeight w:val="758"/>
        </w:trPr>
        <w:tc>
          <w:tcPr>
            <w:tcW w:w="6197" w:type="dxa"/>
          </w:tcPr>
          <w:p w14:paraId="1FCB00C1" w14:textId="77777777" w:rsidR="00D3344B" w:rsidRDefault="00143C25">
            <w:pPr>
              <w:pStyle w:val="TableParagraph"/>
              <w:spacing w:before="122"/>
              <w:ind w:left="50"/>
            </w:pPr>
            <w:r>
              <w:t>b)</w:t>
            </w:r>
            <w:r>
              <w:rPr>
                <w:spacing w:val="-9"/>
              </w:rPr>
              <w:t xml:space="preserve"> </w:t>
            </w:r>
            <w:r>
              <w:t>Por</w:t>
            </w:r>
            <w:r>
              <w:rPr>
                <w:spacing w:val="-12"/>
              </w:rPr>
              <w:t xml:space="preserve"> </w:t>
            </w:r>
            <w:r>
              <w:t>la</w:t>
            </w:r>
            <w:r>
              <w:rPr>
                <w:spacing w:val="-9"/>
              </w:rPr>
              <w:t xml:space="preserve"> </w:t>
            </w:r>
            <w:r>
              <w:t>solicitud</w:t>
            </w:r>
            <w:r>
              <w:rPr>
                <w:spacing w:val="-10"/>
              </w:rPr>
              <w:t xml:space="preserve"> </w:t>
            </w:r>
            <w:r>
              <w:t>para</w:t>
            </w:r>
            <w:r>
              <w:rPr>
                <w:spacing w:val="-12"/>
              </w:rPr>
              <w:t xml:space="preserve"> </w:t>
            </w:r>
            <w:r>
              <w:t>la</w:t>
            </w:r>
            <w:r>
              <w:rPr>
                <w:spacing w:val="-12"/>
              </w:rPr>
              <w:t xml:space="preserve"> </w:t>
            </w:r>
            <w:r>
              <w:t>poda</w:t>
            </w:r>
            <w:r>
              <w:rPr>
                <w:spacing w:val="-9"/>
              </w:rPr>
              <w:t xml:space="preserve"> </w:t>
            </w:r>
            <w:r>
              <w:t>de</w:t>
            </w:r>
            <w:r>
              <w:rPr>
                <w:spacing w:val="-12"/>
              </w:rPr>
              <w:t xml:space="preserve"> </w:t>
            </w:r>
            <w:r>
              <w:t>árboles</w:t>
            </w:r>
            <w:r>
              <w:rPr>
                <w:spacing w:val="-9"/>
              </w:rPr>
              <w:t xml:space="preserve"> </w:t>
            </w:r>
            <w:r>
              <w:t>y/o</w:t>
            </w:r>
            <w:r>
              <w:rPr>
                <w:spacing w:val="-10"/>
              </w:rPr>
              <w:t xml:space="preserve"> </w:t>
            </w:r>
            <w:r>
              <w:t>arbustos,</w:t>
            </w:r>
            <w:r>
              <w:rPr>
                <w:spacing w:val="-12"/>
              </w:rPr>
              <w:t xml:space="preserve"> </w:t>
            </w:r>
            <w:r>
              <w:t>el</w:t>
            </w:r>
            <w:r>
              <w:rPr>
                <w:spacing w:val="-9"/>
              </w:rPr>
              <w:t xml:space="preserve"> </w:t>
            </w:r>
            <w:r>
              <w:t>cobro</w:t>
            </w:r>
            <w:r>
              <w:rPr>
                <w:spacing w:val="-12"/>
              </w:rPr>
              <w:t xml:space="preserve"> </w:t>
            </w:r>
            <w:r>
              <w:t>se</w:t>
            </w:r>
            <w:r>
              <w:rPr>
                <w:spacing w:val="-9"/>
              </w:rPr>
              <w:t xml:space="preserve"> </w:t>
            </w:r>
            <w:r>
              <w:t>por</w:t>
            </w:r>
            <w:r>
              <w:rPr>
                <w:spacing w:val="-9"/>
              </w:rPr>
              <w:t xml:space="preserve"> </w:t>
            </w:r>
            <w:r>
              <w:t>cada espécimen o ejemplar autorizado.</w:t>
            </w:r>
          </w:p>
        </w:tc>
        <w:tc>
          <w:tcPr>
            <w:tcW w:w="1950" w:type="dxa"/>
          </w:tcPr>
          <w:p w14:paraId="49E89FE3" w14:textId="77777777" w:rsidR="00D3344B" w:rsidRDefault="00143C25">
            <w:pPr>
              <w:pStyle w:val="TableParagraph"/>
              <w:spacing w:before="122"/>
              <w:ind w:left="541"/>
            </w:pPr>
            <w:r>
              <w:t xml:space="preserve">0.25 </w:t>
            </w:r>
            <w:r>
              <w:rPr>
                <w:spacing w:val="-5"/>
              </w:rPr>
              <w:t>UMA</w:t>
            </w:r>
          </w:p>
        </w:tc>
      </w:tr>
      <w:tr w:rsidR="00D3344B" w14:paraId="7E6C0D4F" w14:textId="77777777">
        <w:trPr>
          <w:trHeight w:val="881"/>
        </w:trPr>
        <w:tc>
          <w:tcPr>
            <w:tcW w:w="6197" w:type="dxa"/>
          </w:tcPr>
          <w:p w14:paraId="590EFCFE" w14:textId="77777777" w:rsidR="00D3344B" w:rsidRDefault="00143C25">
            <w:pPr>
              <w:pStyle w:val="TableParagraph"/>
              <w:spacing w:before="122"/>
              <w:ind w:left="50"/>
            </w:pPr>
            <w:r>
              <w:t>c) Por la</w:t>
            </w:r>
            <w:r>
              <w:rPr>
                <w:spacing w:val="-1"/>
              </w:rPr>
              <w:t xml:space="preserve"> </w:t>
            </w:r>
            <w:r>
              <w:t>solicitud para</w:t>
            </w:r>
            <w:r>
              <w:rPr>
                <w:spacing w:val="-1"/>
              </w:rPr>
              <w:t xml:space="preserve"> </w:t>
            </w:r>
            <w:r>
              <w:t>la determinación</w:t>
            </w:r>
            <w:r>
              <w:rPr>
                <w:spacing w:val="-1"/>
              </w:rPr>
              <w:t xml:space="preserve"> </w:t>
            </w:r>
            <w:r>
              <w:t>de</w:t>
            </w:r>
            <w:r>
              <w:rPr>
                <w:spacing w:val="-1"/>
              </w:rPr>
              <w:t xml:space="preserve"> </w:t>
            </w:r>
            <w:r>
              <w:t>la capacidad de</w:t>
            </w:r>
            <w:r>
              <w:rPr>
                <w:spacing w:val="-1"/>
              </w:rPr>
              <w:t xml:space="preserve"> </w:t>
            </w:r>
            <w:r>
              <w:t>carga</w:t>
            </w:r>
            <w:r>
              <w:rPr>
                <w:spacing w:val="-1"/>
              </w:rPr>
              <w:t xml:space="preserve"> </w:t>
            </w:r>
            <w:r>
              <w:t>turística de</w:t>
            </w:r>
            <w:r>
              <w:rPr>
                <w:spacing w:val="-14"/>
              </w:rPr>
              <w:t xml:space="preserve"> </w:t>
            </w:r>
            <w:r>
              <w:t>los</w:t>
            </w:r>
            <w:r>
              <w:rPr>
                <w:spacing w:val="-12"/>
              </w:rPr>
              <w:t xml:space="preserve"> </w:t>
            </w:r>
            <w:r>
              <w:t>destinos</w:t>
            </w:r>
            <w:r>
              <w:rPr>
                <w:spacing w:val="-14"/>
              </w:rPr>
              <w:t xml:space="preserve"> </w:t>
            </w:r>
            <w:r>
              <w:t>turísticos</w:t>
            </w:r>
            <w:r>
              <w:rPr>
                <w:spacing w:val="-12"/>
              </w:rPr>
              <w:t xml:space="preserve"> </w:t>
            </w:r>
            <w:r>
              <w:t>que</w:t>
            </w:r>
            <w:r>
              <w:rPr>
                <w:spacing w:val="-12"/>
              </w:rPr>
              <w:t xml:space="preserve"> </w:t>
            </w:r>
            <w:r>
              <w:t>impliquen</w:t>
            </w:r>
            <w:r>
              <w:rPr>
                <w:spacing w:val="-13"/>
              </w:rPr>
              <w:t xml:space="preserve"> </w:t>
            </w:r>
            <w:r>
              <w:t>el</w:t>
            </w:r>
            <w:r>
              <w:rPr>
                <w:spacing w:val="-11"/>
              </w:rPr>
              <w:t xml:space="preserve"> </w:t>
            </w:r>
            <w:r>
              <w:t>aprovechamiento</w:t>
            </w:r>
            <w:r>
              <w:rPr>
                <w:spacing w:val="-13"/>
              </w:rPr>
              <w:t xml:space="preserve"> </w:t>
            </w:r>
            <w:r>
              <w:t>de</w:t>
            </w:r>
            <w:r>
              <w:rPr>
                <w:spacing w:val="-14"/>
              </w:rPr>
              <w:t xml:space="preserve"> </w:t>
            </w:r>
            <w:r>
              <w:t>los</w:t>
            </w:r>
            <w:r>
              <w:rPr>
                <w:spacing w:val="-11"/>
              </w:rPr>
              <w:t xml:space="preserve"> </w:t>
            </w:r>
            <w:r>
              <w:rPr>
                <w:spacing w:val="-2"/>
              </w:rPr>
              <w:t>recursos</w:t>
            </w:r>
          </w:p>
          <w:p w14:paraId="2F0C9270" w14:textId="77777777" w:rsidR="00D3344B" w:rsidRDefault="00143C25">
            <w:pPr>
              <w:pStyle w:val="TableParagraph"/>
              <w:spacing w:line="233" w:lineRule="exact"/>
              <w:ind w:left="50"/>
            </w:pPr>
            <w:r>
              <w:t>naturales</w:t>
            </w:r>
            <w:r>
              <w:rPr>
                <w:spacing w:val="-2"/>
              </w:rPr>
              <w:t xml:space="preserve"> </w:t>
            </w:r>
            <w:r>
              <w:t>o</w:t>
            </w:r>
            <w:r>
              <w:rPr>
                <w:spacing w:val="-5"/>
              </w:rPr>
              <w:t xml:space="preserve"> </w:t>
            </w:r>
            <w:r>
              <w:t>que</w:t>
            </w:r>
            <w:r>
              <w:rPr>
                <w:spacing w:val="-1"/>
              </w:rPr>
              <w:t xml:space="preserve"> </w:t>
            </w:r>
            <w:r>
              <w:t>generen</w:t>
            </w:r>
            <w:r>
              <w:rPr>
                <w:spacing w:val="-2"/>
              </w:rPr>
              <w:t xml:space="preserve"> </w:t>
            </w:r>
            <w:r>
              <w:t>un</w:t>
            </w:r>
            <w:r>
              <w:rPr>
                <w:spacing w:val="-7"/>
              </w:rPr>
              <w:t xml:space="preserve"> </w:t>
            </w:r>
            <w:r>
              <w:t>impacto</w:t>
            </w:r>
            <w:r>
              <w:rPr>
                <w:spacing w:val="-1"/>
              </w:rPr>
              <w:t xml:space="preserve"> </w:t>
            </w:r>
            <w:r>
              <w:t>en</w:t>
            </w:r>
            <w:r>
              <w:rPr>
                <w:spacing w:val="-4"/>
              </w:rPr>
              <w:t xml:space="preserve"> </w:t>
            </w:r>
            <w:r>
              <w:t>los</w:t>
            </w:r>
            <w:r>
              <w:rPr>
                <w:spacing w:val="-3"/>
              </w:rPr>
              <w:t xml:space="preserve"> </w:t>
            </w:r>
            <w:r>
              <w:rPr>
                <w:spacing w:val="-2"/>
              </w:rPr>
              <w:t>ecosistemas.</w:t>
            </w:r>
          </w:p>
        </w:tc>
        <w:tc>
          <w:tcPr>
            <w:tcW w:w="1950" w:type="dxa"/>
          </w:tcPr>
          <w:p w14:paraId="105A9753" w14:textId="77777777" w:rsidR="00D3344B" w:rsidRDefault="00143C25">
            <w:pPr>
              <w:pStyle w:val="TableParagraph"/>
              <w:spacing w:before="122"/>
              <w:ind w:left="124" w:right="39"/>
              <w:jc w:val="center"/>
            </w:pPr>
            <w:r>
              <w:t xml:space="preserve">15 </w:t>
            </w:r>
            <w:r>
              <w:rPr>
                <w:spacing w:val="-5"/>
              </w:rPr>
              <w:t>UMA</w:t>
            </w:r>
          </w:p>
        </w:tc>
      </w:tr>
    </w:tbl>
    <w:p w14:paraId="12479ED1" w14:textId="77777777" w:rsidR="00D3344B" w:rsidRDefault="00D3344B">
      <w:pPr>
        <w:spacing w:after="0"/>
        <w:rPr>
          <w:rFonts w:ascii="Arial" w:hAnsi="Arial" w:cs="Arial"/>
          <w:i/>
          <w:iCs/>
          <w:sz w:val="16"/>
          <w:szCs w:val="16"/>
        </w:rPr>
      </w:pPr>
    </w:p>
    <w:p w14:paraId="60A46901" w14:textId="77777777" w:rsidR="00D3344B" w:rsidRDefault="00143C25">
      <w:pPr>
        <w:spacing w:after="0"/>
        <w:rPr>
          <w:rFonts w:ascii="Arial" w:hAnsi="Arial" w:cs="Arial"/>
          <w:i/>
          <w:iCs/>
          <w:sz w:val="16"/>
          <w:szCs w:val="16"/>
        </w:rPr>
      </w:pPr>
      <w:r>
        <w:rPr>
          <w:rFonts w:ascii="Arial" w:hAnsi="Arial" w:cs="Arial"/>
          <w:i/>
          <w:iCs/>
          <w:sz w:val="16"/>
          <w:szCs w:val="16"/>
        </w:rPr>
        <w:t>(REFORMADA, P.O. 29 DE NOVIEMBRE DE 2023)</w:t>
      </w:r>
    </w:p>
    <w:p w14:paraId="1E5D243B" w14:textId="77777777" w:rsidR="00D3344B" w:rsidRDefault="00143C25">
      <w:pPr>
        <w:spacing w:after="0"/>
        <w:rPr>
          <w:rFonts w:ascii="Arial" w:hAnsi="Arial" w:cs="Arial"/>
        </w:rPr>
      </w:pPr>
      <w:r>
        <w:rPr>
          <w:rFonts w:ascii="Arial" w:hAnsi="Arial" w:cs="Arial"/>
        </w:rPr>
        <w:t>VI.</w:t>
      </w:r>
      <w:r>
        <w:rPr>
          <w:rFonts w:ascii="Arial" w:hAnsi="Arial" w:cs="Arial"/>
        </w:rPr>
        <w:tab/>
        <w:t>De los servicios de manejo de residuos sólidos en el Estado:</w:t>
      </w:r>
    </w:p>
    <w:p w14:paraId="7643AF3E" w14:textId="77777777" w:rsidR="00D3344B" w:rsidRDefault="00D3344B">
      <w:pPr>
        <w:spacing w:after="0"/>
        <w:rPr>
          <w:rFonts w:ascii="Arial" w:hAnsi="Arial" w:cs="Arial"/>
        </w:rPr>
      </w:pPr>
    </w:p>
    <w:p w14:paraId="1DA6C620" w14:textId="77777777" w:rsidR="00D3344B" w:rsidRDefault="00143C25">
      <w:pPr>
        <w:pStyle w:val="Prrafodelista"/>
        <w:numPr>
          <w:ilvl w:val="0"/>
          <w:numId w:val="14"/>
        </w:numPr>
        <w:spacing w:after="0"/>
        <w:jc w:val="both"/>
        <w:rPr>
          <w:rFonts w:ascii="Arial" w:hAnsi="Arial" w:cs="Arial"/>
        </w:rPr>
      </w:pPr>
      <w:r>
        <w:rPr>
          <w:rFonts w:ascii="Arial" w:hAnsi="Arial" w:cs="Arial"/>
        </w:rPr>
        <w:t>Por la autorización para la prestación del servicio de recolección y transporte de residuos sólidos por parte de particulares que cubran los requisitos establecidos en la Ley de Residuos del Estado de Tlaxcala y su Reglamento, con vigencia anual:</w:t>
      </w:r>
    </w:p>
    <w:p w14:paraId="220B82FB" w14:textId="77777777" w:rsidR="00D3344B" w:rsidRDefault="00D3344B">
      <w:pPr>
        <w:pStyle w:val="Prrafodelista"/>
        <w:spacing w:after="0"/>
        <w:ind w:left="1144"/>
        <w:rPr>
          <w:rFonts w:ascii="Arial" w:hAnsi="Arial" w:cs="Arial"/>
        </w:rPr>
      </w:pPr>
    </w:p>
    <w:tbl>
      <w:tblPr>
        <w:tblStyle w:val="TableNormal"/>
        <w:tblW w:w="7438" w:type="dxa"/>
        <w:tblInd w:w="1134" w:type="dxa"/>
        <w:tblLayout w:type="fixed"/>
        <w:tblLook w:val="01E0" w:firstRow="1" w:lastRow="1" w:firstColumn="1" w:lastColumn="1" w:noHBand="0" w:noVBand="0"/>
      </w:tblPr>
      <w:tblGrid>
        <w:gridCol w:w="6207"/>
        <w:gridCol w:w="1207"/>
        <w:gridCol w:w="24"/>
      </w:tblGrid>
      <w:tr w:rsidR="00D3344B" w14:paraId="1C5F5EC2" w14:textId="77777777">
        <w:trPr>
          <w:trHeight w:val="501"/>
        </w:trPr>
        <w:tc>
          <w:tcPr>
            <w:tcW w:w="6207" w:type="dxa"/>
          </w:tcPr>
          <w:p w14:paraId="2EACAA5B" w14:textId="77777777" w:rsidR="00D3344B" w:rsidRDefault="00143C25">
            <w:pPr>
              <w:pStyle w:val="TableParagraph"/>
              <w:spacing w:line="244" w:lineRule="exact"/>
              <w:ind w:left="50"/>
              <w:rPr>
                <w:b/>
              </w:rPr>
            </w:pPr>
            <w:r>
              <w:rPr>
                <w:b/>
                <w:spacing w:val="-2"/>
              </w:rPr>
              <w:t>Concepto</w:t>
            </w:r>
          </w:p>
        </w:tc>
        <w:tc>
          <w:tcPr>
            <w:tcW w:w="1207" w:type="dxa"/>
          </w:tcPr>
          <w:p w14:paraId="3110305D" w14:textId="77777777" w:rsidR="00D3344B" w:rsidRDefault="00143C25">
            <w:pPr>
              <w:pStyle w:val="TableParagraph"/>
              <w:spacing w:line="244" w:lineRule="exact"/>
              <w:ind w:left="288"/>
              <w:rPr>
                <w:b/>
              </w:rPr>
            </w:pPr>
            <w:r>
              <w:rPr>
                <w:b/>
                <w:spacing w:val="-2"/>
              </w:rPr>
              <w:t>Derechos</w:t>
            </w:r>
          </w:p>
          <w:p w14:paraId="551C2851" w14:textId="77777777" w:rsidR="00D3344B" w:rsidRDefault="00143C25">
            <w:pPr>
              <w:pStyle w:val="TableParagraph"/>
              <w:spacing w:line="238" w:lineRule="exact"/>
              <w:ind w:left="300"/>
              <w:rPr>
                <w:b/>
              </w:rPr>
            </w:pPr>
            <w:r>
              <w:rPr>
                <w:b/>
                <w:spacing w:val="-2"/>
              </w:rPr>
              <w:t>causados</w:t>
            </w:r>
          </w:p>
        </w:tc>
        <w:tc>
          <w:tcPr>
            <w:tcW w:w="24" w:type="dxa"/>
          </w:tcPr>
          <w:p w14:paraId="34437EAC" w14:textId="77777777" w:rsidR="00D3344B" w:rsidRDefault="00D3344B">
            <w:pPr>
              <w:widowControl w:val="0"/>
              <w:suppressAutoHyphens w:val="0"/>
              <w:rPr>
                <w:rFonts w:ascii="Calibri" w:eastAsia="Calibri" w:hAnsi="Calibri"/>
              </w:rPr>
            </w:pPr>
          </w:p>
        </w:tc>
      </w:tr>
      <w:tr w:rsidR="00D3344B" w14:paraId="4ACD4531" w14:textId="77777777">
        <w:trPr>
          <w:trHeight w:val="501"/>
        </w:trPr>
        <w:tc>
          <w:tcPr>
            <w:tcW w:w="6207" w:type="dxa"/>
          </w:tcPr>
          <w:p w14:paraId="11C2FCE4" w14:textId="77777777" w:rsidR="00D3344B" w:rsidRDefault="00143C25">
            <w:pPr>
              <w:pStyle w:val="TableParagraph"/>
              <w:spacing w:line="252" w:lineRule="exact"/>
              <w:ind w:left="50"/>
            </w:pPr>
            <w:r>
              <w:t>1.</w:t>
            </w:r>
            <w:r>
              <w:rPr>
                <w:spacing w:val="40"/>
              </w:rPr>
              <w:t xml:space="preserve"> </w:t>
            </w:r>
            <w:r>
              <w:t>Por</w:t>
            </w:r>
            <w:r>
              <w:rPr>
                <w:spacing w:val="40"/>
              </w:rPr>
              <w:t xml:space="preserve"> </w:t>
            </w:r>
            <w:r>
              <w:t>cada</w:t>
            </w:r>
            <w:r>
              <w:rPr>
                <w:spacing w:val="40"/>
              </w:rPr>
              <w:t xml:space="preserve"> </w:t>
            </w:r>
            <w:r>
              <w:t>vehículo</w:t>
            </w:r>
            <w:r>
              <w:rPr>
                <w:spacing w:val="40"/>
              </w:rPr>
              <w:t xml:space="preserve"> </w:t>
            </w:r>
            <w:r>
              <w:t>destinado</w:t>
            </w:r>
            <w:r>
              <w:rPr>
                <w:spacing w:val="40"/>
              </w:rPr>
              <w:t xml:space="preserve"> </w:t>
            </w:r>
            <w:r>
              <w:t>a</w:t>
            </w:r>
            <w:r>
              <w:rPr>
                <w:spacing w:val="40"/>
              </w:rPr>
              <w:t xml:space="preserve"> </w:t>
            </w:r>
            <w:r>
              <w:t>realizar</w:t>
            </w:r>
            <w:r>
              <w:rPr>
                <w:spacing w:val="40"/>
              </w:rPr>
              <w:t xml:space="preserve"> </w:t>
            </w:r>
            <w:r>
              <w:t>la</w:t>
            </w:r>
            <w:r>
              <w:rPr>
                <w:spacing w:val="40"/>
              </w:rPr>
              <w:t xml:space="preserve"> </w:t>
            </w:r>
            <w:r>
              <w:t>recolección</w:t>
            </w:r>
            <w:r>
              <w:rPr>
                <w:spacing w:val="40"/>
              </w:rPr>
              <w:t xml:space="preserve"> </w:t>
            </w:r>
            <w:r>
              <w:t>y</w:t>
            </w:r>
            <w:r>
              <w:rPr>
                <w:spacing w:val="40"/>
              </w:rPr>
              <w:t xml:space="preserve"> </w:t>
            </w:r>
            <w:r>
              <w:t>el</w:t>
            </w:r>
            <w:r>
              <w:rPr>
                <w:spacing w:val="40"/>
              </w:rPr>
              <w:t xml:space="preserve"> </w:t>
            </w:r>
            <w:r>
              <w:t>traslado</w:t>
            </w:r>
            <w:r>
              <w:rPr>
                <w:spacing w:val="40"/>
              </w:rPr>
              <w:t xml:space="preserve"> </w:t>
            </w:r>
            <w:r>
              <w:t>de residuos</w:t>
            </w:r>
            <w:r>
              <w:rPr>
                <w:spacing w:val="28"/>
              </w:rPr>
              <w:t xml:space="preserve"> </w:t>
            </w:r>
            <w:r>
              <w:t>sólidos</w:t>
            </w:r>
            <w:r>
              <w:rPr>
                <w:spacing w:val="31"/>
              </w:rPr>
              <w:t xml:space="preserve"> </w:t>
            </w:r>
            <w:r>
              <w:t>urbanos,</w:t>
            </w:r>
            <w:r>
              <w:rPr>
                <w:spacing w:val="30"/>
              </w:rPr>
              <w:t xml:space="preserve"> </w:t>
            </w:r>
            <w:r>
              <w:t>siempre</w:t>
            </w:r>
            <w:r>
              <w:rPr>
                <w:spacing w:val="34"/>
              </w:rPr>
              <w:t xml:space="preserve"> </w:t>
            </w:r>
            <w:r>
              <w:t>y</w:t>
            </w:r>
            <w:r>
              <w:rPr>
                <w:spacing w:val="30"/>
              </w:rPr>
              <w:t xml:space="preserve"> </w:t>
            </w:r>
            <w:r>
              <w:t>cuando</w:t>
            </w:r>
            <w:r>
              <w:rPr>
                <w:spacing w:val="31"/>
              </w:rPr>
              <w:t xml:space="preserve"> </w:t>
            </w:r>
            <w:r>
              <w:t>se</w:t>
            </w:r>
            <w:r>
              <w:rPr>
                <w:spacing w:val="32"/>
              </w:rPr>
              <w:t xml:space="preserve"> </w:t>
            </w:r>
            <w:r>
              <w:t>cuente</w:t>
            </w:r>
            <w:r>
              <w:rPr>
                <w:spacing w:val="30"/>
              </w:rPr>
              <w:t xml:space="preserve"> </w:t>
            </w:r>
            <w:r>
              <w:t>con</w:t>
            </w:r>
            <w:r>
              <w:rPr>
                <w:spacing w:val="31"/>
              </w:rPr>
              <w:t xml:space="preserve"> </w:t>
            </w:r>
            <w:r>
              <w:t>autorización</w:t>
            </w:r>
            <w:r>
              <w:rPr>
                <w:spacing w:val="31"/>
              </w:rPr>
              <w:t xml:space="preserve"> </w:t>
            </w:r>
            <w:r>
              <w:rPr>
                <w:spacing w:val="-5"/>
              </w:rPr>
              <w:t>de</w:t>
            </w:r>
          </w:p>
        </w:tc>
        <w:tc>
          <w:tcPr>
            <w:tcW w:w="1207" w:type="dxa"/>
          </w:tcPr>
          <w:p w14:paraId="006C6417" w14:textId="77777777" w:rsidR="00D3344B" w:rsidRDefault="00143C25">
            <w:pPr>
              <w:pStyle w:val="TableParagraph"/>
              <w:spacing w:line="249" w:lineRule="exact"/>
              <w:ind w:left="329"/>
            </w:pPr>
            <w:r>
              <w:t xml:space="preserve">14 </w:t>
            </w:r>
            <w:r>
              <w:rPr>
                <w:spacing w:val="-5"/>
              </w:rPr>
              <w:t>UMA</w:t>
            </w:r>
          </w:p>
        </w:tc>
        <w:tc>
          <w:tcPr>
            <w:tcW w:w="24" w:type="dxa"/>
          </w:tcPr>
          <w:p w14:paraId="59486EBE" w14:textId="77777777" w:rsidR="00D3344B" w:rsidRDefault="00D3344B">
            <w:pPr>
              <w:widowControl w:val="0"/>
              <w:suppressAutoHyphens w:val="0"/>
              <w:rPr>
                <w:rFonts w:ascii="Calibri" w:eastAsia="Calibri" w:hAnsi="Calibri"/>
              </w:rPr>
            </w:pPr>
          </w:p>
        </w:tc>
      </w:tr>
      <w:tr w:rsidR="00D3344B" w14:paraId="5DBD3F40" w14:textId="77777777">
        <w:trPr>
          <w:trHeight w:val="630"/>
        </w:trPr>
        <w:tc>
          <w:tcPr>
            <w:tcW w:w="6207" w:type="dxa"/>
          </w:tcPr>
          <w:p w14:paraId="3FE449C2" w14:textId="77777777" w:rsidR="00D3344B" w:rsidRDefault="00143C25">
            <w:pPr>
              <w:pStyle w:val="TableParagraph"/>
              <w:ind w:left="50"/>
            </w:pPr>
            <w:r>
              <w:t>cabildo</w:t>
            </w:r>
            <w:r>
              <w:rPr>
                <w:spacing w:val="-8"/>
              </w:rPr>
              <w:t xml:space="preserve"> </w:t>
            </w:r>
            <w:r>
              <w:t>del</w:t>
            </w:r>
            <w:r>
              <w:rPr>
                <w:spacing w:val="-7"/>
              </w:rPr>
              <w:t xml:space="preserve"> </w:t>
            </w:r>
            <w:r>
              <w:t>ayuntamiento</w:t>
            </w:r>
            <w:r>
              <w:rPr>
                <w:spacing w:val="-8"/>
              </w:rPr>
              <w:t xml:space="preserve"> </w:t>
            </w:r>
            <w:r>
              <w:t>correspondiente</w:t>
            </w:r>
            <w:r>
              <w:rPr>
                <w:spacing w:val="-8"/>
              </w:rPr>
              <w:t xml:space="preserve"> </w:t>
            </w:r>
            <w:r>
              <w:t>y</w:t>
            </w:r>
            <w:r>
              <w:rPr>
                <w:spacing w:val="-8"/>
              </w:rPr>
              <w:t xml:space="preserve"> </w:t>
            </w:r>
            <w:r>
              <w:t>el</w:t>
            </w:r>
            <w:r>
              <w:rPr>
                <w:spacing w:val="-7"/>
              </w:rPr>
              <w:t xml:space="preserve"> </w:t>
            </w:r>
            <w:r>
              <w:t>servicio</w:t>
            </w:r>
            <w:r>
              <w:rPr>
                <w:spacing w:val="-11"/>
              </w:rPr>
              <w:t xml:space="preserve"> </w:t>
            </w:r>
            <w:r>
              <w:t>se</w:t>
            </w:r>
            <w:r>
              <w:rPr>
                <w:spacing w:val="-7"/>
              </w:rPr>
              <w:t xml:space="preserve"> </w:t>
            </w:r>
            <w:r>
              <w:t>preste</w:t>
            </w:r>
            <w:r>
              <w:rPr>
                <w:spacing w:val="-8"/>
              </w:rPr>
              <w:t xml:space="preserve"> </w:t>
            </w:r>
            <w:r>
              <w:t>sin</w:t>
            </w:r>
            <w:r>
              <w:rPr>
                <w:spacing w:val="-8"/>
              </w:rPr>
              <w:t xml:space="preserve"> </w:t>
            </w:r>
            <w:r>
              <w:t>cobro</w:t>
            </w:r>
            <w:r>
              <w:rPr>
                <w:spacing w:val="-8"/>
              </w:rPr>
              <w:t xml:space="preserve"> </w:t>
            </w:r>
            <w:r>
              <w:t>a</w:t>
            </w:r>
            <w:r>
              <w:rPr>
                <w:spacing w:val="-8"/>
              </w:rPr>
              <w:t xml:space="preserve"> </w:t>
            </w:r>
            <w:r>
              <w:t xml:space="preserve">la </w:t>
            </w:r>
            <w:r>
              <w:rPr>
                <w:spacing w:val="-2"/>
              </w:rPr>
              <w:t>ciudadanía;</w:t>
            </w:r>
          </w:p>
        </w:tc>
        <w:tc>
          <w:tcPr>
            <w:tcW w:w="1231" w:type="dxa"/>
            <w:gridSpan w:val="2"/>
          </w:tcPr>
          <w:p w14:paraId="33EE72F7" w14:textId="77777777" w:rsidR="00D3344B" w:rsidRDefault="00D3344B">
            <w:pPr>
              <w:pStyle w:val="TableParagraph"/>
            </w:pPr>
          </w:p>
        </w:tc>
      </w:tr>
      <w:tr w:rsidR="00D3344B" w14:paraId="7208EAF1" w14:textId="77777777">
        <w:trPr>
          <w:trHeight w:val="884"/>
        </w:trPr>
        <w:tc>
          <w:tcPr>
            <w:tcW w:w="6207" w:type="dxa"/>
          </w:tcPr>
          <w:p w14:paraId="40306C11" w14:textId="77777777" w:rsidR="00D3344B" w:rsidRDefault="00143C25">
            <w:pPr>
              <w:pStyle w:val="TableParagraph"/>
              <w:spacing w:before="108" w:line="252" w:lineRule="exact"/>
              <w:ind w:left="50" w:right="279"/>
              <w:jc w:val="both"/>
            </w:pPr>
            <w:r>
              <w:t>2. Por cada vehículo destinado a realizar la recolección y/o el traslado de residuos</w:t>
            </w:r>
            <w:r>
              <w:rPr>
                <w:spacing w:val="-8"/>
              </w:rPr>
              <w:t xml:space="preserve"> </w:t>
            </w:r>
            <w:r>
              <w:t>sólidos</w:t>
            </w:r>
            <w:r>
              <w:rPr>
                <w:spacing w:val="-7"/>
              </w:rPr>
              <w:t xml:space="preserve"> </w:t>
            </w:r>
            <w:r>
              <w:t>no</w:t>
            </w:r>
            <w:r>
              <w:rPr>
                <w:spacing w:val="-6"/>
              </w:rPr>
              <w:t xml:space="preserve"> </w:t>
            </w:r>
            <w:r>
              <w:t>peligrosos</w:t>
            </w:r>
            <w:r>
              <w:rPr>
                <w:spacing w:val="-5"/>
              </w:rPr>
              <w:t xml:space="preserve"> </w:t>
            </w:r>
            <w:r>
              <w:t>distintos</w:t>
            </w:r>
            <w:r>
              <w:rPr>
                <w:spacing w:val="-7"/>
              </w:rPr>
              <w:t xml:space="preserve"> </w:t>
            </w:r>
            <w:r>
              <w:t>a</w:t>
            </w:r>
            <w:r>
              <w:rPr>
                <w:spacing w:val="-8"/>
              </w:rPr>
              <w:t xml:space="preserve"> </w:t>
            </w:r>
            <w:r>
              <w:t>los</w:t>
            </w:r>
            <w:r>
              <w:rPr>
                <w:spacing w:val="-7"/>
              </w:rPr>
              <w:t xml:space="preserve"> </w:t>
            </w:r>
            <w:r>
              <w:t>domiciliarios,</w:t>
            </w:r>
            <w:r>
              <w:rPr>
                <w:spacing w:val="-7"/>
              </w:rPr>
              <w:t xml:space="preserve"> </w:t>
            </w:r>
            <w:r>
              <w:t>cuya</w:t>
            </w:r>
            <w:r>
              <w:rPr>
                <w:spacing w:val="-7"/>
              </w:rPr>
              <w:t xml:space="preserve"> </w:t>
            </w:r>
            <w:r>
              <w:t>capacidad</w:t>
            </w:r>
            <w:r>
              <w:rPr>
                <w:spacing w:val="-8"/>
              </w:rPr>
              <w:t xml:space="preserve"> </w:t>
            </w:r>
            <w:r>
              <w:t>de carga o remolque sea de hasta 3.5 toneladas;</w:t>
            </w:r>
          </w:p>
        </w:tc>
        <w:tc>
          <w:tcPr>
            <w:tcW w:w="1231" w:type="dxa"/>
            <w:gridSpan w:val="2"/>
          </w:tcPr>
          <w:p w14:paraId="1CAE9EA5" w14:textId="77777777" w:rsidR="00D3344B" w:rsidRDefault="00143C25">
            <w:pPr>
              <w:pStyle w:val="TableParagraph"/>
              <w:spacing w:before="122"/>
              <w:ind w:left="266" w:right="38"/>
              <w:jc w:val="center"/>
            </w:pPr>
            <w:r>
              <w:t xml:space="preserve">52 </w:t>
            </w:r>
            <w:r>
              <w:rPr>
                <w:spacing w:val="-5"/>
              </w:rPr>
              <w:t>UMA</w:t>
            </w:r>
          </w:p>
        </w:tc>
      </w:tr>
      <w:tr w:rsidR="00D3344B" w14:paraId="4650545C" w14:textId="77777777">
        <w:trPr>
          <w:trHeight w:val="885"/>
        </w:trPr>
        <w:tc>
          <w:tcPr>
            <w:tcW w:w="6207" w:type="dxa"/>
          </w:tcPr>
          <w:p w14:paraId="5B2A18EF" w14:textId="77777777" w:rsidR="00D3344B" w:rsidRDefault="00143C25">
            <w:pPr>
              <w:pStyle w:val="TableParagraph"/>
              <w:ind w:left="50" w:right="280"/>
              <w:jc w:val="both"/>
            </w:pPr>
            <w:r>
              <w:t>3. Por cada vehículo destinado a realizar la recolección y/o el traslado de residuos</w:t>
            </w:r>
            <w:r>
              <w:rPr>
                <w:spacing w:val="-8"/>
              </w:rPr>
              <w:t xml:space="preserve"> </w:t>
            </w:r>
            <w:r>
              <w:t>sólidos</w:t>
            </w:r>
            <w:r>
              <w:rPr>
                <w:spacing w:val="-7"/>
              </w:rPr>
              <w:t xml:space="preserve"> </w:t>
            </w:r>
            <w:r>
              <w:t>no</w:t>
            </w:r>
            <w:r>
              <w:rPr>
                <w:spacing w:val="-7"/>
              </w:rPr>
              <w:t xml:space="preserve"> </w:t>
            </w:r>
            <w:r>
              <w:t>peligrosos</w:t>
            </w:r>
            <w:r>
              <w:rPr>
                <w:spacing w:val="-6"/>
              </w:rPr>
              <w:t xml:space="preserve"> </w:t>
            </w:r>
            <w:r>
              <w:t>distintos</w:t>
            </w:r>
            <w:r>
              <w:rPr>
                <w:spacing w:val="-7"/>
              </w:rPr>
              <w:t xml:space="preserve"> </w:t>
            </w:r>
            <w:r>
              <w:t>a</w:t>
            </w:r>
            <w:r>
              <w:rPr>
                <w:spacing w:val="-8"/>
              </w:rPr>
              <w:t xml:space="preserve"> </w:t>
            </w:r>
            <w:r>
              <w:t>los</w:t>
            </w:r>
            <w:r>
              <w:rPr>
                <w:spacing w:val="-7"/>
              </w:rPr>
              <w:t xml:space="preserve"> </w:t>
            </w:r>
            <w:r>
              <w:t>domiciliarios,</w:t>
            </w:r>
            <w:r>
              <w:rPr>
                <w:spacing w:val="-7"/>
              </w:rPr>
              <w:t xml:space="preserve"> </w:t>
            </w:r>
            <w:r>
              <w:t>cuya</w:t>
            </w:r>
            <w:r>
              <w:rPr>
                <w:spacing w:val="-7"/>
              </w:rPr>
              <w:t xml:space="preserve"> </w:t>
            </w:r>
            <w:r>
              <w:t>capacidad</w:t>
            </w:r>
            <w:r>
              <w:rPr>
                <w:spacing w:val="-8"/>
              </w:rPr>
              <w:t xml:space="preserve"> </w:t>
            </w:r>
            <w:r>
              <w:t>de carga o remolque sea mayor a 3.5 y de hasta 9 toneladas;</w:t>
            </w:r>
          </w:p>
        </w:tc>
        <w:tc>
          <w:tcPr>
            <w:tcW w:w="1231" w:type="dxa"/>
            <w:gridSpan w:val="2"/>
          </w:tcPr>
          <w:p w14:paraId="790B6C8D" w14:textId="77777777" w:rsidR="00D3344B" w:rsidRDefault="00143C25">
            <w:pPr>
              <w:pStyle w:val="TableParagraph"/>
              <w:spacing w:line="249" w:lineRule="exact"/>
              <w:ind w:left="266" w:right="38"/>
              <w:jc w:val="center"/>
            </w:pPr>
            <w:r>
              <w:t xml:space="preserve">77 </w:t>
            </w:r>
            <w:r>
              <w:rPr>
                <w:spacing w:val="-5"/>
              </w:rPr>
              <w:t>UMA</w:t>
            </w:r>
          </w:p>
        </w:tc>
      </w:tr>
      <w:tr w:rsidR="00D3344B" w14:paraId="690E21F9" w14:textId="77777777">
        <w:trPr>
          <w:trHeight w:val="1011"/>
        </w:trPr>
        <w:tc>
          <w:tcPr>
            <w:tcW w:w="6207" w:type="dxa"/>
          </w:tcPr>
          <w:p w14:paraId="12C12012" w14:textId="77777777" w:rsidR="00D3344B" w:rsidRDefault="00143C25">
            <w:pPr>
              <w:pStyle w:val="TableParagraph"/>
              <w:spacing w:before="121"/>
              <w:ind w:left="50" w:right="278"/>
              <w:jc w:val="both"/>
            </w:pPr>
            <w:r>
              <w:t>4. Por cada vehículo destinado a realizar la recolección y/o el traslado de residuos</w:t>
            </w:r>
            <w:r>
              <w:rPr>
                <w:spacing w:val="-8"/>
              </w:rPr>
              <w:t xml:space="preserve"> </w:t>
            </w:r>
            <w:r>
              <w:t>sólidos</w:t>
            </w:r>
            <w:r>
              <w:rPr>
                <w:spacing w:val="-7"/>
              </w:rPr>
              <w:t xml:space="preserve"> </w:t>
            </w:r>
            <w:r>
              <w:t>no</w:t>
            </w:r>
            <w:r>
              <w:rPr>
                <w:spacing w:val="-6"/>
              </w:rPr>
              <w:t xml:space="preserve"> </w:t>
            </w:r>
            <w:r>
              <w:t>peligrosos</w:t>
            </w:r>
            <w:r>
              <w:rPr>
                <w:spacing w:val="-5"/>
              </w:rPr>
              <w:t xml:space="preserve"> </w:t>
            </w:r>
            <w:r>
              <w:t>distintos</w:t>
            </w:r>
            <w:r>
              <w:rPr>
                <w:spacing w:val="-7"/>
              </w:rPr>
              <w:t xml:space="preserve"> </w:t>
            </w:r>
            <w:r>
              <w:t>a</w:t>
            </w:r>
            <w:r>
              <w:rPr>
                <w:spacing w:val="-8"/>
              </w:rPr>
              <w:t xml:space="preserve"> </w:t>
            </w:r>
            <w:r>
              <w:t>los</w:t>
            </w:r>
            <w:r>
              <w:rPr>
                <w:spacing w:val="-7"/>
              </w:rPr>
              <w:t xml:space="preserve"> </w:t>
            </w:r>
            <w:r>
              <w:t>domiciliarios,</w:t>
            </w:r>
            <w:r>
              <w:rPr>
                <w:spacing w:val="-7"/>
              </w:rPr>
              <w:t xml:space="preserve"> </w:t>
            </w:r>
            <w:r>
              <w:t>cuya</w:t>
            </w:r>
            <w:r>
              <w:rPr>
                <w:spacing w:val="-7"/>
              </w:rPr>
              <w:t xml:space="preserve"> </w:t>
            </w:r>
            <w:r>
              <w:t>capacidad</w:t>
            </w:r>
            <w:r>
              <w:rPr>
                <w:spacing w:val="-8"/>
              </w:rPr>
              <w:t xml:space="preserve"> </w:t>
            </w:r>
            <w:r>
              <w:t>de carga o remolque sea mayor a 9 toneladas;</w:t>
            </w:r>
          </w:p>
        </w:tc>
        <w:tc>
          <w:tcPr>
            <w:tcW w:w="1231" w:type="dxa"/>
            <w:gridSpan w:val="2"/>
          </w:tcPr>
          <w:p w14:paraId="15F8136E" w14:textId="77777777" w:rsidR="00D3344B" w:rsidRDefault="00143C25">
            <w:pPr>
              <w:pStyle w:val="TableParagraph"/>
              <w:spacing w:before="121"/>
              <w:ind w:left="266" w:right="39"/>
              <w:jc w:val="center"/>
            </w:pPr>
            <w:r>
              <w:t xml:space="preserve">132 </w:t>
            </w:r>
            <w:r>
              <w:rPr>
                <w:spacing w:val="-5"/>
              </w:rPr>
              <w:t>UMA</w:t>
            </w:r>
          </w:p>
        </w:tc>
      </w:tr>
      <w:tr w:rsidR="00D3344B" w14:paraId="1F336B04" w14:textId="77777777">
        <w:trPr>
          <w:trHeight w:val="1265"/>
        </w:trPr>
        <w:tc>
          <w:tcPr>
            <w:tcW w:w="6207" w:type="dxa"/>
          </w:tcPr>
          <w:p w14:paraId="5E3A4471" w14:textId="77777777" w:rsidR="00D3344B" w:rsidRDefault="00143C25">
            <w:pPr>
              <w:pStyle w:val="TableParagraph"/>
              <w:spacing w:before="122"/>
              <w:ind w:left="50" w:right="277"/>
              <w:jc w:val="both"/>
            </w:pPr>
            <w:r>
              <w:t>5. Por cada vehículo destinado a realizar la recolección y/o el traslado de residuos</w:t>
            </w:r>
            <w:r>
              <w:rPr>
                <w:spacing w:val="-6"/>
              </w:rPr>
              <w:t xml:space="preserve"> </w:t>
            </w:r>
            <w:r>
              <w:t>sólidos</w:t>
            </w:r>
            <w:r>
              <w:rPr>
                <w:spacing w:val="-4"/>
              </w:rPr>
              <w:t xml:space="preserve"> </w:t>
            </w:r>
            <w:r>
              <w:t>no</w:t>
            </w:r>
            <w:r>
              <w:rPr>
                <w:spacing w:val="-4"/>
              </w:rPr>
              <w:t xml:space="preserve"> </w:t>
            </w:r>
            <w:r>
              <w:t>peligrosos</w:t>
            </w:r>
            <w:r>
              <w:rPr>
                <w:spacing w:val="-4"/>
              </w:rPr>
              <w:t xml:space="preserve"> </w:t>
            </w:r>
            <w:r>
              <w:t>distintos</w:t>
            </w:r>
            <w:r>
              <w:rPr>
                <w:spacing w:val="-6"/>
              </w:rPr>
              <w:t xml:space="preserve"> </w:t>
            </w:r>
            <w:r>
              <w:t>a</w:t>
            </w:r>
            <w:r>
              <w:rPr>
                <w:spacing w:val="-6"/>
              </w:rPr>
              <w:t xml:space="preserve"> </w:t>
            </w:r>
            <w:r>
              <w:t>los</w:t>
            </w:r>
            <w:r>
              <w:rPr>
                <w:spacing w:val="-6"/>
              </w:rPr>
              <w:t xml:space="preserve"> </w:t>
            </w:r>
            <w:r>
              <w:t>domiciliarios,</w:t>
            </w:r>
            <w:r>
              <w:rPr>
                <w:spacing w:val="-6"/>
              </w:rPr>
              <w:t xml:space="preserve"> </w:t>
            </w:r>
            <w:r>
              <w:t>equipado</w:t>
            </w:r>
            <w:r>
              <w:rPr>
                <w:spacing w:val="-6"/>
              </w:rPr>
              <w:t xml:space="preserve"> </w:t>
            </w:r>
            <w:r>
              <w:t>con</w:t>
            </w:r>
            <w:r>
              <w:rPr>
                <w:spacing w:val="-2"/>
              </w:rPr>
              <w:t xml:space="preserve"> </w:t>
            </w:r>
            <w:r>
              <w:t>caja compactadora o remolque de tolva o contenedor, por cada una de éstas, cuya capacidad sea menor a 8 toneladas;</w:t>
            </w:r>
          </w:p>
        </w:tc>
        <w:tc>
          <w:tcPr>
            <w:tcW w:w="1231" w:type="dxa"/>
            <w:gridSpan w:val="2"/>
          </w:tcPr>
          <w:p w14:paraId="7C608DF8" w14:textId="77777777" w:rsidR="00D3344B" w:rsidRDefault="00143C25">
            <w:pPr>
              <w:pStyle w:val="TableParagraph"/>
              <w:spacing w:before="122"/>
              <w:ind w:left="266" w:right="39"/>
              <w:jc w:val="center"/>
            </w:pPr>
            <w:r>
              <w:t xml:space="preserve">152 </w:t>
            </w:r>
            <w:r>
              <w:rPr>
                <w:spacing w:val="-5"/>
              </w:rPr>
              <w:t>UMA</w:t>
            </w:r>
          </w:p>
        </w:tc>
      </w:tr>
      <w:tr w:rsidR="00D3344B" w14:paraId="2FA6A4C1" w14:textId="77777777">
        <w:trPr>
          <w:trHeight w:val="1264"/>
        </w:trPr>
        <w:tc>
          <w:tcPr>
            <w:tcW w:w="6207" w:type="dxa"/>
          </w:tcPr>
          <w:p w14:paraId="129D3F1D" w14:textId="77777777" w:rsidR="00D3344B" w:rsidRDefault="00143C25">
            <w:pPr>
              <w:pStyle w:val="TableParagraph"/>
              <w:spacing w:before="122"/>
              <w:ind w:left="50"/>
            </w:pPr>
            <w:r>
              <w:t>6.</w:t>
            </w:r>
            <w:r>
              <w:rPr>
                <w:spacing w:val="31"/>
              </w:rPr>
              <w:t xml:space="preserve"> </w:t>
            </w:r>
            <w:r>
              <w:t>Por</w:t>
            </w:r>
            <w:r>
              <w:rPr>
                <w:spacing w:val="31"/>
              </w:rPr>
              <w:t xml:space="preserve"> </w:t>
            </w:r>
            <w:r>
              <w:t>cada</w:t>
            </w:r>
            <w:r>
              <w:rPr>
                <w:spacing w:val="31"/>
              </w:rPr>
              <w:t xml:space="preserve"> </w:t>
            </w:r>
            <w:r>
              <w:t>vehículo</w:t>
            </w:r>
            <w:r>
              <w:rPr>
                <w:spacing w:val="31"/>
              </w:rPr>
              <w:t xml:space="preserve"> </w:t>
            </w:r>
            <w:r>
              <w:t>destinado</w:t>
            </w:r>
            <w:r>
              <w:rPr>
                <w:spacing w:val="31"/>
              </w:rPr>
              <w:t xml:space="preserve"> </w:t>
            </w:r>
            <w:r>
              <w:t>a</w:t>
            </w:r>
            <w:r>
              <w:rPr>
                <w:spacing w:val="31"/>
              </w:rPr>
              <w:t xml:space="preserve"> </w:t>
            </w:r>
            <w:r>
              <w:t>realizar</w:t>
            </w:r>
            <w:r>
              <w:rPr>
                <w:spacing w:val="31"/>
              </w:rPr>
              <w:t xml:space="preserve"> </w:t>
            </w:r>
            <w:r>
              <w:t>la</w:t>
            </w:r>
            <w:r>
              <w:rPr>
                <w:spacing w:val="31"/>
              </w:rPr>
              <w:t xml:space="preserve"> </w:t>
            </w:r>
            <w:r>
              <w:t>recolección</w:t>
            </w:r>
            <w:r>
              <w:rPr>
                <w:spacing w:val="31"/>
              </w:rPr>
              <w:t xml:space="preserve"> </w:t>
            </w:r>
            <w:r>
              <w:t>y/o</w:t>
            </w:r>
            <w:r>
              <w:rPr>
                <w:spacing w:val="31"/>
              </w:rPr>
              <w:t xml:space="preserve"> </w:t>
            </w:r>
            <w:r>
              <w:t>el</w:t>
            </w:r>
            <w:r>
              <w:rPr>
                <w:spacing w:val="31"/>
              </w:rPr>
              <w:t xml:space="preserve"> </w:t>
            </w:r>
            <w:r>
              <w:t>traslado</w:t>
            </w:r>
            <w:r>
              <w:rPr>
                <w:spacing w:val="31"/>
              </w:rPr>
              <w:t xml:space="preserve"> </w:t>
            </w:r>
            <w:r>
              <w:t>de residuos</w:t>
            </w:r>
            <w:r>
              <w:rPr>
                <w:spacing w:val="-6"/>
              </w:rPr>
              <w:t xml:space="preserve"> </w:t>
            </w:r>
            <w:r>
              <w:t>sólidos</w:t>
            </w:r>
            <w:r>
              <w:rPr>
                <w:spacing w:val="-4"/>
              </w:rPr>
              <w:t xml:space="preserve"> </w:t>
            </w:r>
            <w:r>
              <w:t>no</w:t>
            </w:r>
            <w:r>
              <w:rPr>
                <w:spacing w:val="-4"/>
              </w:rPr>
              <w:t xml:space="preserve"> </w:t>
            </w:r>
            <w:r>
              <w:t>peligrosos</w:t>
            </w:r>
            <w:r>
              <w:rPr>
                <w:spacing w:val="-4"/>
              </w:rPr>
              <w:t xml:space="preserve"> </w:t>
            </w:r>
            <w:r>
              <w:t>distintos</w:t>
            </w:r>
            <w:r>
              <w:rPr>
                <w:spacing w:val="-6"/>
              </w:rPr>
              <w:t xml:space="preserve"> </w:t>
            </w:r>
            <w:r>
              <w:t>a</w:t>
            </w:r>
            <w:r>
              <w:rPr>
                <w:spacing w:val="-6"/>
              </w:rPr>
              <w:t xml:space="preserve"> </w:t>
            </w:r>
            <w:r>
              <w:t>los</w:t>
            </w:r>
            <w:r>
              <w:rPr>
                <w:spacing w:val="-4"/>
              </w:rPr>
              <w:t xml:space="preserve"> </w:t>
            </w:r>
            <w:r>
              <w:t>domiciliarios,</w:t>
            </w:r>
            <w:r>
              <w:rPr>
                <w:spacing w:val="-6"/>
              </w:rPr>
              <w:t xml:space="preserve"> </w:t>
            </w:r>
            <w:r>
              <w:t>equipado</w:t>
            </w:r>
            <w:r>
              <w:rPr>
                <w:spacing w:val="-6"/>
              </w:rPr>
              <w:t xml:space="preserve"> </w:t>
            </w:r>
            <w:r>
              <w:t>con</w:t>
            </w:r>
            <w:r>
              <w:rPr>
                <w:spacing w:val="-6"/>
              </w:rPr>
              <w:t xml:space="preserve"> </w:t>
            </w:r>
            <w:r>
              <w:t>caja compactadora o remolque de tolva o contene</w:t>
            </w:r>
            <w:r>
              <w:lastRenderedPageBreak/>
              <w:t>dor, por cada una de éstas, cuya capacidad sea igual o mayor a 8 toneladas; y</w:t>
            </w:r>
          </w:p>
        </w:tc>
        <w:tc>
          <w:tcPr>
            <w:tcW w:w="1231" w:type="dxa"/>
            <w:gridSpan w:val="2"/>
          </w:tcPr>
          <w:p w14:paraId="358AFA07" w14:textId="77777777" w:rsidR="00D3344B" w:rsidRDefault="00143C25">
            <w:pPr>
              <w:pStyle w:val="TableParagraph"/>
              <w:spacing w:before="122"/>
              <w:ind w:left="266" w:right="39"/>
              <w:jc w:val="center"/>
            </w:pPr>
            <w:r>
              <w:lastRenderedPageBreak/>
              <w:t xml:space="preserve">212 </w:t>
            </w:r>
            <w:r>
              <w:rPr>
                <w:spacing w:val="-5"/>
              </w:rPr>
              <w:t>UMA</w:t>
            </w:r>
          </w:p>
        </w:tc>
      </w:tr>
      <w:tr w:rsidR="00D3344B" w14:paraId="35275064" w14:textId="77777777">
        <w:trPr>
          <w:trHeight w:val="629"/>
        </w:trPr>
        <w:tc>
          <w:tcPr>
            <w:tcW w:w="6207" w:type="dxa"/>
          </w:tcPr>
          <w:p w14:paraId="270B3B29" w14:textId="77777777" w:rsidR="00D3344B" w:rsidRDefault="00143C25">
            <w:pPr>
              <w:pStyle w:val="TableParagraph"/>
              <w:spacing w:before="104" w:line="250" w:lineRule="atLeast"/>
              <w:ind w:left="50"/>
            </w:pPr>
            <w:r>
              <w:t>7.</w:t>
            </w:r>
            <w:r>
              <w:rPr>
                <w:spacing w:val="-3"/>
              </w:rPr>
              <w:t xml:space="preserve"> </w:t>
            </w:r>
            <w:r>
              <w:t>Por</w:t>
            </w:r>
            <w:r>
              <w:rPr>
                <w:spacing w:val="-3"/>
              </w:rPr>
              <w:t xml:space="preserve"> </w:t>
            </w:r>
            <w:r>
              <w:t>la</w:t>
            </w:r>
            <w:r>
              <w:rPr>
                <w:spacing w:val="-5"/>
              </w:rPr>
              <w:t xml:space="preserve"> </w:t>
            </w:r>
            <w:r>
              <w:t>modificación</w:t>
            </w:r>
            <w:r>
              <w:rPr>
                <w:spacing w:val="-6"/>
              </w:rPr>
              <w:t xml:space="preserve"> </w:t>
            </w:r>
            <w:r>
              <w:t>a</w:t>
            </w:r>
            <w:r>
              <w:rPr>
                <w:spacing w:val="-3"/>
              </w:rPr>
              <w:t xml:space="preserve"> </w:t>
            </w:r>
            <w:r>
              <w:t>las</w:t>
            </w:r>
            <w:r>
              <w:rPr>
                <w:spacing w:val="-5"/>
              </w:rPr>
              <w:t xml:space="preserve"> </w:t>
            </w:r>
            <w:r>
              <w:t>autorizaciones</w:t>
            </w:r>
            <w:r>
              <w:rPr>
                <w:spacing w:val="-3"/>
              </w:rPr>
              <w:t xml:space="preserve"> </w:t>
            </w:r>
            <w:r>
              <w:t>referidas</w:t>
            </w:r>
            <w:r>
              <w:rPr>
                <w:spacing w:val="-3"/>
              </w:rPr>
              <w:t xml:space="preserve"> </w:t>
            </w:r>
            <w:r>
              <w:t>en</w:t>
            </w:r>
            <w:r>
              <w:rPr>
                <w:spacing w:val="-6"/>
              </w:rPr>
              <w:t xml:space="preserve"> </w:t>
            </w:r>
            <w:r>
              <w:t>este</w:t>
            </w:r>
            <w:r>
              <w:rPr>
                <w:spacing w:val="-3"/>
              </w:rPr>
              <w:t xml:space="preserve"> </w:t>
            </w:r>
            <w:r>
              <w:t>inciso,</w:t>
            </w:r>
            <w:r>
              <w:rPr>
                <w:spacing w:val="-3"/>
              </w:rPr>
              <w:t xml:space="preserve"> </w:t>
            </w:r>
            <w:r>
              <w:t>durante</w:t>
            </w:r>
            <w:r>
              <w:rPr>
                <w:spacing w:val="-3"/>
              </w:rPr>
              <w:t xml:space="preserve"> </w:t>
            </w:r>
            <w:r>
              <w:t>su vigencia, en caso de ser procedente.</w:t>
            </w:r>
          </w:p>
        </w:tc>
        <w:tc>
          <w:tcPr>
            <w:tcW w:w="1231" w:type="dxa"/>
            <w:gridSpan w:val="2"/>
          </w:tcPr>
          <w:p w14:paraId="74E94C76" w14:textId="77777777" w:rsidR="00D3344B" w:rsidRDefault="00143C25">
            <w:pPr>
              <w:pStyle w:val="TableParagraph"/>
              <w:spacing w:before="122"/>
              <w:ind w:left="266" w:right="38"/>
              <w:jc w:val="center"/>
            </w:pPr>
            <w:r>
              <w:t xml:space="preserve">2 </w:t>
            </w:r>
            <w:r>
              <w:rPr>
                <w:spacing w:val="-5"/>
              </w:rPr>
              <w:t>UMA</w:t>
            </w:r>
          </w:p>
        </w:tc>
      </w:tr>
    </w:tbl>
    <w:p w14:paraId="4043DA2E" w14:textId="77777777" w:rsidR="00D3344B" w:rsidRDefault="00D3344B">
      <w:pPr>
        <w:spacing w:after="0"/>
        <w:ind w:left="1134" w:hanging="425"/>
        <w:rPr>
          <w:rFonts w:ascii="Arial" w:hAnsi="Arial" w:cs="Arial"/>
        </w:rPr>
      </w:pPr>
    </w:p>
    <w:p w14:paraId="0615E5FD" w14:textId="77777777" w:rsidR="00D3344B" w:rsidRDefault="00143C25">
      <w:pPr>
        <w:pStyle w:val="Prrafodelista"/>
        <w:numPr>
          <w:ilvl w:val="0"/>
          <w:numId w:val="14"/>
        </w:numPr>
        <w:spacing w:after="0"/>
        <w:rPr>
          <w:rFonts w:ascii="Arial" w:hAnsi="Arial" w:cs="Arial"/>
        </w:rPr>
      </w:pPr>
      <w:r>
        <w:rPr>
          <w:rFonts w:ascii="Arial" w:hAnsi="Arial" w:cs="Arial"/>
        </w:rPr>
        <w:t>Por el servicio de recolección de residuos sólidos no peligrosos de origen industrial, comercial y de servicio, por cada metro cúbico, 2 UMA.</w:t>
      </w:r>
    </w:p>
    <w:p w14:paraId="1124D522" w14:textId="77777777" w:rsidR="00D3344B" w:rsidRDefault="00D3344B">
      <w:pPr>
        <w:spacing w:after="0"/>
        <w:ind w:left="1134" w:hanging="425"/>
        <w:rPr>
          <w:rFonts w:ascii="Arial" w:hAnsi="Arial" w:cs="Arial"/>
        </w:rPr>
      </w:pPr>
    </w:p>
    <w:p w14:paraId="4D1131FF" w14:textId="77777777" w:rsidR="00D3344B" w:rsidRDefault="00143C25">
      <w:pPr>
        <w:spacing w:after="0"/>
        <w:ind w:left="1134"/>
        <w:rPr>
          <w:rFonts w:ascii="Arial" w:hAnsi="Arial" w:cs="Arial"/>
        </w:rPr>
      </w:pPr>
      <w:r>
        <w:rPr>
          <w:rFonts w:ascii="Arial" w:hAnsi="Arial" w:cs="Arial"/>
        </w:rPr>
        <w:t>Si el volumen de los residuos recolectados es menor a un metro cúbico, el costo por recolección será el equivalente al metro cúbico completo, 2 UMA.</w:t>
      </w:r>
    </w:p>
    <w:p w14:paraId="27B7E9C4" w14:textId="77777777" w:rsidR="00D3344B" w:rsidRDefault="00D3344B">
      <w:pPr>
        <w:spacing w:after="0"/>
        <w:ind w:left="1134"/>
        <w:rPr>
          <w:rFonts w:ascii="Arial" w:hAnsi="Arial" w:cs="Arial"/>
        </w:rPr>
      </w:pPr>
    </w:p>
    <w:p w14:paraId="558FCDC8" w14:textId="77777777" w:rsidR="00D3344B" w:rsidRDefault="00143C25">
      <w:pPr>
        <w:pStyle w:val="Prrafodelista"/>
        <w:numPr>
          <w:ilvl w:val="0"/>
          <w:numId w:val="14"/>
        </w:numPr>
        <w:spacing w:after="0"/>
        <w:rPr>
          <w:rFonts w:ascii="Arial" w:hAnsi="Arial" w:cs="Arial"/>
        </w:rPr>
      </w:pPr>
      <w:r>
        <w:rPr>
          <w:rFonts w:ascii="Arial" w:hAnsi="Arial" w:cs="Arial"/>
        </w:rPr>
        <w:t>Por el servicio de disposición final de residuos sólidos no peligrosos en los sitios de disposición final que administra la Secretaría de Medio Ambiente:</w:t>
      </w:r>
    </w:p>
    <w:p w14:paraId="08D659BC" w14:textId="77777777" w:rsidR="00D3344B" w:rsidRDefault="00D3344B">
      <w:pPr>
        <w:pStyle w:val="Prrafodelista"/>
        <w:spacing w:after="0"/>
        <w:ind w:left="1144"/>
        <w:rPr>
          <w:rFonts w:ascii="Arial" w:hAnsi="Arial" w:cs="Arial"/>
        </w:rPr>
      </w:pPr>
    </w:p>
    <w:tbl>
      <w:tblPr>
        <w:tblStyle w:val="TableNormal"/>
        <w:tblW w:w="8108" w:type="dxa"/>
        <w:tblInd w:w="709" w:type="dxa"/>
        <w:tblLayout w:type="fixed"/>
        <w:tblLook w:val="01E0" w:firstRow="1" w:lastRow="1" w:firstColumn="1" w:lastColumn="1" w:noHBand="0" w:noVBand="0"/>
      </w:tblPr>
      <w:tblGrid>
        <w:gridCol w:w="6077"/>
        <w:gridCol w:w="2031"/>
      </w:tblGrid>
      <w:tr w:rsidR="00D3344B" w14:paraId="0DA8739C" w14:textId="77777777">
        <w:trPr>
          <w:trHeight w:val="375"/>
        </w:trPr>
        <w:tc>
          <w:tcPr>
            <w:tcW w:w="6076" w:type="dxa"/>
          </w:tcPr>
          <w:p w14:paraId="223D403D" w14:textId="77777777" w:rsidR="00D3344B" w:rsidRDefault="00143C25">
            <w:pPr>
              <w:pStyle w:val="TableParagraph"/>
              <w:spacing w:line="244" w:lineRule="exact"/>
              <w:ind w:left="2295" w:right="2394"/>
              <w:jc w:val="center"/>
              <w:rPr>
                <w:b/>
              </w:rPr>
            </w:pPr>
            <w:r>
              <w:rPr>
                <w:b/>
                <w:spacing w:val="-2"/>
              </w:rPr>
              <w:t>Concepto</w:t>
            </w:r>
          </w:p>
        </w:tc>
        <w:tc>
          <w:tcPr>
            <w:tcW w:w="2031" w:type="dxa"/>
          </w:tcPr>
          <w:p w14:paraId="22D62DD1" w14:textId="77777777" w:rsidR="00D3344B" w:rsidRDefault="00143C25">
            <w:pPr>
              <w:pStyle w:val="TableParagraph"/>
              <w:spacing w:line="244" w:lineRule="exact"/>
              <w:ind w:left="144" w:right="41"/>
              <w:jc w:val="center"/>
              <w:rPr>
                <w:b/>
              </w:rPr>
            </w:pPr>
            <w:r>
              <w:rPr>
                <w:b/>
              </w:rPr>
              <w:t>Derechos</w:t>
            </w:r>
            <w:r>
              <w:rPr>
                <w:b/>
                <w:spacing w:val="-5"/>
              </w:rPr>
              <w:t xml:space="preserve"> </w:t>
            </w:r>
            <w:r>
              <w:rPr>
                <w:b/>
                <w:spacing w:val="-2"/>
              </w:rPr>
              <w:t>Causados</w:t>
            </w:r>
          </w:p>
        </w:tc>
      </w:tr>
      <w:tr w:rsidR="00D3344B" w14:paraId="6C7934FE" w14:textId="77777777">
        <w:trPr>
          <w:trHeight w:val="506"/>
        </w:trPr>
        <w:tc>
          <w:tcPr>
            <w:tcW w:w="6076" w:type="dxa"/>
          </w:tcPr>
          <w:p w14:paraId="1267E27E" w14:textId="77777777" w:rsidR="00D3344B" w:rsidRDefault="00143C25">
            <w:pPr>
              <w:pStyle w:val="TableParagraph"/>
              <w:spacing w:before="122"/>
              <w:ind w:left="50"/>
            </w:pPr>
            <w:r>
              <w:t>1.</w:t>
            </w:r>
            <w:r>
              <w:rPr>
                <w:spacing w:val="-2"/>
              </w:rPr>
              <w:t xml:space="preserve"> </w:t>
            </w:r>
            <w:r>
              <w:t>Por</w:t>
            </w:r>
            <w:r>
              <w:rPr>
                <w:spacing w:val="-1"/>
              </w:rPr>
              <w:t xml:space="preserve"> </w:t>
            </w:r>
            <w:r>
              <w:t>cada</w:t>
            </w:r>
            <w:r>
              <w:rPr>
                <w:spacing w:val="-3"/>
              </w:rPr>
              <w:t xml:space="preserve"> </w:t>
            </w:r>
            <w:r>
              <w:t>metro</w:t>
            </w:r>
            <w:r>
              <w:rPr>
                <w:spacing w:val="-4"/>
              </w:rPr>
              <w:t xml:space="preserve"> </w:t>
            </w:r>
            <w:r>
              <w:t>cúbico</w:t>
            </w:r>
            <w:r>
              <w:rPr>
                <w:spacing w:val="-2"/>
              </w:rPr>
              <w:t xml:space="preserve"> </w:t>
            </w:r>
            <w:r>
              <w:t>de</w:t>
            </w:r>
            <w:r>
              <w:rPr>
                <w:spacing w:val="-3"/>
              </w:rPr>
              <w:t xml:space="preserve"> </w:t>
            </w:r>
            <w:r>
              <w:t>lodos</w:t>
            </w:r>
            <w:r>
              <w:rPr>
                <w:spacing w:val="-3"/>
              </w:rPr>
              <w:t xml:space="preserve"> </w:t>
            </w:r>
            <w:r>
              <w:t>de</w:t>
            </w:r>
            <w:r>
              <w:rPr>
                <w:spacing w:val="-1"/>
              </w:rPr>
              <w:t xml:space="preserve"> </w:t>
            </w:r>
            <w:r>
              <w:t>proceso</w:t>
            </w:r>
            <w:r>
              <w:rPr>
                <w:spacing w:val="-1"/>
              </w:rPr>
              <w:t xml:space="preserve"> </w:t>
            </w:r>
            <w:r>
              <w:t>o</w:t>
            </w:r>
            <w:r>
              <w:rPr>
                <w:spacing w:val="-3"/>
              </w:rPr>
              <w:t xml:space="preserve"> </w:t>
            </w:r>
            <w:r>
              <w:rPr>
                <w:spacing w:val="-2"/>
              </w:rPr>
              <w:t>residuales;</w:t>
            </w:r>
          </w:p>
        </w:tc>
        <w:tc>
          <w:tcPr>
            <w:tcW w:w="2031" w:type="dxa"/>
          </w:tcPr>
          <w:p w14:paraId="3668C5CE" w14:textId="77777777" w:rsidR="00D3344B" w:rsidRDefault="00143C25">
            <w:pPr>
              <w:pStyle w:val="TableParagraph"/>
              <w:spacing w:before="122"/>
              <w:ind w:left="645"/>
            </w:pPr>
            <w:r>
              <w:t xml:space="preserve">2.5 </w:t>
            </w:r>
            <w:r>
              <w:rPr>
                <w:spacing w:val="-5"/>
              </w:rPr>
              <w:t>UMA</w:t>
            </w:r>
          </w:p>
        </w:tc>
      </w:tr>
      <w:tr w:rsidR="00D3344B" w14:paraId="7D711BC1" w14:textId="77777777">
        <w:trPr>
          <w:trHeight w:val="1644"/>
        </w:trPr>
        <w:tc>
          <w:tcPr>
            <w:tcW w:w="6076" w:type="dxa"/>
          </w:tcPr>
          <w:p w14:paraId="00F2E738" w14:textId="77777777" w:rsidR="00D3344B" w:rsidRDefault="00143C25">
            <w:pPr>
              <w:pStyle w:val="TableParagraph"/>
              <w:spacing w:before="122"/>
              <w:ind w:left="50" w:right="152"/>
              <w:jc w:val="both"/>
            </w:pPr>
            <w:r>
              <w:t>2.</w:t>
            </w:r>
            <w:r>
              <w:rPr>
                <w:spacing w:val="-4"/>
              </w:rPr>
              <w:t xml:space="preserve"> </w:t>
            </w:r>
            <w:r>
              <w:t>Por</w:t>
            </w:r>
            <w:r>
              <w:rPr>
                <w:spacing w:val="-6"/>
              </w:rPr>
              <w:t xml:space="preserve"> </w:t>
            </w:r>
            <w:r>
              <w:t>cada</w:t>
            </w:r>
            <w:r>
              <w:rPr>
                <w:spacing w:val="-6"/>
              </w:rPr>
              <w:t xml:space="preserve"> </w:t>
            </w:r>
            <w:r>
              <w:t>tonelada</w:t>
            </w:r>
            <w:r>
              <w:rPr>
                <w:spacing w:val="-4"/>
              </w:rPr>
              <w:t xml:space="preserve"> </w:t>
            </w:r>
            <w:r>
              <w:t>de</w:t>
            </w:r>
            <w:r>
              <w:rPr>
                <w:spacing w:val="-6"/>
              </w:rPr>
              <w:t xml:space="preserve"> </w:t>
            </w:r>
            <w:r>
              <w:t>residuos</w:t>
            </w:r>
            <w:r>
              <w:rPr>
                <w:spacing w:val="-6"/>
              </w:rPr>
              <w:t xml:space="preserve"> </w:t>
            </w:r>
            <w:r>
              <w:t>sólidos</w:t>
            </w:r>
            <w:r>
              <w:rPr>
                <w:spacing w:val="-6"/>
              </w:rPr>
              <w:t xml:space="preserve"> </w:t>
            </w:r>
            <w:r>
              <w:t>urbanos</w:t>
            </w:r>
            <w:r>
              <w:rPr>
                <w:spacing w:val="-4"/>
              </w:rPr>
              <w:t xml:space="preserve"> </w:t>
            </w:r>
            <w:r>
              <w:t>que</w:t>
            </w:r>
            <w:r>
              <w:rPr>
                <w:spacing w:val="-4"/>
              </w:rPr>
              <w:t xml:space="preserve"> </w:t>
            </w:r>
            <w:r>
              <w:t>sean</w:t>
            </w:r>
            <w:r>
              <w:rPr>
                <w:spacing w:val="-4"/>
              </w:rPr>
              <w:t xml:space="preserve"> </w:t>
            </w:r>
            <w:r>
              <w:t>dispuestos</w:t>
            </w:r>
            <w:r>
              <w:rPr>
                <w:spacing w:val="-4"/>
              </w:rPr>
              <w:t xml:space="preserve"> </w:t>
            </w:r>
            <w:r>
              <w:t>por los ayuntamientos, por sí mismos o por conducto de sus recolectores voluntarios autorizados, siempre que el municipio cuente con convenio vigente celebrado con la Secretaría de Medio Ambiente, por ser de utilidad pública e interés social; y</w:t>
            </w:r>
          </w:p>
        </w:tc>
        <w:tc>
          <w:tcPr>
            <w:tcW w:w="2031" w:type="dxa"/>
          </w:tcPr>
          <w:p w14:paraId="019CF509" w14:textId="77777777" w:rsidR="00D3344B" w:rsidRDefault="00143C25">
            <w:pPr>
              <w:pStyle w:val="TableParagraph"/>
              <w:spacing w:before="122"/>
              <w:ind w:left="143" w:right="41"/>
              <w:jc w:val="center"/>
            </w:pPr>
            <w:r>
              <w:t xml:space="preserve">5 </w:t>
            </w:r>
            <w:r>
              <w:rPr>
                <w:spacing w:val="-5"/>
              </w:rPr>
              <w:t>UMA</w:t>
            </w:r>
          </w:p>
        </w:tc>
      </w:tr>
      <w:tr w:rsidR="00D3344B" w14:paraId="737C5937" w14:textId="77777777">
        <w:trPr>
          <w:trHeight w:val="502"/>
        </w:trPr>
        <w:tc>
          <w:tcPr>
            <w:tcW w:w="6076" w:type="dxa"/>
          </w:tcPr>
          <w:p w14:paraId="7742BD5F" w14:textId="77777777" w:rsidR="00D3344B" w:rsidRDefault="00D3344B">
            <w:pPr>
              <w:pStyle w:val="TableParagraph"/>
              <w:spacing w:before="8"/>
              <w:rPr>
                <w:sz w:val="21"/>
              </w:rPr>
            </w:pPr>
          </w:p>
          <w:p w14:paraId="5667D993" w14:textId="77777777" w:rsidR="00D3344B" w:rsidRDefault="00143C25">
            <w:pPr>
              <w:pStyle w:val="TableParagraph"/>
              <w:spacing w:line="233" w:lineRule="exact"/>
              <w:ind w:left="50"/>
            </w:pPr>
            <w:r>
              <w:t>3.</w:t>
            </w:r>
            <w:r>
              <w:rPr>
                <w:spacing w:val="-3"/>
              </w:rPr>
              <w:t xml:space="preserve"> </w:t>
            </w:r>
            <w:r>
              <w:t>Por</w:t>
            </w:r>
            <w:r>
              <w:rPr>
                <w:spacing w:val="-2"/>
              </w:rPr>
              <w:t xml:space="preserve"> </w:t>
            </w:r>
            <w:r>
              <w:t>cada</w:t>
            </w:r>
            <w:r>
              <w:rPr>
                <w:spacing w:val="-4"/>
              </w:rPr>
              <w:t xml:space="preserve"> </w:t>
            </w:r>
            <w:r>
              <w:t>tonelada</w:t>
            </w:r>
            <w:r>
              <w:rPr>
                <w:spacing w:val="-2"/>
              </w:rPr>
              <w:t xml:space="preserve"> </w:t>
            </w:r>
            <w:r>
              <w:t>de</w:t>
            </w:r>
            <w:r>
              <w:rPr>
                <w:spacing w:val="-4"/>
              </w:rPr>
              <w:t xml:space="preserve"> </w:t>
            </w:r>
            <w:r>
              <w:t>residuos</w:t>
            </w:r>
            <w:r>
              <w:rPr>
                <w:spacing w:val="-2"/>
              </w:rPr>
              <w:t xml:space="preserve"> </w:t>
            </w:r>
            <w:r>
              <w:t>sólidos</w:t>
            </w:r>
            <w:r>
              <w:rPr>
                <w:spacing w:val="-2"/>
              </w:rPr>
              <w:t xml:space="preserve"> </w:t>
            </w:r>
            <w:r>
              <w:t>no</w:t>
            </w:r>
            <w:r>
              <w:rPr>
                <w:spacing w:val="-2"/>
              </w:rPr>
              <w:t xml:space="preserve"> peligrosos.</w:t>
            </w:r>
          </w:p>
        </w:tc>
        <w:tc>
          <w:tcPr>
            <w:tcW w:w="2031" w:type="dxa"/>
          </w:tcPr>
          <w:p w14:paraId="6912C42D" w14:textId="77777777" w:rsidR="00D3344B" w:rsidRDefault="00D3344B">
            <w:pPr>
              <w:pStyle w:val="TableParagraph"/>
              <w:spacing w:before="8"/>
              <w:rPr>
                <w:sz w:val="21"/>
              </w:rPr>
            </w:pPr>
          </w:p>
          <w:p w14:paraId="0FFCE225" w14:textId="77777777" w:rsidR="00D3344B" w:rsidRDefault="00143C25">
            <w:pPr>
              <w:pStyle w:val="TableParagraph"/>
              <w:spacing w:line="233" w:lineRule="exact"/>
              <w:ind w:left="143" w:right="41"/>
              <w:jc w:val="center"/>
            </w:pPr>
            <w:r>
              <w:t xml:space="preserve">7 </w:t>
            </w:r>
            <w:r>
              <w:rPr>
                <w:spacing w:val="-5"/>
              </w:rPr>
              <w:t>UMA</w:t>
            </w:r>
          </w:p>
        </w:tc>
      </w:tr>
    </w:tbl>
    <w:p w14:paraId="04778088" w14:textId="77777777" w:rsidR="00D3344B" w:rsidRDefault="00D3344B">
      <w:pPr>
        <w:spacing w:after="0"/>
        <w:rPr>
          <w:rFonts w:ascii="Arial" w:hAnsi="Arial" w:cs="Arial"/>
        </w:rPr>
      </w:pPr>
    </w:p>
    <w:p w14:paraId="778A8418" w14:textId="77777777" w:rsidR="00D3344B" w:rsidRDefault="00143C25">
      <w:pPr>
        <w:spacing w:after="0"/>
        <w:ind w:left="1134" w:hanging="425"/>
        <w:rPr>
          <w:rFonts w:ascii="Arial" w:hAnsi="Arial" w:cs="Arial"/>
        </w:rPr>
      </w:pPr>
      <w:r>
        <w:rPr>
          <w:rFonts w:ascii="Arial" w:hAnsi="Arial" w:cs="Arial"/>
        </w:rPr>
        <w:t>d)</w:t>
      </w:r>
      <w:r>
        <w:rPr>
          <w:rFonts w:ascii="Arial" w:hAnsi="Arial" w:cs="Arial"/>
        </w:rPr>
        <w:tab/>
        <w:t>Por la autorización para realizar actividades relacionadas con el manejo de residuos sólidos no peligrosos en establecimientos fijos:</w:t>
      </w:r>
    </w:p>
    <w:tbl>
      <w:tblPr>
        <w:tblStyle w:val="TableNormal"/>
        <w:tblW w:w="8080" w:type="dxa"/>
        <w:tblInd w:w="709" w:type="dxa"/>
        <w:tblLayout w:type="fixed"/>
        <w:tblLook w:val="01E0" w:firstRow="1" w:lastRow="1" w:firstColumn="1" w:lastColumn="1" w:noHBand="0" w:noVBand="0"/>
      </w:tblPr>
      <w:tblGrid>
        <w:gridCol w:w="6093"/>
        <w:gridCol w:w="1987"/>
      </w:tblGrid>
      <w:tr w:rsidR="00D3344B" w14:paraId="5BB84656" w14:textId="77777777">
        <w:trPr>
          <w:trHeight w:val="375"/>
        </w:trPr>
        <w:tc>
          <w:tcPr>
            <w:tcW w:w="6092" w:type="dxa"/>
          </w:tcPr>
          <w:p w14:paraId="17FA90BF" w14:textId="77777777" w:rsidR="00D3344B" w:rsidRDefault="00143C25">
            <w:pPr>
              <w:pStyle w:val="TableParagraph"/>
              <w:spacing w:line="244" w:lineRule="exact"/>
              <w:ind w:left="50"/>
              <w:rPr>
                <w:b/>
              </w:rPr>
            </w:pPr>
            <w:r>
              <w:rPr>
                <w:b/>
                <w:spacing w:val="-2"/>
              </w:rPr>
              <w:t>Concepto</w:t>
            </w:r>
          </w:p>
        </w:tc>
        <w:tc>
          <w:tcPr>
            <w:tcW w:w="1987" w:type="dxa"/>
          </w:tcPr>
          <w:p w14:paraId="028FA4F7" w14:textId="77777777" w:rsidR="00D3344B" w:rsidRDefault="00143C25">
            <w:pPr>
              <w:pStyle w:val="TableParagraph"/>
              <w:spacing w:line="244" w:lineRule="exact"/>
              <w:ind w:left="160" w:right="43"/>
              <w:jc w:val="center"/>
              <w:rPr>
                <w:b/>
              </w:rPr>
            </w:pPr>
            <w:r>
              <w:rPr>
                <w:b/>
              </w:rPr>
              <w:t>Derechos</w:t>
            </w:r>
            <w:r>
              <w:rPr>
                <w:b/>
                <w:spacing w:val="-5"/>
              </w:rPr>
              <w:t xml:space="preserve"> </w:t>
            </w:r>
            <w:r>
              <w:rPr>
                <w:b/>
                <w:spacing w:val="-2"/>
              </w:rPr>
              <w:t>causados</w:t>
            </w:r>
          </w:p>
        </w:tc>
      </w:tr>
      <w:tr w:rsidR="00D3344B" w14:paraId="414936C1" w14:textId="77777777">
        <w:trPr>
          <w:trHeight w:val="759"/>
        </w:trPr>
        <w:tc>
          <w:tcPr>
            <w:tcW w:w="6092" w:type="dxa"/>
          </w:tcPr>
          <w:p w14:paraId="476F2A56" w14:textId="77777777" w:rsidR="00D3344B" w:rsidRDefault="00143C25">
            <w:pPr>
              <w:pStyle w:val="TableParagraph"/>
              <w:spacing w:before="122"/>
              <w:ind w:left="50" w:right="72"/>
            </w:pPr>
            <w:r>
              <w:t>1. Autorización para la operación de centros de acopio, de compraventa de residuos y/o estaciones de transferencia, con vigencia anual;</w:t>
            </w:r>
          </w:p>
        </w:tc>
        <w:tc>
          <w:tcPr>
            <w:tcW w:w="1987" w:type="dxa"/>
          </w:tcPr>
          <w:p w14:paraId="0EB7EE9A" w14:textId="77777777" w:rsidR="00D3344B" w:rsidRDefault="00143C25">
            <w:pPr>
              <w:pStyle w:val="TableParagraph"/>
              <w:spacing w:before="122"/>
              <w:ind w:left="157" w:right="43"/>
              <w:jc w:val="center"/>
            </w:pPr>
            <w:r>
              <w:t xml:space="preserve">70 </w:t>
            </w:r>
            <w:r>
              <w:rPr>
                <w:spacing w:val="-5"/>
              </w:rPr>
              <w:t>UMA</w:t>
            </w:r>
          </w:p>
        </w:tc>
      </w:tr>
      <w:tr w:rsidR="00D3344B" w14:paraId="5F13ECA9" w14:textId="77777777">
        <w:trPr>
          <w:trHeight w:val="759"/>
        </w:trPr>
        <w:tc>
          <w:tcPr>
            <w:tcW w:w="6092" w:type="dxa"/>
          </w:tcPr>
          <w:p w14:paraId="30C6556B" w14:textId="77777777" w:rsidR="00D3344B" w:rsidRDefault="00143C25">
            <w:pPr>
              <w:pStyle w:val="TableParagraph"/>
              <w:spacing w:before="121"/>
              <w:ind w:left="50"/>
            </w:pPr>
            <w:r>
              <w:t>2. Revalidación anual de la autorización para la operación de centros de acopio, de compraventa de residuos y/o estaciones de transferencia;</w:t>
            </w:r>
          </w:p>
        </w:tc>
        <w:tc>
          <w:tcPr>
            <w:tcW w:w="1987" w:type="dxa"/>
          </w:tcPr>
          <w:p w14:paraId="43C7B267" w14:textId="77777777" w:rsidR="00D3344B" w:rsidRDefault="00143C25">
            <w:pPr>
              <w:pStyle w:val="TableParagraph"/>
              <w:spacing w:before="121"/>
              <w:ind w:left="157" w:right="43"/>
              <w:jc w:val="center"/>
            </w:pPr>
            <w:r>
              <w:t xml:space="preserve">20 </w:t>
            </w:r>
            <w:r>
              <w:rPr>
                <w:spacing w:val="-5"/>
              </w:rPr>
              <w:t>UMA</w:t>
            </w:r>
          </w:p>
        </w:tc>
      </w:tr>
      <w:tr w:rsidR="00D3344B" w14:paraId="3CC6FA0C" w14:textId="77777777">
        <w:trPr>
          <w:trHeight w:val="1010"/>
        </w:trPr>
        <w:tc>
          <w:tcPr>
            <w:tcW w:w="6092" w:type="dxa"/>
          </w:tcPr>
          <w:p w14:paraId="1A6B0808" w14:textId="77777777" w:rsidR="00D3344B" w:rsidRDefault="00143C25">
            <w:pPr>
              <w:pStyle w:val="TableParagraph"/>
              <w:spacing w:before="122"/>
              <w:ind w:left="50" w:right="167"/>
              <w:jc w:val="both"/>
            </w:pPr>
            <w:r>
              <w:t>3. Autorización para la operación de centros de tratamiento de residuos con capacidad para procesar hasta una tonelada diaria, siempre que se trate de residuos habitacionales o comerciales, con vigencia anual;</w:t>
            </w:r>
          </w:p>
        </w:tc>
        <w:tc>
          <w:tcPr>
            <w:tcW w:w="1987" w:type="dxa"/>
          </w:tcPr>
          <w:p w14:paraId="171FDF52" w14:textId="77777777" w:rsidR="00D3344B" w:rsidRDefault="00143C25">
            <w:pPr>
              <w:pStyle w:val="TableParagraph"/>
              <w:spacing w:before="122"/>
              <w:ind w:left="160" w:right="41"/>
              <w:jc w:val="center"/>
            </w:pPr>
            <w:r>
              <w:t xml:space="preserve">150 </w:t>
            </w:r>
            <w:r>
              <w:rPr>
                <w:spacing w:val="-5"/>
              </w:rPr>
              <w:t>UMA</w:t>
            </w:r>
          </w:p>
        </w:tc>
      </w:tr>
      <w:tr w:rsidR="00D3344B" w14:paraId="54935C19" w14:textId="77777777">
        <w:trPr>
          <w:trHeight w:val="1013"/>
        </w:trPr>
        <w:tc>
          <w:tcPr>
            <w:tcW w:w="6092" w:type="dxa"/>
          </w:tcPr>
          <w:p w14:paraId="38736D1C" w14:textId="77777777" w:rsidR="00D3344B" w:rsidRDefault="00143C25">
            <w:pPr>
              <w:pStyle w:val="TableParagraph"/>
              <w:spacing w:before="122"/>
              <w:ind w:left="50" w:right="171"/>
              <w:jc w:val="both"/>
            </w:pPr>
            <w:r>
              <w:lastRenderedPageBreak/>
              <w:t>4. Revalidación anual de la autorización para la operación de centros de tratamiento de residuos con capacidad para procesar hasta una tonelada diaria, siempre que se trate de residuos habitacionales o comerciales;</w:t>
            </w:r>
          </w:p>
        </w:tc>
        <w:tc>
          <w:tcPr>
            <w:tcW w:w="1987" w:type="dxa"/>
          </w:tcPr>
          <w:p w14:paraId="3F2DA157" w14:textId="77777777" w:rsidR="00D3344B" w:rsidRDefault="00143C25">
            <w:pPr>
              <w:pStyle w:val="TableParagraph"/>
              <w:spacing w:before="122"/>
              <w:ind w:left="157" w:right="43"/>
              <w:jc w:val="center"/>
            </w:pPr>
            <w:r>
              <w:t xml:space="preserve">20 </w:t>
            </w:r>
            <w:r>
              <w:rPr>
                <w:spacing w:val="-5"/>
              </w:rPr>
              <w:t>UMA</w:t>
            </w:r>
          </w:p>
        </w:tc>
      </w:tr>
      <w:tr w:rsidR="00D3344B" w14:paraId="37130211" w14:textId="77777777">
        <w:trPr>
          <w:trHeight w:val="1012"/>
        </w:trPr>
        <w:tc>
          <w:tcPr>
            <w:tcW w:w="6092" w:type="dxa"/>
          </w:tcPr>
          <w:p w14:paraId="34410E96" w14:textId="77777777" w:rsidR="00D3344B" w:rsidRDefault="00143C25">
            <w:pPr>
              <w:pStyle w:val="TableParagraph"/>
              <w:spacing w:before="122"/>
              <w:ind w:left="50" w:right="168"/>
              <w:jc w:val="both"/>
            </w:pPr>
            <w:r>
              <w:t xml:space="preserve">5. Autorización para la operación de centros de tratamiento de residuos distintos a los señalados en el numeral 3 de este inciso, con vigencia </w:t>
            </w:r>
            <w:r>
              <w:rPr>
                <w:spacing w:val="-2"/>
              </w:rPr>
              <w:t>anual;</w:t>
            </w:r>
          </w:p>
        </w:tc>
        <w:tc>
          <w:tcPr>
            <w:tcW w:w="1987" w:type="dxa"/>
          </w:tcPr>
          <w:p w14:paraId="3ED972B9" w14:textId="77777777" w:rsidR="00D3344B" w:rsidRDefault="00143C25">
            <w:pPr>
              <w:pStyle w:val="TableParagraph"/>
              <w:spacing w:before="122"/>
              <w:ind w:left="160" w:right="41"/>
              <w:jc w:val="center"/>
            </w:pPr>
            <w:r>
              <w:t xml:space="preserve">800 </w:t>
            </w:r>
            <w:r>
              <w:rPr>
                <w:spacing w:val="-5"/>
              </w:rPr>
              <w:t>UMA</w:t>
            </w:r>
          </w:p>
        </w:tc>
      </w:tr>
      <w:tr w:rsidR="00D3344B" w14:paraId="3D1A8A6C" w14:textId="77777777">
        <w:trPr>
          <w:trHeight w:val="1010"/>
        </w:trPr>
        <w:tc>
          <w:tcPr>
            <w:tcW w:w="6092" w:type="dxa"/>
          </w:tcPr>
          <w:p w14:paraId="6F431E5D" w14:textId="77777777" w:rsidR="00D3344B" w:rsidRDefault="00143C25">
            <w:pPr>
              <w:pStyle w:val="TableParagraph"/>
              <w:spacing w:before="122"/>
              <w:ind w:left="50" w:right="172"/>
              <w:jc w:val="both"/>
            </w:pPr>
            <w:r>
              <w:t xml:space="preserve">6. Revalidación anual de la autorización para la operación de centros de tratamiento de residuos distintos a los señalados en el numeral 3 de este </w:t>
            </w:r>
            <w:r>
              <w:rPr>
                <w:spacing w:val="-2"/>
              </w:rPr>
              <w:t>inciso;</w:t>
            </w:r>
          </w:p>
        </w:tc>
        <w:tc>
          <w:tcPr>
            <w:tcW w:w="1987" w:type="dxa"/>
          </w:tcPr>
          <w:p w14:paraId="7CF0CDF7" w14:textId="77777777" w:rsidR="00D3344B" w:rsidRDefault="00143C25">
            <w:pPr>
              <w:pStyle w:val="TableParagraph"/>
              <w:spacing w:before="122"/>
              <w:ind w:left="160" w:right="41"/>
              <w:jc w:val="center"/>
            </w:pPr>
            <w:r>
              <w:t xml:space="preserve">150 </w:t>
            </w:r>
            <w:r>
              <w:rPr>
                <w:spacing w:val="-5"/>
              </w:rPr>
              <w:t>UMA</w:t>
            </w:r>
          </w:p>
        </w:tc>
      </w:tr>
      <w:tr w:rsidR="00D3344B" w14:paraId="263832A9" w14:textId="77777777">
        <w:trPr>
          <w:trHeight w:val="759"/>
        </w:trPr>
        <w:tc>
          <w:tcPr>
            <w:tcW w:w="6092" w:type="dxa"/>
          </w:tcPr>
          <w:p w14:paraId="3E3D174B" w14:textId="77777777" w:rsidR="00D3344B" w:rsidRDefault="00143C25">
            <w:pPr>
              <w:pStyle w:val="TableParagraph"/>
              <w:spacing w:before="122"/>
              <w:ind w:left="50"/>
            </w:pPr>
            <w:r>
              <w:t>7.</w:t>
            </w:r>
            <w:r>
              <w:rPr>
                <w:spacing w:val="40"/>
              </w:rPr>
              <w:t xml:space="preserve"> </w:t>
            </w:r>
            <w:r>
              <w:t>Autorización</w:t>
            </w:r>
            <w:r>
              <w:rPr>
                <w:spacing w:val="40"/>
              </w:rPr>
              <w:t xml:space="preserve"> </w:t>
            </w:r>
            <w:r>
              <w:t>para</w:t>
            </w:r>
            <w:r>
              <w:rPr>
                <w:spacing w:val="40"/>
              </w:rPr>
              <w:t xml:space="preserve"> </w:t>
            </w:r>
            <w:r>
              <w:t>la</w:t>
            </w:r>
            <w:r>
              <w:rPr>
                <w:spacing w:val="40"/>
              </w:rPr>
              <w:t xml:space="preserve"> </w:t>
            </w:r>
            <w:r>
              <w:t>operación</w:t>
            </w:r>
            <w:r>
              <w:rPr>
                <w:spacing w:val="40"/>
              </w:rPr>
              <w:t xml:space="preserve"> </w:t>
            </w:r>
            <w:r>
              <w:t>de</w:t>
            </w:r>
            <w:r>
              <w:rPr>
                <w:spacing w:val="40"/>
              </w:rPr>
              <w:t xml:space="preserve"> </w:t>
            </w:r>
            <w:r>
              <w:t>sitios</w:t>
            </w:r>
            <w:r>
              <w:rPr>
                <w:spacing w:val="40"/>
              </w:rPr>
              <w:t xml:space="preserve"> </w:t>
            </w:r>
            <w:r>
              <w:t>de</w:t>
            </w:r>
            <w:r>
              <w:rPr>
                <w:spacing w:val="40"/>
              </w:rPr>
              <w:t xml:space="preserve"> </w:t>
            </w:r>
            <w:r>
              <w:t>disposición</w:t>
            </w:r>
            <w:r>
              <w:rPr>
                <w:spacing w:val="40"/>
              </w:rPr>
              <w:t xml:space="preserve"> </w:t>
            </w:r>
            <w:r>
              <w:t>final</w:t>
            </w:r>
            <w:r>
              <w:rPr>
                <w:spacing w:val="40"/>
              </w:rPr>
              <w:t xml:space="preserve"> </w:t>
            </w:r>
            <w:r>
              <w:t>de residuos sólidos urbanos y de manejo especial, con vigencia anual;</w:t>
            </w:r>
          </w:p>
        </w:tc>
        <w:tc>
          <w:tcPr>
            <w:tcW w:w="1987" w:type="dxa"/>
          </w:tcPr>
          <w:p w14:paraId="48B36BB7" w14:textId="77777777" w:rsidR="00D3344B" w:rsidRDefault="00143C25">
            <w:pPr>
              <w:pStyle w:val="TableParagraph"/>
              <w:spacing w:before="122"/>
              <w:ind w:left="160" w:right="41"/>
              <w:jc w:val="center"/>
            </w:pPr>
            <w:r>
              <w:t xml:space="preserve">2000 </w:t>
            </w:r>
            <w:r>
              <w:rPr>
                <w:spacing w:val="-5"/>
              </w:rPr>
              <w:t>UMA</w:t>
            </w:r>
          </w:p>
        </w:tc>
      </w:tr>
      <w:tr w:rsidR="00D3344B" w14:paraId="5813CA4B" w14:textId="77777777">
        <w:trPr>
          <w:trHeight w:val="760"/>
        </w:trPr>
        <w:tc>
          <w:tcPr>
            <w:tcW w:w="6092" w:type="dxa"/>
          </w:tcPr>
          <w:p w14:paraId="54FC3571" w14:textId="77777777" w:rsidR="00D3344B" w:rsidRDefault="00143C25">
            <w:pPr>
              <w:pStyle w:val="TableParagraph"/>
              <w:spacing w:before="121"/>
              <w:ind w:left="50"/>
            </w:pPr>
            <w:r>
              <w:t>8. Revalidación anual de la autorización para la operación de sitios de</w:t>
            </w:r>
            <w:r>
              <w:rPr>
                <w:spacing w:val="40"/>
              </w:rPr>
              <w:t xml:space="preserve"> </w:t>
            </w:r>
            <w:r>
              <w:t>disposición final de residuos sólidos urbanos y de manejo especial;</w:t>
            </w:r>
          </w:p>
        </w:tc>
        <w:tc>
          <w:tcPr>
            <w:tcW w:w="1987" w:type="dxa"/>
          </w:tcPr>
          <w:p w14:paraId="6A9B04CB" w14:textId="77777777" w:rsidR="00D3344B" w:rsidRDefault="00143C25">
            <w:pPr>
              <w:pStyle w:val="TableParagraph"/>
              <w:spacing w:before="121"/>
              <w:ind w:left="160" w:right="41"/>
              <w:jc w:val="center"/>
            </w:pPr>
            <w:r>
              <w:t xml:space="preserve">300 </w:t>
            </w:r>
            <w:r>
              <w:rPr>
                <w:spacing w:val="-5"/>
              </w:rPr>
              <w:t>UMA</w:t>
            </w:r>
          </w:p>
        </w:tc>
      </w:tr>
      <w:tr w:rsidR="00D3344B" w14:paraId="55A8E8BF" w14:textId="77777777">
        <w:trPr>
          <w:trHeight w:val="1010"/>
        </w:trPr>
        <w:tc>
          <w:tcPr>
            <w:tcW w:w="6092" w:type="dxa"/>
          </w:tcPr>
          <w:p w14:paraId="0A448454" w14:textId="77777777" w:rsidR="00D3344B" w:rsidRDefault="00143C25">
            <w:pPr>
              <w:pStyle w:val="TableParagraph"/>
              <w:spacing w:before="122"/>
              <w:ind w:left="50" w:right="169"/>
              <w:jc w:val="both"/>
            </w:pPr>
            <w:r>
              <w:t>9.</w:t>
            </w:r>
            <w:r>
              <w:rPr>
                <w:spacing w:val="-1"/>
              </w:rPr>
              <w:t xml:space="preserve"> </w:t>
            </w:r>
            <w:r>
              <w:t>Por</w:t>
            </w:r>
            <w:r>
              <w:rPr>
                <w:spacing w:val="-1"/>
              </w:rPr>
              <w:t xml:space="preserve"> </w:t>
            </w:r>
            <w:r>
              <w:t>la</w:t>
            </w:r>
            <w:r>
              <w:rPr>
                <w:spacing w:val="-1"/>
              </w:rPr>
              <w:t xml:space="preserve"> </w:t>
            </w:r>
            <w:r>
              <w:t>modificación</w:t>
            </w:r>
            <w:r>
              <w:rPr>
                <w:spacing w:val="-1"/>
              </w:rPr>
              <w:t xml:space="preserve"> </w:t>
            </w:r>
            <w:r>
              <w:t>a</w:t>
            </w:r>
            <w:r>
              <w:rPr>
                <w:spacing w:val="-3"/>
              </w:rPr>
              <w:t xml:space="preserve"> </w:t>
            </w:r>
            <w:r>
              <w:t>cualquiera</w:t>
            </w:r>
            <w:r>
              <w:rPr>
                <w:spacing w:val="-1"/>
              </w:rPr>
              <w:t xml:space="preserve"> </w:t>
            </w:r>
            <w:r>
              <w:t>de</w:t>
            </w:r>
            <w:r>
              <w:rPr>
                <w:spacing w:val="-3"/>
              </w:rPr>
              <w:t xml:space="preserve"> </w:t>
            </w:r>
            <w:r>
              <w:t>las</w:t>
            </w:r>
            <w:r>
              <w:rPr>
                <w:spacing w:val="-3"/>
              </w:rPr>
              <w:t xml:space="preserve"> </w:t>
            </w:r>
            <w:r>
              <w:t>autorizaciones referidas en</w:t>
            </w:r>
            <w:r>
              <w:rPr>
                <w:spacing w:val="-3"/>
              </w:rPr>
              <w:t xml:space="preserve"> </w:t>
            </w:r>
            <w:r>
              <w:t>los numerales 1 a 4 de este inciso, durante su vigencia, en caso de ser procedente; y</w:t>
            </w:r>
          </w:p>
        </w:tc>
        <w:tc>
          <w:tcPr>
            <w:tcW w:w="1987" w:type="dxa"/>
          </w:tcPr>
          <w:p w14:paraId="01953F45" w14:textId="77777777" w:rsidR="00D3344B" w:rsidRDefault="00143C25">
            <w:pPr>
              <w:pStyle w:val="TableParagraph"/>
              <w:spacing w:before="122"/>
              <w:ind w:left="157" w:right="43"/>
              <w:jc w:val="center"/>
            </w:pPr>
            <w:r>
              <w:t xml:space="preserve">2 </w:t>
            </w:r>
            <w:r>
              <w:rPr>
                <w:spacing w:val="-5"/>
              </w:rPr>
              <w:t>UMA</w:t>
            </w:r>
          </w:p>
        </w:tc>
      </w:tr>
      <w:tr w:rsidR="00D3344B" w14:paraId="45909BD6" w14:textId="77777777">
        <w:trPr>
          <w:trHeight w:val="881"/>
        </w:trPr>
        <w:tc>
          <w:tcPr>
            <w:tcW w:w="6092" w:type="dxa"/>
          </w:tcPr>
          <w:p w14:paraId="4BF5C772" w14:textId="77777777" w:rsidR="00D3344B" w:rsidRDefault="00143C25">
            <w:pPr>
              <w:pStyle w:val="TableParagraph"/>
              <w:spacing w:before="122"/>
              <w:ind w:left="50"/>
            </w:pPr>
            <w:r>
              <w:t>10.</w:t>
            </w:r>
            <w:r>
              <w:rPr>
                <w:spacing w:val="-12"/>
              </w:rPr>
              <w:t xml:space="preserve"> </w:t>
            </w:r>
            <w:r>
              <w:t>Por</w:t>
            </w:r>
            <w:r>
              <w:rPr>
                <w:spacing w:val="-12"/>
              </w:rPr>
              <w:t xml:space="preserve"> </w:t>
            </w:r>
            <w:r>
              <w:t>la</w:t>
            </w:r>
            <w:r>
              <w:rPr>
                <w:spacing w:val="-13"/>
              </w:rPr>
              <w:t xml:space="preserve"> </w:t>
            </w:r>
            <w:r>
              <w:t>modificación</w:t>
            </w:r>
            <w:r>
              <w:rPr>
                <w:spacing w:val="-11"/>
              </w:rPr>
              <w:t xml:space="preserve"> </w:t>
            </w:r>
            <w:r>
              <w:t>a</w:t>
            </w:r>
            <w:r>
              <w:rPr>
                <w:spacing w:val="-13"/>
              </w:rPr>
              <w:t xml:space="preserve"> </w:t>
            </w:r>
            <w:r>
              <w:t>cualquiera</w:t>
            </w:r>
            <w:r>
              <w:rPr>
                <w:spacing w:val="-10"/>
              </w:rPr>
              <w:t xml:space="preserve"> </w:t>
            </w:r>
            <w:r>
              <w:t>de</w:t>
            </w:r>
            <w:r>
              <w:rPr>
                <w:spacing w:val="-13"/>
              </w:rPr>
              <w:t xml:space="preserve"> </w:t>
            </w:r>
            <w:r>
              <w:t>las</w:t>
            </w:r>
            <w:r>
              <w:rPr>
                <w:spacing w:val="-10"/>
              </w:rPr>
              <w:t xml:space="preserve"> </w:t>
            </w:r>
            <w:r>
              <w:t>autorizaciones</w:t>
            </w:r>
            <w:r>
              <w:rPr>
                <w:spacing w:val="-10"/>
              </w:rPr>
              <w:t xml:space="preserve"> </w:t>
            </w:r>
            <w:r>
              <w:t>referidas</w:t>
            </w:r>
            <w:r>
              <w:rPr>
                <w:spacing w:val="-12"/>
              </w:rPr>
              <w:t xml:space="preserve"> </w:t>
            </w:r>
            <w:r>
              <w:t>en</w:t>
            </w:r>
            <w:r>
              <w:rPr>
                <w:spacing w:val="-10"/>
              </w:rPr>
              <w:t xml:space="preserve"> </w:t>
            </w:r>
            <w:r>
              <w:rPr>
                <w:spacing w:val="-5"/>
              </w:rPr>
              <w:t>los</w:t>
            </w:r>
          </w:p>
          <w:p w14:paraId="2EF14079" w14:textId="77777777" w:rsidR="00D3344B" w:rsidRDefault="00143C25">
            <w:pPr>
              <w:pStyle w:val="TableParagraph"/>
              <w:spacing w:line="252" w:lineRule="exact"/>
              <w:ind w:left="50"/>
            </w:pPr>
            <w:r>
              <w:t>numerales</w:t>
            </w:r>
            <w:r>
              <w:rPr>
                <w:spacing w:val="40"/>
              </w:rPr>
              <w:t xml:space="preserve"> </w:t>
            </w:r>
            <w:r>
              <w:t>6</w:t>
            </w:r>
            <w:r>
              <w:rPr>
                <w:spacing w:val="40"/>
              </w:rPr>
              <w:t xml:space="preserve"> </w:t>
            </w:r>
            <w:r>
              <w:t>a</w:t>
            </w:r>
            <w:r>
              <w:rPr>
                <w:spacing w:val="40"/>
              </w:rPr>
              <w:t xml:space="preserve"> </w:t>
            </w:r>
            <w:r>
              <w:t>8</w:t>
            </w:r>
            <w:r>
              <w:rPr>
                <w:spacing w:val="40"/>
              </w:rPr>
              <w:t xml:space="preserve"> </w:t>
            </w:r>
            <w:r>
              <w:t>de</w:t>
            </w:r>
            <w:r>
              <w:rPr>
                <w:spacing w:val="40"/>
              </w:rPr>
              <w:t xml:space="preserve"> </w:t>
            </w:r>
            <w:r>
              <w:t>este</w:t>
            </w:r>
            <w:r>
              <w:rPr>
                <w:spacing w:val="40"/>
              </w:rPr>
              <w:t xml:space="preserve"> </w:t>
            </w:r>
            <w:r>
              <w:t>inciso,</w:t>
            </w:r>
            <w:r>
              <w:rPr>
                <w:spacing w:val="40"/>
              </w:rPr>
              <w:t xml:space="preserve"> </w:t>
            </w:r>
            <w:r>
              <w:t>durante</w:t>
            </w:r>
            <w:r>
              <w:rPr>
                <w:spacing w:val="40"/>
              </w:rPr>
              <w:t xml:space="preserve"> </w:t>
            </w:r>
            <w:r>
              <w:t>su</w:t>
            </w:r>
            <w:r>
              <w:rPr>
                <w:spacing w:val="40"/>
              </w:rPr>
              <w:t xml:space="preserve"> </w:t>
            </w:r>
            <w:r>
              <w:t>vigencia,</w:t>
            </w:r>
            <w:r>
              <w:rPr>
                <w:spacing w:val="40"/>
              </w:rPr>
              <w:t xml:space="preserve"> </w:t>
            </w:r>
            <w:r>
              <w:t>en</w:t>
            </w:r>
            <w:r>
              <w:rPr>
                <w:spacing w:val="40"/>
              </w:rPr>
              <w:t xml:space="preserve"> </w:t>
            </w:r>
            <w:r>
              <w:t>caso</w:t>
            </w:r>
            <w:r>
              <w:rPr>
                <w:spacing w:val="40"/>
              </w:rPr>
              <w:t xml:space="preserve"> </w:t>
            </w:r>
            <w:r>
              <w:t>de</w:t>
            </w:r>
            <w:r>
              <w:rPr>
                <w:spacing w:val="40"/>
              </w:rPr>
              <w:t xml:space="preserve"> </w:t>
            </w:r>
            <w:r>
              <w:t xml:space="preserve">ser </w:t>
            </w:r>
            <w:r>
              <w:rPr>
                <w:spacing w:val="-2"/>
              </w:rPr>
              <w:t>procedente.</w:t>
            </w:r>
          </w:p>
        </w:tc>
        <w:tc>
          <w:tcPr>
            <w:tcW w:w="1987" w:type="dxa"/>
          </w:tcPr>
          <w:p w14:paraId="7843368C" w14:textId="77777777" w:rsidR="00D3344B" w:rsidRDefault="00143C25">
            <w:pPr>
              <w:pStyle w:val="TableParagraph"/>
              <w:numPr>
                <w:ilvl w:val="0"/>
                <w:numId w:val="15"/>
              </w:numPr>
              <w:spacing w:before="122"/>
              <w:ind w:right="43"/>
              <w:jc w:val="center"/>
            </w:pPr>
            <w:r>
              <w:rPr>
                <w:spacing w:val="-5"/>
              </w:rPr>
              <w:t>UMA</w:t>
            </w:r>
          </w:p>
        </w:tc>
      </w:tr>
    </w:tbl>
    <w:p w14:paraId="57B727B3" w14:textId="77777777" w:rsidR="00D3344B" w:rsidRDefault="00D3344B">
      <w:pPr>
        <w:pStyle w:val="Textoindependiente"/>
        <w:spacing w:before="6"/>
        <w:rPr>
          <w:sz w:val="8"/>
        </w:rPr>
      </w:pPr>
    </w:p>
    <w:p w14:paraId="287AD865" w14:textId="77777777" w:rsidR="00D3344B" w:rsidRDefault="00143C25">
      <w:pPr>
        <w:widowControl w:val="0"/>
        <w:suppressAutoHyphens w:val="0"/>
        <w:spacing w:before="92" w:after="0" w:line="240" w:lineRule="auto"/>
        <w:ind w:left="1134" w:right="234" w:hanging="425"/>
      </w:pPr>
      <w:r>
        <w:t xml:space="preserve">e) </w:t>
      </w:r>
      <w:r>
        <w:tab/>
        <w:t>Por el</w:t>
      </w:r>
      <w:r>
        <w:rPr>
          <w:spacing w:val="-1"/>
        </w:rPr>
        <w:t xml:space="preserve"> </w:t>
      </w:r>
      <w:r>
        <w:t>registro de planes</w:t>
      </w:r>
      <w:r>
        <w:rPr>
          <w:spacing w:val="-2"/>
        </w:rPr>
        <w:t xml:space="preserve"> </w:t>
      </w:r>
      <w:r>
        <w:t>de manejo de</w:t>
      </w:r>
      <w:r>
        <w:rPr>
          <w:spacing w:val="-2"/>
        </w:rPr>
        <w:t xml:space="preserve"> </w:t>
      </w:r>
      <w:r>
        <w:t>residuos de</w:t>
      </w:r>
      <w:r>
        <w:rPr>
          <w:spacing w:val="-2"/>
        </w:rPr>
        <w:t xml:space="preserve"> </w:t>
      </w:r>
      <w:r>
        <w:t>los sujetos obligados en</w:t>
      </w:r>
      <w:r>
        <w:rPr>
          <w:spacing w:val="-2"/>
        </w:rPr>
        <w:t xml:space="preserve"> </w:t>
      </w:r>
      <w:r>
        <w:t>términos de</w:t>
      </w:r>
      <w:r>
        <w:rPr>
          <w:spacing w:val="-2"/>
        </w:rPr>
        <w:t xml:space="preserve"> </w:t>
      </w:r>
      <w:r>
        <w:t>la</w:t>
      </w:r>
      <w:r>
        <w:rPr>
          <w:spacing w:val="-2"/>
        </w:rPr>
        <w:t xml:space="preserve"> </w:t>
      </w:r>
      <w:r>
        <w:t>Ley de Residuos del Estado de Tlaxcala:</w:t>
      </w:r>
    </w:p>
    <w:p w14:paraId="0BCC506B" w14:textId="77777777" w:rsidR="00D3344B" w:rsidRDefault="00D3344B">
      <w:pPr>
        <w:pStyle w:val="Textoindependiente"/>
        <w:spacing w:before="9" w:after="1"/>
        <w:rPr>
          <w:sz w:val="16"/>
        </w:rPr>
      </w:pPr>
    </w:p>
    <w:tbl>
      <w:tblPr>
        <w:tblStyle w:val="TableNormal"/>
        <w:tblW w:w="8080" w:type="dxa"/>
        <w:tblInd w:w="709" w:type="dxa"/>
        <w:tblLayout w:type="fixed"/>
        <w:tblLook w:val="01E0" w:firstRow="1" w:lastRow="1" w:firstColumn="1" w:lastColumn="1" w:noHBand="0" w:noVBand="0"/>
      </w:tblPr>
      <w:tblGrid>
        <w:gridCol w:w="4414"/>
        <w:gridCol w:w="3666"/>
      </w:tblGrid>
      <w:tr w:rsidR="00D3344B" w14:paraId="029EC087" w14:textId="77777777">
        <w:trPr>
          <w:trHeight w:val="374"/>
        </w:trPr>
        <w:tc>
          <w:tcPr>
            <w:tcW w:w="4413" w:type="dxa"/>
          </w:tcPr>
          <w:p w14:paraId="3835D56A" w14:textId="77777777" w:rsidR="00D3344B" w:rsidRDefault="00143C25">
            <w:pPr>
              <w:pStyle w:val="TableParagraph"/>
              <w:spacing w:line="244" w:lineRule="exact"/>
              <w:ind w:left="50"/>
              <w:rPr>
                <w:b/>
              </w:rPr>
            </w:pPr>
            <w:r>
              <w:rPr>
                <w:b/>
                <w:spacing w:val="-2"/>
              </w:rPr>
              <w:t>Concepto</w:t>
            </w:r>
          </w:p>
        </w:tc>
        <w:tc>
          <w:tcPr>
            <w:tcW w:w="3666" w:type="dxa"/>
          </w:tcPr>
          <w:p w14:paraId="0449145C" w14:textId="77777777" w:rsidR="00D3344B" w:rsidRDefault="00143C25">
            <w:pPr>
              <w:pStyle w:val="TableParagraph"/>
              <w:spacing w:line="244" w:lineRule="exact"/>
              <w:ind w:left="720" w:right="41"/>
              <w:jc w:val="center"/>
              <w:rPr>
                <w:b/>
              </w:rPr>
            </w:pPr>
            <w:r>
              <w:rPr>
                <w:b/>
              </w:rPr>
              <w:t>Derechos</w:t>
            </w:r>
            <w:r>
              <w:rPr>
                <w:b/>
                <w:spacing w:val="-4"/>
              </w:rPr>
              <w:t xml:space="preserve"> </w:t>
            </w:r>
            <w:r>
              <w:rPr>
                <w:b/>
                <w:spacing w:val="-2"/>
              </w:rPr>
              <w:t>causados</w:t>
            </w:r>
          </w:p>
        </w:tc>
      </w:tr>
      <w:tr w:rsidR="00D3344B" w14:paraId="1F0F3615" w14:textId="77777777">
        <w:trPr>
          <w:trHeight w:val="759"/>
        </w:trPr>
        <w:tc>
          <w:tcPr>
            <w:tcW w:w="4413" w:type="dxa"/>
          </w:tcPr>
          <w:p w14:paraId="1F4CA9E0" w14:textId="77777777" w:rsidR="00D3344B" w:rsidRDefault="00143C25">
            <w:pPr>
              <w:pStyle w:val="TableParagraph"/>
              <w:spacing w:before="121"/>
              <w:ind w:left="50" w:right="700"/>
            </w:pPr>
            <w:r>
              <w:t>1. Por el primer registro de</w:t>
            </w:r>
            <w:r>
              <w:rPr>
                <w:spacing w:val="-1"/>
              </w:rPr>
              <w:t xml:space="preserve"> </w:t>
            </w:r>
            <w:r>
              <w:t xml:space="preserve">un plan de manejo; </w:t>
            </w:r>
            <w:r>
              <w:rPr>
                <w:spacing w:val="-10"/>
              </w:rPr>
              <w:t>y</w:t>
            </w:r>
          </w:p>
        </w:tc>
        <w:tc>
          <w:tcPr>
            <w:tcW w:w="3666" w:type="dxa"/>
          </w:tcPr>
          <w:p w14:paraId="5B1DBE02" w14:textId="77777777" w:rsidR="00D3344B" w:rsidRDefault="00143C25">
            <w:pPr>
              <w:pStyle w:val="TableParagraph"/>
              <w:spacing w:before="121"/>
              <w:ind w:left="716" w:right="41"/>
              <w:jc w:val="center"/>
            </w:pPr>
            <w:r>
              <w:t xml:space="preserve">40 </w:t>
            </w:r>
            <w:r>
              <w:rPr>
                <w:spacing w:val="-5"/>
              </w:rPr>
              <w:t>UMA</w:t>
            </w:r>
          </w:p>
        </w:tc>
      </w:tr>
      <w:tr w:rsidR="00D3344B" w14:paraId="76A92C2E" w14:textId="77777777">
        <w:trPr>
          <w:trHeight w:val="627"/>
        </w:trPr>
        <w:tc>
          <w:tcPr>
            <w:tcW w:w="4413" w:type="dxa"/>
          </w:tcPr>
          <w:p w14:paraId="259A97ED" w14:textId="77777777" w:rsidR="00D3344B" w:rsidRDefault="00143C25">
            <w:pPr>
              <w:pStyle w:val="TableParagraph"/>
              <w:spacing w:before="103" w:line="252" w:lineRule="exact"/>
              <w:ind w:left="50"/>
            </w:pPr>
            <w:r>
              <w:t>2.</w:t>
            </w:r>
            <w:r>
              <w:rPr>
                <w:spacing w:val="29"/>
              </w:rPr>
              <w:t xml:space="preserve"> </w:t>
            </w:r>
            <w:r>
              <w:t>Por</w:t>
            </w:r>
            <w:r>
              <w:rPr>
                <w:spacing w:val="27"/>
              </w:rPr>
              <w:t xml:space="preserve"> </w:t>
            </w:r>
            <w:r>
              <w:t>la</w:t>
            </w:r>
            <w:r>
              <w:rPr>
                <w:spacing w:val="27"/>
              </w:rPr>
              <w:t xml:space="preserve"> </w:t>
            </w:r>
            <w:r>
              <w:t>actualización</w:t>
            </w:r>
            <w:r>
              <w:rPr>
                <w:spacing w:val="29"/>
              </w:rPr>
              <w:t xml:space="preserve"> </w:t>
            </w:r>
            <w:r>
              <w:t>de un</w:t>
            </w:r>
            <w:r>
              <w:rPr>
                <w:spacing w:val="29"/>
              </w:rPr>
              <w:t xml:space="preserve"> </w:t>
            </w:r>
            <w:r>
              <w:t>plan</w:t>
            </w:r>
            <w:r>
              <w:rPr>
                <w:spacing w:val="29"/>
              </w:rPr>
              <w:t xml:space="preserve"> </w:t>
            </w:r>
            <w:r>
              <w:t>de</w:t>
            </w:r>
            <w:r>
              <w:rPr>
                <w:spacing w:val="27"/>
              </w:rPr>
              <w:t xml:space="preserve"> </w:t>
            </w:r>
            <w:r>
              <w:t>manejo previamente registrado.</w:t>
            </w:r>
          </w:p>
        </w:tc>
        <w:tc>
          <w:tcPr>
            <w:tcW w:w="3666" w:type="dxa"/>
          </w:tcPr>
          <w:p w14:paraId="36C31FD6" w14:textId="77777777" w:rsidR="00D3344B" w:rsidRDefault="00143C25">
            <w:pPr>
              <w:pStyle w:val="TableParagraph"/>
              <w:spacing w:before="122"/>
              <w:ind w:left="716" w:right="41"/>
              <w:jc w:val="center"/>
            </w:pPr>
            <w:r>
              <w:t xml:space="preserve">10 </w:t>
            </w:r>
            <w:r>
              <w:rPr>
                <w:spacing w:val="-5"/>
              </w:rPr>
              <w:t>UMA</w:t>
            </w:r>
          </w:p>
        </w:tc>
      </w:tr>
    </w:tbl>
    <w:p w14:paraId="5310DFF0" w14:textId="77777777" w:rsidR="00D3344B" w:rsidRDefault="00D3344B">
      <w:pPr>
        <w:spacing w:after="0"/>
        <w:ind w:left="1134" w:hanging="425"/>
        <w:rPr>
          <w:rFonts w:ascii="Arial" w:hAnsi="Arial" w:cs="Arial"/>
        </w:rPr>
      </w:pPr>
    </w:p>
    <w:p w14:paraId="496BE483" w14:textId="77777777" w:rsidR="00D3344B" w:rsidRDefault="00143C25">
      <w:pPr>
        <w:spacing w:after="0"/>
        <w:rPr>
          <w:rFonts w:ascii="Arial" w:hAnsi="Arial" w:cs="Arial"/>
          <w:i/>
          <w:iCs/>
          <w:sz w:val="16"/>
          <w:szCs w:val="16"/>
        </w:rPr>
      </w:pPr>
      <w:r>
        <w:rPr>
          <w:rFonts w:ascii="Arial" w:hAnsi="Arial" w:cs="Arial"/>
          <w:i/>
          <w:iCs/>
          <w:sz w:val="16"/>
          <w:szCs w:val="16"/>
        </w:rPr>
        <w:t>(REFORMADA, P.O. 29 DE NOVIEMBRE DE 2023)</w:t>
      </w:r>
    </w:p>
    <w:p w14:paraId="4B2A45C3" w14:textId="77777777" w:rsidR="00D3344B" w:rsidRDefault="00143C25">
      <w:pPr>
        <w:spacing w:after="0"/>
        <w:ind w:left="709" w:hanging="709"/>
        <w:rPr>
          <w:rFonts w:ascii="Arial" w:hAnsi="Arial" w:cs="Arial"/>
        </w:rPr>
      </w:pPr>
      <w:r>
        <w:rPr>
          <w:rFonts w:ascii="Arial" w:hAnsi="Arial" w:cs="Arial"/>
        </w:rPr>
        <w:t>VII.</w:t>
      </w:r>
      <w:r>
        <w:rPr>
          <w:rFonts w:ascii="Arial" w:hAnsi="Arial" w:cs="Arial"/>
        </w:rPr>
        <w:tab/>
        <w:t>Por la expedición de copias certificadas, se pagará 1 UMA, por las primeras 10 fojas y por cada una de las adicionales 0.5 UMA.</w:t>
      </w:r>
    </w:p>
    <w:p w14:paraId="2FC33151" w14:textId="77777777" w:rsidR="00D3344B" w:rsidRDefault="00143C25">
      <w:pPr>
        <w:spacing w:after="0"/>
        <w:ind w:left="709" w:hanging="709"/>
        <w:rPr>
          <w:rFonts w:ascii="Arial" w:hAnsi="Arial" w:cs="Arial"/>
        </w:rPr>
      </w:pPr>
      <w:r>
        <w:rPr>
          <w:rFonts w:ascii="Arial" w:hAnsi="Arial" w:cs="Arial"/>
        </w:rPr>
        <w:t xml:space="preserve"> </w:t>
      </w:r>
    </w:p>
    <w:p w14:paraId="6E47C458" w14:textId="77777777" w:rsidR="00D3344B" w:rsidRDefault="00143C25">
      <w:pPr>
        <w:spacing w:after="0"/>
        <w:ind w:left="709" w:hanging="709"/>
        <w:rPr>
          <w:rFonts w:ascii="Arial" w:hAnsi="Arial" w:cs="Arial"/>
        </w:rPr>
      </w:pPr>
      <w:r>
        <w:rPr>
          <w:rFonts w:ascii="Arial" w:hAnsi="Arial" w:cs="Arial"/>
        </w:rPr>
        <w:t>VIII.</w:t>
      </w:r>
      <w:r>
        <w:rPr>
          <w:rFonts w:ascii="Arial" w:hAnsi="Arial" w:cs="Arial"/>
        </w:rPr>
        <w:tab/>
        <w:t xml:space="preserve">Las sanciones impuestas por infracciones a la normatividad se cobrarán de conformidad con lo previsto por la Ley de Protección al Medio Ambiente y el Desarrollo Sostenible del Estado de Tlaxcala, la Ley de Residuos del Estado de Tlaxcala, la Ley de Cambio Climático del Estado de Tlaxcala, a los reglamentos </w:t>
      </w:r>
      <w:r>
        <w:rPr>
          <w:rFonts w:ascii="Arial" w:hAnsi="Arial" w:cs="Arial"/>
        </w:rPr>
        <w:lastRenderedPageBreak/>
        <w:t>que de ellas emanen, al Programa de Verificación Vehicular Obligatorio (PVVO) vigente y el marco normativo y regulatorio emitido por la autoridad competente.</w:t>
      </w:r>
    </w:p>
    <w:p w14:paraId="52444E97" w14:textId="77777777" w:rsidR="00D3344B" w:rsidRDefault="00D3344B">
      <w:pPr>
        <w:spacing w:after="0"/>
        <w:rPr>
          <w:rFonts w:ascii="Arial" w:hAnsi="Arial" w:cs="Arial"/>
        </w:rPr>
      </w:pPr>
    </w:p>
    <w:p w14:paraId="2187E2FB" w14:textId="77777777" w:rsidR="00D3344B" w:rsidRDefault="00143C25">
      <w:pPr>
        <w:spacing w:after="0"/>
        <w:rPr>
          <w:rFonts w:ascii="Arial" w:hAnsi="Arial" w:cs="Arial"/>
        </w:rPr>
      </w:pPr>
      <w:r>
        <w:rPr>
          <w:rFonts w:ascii="Arial" w:hAnsi="Arial" w:cs="Arial"/>
        </w:rPr>
        <w:t>En caso de ser procedente la autorización por alguna de las excepciones previstas en el PVVO, se pagarán 2 UMA.</w:t>
      </w:r>
    </w:p>
    <w:p w14:paraId="751B6EC7" w14:textId="77777777" w:rsidR="00D3344B" w:rsidRDefault="00D3344B">
      <w:pPr>
        <w:spacing w:after="0"/>
        <w:rPr>
          <w:rFonts w:ascii="Arial" w:hAnsi="Arial" w:cs="Arial"/>
        </w:rPr>
      </w:pPr>
    </w:p>
    <w:p w14:paraId="3875BFF4" w14:textId="77777777" w:rsidR="00D3344B" w:rsidRDefault="00143C25">
      <w:pPr>
        <w:pStyle w:val="Estilo"/>
        <w:jc w:val="center"/>
        <w:rPr>
          <w:rFonts w:cs="Arial"/>
          <w:b/>
        </w:rPr>
      </w:pPr>
      <w:r>
        <w:rPr>
          <w:rFonts w:cs="Arial"/>
          <w:b/>
        </w:rPr>
        <w:t>Subsección Séptima</w:t>
      </w:r>
    </w:p>
    <w:p w14:paraId="1851D0A1" w14:textId="77777777" w:rsidR="00D3344B" w:rsidRDefault="00143C25">
      <w:pPr>
        <w:pStyle w:val="Estilo"/>
        <w:jc w:val="center"/>
        <w:rPr>
          <w:rFonts w:cs="Arial"/>
          <w:b/>
        </w:rPr>
      </w:pPr>
      <w:r>
        <w:rPr>
          <w:rFonts w:cs="Arial"/>
          <w:b/>
        </w:rPr>
        <w:t>Derechos por los Servicios Prestados por la Procuraduría General de Justicia</w:t>
      </w:r>
    </w:p>
    <w:p w14:paraId="15BD73ED" w14:textId="77777777" w:rsidR="00D3344B" w:rsidRDefault="00D3344B">
      <w:pPr>
        <w:pStyle w:val="Estilo"/>
        <w:rPr>
          <w:rFonts w:cs="Arial"/>
        </w:rPr>
      </w:pPr>
    </w:p>
    <w:p w14:paraId="201510DC" w14:textId="77777777" w:rsidR="00D3344B" w:rsidRDefault="00143C25">
      <w:pPr>
        <w:pStyle w:val="Estilo"/>
        <w:rPr>
          <w:rFonts w:cs="Arial"/>
        </w:rPr>
      </w:pPr>
      <w:r>
        <w:rPr>
          <w:rFonts w:cs="Arial"/>
          <w:b/>
        </w:rPr>
        <w:t>Artículo 161.</w:t>
      </w:r>
      <w:r>
        <w:rPr>
          <w:rFonts w:cs="Arial"/>
        </w:rPr>
        <w:t xml:space="preserve"> Los derechos por los servicios que preste la Procuraduría General de Justicia, serán los siguientes:</w:t>
      </w:r>
    </w:p>
    <w:p w14:paraId="63347F84" w14:textId="77777777" w:rsidR="00D3344B" w:rsidRDefault="00D3344B">
      <w:pPr>
        <w:pStyle w:val="Estilo"/>
        <w:rPr>
          <w:rFonts w:cs="Arial"/>
        </w:rPr>
      </w:pPr>
    </w:p>
    <w:p w14:paraId="700CE29C" w14:textId="77777777" w:rsidR="00D3344B" w:rsidRDefault="00D3344B">
      <w:pPr>
        <w:rPr>
          <w:rFonts w:ascii="Arial" w:hAnsi="Arial" w:cs="Arial"/>
        </w:rPr>
      </w:pPr>
    </w:p>
    <w:tbl>
      <w:tblPr>
        <w:tblW w:w="8872" w:type="dxa"/>
        <w:tblLayout w:type="fixed"/>
        <w:tblCellMar>
          <w:left w:w="70" w:type="dxa"/>
          <w:right w:w="70" w:type="dxa"/>
        </w:tblCellMar>
        <w:tblLook w:val="0000" w:firstRow="0" w:lastRow="0" w:firstColumn="0" w:lastColumn="0" w:noHBand="0" w:noVBand="0"/>
      </w:tblPr>
      <w:tblGrid>
        <w:gridCol w:w="566"/>
        <w:gridCol w:w="5246"/>
        <w:gridCol w:w="3060"/>
      </w:tblGrid>
      <w:tr w:rsidR="00D3344B" w14:paraId="55AEFD71" w14:textId="77777777">
        <w:tc>
          <w:tcPr>
            <w:tcW w:w="566" w:type="dxa"/>
          </w:tcPr>
          <w:p w14:paraId="395E7DF2" w14:textId="77777777" w:rsidR="00D3344B" w:rsidRDefault="00D3344B">
            <w:pPr>
              <w:pStyle w:val="Textosinformato"/>
              <w:widowControl w:val="0"/>
              <w:jc w:val="center"/>
              <w:rPr>
                <w:rFonts w:ascii="Arial" w:hAnsi="Arial" w:cs="Arial"/>
                <w:sz w:val="24"/>
                <w:szCs w:val="24"/>
              </w:rPr>
            </w:pPr>
          </w:p>
        </w:tc>
        <w:tc>
          <w:tcPr>
            <w:tcW w:w="5246" w:type="dxa"/>
          </w:tcPr>
          <w:p w14:paraId="79128FBE" w14:textId="77777777" w:rsidR="00D3344B" w:rsidRDefault="00143C25">
            <w:pPr>
              <w:pStyle w:val="Textosinformato"/>
              <w:widowControl w:val="0"/>
              <w:jc w:val="center"/>
              <w:rPr>
                <w:rFonts w:ascii="Arial" w:hAnsi="Arial" w:cs="Arial"/>
                <w:sz w:val="24"/>
                <w:szCs w:val="24"/>
              </w:rPr>
            </w:pPr>
            <w:r>
              <w:rPr>
                <w:rFonts w:ascii="Arial" w:hAnsi="Arial" w:cs="Arial"/>
                <w:sz w:val="24"/>
                <w:szCs w:val="24"/>
              </w:rPr>
              <w:t>CONCEPTO</w:t>
            </w:r>
          </w:p>
          <w:p w14:paraId="58215C44" w14:textId="77777777" w:rsidR="00D3344B" w:rsidRDefault="00D3344B">
            <w:pPr>
              <w:pStyle w:val="Textosinformato"/>
              <w:widowControl w:val="0"/>
              <w:jc w:val="center"/>
              <w:rPr>
                <w:rFonts w:ascii="Arial" w:hAnsi="Arial" w:cs="Arial"/>
                <w:sz w:val="24"/>
                <w:szCs w:val="24"/>
              </w:rPr>
            </w:pPr>
          </w:p>
        </w:tc>
        <w:tc>
          <w:tcPr>
            <w:tcW w:w="3060" w:type="dxa"/>
          </w:tcPr>
          <w:p w14:paraId="12DD7A71" w14:textId="77777777" w:rsidR="00D3344B" w:rsidRDefault="00143C25">
            <w:pPr>
              <w:pStyle w:val="Textosinformato"/>
              <w:widowControl w:val="0"/>
              <w:jc w:val="center"/>
              <w:rPr>
                <w:rFonts w:ascii="Arial" w:hAnsi="Arial" w:cs="Arial"/>
                <w:sz w:val="24"/>
                <w:szCs w:val="24"/>
              </w:rPr>
            </w:pPr>
            <w:r>
              <w:rPr>
                <w:rFonts w:ascii="Arial" w:hAnsi="Arial" w:cs="Arial"/>
                <w:sz w:val="24"/>
                <w:szCs w:val="24"/>
              </w:rPr>
              <w:t>DERECHOS CAUSADOS</w:t>
            </w:r>
          </w:p>
        </w:tc>
      </w:tr>
      <w:tr w:rsidR="00D3344B" w14:paraId="09B05ED4" w14:textId="77777777">
        <w:tc>
          <w:tcPr>
            <w:tcW w:w="566" w:type="dxa"/>
          </w:tcPr>
          <w:p w14:paraId="353DC153" w14:textId="77777777" w:rsidR="00D3344B" w:rsidRDefault="00D3344B">
            <w:pPr>
              <w:pStyle w:val="Textosinformato"/>
              <w:widowControl w:val="0"/>
              <w:jc w:val="center"/>
              <w:rPr>
                <w:rFonts w:ascii="Arial" w:hAnsi="Arial" w:cs="Arial"/>
                <w:sz w:val="24"/>
                <w:szCs w:val="24"/>
              </w:rPr>
            </w:pPr>
          </w:p>
        </w:tc>
        <w:tc>
          <w:tcPr>
            <w:tcW w:w="5246" w:type="dxa"/>
            <w:vAlign w:val="bottom"/>
          </w:tcPr>
          <w:p w14:paraId="1D2E6EDC"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22 DE DICIEMBRE DE 2021)</w:t>
            </w:r>
          </w:p>
        </w:tc>
        <w:tc>
          <w:tcPr>
            <w:tcW w:w="3060" w:type="dxa"/>
          </w:tcPr>
          <w:p w14:paraId="195FC25E" w14:textId="77777777" w:rsidR="00D3344B" w:rsidRDefault="00D3344B">
            <w:pPr>
              <w:pStyle w:val="Textosinformato"/>
              <w:widowControl w:val="0"/>
              <w:jc w:val="center"/>
              <w:rPr>
                <w:rFonts w:ascii="Arial" w:hAnsi="Arial" w:cs="Arial"/>
                <w:sz w:val="24"/>
                <w:szCs w:val="24"/>
              </w:rPr>
            </w:pPr>
          </w:p>
        </w:tc>
      </w:tr>
      <w:tr w:rsidR="00D3344B" w14:paraId="1E824745" w14:textId="77777777">
        <w:tc>
          <w:tcPr>
            <w:tcW w:w="566" w:type="dxa"/>
          </w:tcPr>
          <w:p w14:paraId="4E3293DA" w14:textId="77777777" w:rsidR="00D3344B" w:rsidRDefault="00143C25">
            <w:pPr>
              <w:pStyle w:val="Textosinformato"/>
              <w:widowControl w:val="0"/>
              <w:ind w:left="356" w:hanging="356"/>
              <w:rPr>
                <w:rFonts w:ascii="Arial" w:hAnsi="Arial" w:cs="Arial"/>
                <w:sz w:val="24"/>
                <w:szCs w:val="24"/>
              </w:rPr>
            </w:pPr>
            <w:r>
              <w:rPr>
                <w:rFonts w:ascii="Arial" w:hAnsi="Arial" w:cs="Arial"/>
                <w:sz w:val="24"/>
                <w:szCs w:val="24"/>
              </w:rPr>
              <w:t xml:space="preserve">I. </w:t>
            </w:r>
          </w:p>
        </w:tc>
        <w:tc>
          <w:tcPr>
            <w:tcW w:w="5246" w:type="dxa"/>
          </w:tcPr>
          <w:p w14:paraId="055EEBD0"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Constancia de no antecedentes penales, </w:t>
            </w:r>
          </w:p>
        </w:tc>
        <w:tc>
          <w:tcPr>
            <w:tcW w:w="3060" w:type="dxa"/>
          </w:tcPr>
          <w:p w14:paraId="25894755" w14:textId="77777777" w:rsidR="00D3344B" w:rsidRDefault="00143C25">
            <w:pPr>
              <w:pStyle w:val="Textosinformato"/>
              <w:widowControl w:val="0"/>
              <w:rPr>
                <w:rFonts w:ascii="Arial" w:hAnsi="Arial" w:cs="Arial"/>
                <w:sz w:val="24"/>
                <w:szCs w:val="24"/>
              </w:rPr>
            </w:pPr>
            <w:r>
              <w:rPr>
                <w:rFonts w:ascii="Arial" w:hAnsi="Arial" w:cs="Arial"/>
                <w:sz w:val="24"/>
                <w:szCs w:val="24"/>
              </w:rPr>
              <w:t>2 UMA.</w:t>
            </w:r>
          </w:p>
        </w:tc>
      </w:tr>
      <w:tr w:rsidR="00D3344B" w14:paraId="2D4E24BD" w14:textId="77777777">
        <w:tc>
          <w:tcPr>
            <w:tcW w:w="566" w:type="dxa"/>
          </w:tcPr>
          <w:p w14:paraId="06F4EF2C" w14:textId="77777777" w:rsidR="00D3344B" w:rsidRDefault="00D3344B">
            <w:pPr>
              <w:pStyle w:val="Textosinformato"/>
              <w:widowControl w:val="0"/>
              <w:ind w:left="356" w:hanging="356"/>
              <w:rPr>
                <w:rFonts w:ascii="Arial" w:hAnsi="Arial" w:cs="Arial"/>
                <w:sz w:val="24"/>
                <w:szCs w:val="24"/>
              </w:rPr>
            </w:pPr>
          </w:p>
        </w:tc>
        <w:tc>
          <w:tcPr>
            <w:tcW w:w="5246" w:type="dxa"/>
            <w:vAlign w:val="bottom"/>
          </w:tcPr>
          <w:p w14:paraId="7D881AEF"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21 DE JUNIO DE 2021)</w:t>
            </w:r>
          </w:p>
        </w:tc>
        <w:tc>
          <w:tcPr>
            <w:tcW w:w="3060" w:type="dxa"/>
          </w:tcPr>
          <w:p w14:paraId="697E4C9D" w14:textId="77777777" w:rsidR="00D3344B" w:rsidRDefault="00D3344B">
            <w:pPr>
              <w:pStyle w:val="Textosinformato"/>
              <w:widowControl w:val="0"/>
              <w:rPr>
                <w:rFonts w:ascii="Arial" w:hAnsi="Arial" w:cs="Arial"/>
                <w:sz w:val="24"/>
                <w:szCs w:val="24"/>
              </w:rPr>
            </w:pPr>
          </w:p>
        </w:tc>
      </w:tr>
      <w:tr w:rsidR="00D3344B" w14:paraId="4FFD71E1" w14:textId="77777777">
        <w:trPr>
          <w:trHeight w:val="1949"/>
        </w:trPr>
        <w:tc>
          <w:tcPr>
            <w:tcW w:w="566" w:type="dxa"/>
          </w:tcPr>
          <w:p w14:paraId="29E42A3F" w14:textId="77777777" w:rsidR="00D3344B" w:rsidRDefault="00143C25">
            <w:pPr>
              <w:pStyle w:val="Textosinformato"/>
              <w:widowControl w:val="0"/>
              <w:ind w:left="356" w:hanging="356"/>
              <w:jc w:val="both"/>
              <w:rPr>
                <w:rFonts w:ascii="Arial" w:hAnsi="Arial" w:cs="Arial"/>
                <w:sz w:val="24"/>
                <w:szCs w:val="24"/>
              </w:rPr>
            </w:pPr>
            <w:r>
              <w:rPr>
                <w:rFonts w:ascii="Arial" w:hAnsi="Arial" w:cs="Arial"/>
                <w:sz w:val="24"/>
                <w:szCs w:val="24"/>
              </w:rPr>
              <w:t>II.</w:t>
            </w:r>
          </w:p>
        </w:tc>
        <w:tc>
          <w:tcPr>
            <w:tcW w:w="5246" w:type="dxa"/>
          </w:tcPr>
          <w:p w14:paraId="31358695" w14:textId="77777777" w:rsidR="00D3344B" w:rsidRDefault="00143C25">
            <w:pPr>
              <w:pStyle w:val="Textosinformato"/>
              <w:widowControl w:val="0"/>
              <w:jc w:val="both"/>
              <w:rPr>
                <w:rFonts w:ascii="Arial" w:hAnsi="Arial" w:cs="Arial"/>
                <w:sz w:val="24"/>
                <w:szCs w:val="24"/>
              </w:rPr>
            </w:pPr>
            <w:r>
              <w:rPr>
                <w:rFonts w:ascii="Arial" w:hAnsi="Arial" w:cs="Arial"/>
                <w:sz w:val="24"/>
                <w:szCs w:val="24"/>
              </w:rPr>
              <w:t>Copias certificadas que expidan las agencias del Ministerio Público o cualquier otra unidad administrativa de la dependencia.</w:t>
            </w:r>
          </w:p>
        </w:tc>
        <w:tc>
          <w:tcPr>
            <w:tcW w:w="3060" w:type="dxa"/>
          </w:tcPr>
          <w:p w14:paraId="6D78D7D8" w14:textId="77777777" w:rsidR="00D3344B" w:rsidRDefault="00143C25">
            <w:pPr>
              <w:pStyle w:val="Textosinformato"/>
              <w:widowControl w:val="0"/>
              <w:rPr>
                <w:rFonts w:ascii="Arial" w:hAnsi="Arial" w:cs="Arial"/>
                <w:sz w:val="24"/>
                <w:szCs w:val="24"/>
              </w:rPr>
            </w:pPr>
            <w:r>
              <w:rPr>
                <w:rFonts w:ascii="Arial" w:hAnsi="Arial" w:cs="Arial"/>
                <w:sz w:val="24"/>
                <w:szCs w:val="24"/>
              </w:rPr>
              <w:t>2 UMA por las primeras veinte fojas utilizadas o fracción de las mismas, y 0.15 UMA por cada foja adicional.</w:t>
            </w:r>
          </w:p>
        </w:tc>
      </w:tr>
      <w:tr w:rsidR="00D3344B" w14:paraId="67ADA9F2" w14:textId="77777777">
        <w:trPr>
          <w:trHeight w:val="290"/>
        </w:trPr>
        <w:tc>
          <w:tcPr>
            <w:tcW w:w="566" w:type="dxa"/>
          </w:tcPr>
          <w:p w14:paraId="49069AAE" w14:textId="77777777" w:rsidR="00D3344B" w:rsidRDefault="00D3344B">
            <w:pPr>
              <w:pStyle w:val="Textosinformato"/>
              <w:widowControl w:val="0"/>
              <w:ind w:left="356" w:hanging="356"/>
              <w:jc w:val="both"/>
              <w:rPr>
                <w:rFonts w:ascii="Arial" w:hAnsi="Arial" w:cs="Arial"/>
                <w:sz w:val="24"/>
                <w:szCs w:val="24"/>
              </w:rPr>
            </w:pPr>
          </w:p>
        </w:tc>
        <w:tc>
          <w:tcPr>
            <w:tcW w:w="5246" w:type="dxa"/>
            <w:vAlign w:val="bottom"/>
          </w:tcPr>
          <w:p w14:paraId="1D68EC2A" w14:textId="77777777" w:rsidR="00D3344B" w:rsidRDefault="00143C25">
            <w:pPr>
              <w:pStyle w:val="Textosinformato"/>
              <w:widowControl w:val="0"/>
              <w:rPr>
                <w:rFonts w:ascii="Arial" w:hAnsi="Arial" w:cs="Arial"/>
                <w:sz w:val="24"/>
                <w:szCs w:val="24"/>
              </w:rPr>
            </w:pPr>
            <w:r>
              <w:rPr>
                <w:rFonts w:ascii="Arial" w:hAnsi="Arial" w:cs="Arial"/>
                <w:i/>
                <w:sz w:val="16"/>
                <w:szCs w:val="16"/>
              </w:rPr>
              <w:t>(ADICIONADO, P.O. 21 DE JUNIO DE 2021)</w:t>
            </w:r>
          </w:p>
        </w:tc>
        <w:tc>
          <w:tcPr>
            <w:tcW w:w="3060" w:type="dxa"/>
          </w:tcPr>
          <w:p w14:paraId="5D38D0C3" w14:textId="77777777" w:rsidR="00D3344B" w:rsidRDefault="00D3344B">
            <w:pPr>
              <w:pStyle w:val="Textosinformato"/>
              <w:widowControl w:val="0"/>
              <w:rPr>
                <w:rFonts w:ascii="Arial" w:hAnsi="Arial" w:cs="Arial"/>
                <w:sz w:val="24"/>
                <w:szCs w:val="24"/>
              </w:rPr>
            </w:pPr>
          </w:p>
        </w:tc>
      </w:tr>
      <w:tr w:rsidR="00D3344B" w14:paraId="213BBB9F" w14:textId="77777777">
        <w:trPr>
          <w:trHeight w:val="1949"/>
        </w:trPr>
        <w:tc>
          <w:tcPr>
            <w:tcW w:w="566" w:type="dxa"/>
          </w:tcPr>
          <w:p w14:paraId="0C5D9257" w14:textId="77777777" w:rsidR="00D3344B" w:rsidRDefault="00D3344B">
            <w:pPr>
              <w:pStyle w:val="Textosinformato"/>
              <w:widowControl w:val="0"/>
              <w:ind w:left="356" w:hanging="356"/>
              <w:jc w:val="both"/>
              <w:rPr>
                <w:rFonts w:ascii="Arial" w:hAnsi="Arial" w:cs="Arial"/>
                <w:sz w:val="24"/>
                <w:szCs w:val="24"/>
              </w:rPr>
            </w:pPr>
          </w:p>
        </w:tc>
        <w:tc>
          <w:tcPr>
            <w:tcW w:w="5246" w:type="dxa"/>
          </w:tcPr>
          <w:p w14:paraId="7CC3DCE2" w14:textId="77777777" w:rsidR="00D3344B" w:rsidRDefault="00143C25">
            <w:pPr>
              <w:pStyle w:val="Textosinformato"/>
              <w:widowControl w:val="0"/>
              <w:jc w:val="both"/>
              <w:rPr>
                <w:rFonts w:ascii="Arial" w:hAnsi="Arial" w:cs="Arial"/>
                <w:sz w:val="24"/>
                <w:szCs w:val="24"/>
              </w:rPr>
            </w:pPr>
            <w:r>
              <w:rPr>
                <w:rFonts w:ascii="Arial" w:hAnsi="Arial" w:cs="Arial"/>
                <w:sz w:val="24"/>
                <w:szCs w:val="24"/>
              </w:rPr>
              <w:t>Cuando los sujetos obligados al entero de los derechos a que se refiere esta fracción tengan el carácter de estudiantes o se trate de personas mayores de 70 años, gozarán de una reducción del 75% del pago, acreditándolo con la presentación de credencial vigente con fotografía expedida por la institución educativa, el resultado de admisión a la misma o la credencial de adulto mayor. La reducción en el pago de estas contribuciones será del 50% cuando los sujetos obligados justifiquen que dicha constancia es un requisito para obtener un empleo.</w:t>
            </w:r>
          </w:p>
        </w:tc>
        <w:tc>
          <w:tcPr>
            <w:tcW w:w="3060" w:type="dxa"/>
          </w:tcPr>
          <w:p w14:paraId="00FDBCAC" w14:textId="77777777" w:rsidR="00D3344B" w:rsidRDefault="00D3344B">
            <w:pPr>
              <w:pStyle w:val="Textosinformato"/>
              <w:widowControl w:val="0"/>
              <w:rPr>
                <w:rFonts w:ascii="Arial" w:hAnsi="Arial" w:cs="Arial"/>
                <w:sz w:val="24"/>
                <w:szCs w:val="24"/>
              </w:rPr>
            </w:pPr>
          </w:p>
        </w:tc>
      </w:tr>
      <w:tr w:rsidR="00D3344B" w14:paraId="250B4BD5" w14:textId="77777777">
        <w:trPr>
          <w:trHeight w:val="265"/>
        </w:trPr>
        <w:tc>
          <w:tcPr>
            <w:tcW w:w="566" w:type="dxa"/>
          </w:tcPr>
          <w:p w14:paraId="0B9991E4" w14:textId="77777777" w:rsidR="00D3344B" w:rsidRDefault="00D3344B">
            <w:pPr>
              <w:widowControl w:val="0"/>
              <w:tabs>
                <w:tab w:val="left" w:pos="709"/>
              </w:tabs>
              <w:ind w:left="356" w:hanging="356"/>
              <w:rPr>
                <w:rFonts w:ascii="Arial" w:hAnsi="Arial" w:cs="Arial"/>
                <w:i/>
                <w:sz w:val="16"/>
              </w:rPr>
            </w:pPr>
          </w:p>
        </w:tc>
        <w:tc>
          <w:tcPr>
            <w:tcW w:w="5246" w:type="dxa"/>
            <w:vAlign w:val="bottom"/>
          </w:tcPr>
          <w:p w14:paraId="1D7E8F9D" w14:textId="77777777" w:rsidR="00D3344B" w:rsidRDefault="00143C25">
            <w:pPr>
              <w:widowControl w:val="0"/>
              <w:tabs>
                <w:tab w:val="left" w:pos="709"/>
              </w:tabs>
              <w:spacing w:after="0"/>
              <w:ind w:left="356" w:hanging="356"/>
              <w:rPr>
                <w:rFonts w:ascii="Arial" w:hAnsi="Arial" w:cs="Arial"/>
                <w:sz w:val="24"/>
                <w:szCs w:val="24"/>
              </w:rPr>
            </w:pPr>
            <w:r>
              <w:rPr>
                <w:rFonts w:ascii="Arial" w:hAnsi="Arial" w:cs="Arial"/>
                <w:i/>
                <w:sz w:val="16"/>
              </w:rPr>
              <w:t>(ADICIONADA, P.O. 30 DE DICIEMBRE DE 2005)</w:t>
            </w:r>
          </w:p>
        </w:tc>
        <w:tc>
          <w:tcPr>
            <w:tcW w:w="3060" w:type="dxa"/>
          </w:tcPr>
          <w:p w14:paraId="1B584993" w14:textId="77777777" w:rsidR="00D3344B" w:rsidRDefault="00D3344B">
            <w:pPr>
              <w:pStyle w:val="Textosinformato"/>
              <w:widowControl w:val="0"/>
              <w:rPr>
                <w:rFonts w:ascii="Arial" w:hAnsi="Arial" w:cs="Arial"/>
                <w:sz w:val="24"/>
                <w:szCs w:val="24"/>
              </w:rPr>
            </w:pPr>
          </w:p>
        </w:tc>
      </w:tr>
      <w:tr w:rsidR="00D3344B" w14:paraId="0B0E9BD5" w14:textId="77777777">
        <w:trPr>
          <w:trHeight w:val="1545"/>
        </w:trPr>
        <w:tc>
          <w:tcPr>
            <w:tcW w:w="566" w:type="dxa"/>
          </w:tcPr>
          <w:p w14:paraId="3D68E7C8" w14:textId="77777777" w:rsidR="00D3344B" w:rsidRDefault="00143C25">
            <w:pPr>
              <w:pStyle w:val="Textosinformato"/>
              <w:widowControl w:val="0"/>
              <w:ind w:left="356" w:hanging="356"/>
              <w:rPr>
                <w:rFonts w:ascii="Arial" w:hAnsi="Arial" w:cs="Arial"/>
                <w:sz w:val="24"/>
                <w:szCs w:val="24"/>
              </w:rPr>
            </w:pPr>
            <w:r>
              <w:rPr>
                <w:rFonts w:ascii="Arial" w:hAnsi="Arial" w:cs="Arial"/>
                <w:sz w:val="24"/>
                <w:szCs w:val="24"/>
              </w:rPr>
              <w:lastRenderedPageBreak/>
              <w:t>III.</w:t>
            </w:r>
          </w:p>
        </w:tc>
        <w:tc>
          <w:tcPr>
            <w:tcW w:w="5246" w:type="dxa"/>
          </w:tcPr>
          <w:p w14:paraId="7C90CB17" w14:textId="77777777" w:rsidR="00D3344B" w:rsidRDefault="00143C25">
            <w:pPr>
              <w:pStyle w:val="Textosinformato"/>
              <w:widowControl w:val="0"/>
              <w:rPr>
                <w:rFonts w:ascii="Arial" w:hAnsi="Arial" w:cs="Arial"/>
                <w:sz w:val="24"/>
                <w:szCs w:val="24"/>
              </w:rPr>
            </w:pPr>
            <w:r>
              <w:rPr>
                <w:rFonts w:ascii="Arial" w:hAnsi="Arial" w:cs="Arial"/>
                <w:sz w:val="24"/>
                <w:szCs w:val="24"/>
              </w:rPr>
              <w:t>Resguardo o depósito de vehículos en los corralones del Gobierno del Estado, asignados a la Procuraduría General de Justicia, por investigación, accidente o por las causas que la autoridad competente determine su resguardo en éstos:</w:t>
            </w:r>
          </w:p>
        </w:tc>
        <w:tc>
          <w:tcPr>
            <w:tcW w:w="3060" w:type="dxa"/>
          </w:tcPr>
          <w:p w14:paraId="59CC3B5F" w14:textId="77777777" w:rsidR="00D3344B" w:rsidRDefault="00D3344B">
            <w:pPr>
              <w:pStyle w:val="Textosinformato"/>
              <w:widowControl w:val="0"/>
              <w:rPr>
                <w:rFonts w:ascii="Arial" w:hAnsi="Arial" w:cs="Arial"/>
                <w:sz w:val="24"/>
                <w:szCs w:val="24"/>
              </w:rPr>
            </w:pPr>
          </w:p>
        </w:tc>
      </w:tr>
      <w:tr w:rsidR="00D3344B" w14:paraId="0B92C5E0" w14:textId="77777777">
        <w:trPr>
          <w:trHeight w:val="444"/>
        </w:trPr>
        <w:tc>
          <w:tcPr>
            <w:tcW w:w="566" w:type="dxa"/>
          </w:tcPr>
          <w:p w14:paraId="4A7CF892" w14:textId="77777777" w:rsidR="00D3344B" w:rsidRDefault="00D3344B">
            <w:pPr>
              <w:pStyle w:val="Textosinformato"/>
              <w:widowControl w:val="0"/>
              <w:ind w:left="356" w:hanging="356"/>
              <w:rPr>
                <w:rFonts w:ascii="Arial" w:hAnsi="Arial" w:cs="Arial"/>
                <w:sz w:val="24"/>
                <w:szCs w:val="24"/>
              </w:rPr>
            </w:pPr>
          </w:p>
        </w:tc>
        <w:tc>
          <w:tcPr>
            <w:tcW w:w="5246" w:type="dxa"/>
            <w:vAlign w:val="bottom"/>
          </w:tcPr>
          <w:p w14:paraId="3758C9BD"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22 DE DICIEMBRE DE 2021)</w:t>
            </w:r>
          </w:p>
        </w:tc>
        <w:tc>
          <w:tcPr>
            <w:tcW w:w="3060" w:type="dxa"/>
          </w:tcPr>
          <w:p w14:paraId="64402330" w14:textId="77777777" w:rsidR="00D3344B" w:rsidRDefault="00D3344B">
            <w:pPr>
              <w:pStyle w:val="Textosinformato"/>
              <w:widowControl w:val="0"/>
              <w:rPr>
                <w:rFonts w:ascii="Arial" w:hAnsi="Arial" w:cs="Arial"/>
                <w:sz w:val="24"/>
                <w:szCs w:val="24"/>
              </w:rPr>
            </w:pPr>
          </w:p>
        </w:tc>
      </w:tr>
      <w:tr w:rsidR="00D3344B" w14:paraId="71D7DD5F" w14:textId="77777777">
        <w:trPr>
          <w:trHeight w:val="675"/>
        </w:trPr>
        <w:tc>
          <w:tcPr>
            <w:tcW w:w="566" w:type="dxa"/>
          </w:tcPr>
          <w:p w14:paraId="18BDE943" w14:textId="77777777" w:rsidR="00D3344B" w:rsidRDefault="00D3344B">
            <w:pPr>
              <w:pStyle w:val="Textosinformato"/>
              <w:widowControl w:val="0"/>
              <w:ind w:left="781" w:hanging="425"/>
              <w:rPr>
                <w:rFonts w:ascii="Arial" w:hAnsi="Arial" w:cs="Arial"/>
                <w:sz w:val="24"/>
                <w:szCs w:val="24"/>
              </w:rPr>
            </w:pPr>
          </w:p>
        </w:tc>
        <w:tc>
          <w:tcPr>
            <w:tcW w:w="5246" w:type="dxa"/>
          </w:tcPr>
          <w:p w14:paraId="48AA5C5F" w14:textId="77777777" w:rsidR="00D3344B" w:rsidRDefault="00143C25">
            <w:pPr>
              <w:pStyle w:val="Textosinformato"/>
              <w:widowControl w:val="0"/>
              <w:ind w:left="781" w:hanging="425"/>
              <w:rPr>
                <w:rFonts w:ascii="Arial" w:hAnsi="Arial" w:cs="Arial"/>
                <w:sz w:val="24"/>
                <w:szCs w:val="24"/>
              </w:rPr>
            </w:pPr>
            <w:r>
              <w:rPr>
                <w:rFonts w:ascii="Arial" w:hAnsi="Arial" w:cs="Arial"/>
                <w:sz w:val="24"/>
                <w:szCs w:val="24"/>
              </w:rPr>
              <w:t>a)   De autobuses, camiones, microbuses y tracto camiones</w:t>
            </w:r>
          </w:p>
        </w:tc>
        <w:tc>
          <w:tcPr>
            <w:tcW w:w="3060" w:type="dxa"/>
          </w:tcPr>
          <w:p w14:paraId="4AA688B8" w14:textId="77777777" w:rsidR="00D3344B" w:rsidRDefault="00143C25">
            <w:pPr>
              <w:pStyle w:val="Textosinformato"/>
              <w:widowControl w:val="0"/>
              <w:rPr>
                <w:rFonts w:ascii="Arial" w:hAnsi="Arial" w:cs="Arial"/>
                <w:sz w:val="24"/>
                <w:szCs w:val="24"/>
              </w:rPr>
            </w:pPr>
            <w:r>
              <w:rPr>
                <w:rFonts w:ascii="Arial" w:hAnsi="Arial" w:cs="Arial"/>
                <w:sz w:val="24"/>
                <w:szCs w:val="24"/>
              </w:rPr>
              <w:t>3 UMA por cada día</w:t>
            </w:r>
          </w:p>
        </w:tc>
      </w:tr>
      <w:tr w:rsidR="00D3344B" w14:paraId="1AE9D0A8" w14:textId="77777777">
        <w:trPr>
          <w:trHeight w:val="446"/>
        </w:trPr>
        <w:tc>
          <w:tcPr>
            <w:tcW w:w="566" w:type="dxa"/>
          </w:tcPr>
          <w:p w14:paraId="01548040" w14:textId="77777777" w:rsidR="00D3344B" w:rsidRDefault="00D3344B">
            <w:pPr>
              <w:pStyle w:val="Textosinformato"/>
              <w:widowControl w:val="0"/>
              <w:ind w:left="781" w:hanging="425"/>
              <w:rPr>
                <w:rFonts w:ascii="Arial" w:hAnsi="Arial" w:cs="Arial"/>
                <w:sz w:val="24"/>
                <w:szCs w:val="24"/>
              </w:rPr>
            </w:pPr>
          </w:p>
        </w:tc>
        <w:tc>
          <w:tcPr>
            <w:tcW w:w="5246" w:type="dxa"/>
            <w:vAlign w:val="bottom"/>
          </w:tcPr>
          <w:p w14:paraId="21C8B8BF"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21 DE JUNIO DE 2021)</w:t>
            </w:r>
          </w:p>
        </w:tc>
        <w:tc>
          <w:tcPr>
            <w:tcW w:w="3060" w:type="dxa"/>
          </w:tcPr>
          <w:p w14:paraId="2C643248" w14:textId="77777777" w:rsidR="00D3344B" w:rsidRDefault="00D3344B">
            <w:pPr>
              <w:pStyle w:val="Textosinformato"/>
              <w:widowControl w:val="0"/>
              <w:rPr>
                <w:rFonts w:ascii="Arial" w:hAnsi="Arial" w:cs="Arial"/>
                <w:sz w:val="24"/>
                <w:szCs w:val="24"/>
              </w:rPr>
            </w:pPr>
          </w:p>
        </w:tc>
      </w:tr>
      <w:tr w:rsidR="00D3344B" w14:paraId="3DC4F27B" w14:textId="77777777">
        <w:trPr>
          <w:trHeight w:val="495"/>
        </w:trPr>
        <w:tc>
          <w:tcPr>
            <w:tcW w:w="566" w:type="dxa"/>
          </w:tcPr>
          <w:p w14:paraId="16F68CB8" w14:textId="77777777" w:rsidR="00D3344B" w:rsidRDefault="00D3344B">
            <w:pPr>
              <w:pStyle w:val="Textosinformato"/>
              <w:widowControl w:val="0"/>
              <w:ind w:left="781" w:hanging="425"/>
              <w:rPr>
                <w:rFonts w:ascii="Arial" w:hAnsi="Arial" w:cs="Arial"/>
                <w:sz w:val="24"/>
                <w:szCs w:val="24"/>
              </w:rPr>
            </w:pPr>
          </w:p>
        </w:tc>
        <w:tc>
          <w:tcPr>
            <w:tcW w:w="5246" w:type="dxa"/>
          </w:tcPr>
          <w:p w14:paraId="0B813C36" w14:textId="77777777" w:rsidR="00D3344B" w:rsidRDefault="00143C25">
            <w:pPr>
              <w:pStyle w:val="Textosinformato"/>
              <w:widowControl w:val="0"/>
              <w:ind w:left="781" w:hanging="425"/>
              <w:rPr>
                <w:rFonts w:ascii="Arial" w:hAnsi="Arial" w:cs="Arial"/>
                <w:sz w:val="24"/>
                <w:szCs w:val="24"/>
              </w:rPr>
            </w:pPr>
            <w:r>
              <w:rPr>
                <w:rFonts w:ascii="Arial" w:hAnsi="Arial" w:cs="Arial"/>
                <w:sz w:val="24"/>
                <w:szCs w:val="24"/>
              </w:rPr>
              <w:t>b)   Camionetas y automóviles</w:t>
            </w:r>
          </w:p>
        </w:tc>
        <w:tc>
          <w:tcPr>
            <w:tcW w:w="3060" w:type="dxa"/>
          </w:tcPr>
          <w:p w14:paraId="77EF98C7" w14:textId="77777777" w:rsidR="00D3344B" w:rsidRDefault="00143C25">
            <w:pPr>
              <w:pStyle w:val="Textosinformato"/>
              <w:widowControl w:val="0"/>
              <w:rPr>
                <w:rFonts w:ascii="Arial" w:hAnsi="Arial" w:cs="Arial"/>
                <w:sz w:val="24"/>
                <w:szCs w:val="24"/>
              </w:rPr>
            </w:pPr>
            <w:r>
              <w:rPr>
                <w:rFonts w:ascii="Arial" w:hAnsi="Arial" w:cs="Arial"/>
                <w:sz w:val="24"/>
                <w:szCs w:val="24"/>
              </w:rPr>
              <w:t>1 UMA por cada día.</w:t>
            </w:r>
          </w:p>
        </w:tc>
      </w:tr>
      <w:tr w:rsidR="00D3344B" w14:paraId="455FCFEC" w14:textId="77777777">
        <w:trPr>
          <w:trHeight w:val="495"/>
        </w:trPr>
        <w:tc>
          <w:tcPr>
            <w:tcW w:w="566" w:type="dxa"/>
          </w:tcPr>
          <w:p w14:paraId="4797355F" w14:textId="77777777" w:rsidR="00D3344B" w:rsidRDefault="00D3344B">
            <w:pPr>
              <w:pStyle w:val="Textosinformato"/>
              <w:widowControl w:val="0"/>
              <w:ind w:left="781" w:hanging="425"/>
              <w:rPr>
                <w:rFonts w:ascii="Arial" w:hAnsi="Arial" w:cs="Arial"/>
                <w:sz w:val="24"/>
                <w:szCs w:val="24"/>
              </w:rPr>
            </w:pPr>
          </w:p>
        </w:tc>
        <w:tc>
          <w:tcPr>
            <w:tcW w:w="5246" w:type="dxa"/>
            <w:vAlign w:val="bottom"/>
          </w:tcPr>
          <w:p w14:paraId="0EE74B71"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21 DE JUNIO DE 2021)</w:t>
            </w:r>
          </w:p>
        </w:tc>
        <w:tc>
          <w:tcPr>
            <w:tcW w:w="3060" w:type="dxa"/>
          </w:tcPr>
          <w:p w14:paraId="5A45DDEE" w14:textId="77777777" w:rsidR="00D3344B" w:rsidRDefault="00D3344B">
            <w:pPr>
              <w:pStyle w:val="Textosinformato"/>
              <w:widowControl w:val="0"/>
              <w:rPr>
                <w:rFonts w:ascii="Arial" w:hAnsi="Arial" w:cs="Arial"/>
                <w:sz w:val="24"/>
                <w:szCs w:val="24"/>
              </w:rPr>
            </w:pPr>
          </w:p>
        </w:tc>
      </w:tr>
      <w:tr w:rsidR="00D3344B" w14:paraId="3F42577A" w14:textId="77777777">
        <w:trPr>
          <w:trHeight w:val="495"/>
        </w:trPr>
        <w:tc>
          <w:tcPr>
            <w:tcW w:w="566" w:type="dxa"/>
          </w:tcPr>
          <w:p w14:paraId="07B8701F" w14:textId="77777777" w:rsidR="00D3344B" w:rsidRDefault="00D3344B">
            <w:pPr>
              <w:pStyle w:val="Textosinformato"/>
              <w:widowControl w:val="0"/>
              <w:ind w:left="781" w:hanging="425"/>
              <w:rPr>
                <w:rFonts w:ascii="Arial" w:hAnsi="Arial" w:cs="Arial"/>
                <w:sz w:val="24"/>
                <w:szCs w:val="24"/>
              </w:rPr>
            </w:pPr>
          </w:p>
        </w:tc>
        <w:tc>
          <w:tcPr>
            <w:tcW w:w="5246" w:type="dxa"/>
          </w:tcPr>
          <w:p w14:paraId="49B21181" w14:textId="77777777" w:rsidR="00D3344B" w:rsidRDefault="00143C25">
            <w:pPr>
              <w:pStyle w:val="Textosinformato"/>
              <w:widowControl w:val="0"/>
              <w:ind w:left="781" w:hanging="425"/>
              <w:rPr>
                <w:rFonts w:ascii="Arial" w:hAnsi="Arial" w:cs="Arial"/>
                <w:sz w:val="24"/>
                <w:szCs w:val="24"/>
              </w:rPr>
            </w:pPr>
            <w:r>
              <w:rPr>
                <w:rFonts w:ascii="Arial" w:hAnsi="Arial" w:cs="Arial"/>
                <w:sz w:val="24"/>
                <w:szCs w:val="24"/>
              </w:rPr>
              <w:t>c)   Motocicletas</w:t>
            </w:r>
          </w:p>
        </w:tc>
        <w:tc>
          <w:tcPr>
            <w:tcW w:w="3060" w:type="dxa"/>
          </w:tcPr>
          <w:p w14:paraId="4F565D33" w14:textId="77777777" w:rsidR="00D3344B" w:rsidRDefault="00143C25">
            <w:pPr>
              <w:pStyle w:val="Textosinformato"/>
              <w:widowControl w:val="0"/>
              <w:rPr>
                <w:rFonts w:ascii="Arial" w:hAnsi="Arial" w:cs="Arial"/>
                <w:sz w:val="24"/>
                <w:szCs w:val="24"/>
              </w:rPr>
            </w:pPr>
            <w:r>
              <w:rPr>
                <w:rFonts w:ascii="Arial" w:hAnsi="Arial" w:cs="Arial"/>
                <w:sz w:val="24"/>
                <w:szCs w:val="24"/>
              </w:rPr>
              <w:t>0.5 UMA por cada día.</w:t>
            </w:r>
          </w:p>
        </w:tc>
      </w:tr>
      <w:tr w:rsidR="00D3344B" w14:paraId="6BFC44C6" w14:textId="77777777">
        <w:trPr>
          <w:trHeight w:val="495"/>
        </w:trPr>
        <w:tc>
          <w:tcPr>
            <w:tcW w:w="566" w:type="dxa"/>
          </w:tcPr>
          <w:p w14:paraId="6F22B703" w14:textId="77777777" w:rsidR="00D3344B" w:rsidRDefault="00D3344B">
            <w:pPr>
              <w:pStyle w:val="Textosinformato"/>
              <w:widowControl w:val="0"/>
              <w:ind w:left="781" w:hanging="425"/>
              <w:rPr>
                <w:rFonts w:ascii="Arial" w:hAnsi="Arial" w:cs="Arial"/>
                <w:sz w:val="24"/>
                <w:szCs w:val="24"/>
              </w:rPr>
            </w:pPr>
          </w:p>
        </w:tc>
        <w:tc>
          <w:tcPr>
            <w:tcW w:w="5246" w:type="dxa"/>
            <w:vAlign w:val="bottom"/>
          </w:tcPr>
          <w:p w14:paraId="21D3EA2C" w14:textId="77777777" w:rsidR="00D3344B" w:rsidRDefault="00143C25">
            <w:pPr>
              <w:pStyle w:val="Textosinformato"/>
              <w:widowControl w:val="0"/>
              <w:rPr>
                <w:rFonts w:ascii="Arial" w:hAnsi="Arial" w:cs="Arial"/>
                <w:sz w:val="24"/>
                <w:szCs w:val="24"/>
              </w:rPr>
            </w:pPr>
            <w:r>
              <w:rPr>
                <w:rFonts w:ascii="Arial" w:hAnsi="Arial" w:cs="Arial"/>
                <w:i/>
                <w:sz w:val="16"/>
                <w:szCs w:val="16"/>
              </w:rPr>
              <w:t>(REFORMADA, P.O. 21 DE JUNIO DE 2021)</w:t>
            </w:r>
          </w:p>
        </w:tc>
        <w:tc>
          <w:tcPr>
            <w:tcW w:w="3060" w:type="dxa"/>
          </w:tcPr>
          <w:p w14:paraId="59CB6C08" w14:textId="77777777" w:rsidR="00D3344B" w:rsidRDefault="00D3344B">
            <w:pPr>
              <w:pStyle w:val="Textosinformato"/>
              <w:widowControl w:val="0"/>
              <w:rPr>
                <w:rFonts w:ascii="Arial" w:hAnsi="Arial" w:cs="Arial"/>
                <w:sz w:val="24"/>
                <w:szCs w:val="24"/>
              </w:rPr>
            </w:pPr>
          </w:p>
        </w:tc>
      </w:tr>
      <w:tr w:rsidR="00D3344B" w14:paraId="38EA5EF7" w14:textId="77777777">
        <w:trPr>
          <w:trHeight w:val="1455"/>
        </w:trPr>
        <w:tc>
          <w:tcPr>
            <w:tcW w:w="566" w:type="dxa"/>
          </w:tcPr>
          <w:p w14:paraId="47E73FEA" w14:textId="77777777" w:rsidR="00D3344B" w:rsidRDefault="00D3344B">
            <w:pPr>
              <w:pStyle w:val="Textosinformato"/>
              <w:widowControl w:val="0"/>
              <w:ind w:left="781" w:hanging="425"/>
              <w:rPr>
                <w:rFonts w:ascii="Arial" w:hAnsi="Arial" w:cs="Arial"/>
                <w:sz w:val="24"/>
                <w:szCs w:val="24"/>
              </w:rPr>
            </w:pPr>
          </w:p>
        </w:tc>
        <w:tc>
          <w:tcPr>
            <w:tcW w:w="5246" w:type="dxa"/>
          </w:tcPr>
          <w:p w14:paraId="0D8BC1B6" w14:textId="77777777" w:rsidR="00D3344B" w:rsidRDefault="00143C25">
            <w:pPr>
              <w:pStyle w:val="Textosinformato"/>
              <w:widowControl w:val="0"/>
              <w:ind w:left="781" w:hanging="425"/>
              <w:rPr>
                <w:rFonts w:ascii="Arial" w:hAnsi="Arial" w:cs="Arial"/>
                <w:sz w:val="24"/>
                <w:szCs w:val="24"/>
              </w:rPr>
            </w:pPr>
            <w:r>
              <w:rPr>
                <w:rFonts w:ascii="Arial" w:hAnsi="Arial" w:cs="Arial"/>
                <w:sz w:val="24"/>
                <w:szCs w:val="24"/>
              </w:rPr>
              <w:t>d)   Bicicletas</w:t>
            </w:r>
          </w:p>
        </w:tc>
        <w:tc>
          <w:tcPr>
            <w:tcW w:w="3060" w:type="dxa"/>
          </w:tcPr>
          <w:p w14:paraId="45932474" w14:textId="77777777" w:rsidR="00D3344B" w:rsidRDefault="00143C25">
            <w:pPr>
              <w:pStyle w:val="Textosinformato"/>
              <w:widowControl w:val="0"/>
              <w:rPr>
                <w:rFonts w:ascii="Arial" w:hAnsi="Arial" w:cs="Arial"/>
                <w:sz w:val="24"/>
                <w:szCs w:val="24"/>
              </w:rPr>
            </w:pPr>
            <w:r>
              <w:rPr>
                <w:rFonts w:ascii="Arial" w:hAnsi="Arial" w:cs="Arial"/>
                <w:sz w:val="24"/>
                <w:szCs w:val="24"/>
              </w:rPr>
              <w:t>0.3 UMA por cada día.</w:t>
            </w:r>
          </w:p>
        </w:tc>
      </w:tr>
    </w:tbl>
    <w:p w14:paraId="124A07FE" w14:textId="77777777" w:rsidR="00D3344B" w:rsidRDefault="00143C25">
      <w:pPr>
        <w:pStyle w:val="Estilo"/>
        <w:rPr>
          <w:rFonts w:cs="Arial"/>
          <w:i/>
          <w:iCs/>
          <w:sz w:val="16"/>
          <w:szCs w:val="16"/>
        </w:rPr>
      </w:pPr>
      <w:r>
        <w:rPr>
          <w:rFonts w:cs="Arial"/>
          <w:i/>
          <w:iCs/>
          <w:sz w:val="16"/>
          <w:szCs w:val="16"/>
        </w:rPr>
        <w:t>(ADICIONADO, P.O. 22 DE DICIEMBRE DE 2021)</w:t>
      </w:r>
    </w:p>
    <w:p w14:paraId="3D216215" w14:textId="77777777" w:rsidR="00D3344B" w:rsidRDefault="00143C25">
      <w:pPr>
        <w:pStyle w:val="Estilo"/>
        <w:rPr>
          <w:rFonts w:cs="Arial"/>
        </w:rPr>
      </w:pPr>
      <w:r>
        <w:rPr>
          <w:rFonts w:cs="Arial"/>
        </w:rPr>
        <w:t>Quedan exceptuados del pago de los derechos establecidos en esta fracción los propietarios de los vehículos que se encuentren en litigio, que tengan acreditado el carácter de victima u ofendido o aquellos declarados inocentes por la autoridad competente mediante resolución firme.</w:t>
      </w:r>
    </w:p>
    <w:p w14:paraId="44BC8C0E" w14:textId="77777777" w:rsidR="00D3344B" w:rsidRDefault="00D3344B">
      <w:pPr>
        <w:pStyle w:val="Estilo"/>
        <w:rPr>
          <w:rFonts w:cs="Arial"/>
        </w:rPr>
      </w:pPr>
    </w:p>
    <w:p w14:paraId="1055D96B" w14:textId="77777777" w:rsidR="00D3344B" w:rsidRDefault="00143C25">
      <w:pPr>
        <w:pStyle w:val="Estilo"/>
        <w:jc w:val="center"/>
        <w:rPr>
          <w:rFonts w:cs="Arial"/>
          <w:i/>
          <w:sz w:val="16"/>
          <w:szCs w:val="16"/>
        </w:rPr>
      </w:pPr>
      <w:r>
        <w:rPr>
          <w:rFonts w:cs="Arial"/>
          <w:i/>
          <w:sz w:val="16"/>
          <w:szCs w:val="16"/>
        </w:rPr>
        <w:t>(REFORMADA SU DENOMINACIÓN, P.O. 23 DE DICIEMBRE DE 2013)</w:t>
      </w:r>
    </w:p>
    <w:p w14:paraId="488299AA" w14:textId="77777777" w:rsidR="00D3344B" w:rsidRDefault="00143C25">
      <w:pPr>
        <w:pStyle w:val="Estilo"/>
        <w:jc w:val="center"/>
        <w:rPr>
          <w:rFonts w:cs="Arial"/>
          <w:bCs/>
          <w:i/>
          <w:iCs/>
          <w:sz w:val="16"/>
          <w:szCs w:val="16"/>
        </w:rPr>
      </w:pPr>
      <w:r>
        <w:rPr>
          <w:rFonts w:cs="Arial"/>
          <w:bCs/>
          <w:i/>
          <w:iCs/>
          <w:sz w:val="16"/>
          <w:szCs w:val="16"/>
        </w:rPr>
        <w:t>(REFORMADA DENOMINACIÓN, P.O. 22 DE DICIEMBRE DE 2021)</w:t>
      </w:r>
    </w:p>
    <w:p w14:paraId="554DE6A6" w14:textId="77777777" w:rsidR="00D3344B" w:rsidRDefault="00143C25">
      <w:pPr>
        <w:pStyle w:val="Estilo"/>
        <w:jc w:val="center"/>
        <w:rPr>
          <w:rFonts w:cs="Arial"/>
          <w:b/>
        </w:rPr>
      </w:pPr>
      <w:r>
        <w:rPr>
          <w:rFonts w:cs="Arial"/>
          <w:b/>
        </w:rPr>
        <w:t>Subsección Octava</w:t>
      </w:r>
    </w:p>
    <w:p w14:paraId="28964A9E" w14:textId="77777777" w:rsidR="00D3344B" w:rsidRDefault="00143C25">
      <w:pPr>
        <w:pStyle w:val="Estilo"/>
        <w:jc w:val="center"/>
        <w:rPr>
          <w:rFonts w:cs="Arial"/>
          <w:b/>
        </w:rPr>
      </w:pPr>
      <w:r>
        <w:rPr>
          <w:rFonts w:cs="Arial"/>
          <w:b/>
        </w:rPr>
        <w:t>Derechos por los Servicios Prestados por la Secretaría de la Función Pública</w:t>
      </w:r>
    </w:p>
    <w:p w14:paraId="28B960D9" w14:textId="77777777" w:rsidR="00D3344B" w:rsidRDefault="00D3344B">
      <w:pPr>
        <w:pStyle w:val="Estilo"/>
        <w:rPr>
          <w:rFonts w:cs="Arial"/>
        </w:rPr>
      </w:pPr>
    </w:p>
    <w:p w14:paraId="6AC52950" w14:textId="77777777" w:rsidR="00D3344B" w:rsidRDefault="00143C25">
      <w:pPr>
        <w:pStyle w:val="Estilo"/>
        <w:rPr>
          <w:rFonts w:cs="Arial"/>
          <w:i/>
          <w:sz w:val="16"/>
          <w:szCs w:val="16"/>
        </w:rPr>
      </w:pPr>
      <w:r>
        <w:rPr>
          <w:rFonts w:cs="Arial"/>
          <w:i/>
          <w:sz w:val="16"/>
          <w:szCs w:val="16"/>
        </w:rPr>
        <w:t>(REFORMADO PRIMER PÁRRAFO, P.O. 22 DE DICIEMBRE DE 2021)</w:t>
      </w:r>
    </w:p>
    <w:p w14:paraId="28CEE304" w14:textId="77777777" w:rsidR="00D3344B" w:rsidRDefault="00143C25">
      <w:pPr>
        <w:pStyle w:val="Estilo"/>
        <w:rPr>
          <w:rFonts w:cs="Arial"/>
        </w:rPr>
      </w:pPr>
      <w:r>
        <w:rPr>
          <w:rFonts w:cs="Arial"/>
          <w:b/>
        </w:rPr>
        <w:t>Artículo 162.</w:t>
      </w:r>
      <w:r>
        <w:rPr>
          <w:rFonts w:cs="Arial"/>
        </w:rPr>
        <w:t xml:space="preserve"> Los derechos por los servicios que preste la Secretaría de la Función Pública serán los siguientes:</w:t>
      </w:r>
    </w:p>
    <w:p w14:paraId="23E7DB29" w14:textId="77777777" w:rsidR="00D3344B" w:rsidRDefault="00D3344B">
      <w:pPr>
        <w:pStyle w:val="Estilo"/>
        <w:rPr>
          <w:rFonts w:cs="Arial"/>
        </w:rPr>
      </w:pPr>
    </w:p>
    <w:p w14:paraId="10CF6B0C" w14:textId="77777777" w:rsidR="00D3344B" w:rsidRDefault="00D3344B">
      <w:pPr>
        <w:pStyle w:val="Sinespaciado"/>
        <w:jc w:val="both"/>
        <w:rPr>
          <w:rFonts w:ascii="Arial" w:hAnsi="Arial" w:cs="Arial"/>
        </w:rPr>
      </w:pPr>
    </w:p>
    <w:tbl>
      <w:tblPr>
        <w:tblW w:w="8789" w:type="dxa"/>
        <w:tblLayout w:type="fixed"/>
        <w:tblCellMar>
          <w:left w:w="70" w:type="dxa"/>
          <w:right w:w="70" w:type="dxa"/>
        </w:tblCellMar>
        <w:tblLook w:val="0000" w:firstRow="0" w:lastRow="0" w:firstColumn="0" w:lastColumn="0" w:noHBand="0" w:noVBand="0"/>
      </w:tblPr>
      <w:tblGrid>
        <w:gridCol w:w="566"/>
        <w:gridCol w:w="5813"/>
        <w:gridCol w:w="2410"/>
      </w:tblGrid>
      <w:tr w:rsidR="00D3344B" w14:paraId="7C952189" w14:textId="77777777">
        <w:tc>
          <w:tcPr>
            <w:tcW w:w="566" w:type="dxa"/>
          </w:tcPr>
          <w:p w14:paraId="004A52DA" w14:textId="77777777" w:rsidR="00D3344B" w:rsidRDefault="00D3344B">
            <w:pPr>
              <w:pStyle w:val="Sinespaciado"/>
              <w:widowControl w:val="0"/>
              <w:jc w:val="center"/>
              <w:rPr>
                <w:rFonts w:ascii="Arial" w:hAnsi="Arial" w:cs="Arial"/>
                <w:b/>
              </w:rPr>
            </w:pPr>
          </w:p>
        </w:tc>
        <w:tc>
          <w:tcPr>
            <w:tcW w:w="5813" w:type="dxa"/>
            <w:vAlign w:val="center"/>
          </w:tcPr>
          <w:p w14:paraId="3E591E1B" w14:textId="77777777" w:rsidR="00D3344B" w:rsidRDefault="00143C25">
            <w:pPr>
              <w:pStyle w:val="Sinespaciado"/>
              <w:widowControl w:val="0"/>
              <w:jc w:val="center"/>
              <w:rPr>
                <w:rFonts w:ascii="Arial" w:hAnsi="Arial" w:cs="Arial"/>
                <w:b/>
              </w:rPr>
            </w:pPr>
            <w:r>
              <w:rPr>
                <w:rFonts w:ascii="Arial" w:hAnsi="Arial" w:cs="Arial"/>
                <w:b/>
              </w:rPr>
              <w:t>CONCEPTO</w:t>
            </w:r>
          </w:p>
        </w:tc>
        <w:tc>
          <w:tcPr>
            <w:tcW w:w="2410" w:type="dxa"/>
            <w:vAlign w:val="center"/>
          </w:tcPr>
          <w:p w14:paraId="7BE4D264" w14:textId="77777777" w:rsidR="00D3344B" w:rsidRDefault="00143C25">
            <w:pPr>
              <w:pStyle w:val="Sinespaciado"/>
              <w:widowControl w:val="0"/>
              <w:jc w:val="center"/>
              <w:rPr>
                <w:rFonts w:ascii="Arial" w:hAnsi="Arial" w:cs="Arial"/>
                <w:b/>
              </w:rPr>
            </w:pPr>
            <w:r>
              <w:rPr>
                <w:rFonts w:ascii="Arial" w:hAnsi="Arial" w:cs="Arial"/>
                <w:b/>
              </w:rPr>
              <w:t>DERECHOS</w:t>
            </w:r>
          </w:p>
          <w:p w14:paraId="146833BA" w14:textId="77777777" w:rsidR="00D3344B" w:rsidRDefault="00143C25">
            <w:pPr>
              <w:pStyle w:val="Sinespaciado"/>
              <w:widowControl w:val="0"/>
              <w:jc w:val="center"/>
              <w:rPr>
                <w:rFonts w:ascii="Arial" w:hAnsi="Arial" w:cs="Arial"/>
                <w:b/>
              </w:rPr>
            </w:pPr>
            <w:r>
              <w:rPr>
                <w:rFonts w:ascii="Arial" w:hAnsi="Arial" w:cs="Arial"/>
                <w:b/>
              </w:rPr>
              <w:t>CAUSADOS</w:t>
            </w:r>
          </w:p>
        </w:tc>
      </w:tr>
      <w:tr w:rsidR="00D3344B" w14:paraId="2E6A6990" w14:textId="77777777">
        <w:tc>
          <w:tcPr>
            <w:tcW w:w="566" w:type="dxa"/>
          </w:tcPr>
          <w:p w14:paraId="0034831A" w14:textId="77777777" w:rsidR="00D3344B" w:rsidRDefault="00D3344B">
            <w:pPr>
              <w:pStyle w:val="Sinespaciado"/>
              <w:widowControl w:val="0"/>
              <w:jc w:val="center"/>
              <w:rPr>
                <w:rFonts w:ascii="Arial" w:hAnsi="Arial" w:cs="Arial"/>
                <w:b/>
              </w:rPr>
            </w:pPr>
          </w:p>
        </w:tc>
        <w:tc>
          <w:tcPr>
            <w:tcW w:w="5813" w:type="dxa"/>
            <w:vAlign w:val="center"/>
          </w:tcPr>
          <w:p w14:paraId="79963982" w14:textId="77777777" w:rsidR="00D3344B" w:rsidRDefault="00143C25">
            <w:pPr>
              <w:pStyle w:val="Sinespaciado"/>
              <w:widowControl w:val="0"/>
              <w:rPr>
                <w:rFonts w:ascii="Arial" w:hAnsi="Arial" w:cs="Arial"/>
                <w:b/>
              </w:rPr>
            </w:pPr>
            <w:r>
              <w:rPr>
                <w:rFonts w:ascii="Arial" w:hAnsi="Arial" w:cs="Arial"/>
                <w:i/>
                <w:sz w:val="16"/>
                <w:szCs w:val="16"/>
              </w:rPr>
              <w:t xml:space="preserve">(REFORMADA, P.O. 22 DE </w:t>
            </w:r>
            <w:proofErr w:type="gramStart"/>
            <w:r>
              <w:rPr>
                <w:rFonts w:ascii="Arial" w:hAnsi="Arial" w:cs="Arial"/>
                <w:i/>
                <w:sz w:val="16"/>
                <w:szCs w:val="16"/>
              </w:rPr>
              <w:t>DICIEMBRE  DE</w:t>
            </w:r>
            <w:proofErr w:type="gramEnd"/>
            <w:r>
              <w:rPr>
                <w:rFonts w:ascii="Arial" w:hAnsi="Arial" w:cs="Arial"/>
                <w:i/>
                <w:sz w:val="16"/>
                <w:szCs w:val="16"/>
              </w:rPr>
              <w:t xml:space="preserve"> 2021)</w:t>
            </w:r>
          </w:p>
        </w:tc>
        <w:tc>
          <w:tcPr>
            <w:tcW w:w="2410" w:type="dxa"/>
            <w:vAlign w:val="center"/>
          </w:tcPr>
          <w:p w14:paraId="132931DB" w14:textId="77777777" w:rsidR="00D3344B" w:rsidRDefault="00D3344B">
            <w:pPr>
              <w:pStyle w:val="Sinespaciado"/>
              <w:widowControl w:val="0"/>
              <w:jc w:val="center"/>
              <w:rPr>
                <w:rFonts w:ascii="Arial" w:hAnsi="Arial" w:cs="Arial"/>
                <w:b/>
              </w:rPr>
            </w:pPr>
          </w:p>
        </w:tc>
      </w:tr>
      <w:tr w:rsidR="00D3344B" w14:paraId="429493F6" w14:textId="77777777">
        <w:trPr>
          <w:trHeight w:val="708"/>
        </w:trPr>
        <w:tc>
          <w:tcPr>
            <w:tcW w:w="566" w:type="dxa"/>
          </w:tcPr>
          <w:p w14:paraId="43608C55" w14:textId="77777777" w:rsidR="00D3344B" w:rsidRDefault="00143C25">
            <w:pPr>
              <w:pStyle w:val="Sinespaciado"/>
              <w:widowControl w:val="0"/>
              <w:ind w:left="351" w:hanging="351"/>
              <w:jc w:val="both"/>
              <w:rPr>
                <w:rFonts w:ascii="Arial" w:hAnsi="Arial" w:cs="Arial"/>
              </w:rPr>
            </w:pPr>
            <w:r>
              <w:rPr>
                <w:rFonts w:ascii="Arial" w:hAnsi="Arial" w:cs="Arial"/>
              </w:rPr>
              <w:t xml:space="preserve">I.  </w:t>
            </w:r>
          </w:p>
        </w:tc>
        <w:tc>
          <w:tcPr>
            <w:tcW w:w="5813" w:type="dxa"/>
          </w:tcPr>
          <w:p w14:paraId="69F47C9B" w14:textId="77777777" w:rsidR="00D3344B" w:rsidRDefault="00143C25">
            <w:pPr>
              <w:pStyle w:val="Sinespaciado"/>
              <w:widowControl w:val="0"/>
              <w:jc w:val="both"/>
              <w:rPr>
                <w:rFonts w:ascii="Arial" w:hAnsi="Arial" w:cs="Arial"/>
              </w:rPr>
            </w:pP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Constancias</w:t>
            </w:r>
            <w:proofErr w:type="spellEnd"/>
            <w:r>
              <w:rPr>
                <w:rFonts w:ascii="Arial" w:hAnsi="Arial" w:cs="Arial"/>
              </w:rPr>
              <w:t xml:space="preserve"> de No </w:t>
            </w:r>
            <w:proofErr w:type="spellStart"/>
            <w:r>
              <w:rPr>
                <w:rFonts w:ascii="Arial" w:hAnsi="Arial" w:cs="Arial"/>
              </w:rPr>
              <w:t>Inhabilitación</w:t>
            </w:r>
            <w:proofErr w:type="spellEnd"/>
            <w:r>
              <w:rPr>
                <w:rFonts w:ascii="Arial" w:hAnsi="Arial" w:cs="Arial"/>
              </w:rPr>
              <w:t xml:space="preserve">, </w:t>
            </w:r>
            <w:proofErr w:type="spellStart"/>
            <w:r>
              <w:rPr>
                <w:rFonts w:ascii="Arial" w:hAnsi="Arial" w:cs="Arial"/>
              </w:rPr>
              <w:t>incluye</w:t>
            </w:r>
            <w:proofErr w:type="spellEnd"/>
            <w:r>
              <w:rPr>
                <w:rFonts w:ascii="Arial" w:hAnsi="Arial" w:cs="Arial"/>
              </w:rPr>
              <w:t xml:space="preserve"> </w:t>
            </w:r>
            <w:proofErr w:type="spellStart"/>
            <w:r>
              <w:rPr>
                <w:rFonts w:ascii="Arial" w:hAnsi="Arial" w:cs="Arial"/>
              </w:rPr>
              <w:t>búsqueda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las </w:t>
            </w:r>
            <w:proofErr w:type="spellStart"/>
            <w:r>
              <w:rPr>
                <w:rFonts w:ascii="Arial" w:hAnsi="Arial" w:cs="Arial"/>
              </w:rPr>
              <w:t>plataformas</w:t>
            </w:r>
            <w:proofErr w:type="spellEnd"/>
            <w:r>
              <w:rPr>
                <w:rFonts w:ascii="Arial" w:hAnsi="Arial" w:cs="Arial"/>
              </w:rPr>
              <w:t xml:space="preserve"> de la </w:t>
            </w:r>
            <w:proofErr w:type="spellStart"/>
            <w:r>
              <w:rPr>
                <w:rFonts w:ascii="Arial" w:hAnsi="Arial" w:cs="Arial"/>
              </w:rPr>
              <w:t>Secretaría</w:t>
            </w:r>
            <w:proofErr w:type="spellEnd"/>
            <w:r>
              <w:rPr>
                <w:rFonts w:ascii="Arial" w:hAnsi="Arial" w:cs="Arial"/>
              </w:rPr>
              <w:t xml:space="preserve"> de la </w:t>
            </w:r>
            <w:proofErr w:type="spellStart"/>
            <w:r>
              <w:rPr>
                <w:rFonts w:ascii="Arial" w:hAnsi="Arial" w:cs="Arial"/>
              </w:rPr>
              <w:t>Función</w:t>
            </w:r>
            <w:proofErr w:type="spellEnd"/>
            <w:r>
              <w:rPr>
                <w:rFonts w:ascii="Arial" w:hAnsi="Arial" w:cs="Arial"/>
              </w:rPr>
              <w:t xml:space="preserve"> </w:t>
            </w:r>
            <w:proofErr w:type="spellStart"/>
            <w:r>
              <w:rPr>
                <w:rFonts w:ascii="Arial" w:hAnsi="Arial" w:cs="Arial"/>
              </w:rPr>
              <w:t>Pública</w:t>
            </w:r>
            <w:proofErr w:type="spellEnd"/>
            <w:r>
              <w:rPr>
                <w:rFonts w:ascii="Arial" w:hAnsi="Arial" w:cs="Arial"/>
              </w:rPr>
              <w:t xml:space="preserve"> </w:t>
            </w:r>
            <w:proofErr w:type="spellStart"/>
            <w:r>
              <w:rPr>
                <w:rFonts w:ascii="Arial" w:hAnsi="Arial" w:cs="Arial"/>
              </w:rPr>
              <w:t>Estatal</w:t>
            </w:r>
            <w:proofErr w:type="spellEnd"/>
            <w:r>
              <w:rPr>
                <w:rFonts w:ascii="Arial" w:hAnsi="Arial" w:cs="Arial"/>
              </w:rPr>
              <w:t xml:space="preserve"> y Federal</w:t>
            </w:r>
          </w:p>
          <w:p w14:paraId="635D3D71" w14:textId="77777777" w:rsidR="00D3344B" w:rsidRDefault="00D3344B">
            <w:pPr>
              <w:pStyle w:val="Sinespaciado"/>
              <w:widowControl w:val="0"/>
              <w:jc w:val="both"/>
              <w:rPr>
                <w:rFonts w:ascii="Arial" w:hAnsi="Arial" w:cs="Arial"/>
              </w:rPr>
            </w:pPr>
          </w:p>
        </w:tc>
        <w:tc>
          <w:tcPr>
            <w:tcW w:w="2410" w:type="dxa"/>
          </w:tcPr>
          <w:p w14:paraId="0B0B10EA" w14:textId="77777777" w:rsidR="00D3344B" w:rsidRDefault="00143C25">
            <w:pPr>
              <w:pStyle w:val="Sinespaciado"/>
              <w:widowControl w:val="0"/>
              <w:rPr>
                <w:rFonts w:ascii="Arial" w:hAnsi="Arial" w:cs="Arial"/>
              </w:rPr>
            </w:pPr>
            <w:r>
              <w:rPr>
                <w:rFonts w:ascii="Arial" w:hAnsi="Arial" w:cs="Arial"/>
              </w:rPr>
              <w:t>2 UMA</w:t>
            </w:r>
          </w:p>
        </w:tc>
      </w:tr>
      <w:tr w:rsidR="00D3344B" w14:paraId="0B738755" w14:textId="77777777">
        <w:trPr>
          <w:trHeight w:val="974"/>
        </w:trPr>
        <w:tc>
          <w:tcPr>
            <w:tcW w:w="566" w:type="dxa"/>
          </w:tcPr>
          <w:p w14:paraId="58FD0B9F" w14:textId="77777777" w:rsidR="00D3344B" w:rsidRDefault="00143C25">
            <w:pPr>
              <w:pStyle w:val="Sinespaciado"/>
              <w:widowControl w:val="0"/>
              <w:jc w:val="both"/>
              <w:rPr>
                <w:rFonts w:ascii="Arial" w:hAnsi="Arial" w:cs="Arial"/>
                <w:i/>
                <w:sz w:val="16"/>
              </w:rPr>
            </w:pPr>
            <w:r>
              <w:rPr>
                <w:rFonts w:ascii="Arial" w:hAnsi="Arial" w:cs="Arial"/>
              </w:rPr>
              <w:lastRenderedPageBreak/>
              <w:t xml:space="preserve">II.   </w:t>
            </w:r>
          </w:p>
        </w:tc>
        <w:tc>
          <w:tcPr>
            <w:tcW w:w="5813" w:type="dxa"/>
          </w:tcPr>
          <w:p w14:paraId="7EB3C8FF" w14:textId="77777777" w:rsidR="00D3344B" w:rsidRDefault="00143C25">
            <w:pPr>
              <w:pStyle w:val="Sinespaciado"/>
              <w:widowControl w:val="0"/>
              <w:jc w:val="both"/>
              <w:rPr>
                <w:rFonts w:ascii="Arial" w:hAnsi="Arial" w:cs="Arial"/>
              </w:rPr>
            </w:pPr>
            <w:r>
              <w:rPr>
                <w:rFonts w:ascii="Arial" w:hAnsi="Arial" w:cs="Arial"/>
                <w:i/>
                <w:sz w:val="16"/>
              </w:rPr>
              <w:t>N. DE E. EN RELACIÓN CON LA ENTRADA EN VIGOR DE LA PRESENTE FRACCIÓN, VÉASE TRANSITORIO ÚNICO DEL DECRETO QUE MODIFICA EL CÓDIGO.</w:t>
            </w:r>
          </w:p>
          <w:p w14:paraId="5232D09A" w14:textId="77777777" w:rsidR="00D3344B" w:rsidRDefault="00143C25">
            <w:pPr>
              <w:pStyle w:val="Sinespaciado"/>
              <w:widowControl w:val="0"/>
              <w:jc w:val="both"/>
              <w:rPr>
                <w:rFonts w:ascii="Arial" w:hAnsi="Arial" w:cs="Arial"/>
              </w:rPr>
            </w:pPr>
            <w:r>
              <w:rPr>
                <w:rFonts w:ascii="Arial" w:hAnsi="Arial" w:cs="Arial"/>
              </w:rPr>
              <w:t xml:space="preserve"> </w:t>
            </w:r>
            <w:r>
              <w:rPr>
                <w:rFonts w:ascii="Arial" w:hAnsi="Arial" w:cs="Arial"/>
                <w:i/>
                <w:sz w:val="16"/>
                <w:szCs w:val="16"/>
              </w:rPr>
              <w:t>(DEROGADA, P.O. 7 DE DICIEMBRE DE 2009)</w:t>
            </w:r>
          </w:p>
        </w:tc>
        <w:tc>
          <w:tcPr>
            <w:tcW w:w="2410" w:type="dxa"/>
          </w:tcPr>
          <w:p w14:paraId="0279886E" w14:textId="77777777" w:rsidR="00D3344B" w:rsidRDefault="00D3344B">
            <w:pPr>
              <w:pStyle w:val="Sinespaciado"/>
              <w:widowControl w:val="0"/>
              <w:rPr>
                <w:rFonts w:ascii="Arial" w:hAnsi="Arial" w:cs="Arial"/>
              </w:rPr>
            </w:pPr>
          </w:p>
        </w:tc>
      </w:tr>
      <w:tr w:rsidR="00D3344B" w14:paraId="65937352" w14:textId="77777777">
        <w:trPr>
          <w:trHeight w:val="1001"/>
        </w:trPr>
        <w:tc>
          <w:tcPr>
            <w:tcW w:w="566" w:type="dxa"/>
          </w:tcPr>
          <w:p w14:paraId="6A1B712A" w14:textId="77777777" w:rsidR="00D3344B" w:rsidRDefault="00143C25">
            <w:pPr>
              <w:pStyle w:val="Sinespaciado"/>
              <w:widowControl w:val="0"/>
              <w:jc w:val="both"/>
              <w:rPr>
                <w:rFonts w:ascii="Arial" w:hAnsi="Arial" w:cs="Arial"/>
                <w:i/>
                <w:sz w:val="16"/>
              </w:rPr>
            </w:pPr>
            <w:r>
              <w:rPr>
                <w:rFonts w:ascii="Arial" w:hAnsi="Arial" w:cs="Arial"/>
              </w:rPr>
              <w:t xml:space="preserve">III.   </w:t>
            </w:r>
          </w:p>
        </w:tc>
        <w:tc>
          <w:tcPr>
            <w:tcW w:w="5813" w:type="dxa"/>
          </w:tcPr>
          <w:p w14:paraId="39D14C50" w14:textId="77777777" w:rsidR="00D3344B" w:rsidRDefault="00143C25">
            <w:pPr>
              <w:pStyle w:val="Sinespaciado"/>
              <w:widowControl w:val="0"/>
              <w:jc w:val="both"/>
              <w:rPr>
                <w:rFonts w:ascii="Arial" w:hAnsi="Arial" w:cs="Arial"/>
              </w:rPr>
            </w:pPr>
            <w:r>
              <w:rPr>
                <w:rFonts w:ascii="Arial" w:hAnsi="Arial" w:cs="Arial"/>
                <w:i/>
                <w:sz w:val="16"/>
              </w:rPr>
              <w:t>N. DE E. EN RELACIÓN CON LA ENTRADA EN VIGOR DE LA PRESENTE FRACCIÓN, VÉASE TRANSITORIO ÚNICO DEL DECRETO QUE MODIFICA EL CÓDIGO.</w:t>
            </w:r>
          </w:p>
          <w:p w14:paraId="2D69717B" w14:textId="77777777" w:rsidR="00D3344B" w:rsidRDefault="00143C25">
            <w:pPr>
              <w:pStyle w:val="Sinespaciado"/>
              <w:widowControl w:val="0"/>
              <w:jc w:val="both"/>
              <w:rPr>
                <w:rFonts w:ascii="Arial" w:hAnsi="Arial" w:cs="Arial"/>
              </w:rPr>
            </w:pPr>
            <w:r>
              <w:rPr>
                <w:rFonts w:ascii="Arial" w:hAnsi="Arial" w:cs="Arial"/>
                <w:i/>
                <w:sz w:val="16"/>
                <w:szCs w:val="16"/>
              </w:rPr>
              <w:t>(DEROGADA, P.O. 7 DE DICIEMBRE DE 2009)</w:t>
            </w:r>
          </w:p>
        </w:tc>
        <w:tc>
          <w:tcPr>
            <w:tcW w:w="2410" w:type="dxa"/>
          </w:tcPr>
          <w:p w14:paraId="41333C0C" w14:textId="77777777" w:rsidR="00D3344B" w:rsidRDefault="00D3344B">
            <w:pPr>
              <w:pStyle w:val="Sinespaciado"/>
              <w:widowControl w:val="0"/>
              <w:rPr>
                <w:rFonts w:ascii="Arial" w:hAnsi="Arial" w:cs="Arial"/>
              </w:rPr>
            </w:pPr>
          </w:p>
        </w:tc>
      </w:tr>
      <w:tr w:rsidR="00D3344B" w14:paraId="6BF3ADDE" w14:textId="77777777">
        <w:trPr>
          <w:trHeight w:val="1257"/>
        </w:trPr>
        <w:tc>
          <w:tcPr>
            <w:tcW w:w="566" w:type="dxa"/>
          </w:tcPr>
          <w:p w14:paraId="64BBFE42" w14:textId="77777777" w:rsidR="00D3344B" w:rsidRDefault="00143C25">
            <w:pPr>
              <w:pStyle w:val="Sinespaciado"/>
              <w:widowControl w:val="0"/>
              <w:ind w:left="351" w:hanging="351"/>
              <w:jc w:val="both"/>
              <w:rPr>
                <w:rFonts w:ascii="Arial" w:hAnsi="Arial" w:cs="Arial"/>
              </w:rPr>
            </w:pPr>
            <w:r>
              <w:rPr>
                <w:rFonts w:ascii="Arial" w:hAnsi="Arial" w:cs="Arial"/>
              </w:rPr>
              <w:t>IV.</w:t>
            </w:r>
          </w:p>
        </w:tc>
        <w:tc>
          <w:tcPr>
            <w:tcW w:w="5813" w:type="dxa"/>
          </w:tcPr>
          <w:p w14:paraId="1B161248" w14:textId="77777777" w:rsidR="00D3344B" w:rsidRDefault="00143C25">
            <w:pPr>
              <w:pStyle w:val="Sinespaciado"/>
              <w:widowControl w:val="0"/>
              <w:jc w:val="both"/>
              <w:rPr>
                <w:rFonts w:ascii="Arial" w:hAnsi="Arial" w:cs="Arial"/>
              </w:rPr>
            </w:pPr>
            <w:proofErr w:type="spellStart"/>
            <w:r>
              <w:rPr>
                <w:rFonts w:ascii="Arial" w:hAnsi="Arial" w:cs="Arial"/>
              </w:rPr>
              <w:t>Servicios</w:t>
            </w:r>
            <w:proofErr w:type="spellEnd"/>
            <w:r>
              <w:rPr>
                <w:rFonts w:ascii="Arial" w:hAnsi="Arial" w:cs="Arial"/>
              </w:rPr>
              <w:t xml:space="preserve"> de </w:t>
            </w:r>
            <w:proofErr w:type="spellStart"/>
            <w:r>
              <w:rPr>
                <w:rFonts w:ascii="Arial" w:hAnsi="Arial" w:cs="Arial"/>
              </w:rPr>
              <w:t>supervisión</w:t>
            </w:r>
            <w:proofErr w:type="spellEnd"/>
            <w:r>
              <w:rPr>
                <w:rFonts w:ascii="Arial" w:hAnsi="Arial" w:cs="Arial"/>
              </w:rPr>
              <w:t xml:space="preserve"> que se </w:t>
            </w:r>
            <w:proofErr w:type="spellStart"/>
            <w:r>
              <w:rPr>
                <w:rFonts w:ascii="Arial" w:hAnsi="Arial" w:cs="Arial"/>
              </w:rPr>
              <w:t>practique</w:t>
            </w:r>
            <w:proofErr w:type="spellEnd"/>
            <w:r>
              <w:rPr>
                <w:rFonts w:ascii="Arial" w:hAnsi="Arial" w:cs="Arial"/>
              </w:rPr>
              <w:t xml:space="preserve"> a los </w:t>
            </w:r>
            <w:proofErr w:type="spellStart"/>
            <w:r>
              <w:rPr>
                <w:rFonts w:ascii="Arial" w:hAnsi="Arial" w:cs="Arial"/>
              </w:rPr>
              <w:t>trabajos</w:t>
            </w:r>
            <w:proofErr w:type="spellEnd"/>
            <w:r>
              <w:rPr>
                <w:rFonts w:ascii="Arial" w:hAnsi="Arial" w:cs="Arial"/>
              </w:rPr>
              <w:t xml:space="preserve"> que </w:t>
            </w:r>
            <w:proofErr w:type="spellStart"/>
            <w:r>
              <w:rPr>
                <w:rFonts w:ascii="Arial" w:hAnsi="Arial" w:cs="Arial"/>
              </w:rPr>
              <w:t>ejecuten</w:t>
            </w:r>
            <w:proofErr w:type="spellEnd"/>
            <w:r>
              <w:rPr>
                <w:rFonts w:ascii="Arial" w:hAnsi="Arial" w:cs="Arial"/>
              </w:rPr>
              <w:t xml:space="preserve"> los </w:t>
            </w:r>
            <w:proofErr w:type="spellStart"/>
            <w:r>
              <w:rPr>
                <w:rFonts w:ascii="Arial" w:hAnsi="Arial" w:cs="Arial"/>
              </w:rPr>
              <w:t>contratistas</w:t>
            </w:r>
            <w:proofErr w:type="spellEnd"/>
            <w:r>
              <w:rPr>
                <w:rFonts w:ascii="Arial" w:hAnsi="Arial" w:cs="Arial"/>
              </w:rPr>
              <w:t xml:space="preserve"> con </w:t>
            </w:r>
            <w:proofErr w:type="spellStart"/>
            <w:r>
              <w:rPr>
                <w:rFonts w:ascii="Arial" w:hAnsi="Arial" w:cs="Arial"/>
              </w:rPr>
              <w:t>quienes</w:t>
            </w:r>
            <w:proofErr w:type="spellEnd"/>
            <w:r>
              <w:rPr>
                <w:rFonts w:ascii="Arial" w:hAnsi="Arial" w:cs="Arial"/>
              </w:rPr>
              <w:t xml:space="preserve"> se </w:t>
            </w:r>
            <w:proofErr w:type="spellStart"/>
            <w:r>
              <w:rPr>
                <w:rFonts w:ascii="Arial" w:hAnsi="Arial" w:cs="Arial"/>
              </w:rPr>
              <w:t>celebren</w:t>
            </w:r>
            <w:proofErr w:type="spellEnd"/>
            <w:r>
              <w:rPr>
                <w:rFonts w:ascii="Arial" w:hAnsi="Arial" w:cs="Arial"/>
              </w:rPr>
              <w:t xml:space="preserve"> </w:t>
            </w:r>
            <w:proofErr w:type="spellStart"/>
            <w:r>
              <w:rPr>
                <w:rFonts w:ascii="Arial" w:hAnsi="Arial" w:cs="Arial"/>
              </w:rPr>
              <w:t>contratos</w:t>
            </w:r>
            <w:proofErr w:type="spellEnd"/>
            <w:r>
              <w:rPr>
                <w:rFonts w:ascii="Arial" w:hAnsi="Arial" w:cs="Arial"/>
              </w:rPr>
              <w:t xml:space="preserve"> de </w:t>
            </w:r>
            <w:proofErr w:type="spellStart"/>
            <w:r>
              <w:rPr>
                <w:rFonts w:ascii="Arial" w:hAnsi="Arial" w:cs="Arial"/>
              </w:rPr>
              <w:t>obras</w:t>
            </w:r>
            <w:proofErr w:type="spellEnd"/>
            <w:r>
              <w:rPr>
                <w:rFonts w:ascii="Arial" w:hAnsi="Arial" w:cs="Arial"/>
              </w:rPr>
              <w:t xml:space="preserve"> </w:t>
            </w:r>
            <w:proofErr w:type="spellStart"/>
            <w:r>
              <w:rPr>
                <w:rFonts w:ascii="Arial" w:hAnsi="Arial" w:cs="Arial"/>
              </w:rPr>
              <w:t>públicas</w:t>
            </w:r>
            <w:proofErr w:type="spellEnd"/>
            <w:r>
              <w:rPr>
                <w:rFonts w:ascii="Arial" w:hAnsi="Arial" w:cs="Arial"/>
              </w:rPr>
              <w:t xml:space="preserve"> </w:t>
            </w:r>
            <w:proofErr w:type="spellStart"/>
            <w:r>
              <w:rPr>
                <w:rFonts w:ascii="Arial" w:hAnsi="Arial" w:cs="Arial"/>
              </w:rPr>
              <w:t>o</w:t>
            </w:r>
            <w:proofErr w:type="spellEnd"/>
            <w:r>
              <w:rPr>
                <w:rFonts w:ascii="Arial" w:hAnsi="Arial" w:cs="Arial"/>
              </w:rPr>
              <w:t xml:space="preserve"> la </w:t>
            </w:r>
            <w:proofErr w:type="spellStart"/>
            <w:r>
              <w:rPr>
                <w:rFonts w:ascii="Arial" w:hAnsi="Arial" w:cs="Arial"/>
              </w:rPr>
              <w:t>prestación</w:t>
            </w:r>
            <w:proofErr w:type="spellEnd"/>
            <w:r>
              <w:rPr>
                <w:rFonts w:ascii="Arial" w:hAnsi="Arial" w:cs="Arial"/>
              </w:rPr>
              <w:t xml:space="preserve"> de </w:t>
            </w:r>
            <w:proofErr w:type="spellStart"/>
            <w:r>
              <w:rPr>
                <w:rFonts w:ascii="Arial" w:hAnsi="Arial" w:cs="Arial"/>
              </w:rPr>
              <w:t>servicios</w:t>
            </w:r>
            <w:proofErr w:type="spellEnd"/>
            <w:r>
              <w:rPr>
                <w:rFonts w:ascii="Arial" w:hAnsi="Arial" w:cs="Arial"/>
              </w:rPr>
              <w:t xml:space="preserve"> </w:t>
            </w:r>
            <w:proofErr w:type="spellStart"/>
            <w:r>
              <w:rPr>
                <w:rFonts w:ascii="Arial" w:hAnsi="Arial" w:cs="Arial"/>
              </w:rPr>
              <w:t>relacionados</w:t>
            </w:r>
            <w:proofErr w:type="spellEnd"/>
            <w:r>
              <w:rPr>
                <w:rFonts w:ascii="Arial" w:hAnsi="Arial" w:cs="Arial"/>
              </w:rPr>
              <w:t xml:space="preserve"> con las </w:t>
            </w:r>
            <w:proofErr w:type="spellStart"/>
            <w:r>
              <w:rPr>
                <w:rFonts w:ascii="Arial" w:hAnsi="Arial" w:cs="Arial"/>
              </w:rPr>
              <w:t>mismas</w:t>
            </w:r>
            <w:proofErr w:type="spellEnd"/>
            <w:r>
              <w:rPr>
                <w:rFonts w:ascii="Arial" w:hAnsi="Arial" w:cs="Arial"/>
              </w:rPr>
              <w:t>.</w:t>
            </w:r>
          </w:p>
        </w:tc>
        <w:tc>
          <w:tcPr>
            <w:tcW w:w="2410" w:type="dxa"/>
          </w:tcPr>
          <w:p w14:paraId="38C801A3" w14:textId="77777777" w:rsidR="00D3344B" w:rsidRDefault="00143C25">
            <w:pPr>
              <w:pStyle w:val="Sinespaciado"/>
              <w:widowControl w:val="0"/>
              <w:jc w:val="both"/>
              <w:rPr>
                <w:rFonts w:ascii="Arial" w:hAnsi="Arial" w:cs="Arial"/>
              </w:rPr>
            </w:pPr>
            <w:r>
              <w:rPr>
                <w:rFonts w:ascii="Arial" w:hAnsi="Arial" w:cs="Arial"/>
              </w:rPr>
              <w:t xml:space="preserve">Cinco al </w:t>
            </w:r>
            <w:proofErr w:type="spellStart"/>
            <w:r>
              <w:rPr>
                <w:rFonts w:ascii="Arial" w:hAnsi="Arial" w:cs="Arial"/>
              </w:rPr>
              <w:t>millar</w:t>
            </w:r>
            <w:proofErr w:type="spellEnd"/>
            <w:r>
              <w:rPr>
                <w:rFonts w:ascii="Arial" w:hAnsi="Arial" w:cs="Arial"/>
              </w:rPr>
              <w:t xml:space="preserve"> del </w:t>
            </w:r>
            <w:proofErr w:type="spellStart"/>
            <w:r>
              <w:rPr>
                <w:rFonts w:ascii="Arial" w:hAnsi="Arial" w:cs="Arial"/>
              </w:rPr>
              <w:t>importe</w:t>
            </w:r>
            <w:proofErr w:type="spellEnd"/>
            <w:r>
              <w:rPr>
                <w:rFonts w:ascii="Arial" w:hAnsi="Arial" w:cs="Arial"/>
              </w:rPr>
              <w:t xml:space="preserve"> de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estimación</w:t>
            </w:r>
            <w:proofErr w:type="spellEnd"/>
            <w:r>
              <w:rPr>
                <w:rFonts w:ascii="Arial" w:hAnsi="Arial" w:cs="Arial"/>
              </w:rPr>
              <w:t xml:space="preserve"> o </w:t>
            </w:r>
            <w:proofErr w:type="spellStart"/>
            <w:r>
              <w:rPr>
                <w:rFonts w:ascii="Arial" w:hAnsi="Arial" w:cs="Arial"/>
              </w:rPr>
              <w:t>documento</w:t>
            </w:r>
            <w:proofErr w:type="spellEnd"/>
            <w:r>
              <w:rPr>
                <w:rFonts w:ascii="Arial" w:hAnsi="Arial" w:cs="Arial"/>
              </w:rPr>
              <w:t xml:space="preserve"> de </w:t>
            </w:r>
            <w:proofErr w:type="spellStart"/>
            <w:r>
              <w:rPr>
                <w:rFonts w:ascii="Arial" w:hAnsi="Arial" w:cs="Arial"/>
              </w:rPr>
              <w:t>pago</w:t>
            </w:r>
            <w:proofErr w:type="spellEnd"/>
            <w:r>
              <w:rPr>
                <w:rFonts w:ascii="Arial" w:hAnsi="Arial" w:cs="Arial"/>
              </w:rPr>
              <w:t>.</w:t>
            </w:r>
          </w:p>
        </w:tc>
      </w:tr>
      <w:tr w:rsidR="00D3344B" w14:paraId="74965F39" w14:textId="77777777">
        <w:trPr>
          <w:trHeight w:val="268"/>
        </w:trPr>
        <w:tc>
          <w:tcPr>
            <w:tcW w:w="566" w:type="dxa"/>
          </w:tcPr>
          <w:p w14:paraId="7E620DD0" w14:textId="77777777" w:rsidR="00D3344B" w:rsidRDefault="00D3344B">
            <w:pPr>
              <w:pStyle w:val="Sinespaciado"/>
              <w:widowControl w:val="0"/>
              <w:rPr>
                <w:rFonts w:ascii="Arial" w:hAnsi="Arial" w:cs="Arial"/>
                <w:i/>
                <w:sz w:val="16"/>
                <w:szCs w:val="16"/>
              </w:rPr>
            </w:pPr>
          </w:p>
        </w:tc>
        <w:tc>
          <w:tcPr>
            <w:tcW w:w="5813" w:type="dxa"/>
            <w:vAlign w:val="bottom"/>
          </w:tcPr>
          <w:p w14:paraId="12B8E19F" w14:textId="77777777" w:rsidR="00D3344B" w:rsidRDefault="00143C25">
            <w:pPr>
              <w:pStyle w:val="Sinespaciado"/>
              <w:widowControl w:val="0"/>
              <w:rPr>
                <w:rFonts w:ascii="Arial" w:hAnsi="Arial" w:cs="Arial"/>
              </w:rPr>
            </w:pPr>
            <w:r>
              <w:rPr>
                <w:rFonts w:ascii="Arial" w:hAnsi="Arial" w:cs="Arial"/>
                <w:i/>
                <w:sz w:val="16"/>
                <w:szCs w:val="16"/>
              </w:rPr>
              <w:t>(REFORMADA, P.O. 22 DE DICIEMBRE DE 2021)</w:t>
            </w:r>
          </w:p>
        </w:tc>
        <w:tc>
          <w:tcPr>
            <w:tcW w:w="2410" w:type="dxa"/>
          </w:tcPr>
          <w:p w14:paraId="59B44A61" w14:textId="77777777" w:rsidR="00D3344B" w:rsidRDefault="00D3344B">
            <w:pPr>
              <w:pStyle w:val="Sinespaciado"/>
              <w:widowControl w:val="0"/>
              <w:rPr>
                <w:rFonts w:ascii="Arial" w:hAnsi="Arial" w:cs="Arial"/>
              </w:rPr>
            </w:pPr>
          </w:p>
        </w:tc>
      </w:tr>
      <w:tr w:rsidR="00D3344B" w14:paraId="4BEED479" w14:textId="77777777">
        <w:tc>
          <w:tcPr>
            <w:tcW w:w="566" w:type="dxa"/>
          </w:tcPr>
          <w:p w14:paraId="47D014CD" w14:textId="77777777" w:rsidR="00D3344B" w:rsidRDefault="00143C25">
            <w:pPr>
              <w:pStyle w:val="Sinespaciado"/>
              <w:widowControl w:val="0"/>
              <w:ind w:left="351" w:hanging="351"/>
              <w:jc w:val="both"/>
              <w:rPr>
                <w:rFonts w:ascii="Arial" w:hAnsi="Arial" w:cs="Arial"/>
              </w:rPr>
            </w:pPr>
            <w:r>
              <w:rPr>
                <w:rFonts w:ascii="Arial" w:hAnsi="Arial" w:cs="Arial"/>
              </w:rPr>
              <w:t>V.</w:t>
            </w:r>
          </w:p>
        </w:tc>
        <w:tc>
          <w:tcPr>
            <w:tcW w:w="5813" w:type="dxa"/>
          </w:tcPr>
          <w:p w14:paraId="14BAE97F" w14:textId="77777777" w:rsidR="00D3344B" w:rsidRDefault="00143C25">
            <w:pPr>
              <w:pStyle w:val="Sinespaciado"/>
              <w:widowControl w:val="0"/>
              <w:jc w:val="both"/>
              <w:rPr>
                <w:rFonts w:ascii="Arial" w:hAnsi="Arial" w:cs="Arial"/>
              </w:rPr>
            </w:pPr>
            <w:r>
              <w:rPr>
                <w:rFonts w:ascii="Arial" w:hAnsi="Arial" w:cs="Arial"/>
              </w:rPr>
              <w:t xml:space="preserve">Por la </w:t>
            </w:r>
            <w:proofErr w:type="spellStart"/>
            <w:r>
              <w:rPr>
                <w:rFonts w:ascii="Arial" w:hAnsi="Arial" w:cs="Arial"/>
              </w:rPr>
              <w:t>expedición</w:t>
            </w:r>
            <w:proofErr w:type="spellEnd"/>
            <w:r>
              <w:rPr>
                <w:rFonts w:ascii="Arial" w:hAnsi="Arial" w:cs="Arial"/>
              </w:rPr>
              <w:t xml:space="preserve"> de </w:t>
            </w:r>
            <w:proofErr w:type="spellStart"/>
            <w:r>
              <w:rPr>
                <w:rFonts w:ascii="Arial" w:hAnsi="Arial" w:cs="Arial"/>
              </w:rPr>
              <w:t>copias</w:t>
            </w:r>
            <w:proofErr w:type="spellEnd"/>
            <w:r>
              <w:rPr>
                <w:rFonts w:ascii="Arial" w:hAnsi="Arial" w:cs="Arial"/>
              </w:rPr>
              <w:t xml:space="preserve"> de los </w:t>
            </w:r>
            <w:proofErr w:type="spellStart"/>
            <w:r>
              <w:rPr>
                <w:rFonts w:ascii="Arial" w:hAnsi="Arial" w:cs="Arial"/>
              </w:rPr>
              <w:t>expedientes</w:t>
            </w:r>
            <w:proofErr w:type="spellEnd"/>
            <w:r>
              <w:rPr>
                <w:rFonts w:ascii="Arial" w:hAnsi="Arial" w:cs="Arial"/>
              </w:rPr>
              <w:t xml:space="preserve"> de </w:t>
            </w:r>
            <w:proofErr w:type="spellStart"/>
            <w:r>
              <w:rPr>
                <w:rFonts w:ascii="Arial" w:hAnsi="Arial" w:cs="Arial"/>
              </w:rPr>
              <w:t>procedimientos</w:t>
            </w:r>
            <w:proofErr w:type="spellEnd"/>
            <w:r>
              <w:rPr>
                <w:rFonts w:ascii="Arial" w:hAnsi="Arial" w:cs="Arial"/>
              </w:rPr>
              <w:t xml:space="preserve"> </w:t>
            </w:r>
            <w:proofErr w:type="spellStart"/>
            <w:r>
              <w:rPr>
                <w:rFonts w:ascii="Arial" w:hAnsi="Arial" w:cs="Arial"/>
              </w:rPr>
              <w:t>administrativos</w:t>
            </w:r>
            <w:proofErr w:type="spellEnd"/>
            <w:r>
              <w:rPr>
                <w:rFonts w:ascii="Arial" w:hAnsi="Arial" w:cs="Arial"/>
              </w:rPr>
              <w:t xml:space="preserve"> </w:t>
            </w:r>
            <w:proofErr w:type="spellStart"/>
            <w:r>
              <w:rPr>
                <w:rFonts w:ascii="Arial" w:hAnsi="Arial" w:cs="Arial"/>
              </w:rPr>
              <w:t>disciplinarios</w:t>
            </w:r>
            <w:proofErr w:type="spellEnd"/>
            <w:r>
              <w:rPr>
                <w:rFonts w:ascii="Arial" w:hAnsi="Arial" w:cs="Arial"/>
              </w:rPr>
              <w:t xml:space="preserve"> </w:t>
            </w:r>
            <w:proofErr w:type="spellStart"/>
            <w:r>
              <w:rPr>
                <w:rFonts w:ascii="Arial" w:hAnsi="Arial" w:cs="Arial"/>
              </w:rPr>
              <w:t>instaurados</w:t>
            </w:r>
            <w:proofErr w:type="spellEnd"/>
          </w:p>
          <w:p w14:paraId="619C6BA0" w14:textId="77777777" w:rsidR="00D3344B" w:rsidRDefault="00143C25">
            <w:pPr>
              <w:pStyle w:val="Sinespaciado"/>
              <w:widowControl w:val="0"/>
              <w:jc w:val="both"/>
              <w:rPr>
                <w:rFonts w:ascii="Arial" w:hAnsi="Arial" w:cs="Arial"/>
              </w:rPr>
            </w:pP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Secretaría</w:t>
            </w:r>
            <w:proofErr w:type="spellEnd"/>
            <w:r>
              <w:rPr>
                <w:rFonts w:ascii="Arial" w:hAnsi="Arial" w:cs="Arial"/>
              </w:rPr>
              <w:t xml:space="preserve"> de la </w:t>
            </w:r>
            <w:proofErr w:type="spellStart"/>
            <w:r>
              <w:rPr>
                <w:rFonts w:ascii="Arial" w:hAnsi="Arial" w:cs="Arial"/>
              </w:rPr>
              <w:t>Función</w:t>
            </w:r>
            <w:proofErr w:type="spellEnd"/>
            <w:r>
              <w:rPr>
                <w:rFonts w:ascii="Arial" w:hAnsi="Arial" w:cs="Arial"/>
              </w:rPr>
              <w:t xml:space="preserve"> </w:t>
            </w:r>
            <w:proofErr w:type="spellStart"/>
            <w:r>
              <w:rPr>
                <w:rFonts w:ascii="Arial" w:hAnsi="Arial" w:cs="Arial"/>
              </w:rPr>
              <w:t>Pública</w:t>
            </w:r>
            <w:proofErr w:type="spellEnd"/>
            <w:r>
              <w:rPr>
                <w:rFonts w:ascii="Arial" w:hAnsi="Arial" w:cs="Arial"/>
              </w:rPr>
              <w:t>,</w:t>
            </w:r>
          </w:p>
        </w:tc>
        <w:tc>
          <w:tcPr>
            <w:tcW w:w="2410" w:type="dxa"/>
          </w:tcPr>
          <w:p w14:paraId="48D9C5B2" w14:textId="77777777" w:rsidR="00D3344B" w:rsidRDefault="00143C25">
            <w:pPr>
              <w:pStyle w:val="Sinespaciado"/>
              <w:widowControl w:val="0"/>
              <w:jc w:val="both"/>
              <w:rPr>
                <w:rFonts w:ascii="Arial" w:hAnsi="Arial" w:cs="Arial"/>
              </w:rPr>
            </w:pPr>
            <w:r>
              <w:rPr>
                <w:rFonts w:ascii="Arial" w:hAnsi="Arial" w:cs="Arial"/>
              </w:rPr>
              <w:t xml:space="preserve">2 UMA por las </w:t>
            </w:r>
            <w:proofErr w:type="spellStart"/>
            <w:r>
              <w:rPr>
                <w:rFonts w:ascii="Arial" w:hAnsi="Arial" w:cs="Arial"/>
              </w:rPr>
              <w:t>primeras</w:t>
            </w:r>
            <w:proofErr w:type="spellEnd"/>
            <w:r>
              <w:rPr>
                <w:rFonts w:ascii="Arial" w:hAnsi="Arial" w:cs="Arial"/>
              </w:rPr>
              <w:t xml:space="preserve"> </w:t>
            </w:r>
            <w:proofErr w:type="spellStart"/>
            <w:r>
              <w:rPr>
                <w:rFonts w:ascii="Arial" w:hAnsi="Arial" w:cs="Arial"/>
              </w:rPr>
              <w:t>veinte</w:t>
            </w:r>
            <w:proofErr w:type="spellEnd"/>
            <w:r>
              <w:rPr>
                <w:rFonts w:ascii="Arial" w:hAnsi="Arial" w:cs="Arial"/>
              </w:rPr>
              <w:t xml:space="preserve"> </w:t>
            </w:r>
            <w:proofErr w:type="spellStart"/>
            <w:r>
              <w:rPr>
                <w:rFonts w:ascii="Arial" w:hAnsi="Arial" w:cs="Arial"/>
              </w:rPr>
              <w:t>fojas</w:t>
            </w:r>
            <w:proofErr w:type="spellEnd"/>
            <w:r>
              <w:rPr>
                <w:rFonts w:ascii="Arial" w:hAnsi="Arial" w:cs="Arial"/>
              </w:rPr>
              <w:t xml:space="preserve"> </w:t>
            </w:r>
            <w:proofErr w:type="spellStart"/>
            <w:r>
              <w:rPr>
                <w:rFonts w:ascii="Arial" w:hAnsi="Arial" w:cs="Arial"/>
              </w:rPr>
              <w:t>utilizadas</w:t>
            </w:r>
            <w:proofErr w:type="spellEnd"/>
            <w:r>
              <w:rPr>
                <w:rFonts w:ascii="Arial" w:hAnsi="Arial" w:cs="Arial"/>
              </w:rPr>
              <w:t xml:space="preserve"> o </w:t>
            </w:r>
            <w:proofErr w:type="spellStart"/>
            <w:r>
              <w:rPr>
                <w:rFonts w:ascii="Arial" w:hAnsi="Arial" w:cs="Arial"/>
              </w:rPr>
              <w:t>fracción</w:t>
            </w:r>
            <w:proofErr w:type="spellEnd"/>
            <w:r>
              <w:rPr>
                <w:rFonts w:ascii="Arial" w:hAnsi="Arial" w:cs="Arial"/>
              </w:rPr>
              <w:t xml:space="preserve"> de las </w:t>
            </w:r>
            <w:proofErr w:type="spellStart"/>
            <w:r>
              <w:rPr>
                <w:rFonts w:ascii="Arial" w:hAnsi="Arial" w:cs="Arial"/>
              </w:rPr>
              <w:t>mismas</w:t>
            </w:r>
            <w:proofErr w:type="spellEnd"/>
          </w:p>
          <w:p w14:paraId="65821F12" w14:textId="77777777" w:rsidR="00D3344B" w:rsidRDefault="00143C25">
            <w:pPr>
              <w:pStyle w:val="Sinespaciado"/>
              <w:widowControl w:val="0"/>
              <w:jc w:val="both"/>
              <w:rPr>
                <w:rFonts w:ascii="Arial" w:hAnsi="Arial" w:cs="Arial"/>
              </w:rPr>
            </w:pPr>
            <w:r>
              <w:rPr>
                <w:rFonts w:ascii="Arial" w:hAnsi="Arial" w:cs="Arial"/>
              </w:rPr>
              <w:t xml:space="preserve">y un octavo UMA por </w:t>
            </w:r>
            <w:proofErr w:type="spellStart"/>
            <w:r>
              <w:rPr>
                <w:rFonts w:ascii="Arial" w:hAnsi="Arial" w:cs="Arial"/>
              </w:rPr>
              <w:t>cada</w:t>
            </w:r>
            <w:proofErr w:type="spellEnd"/>
            <w:r>
              <w:rPr>
                <w:rFonts w:ascii="Arial" w:hAnsi="Arial" w:cs="Arial"/>
              </w:rPr>
              <w:t xml:space="preserve"> </w:t>
            </w:r>
            <w:proofErr w:type="spellStart"/>
            <w:r>
              <w:rPr>
                <w:rFonts w:ascii="Arial" w:hAnsi="Arial" w:cs="Arial"/>
              </w:rPr>
              <w:t>foja</w:t>
            </w:r>
            <w:proofErr w:type="spellEnd"/>
            <w:r>
              <w:rPr>
                <w:rFonts w:ascii="Arial" w:hAnsi="Arial" w:cs="Arial"/>
              </w:rPr>
              <w:t xml:space="preserve"> </w:t>
            </w:r>
            <w:proofErr w:type="spellStart"/>
            <w:r>
              <w:rPr>
                <w:rFonts w:ascii="Arial" w:hAnsi="Arial" w:cs="Arial"/>
              </w:rPr>
              <w:t>adicional</w:t>
            </w:r>
            <w:proofErr w:type="spellEnd"/>
            <w:r>
              <w:rPr>
                <w:rFonts w:ascii="Arial" w:hAnsi="Arial" w:cs="Arial"/>
              </w:rPr>
              <w:t>.</w:t>
            </w:r>
          </w:p>
        </w:tc>
      </w:tr>
    </w:tbl>
    <w:p w14:paraId="245A051E" w14:textId="77777777" w:rsidR="00D3344B" w:rsidRDefault="00D3344B">
      <w:pPr>
        <w:pStyle w:val="Sinespaciado"/>
        <w:jc w:val="both"/>
        <w:rPr>
          <w:rFonts w:ascii="Arial" w:hAnsi="Arial" w:cs="Arial"/>
        </w:rPr>
      </w:pPr>
    </w:p>
    <w:p w14:paraId="2C831D9A" w14:textId="77777777" w:rsidR="00D3344B" w:rsidRDefault="00D3344B">
      <w:pPr>
        <w:pStyle w:val="Sinespaciado"/>
        <w:jc w:val="both"/>
        <w:rPr>
          <w:rFonts w:ascii="Arial" w:hAnsi="Arial" w:cs="Arial"/>
        </w:rPr>
      </w:pPr>
    </w:p>
    <w:p w14:paraId="3D135E49" w14:textId="77777777" w:rsidR="00D3344B" w:rsidRDefault="00143C25">
      <w:pPr>
        <w:pStyle w:val="Estilo"/>
        <w:rPr>
          <w:rFonts w:cs="Arial"/>
        </w:rPr>
      </w:pPr>
      <w:r>
        <w:rPr>
          <w:rFonts w:cs="Arial"/>
          <w:i/>
          <w:sz w:val="16"/>
        </w:rPr>
        <w:t>(ADICIONADO, P.O. 30 DE DICIEMBRE DE 2005)</w:t>
      </w:r>
    </w:p>
    <w:p w14:paraId="2B14D8FC" w14:textId="77777777" w:rsidR="00D3344B" w:rsidRDefault="00143C25">
      <w:pPr>
        <w:pStyle w:val="Estilo"/>
        <w:rPr>
          <w:rFonts w:cs="Arial"/>
        </w:rPr>
      </w:pPr>
      <w:r>
        <w:rPr>
          <w:rFonts w:cs="Arial"/>
          <w:b/>
        </w:rPr>
        <w:t>Artículo 162 A.</w:t>
      </w:r>
      <w:r>
        <w:rPr>
          <w:rFonts w:cs="Arial"/>
        </w:rPr>
        <w:t xml:space="preserve"> Los derechos por los servicios que preste la Secretaría de Salud por sí o a través de sus Organismos Desconcentrados se recaudarán conforme a lo que señala el artículo siguiente.</w:t>
      </w:r>
    </w:p>
    <w:p w14:paraId="59D4F371" w14:textId="77777777" w:rsidR="00D3344B" w:rsidRDefault="00D3344B">
      <w:pPr>
        <w:pStyle w:val="Estilo"/>
        <w:rPr>
          <w:rFonts w:cs="Arial"/>
        </w:rPr>
      </w:pPr>
    </w:p>
    <w:p w14:paraId="598C2338" w14:textId="77777777" w:rsidR="00D3344B" w:rsidRDefault="00D3344B">
      <w:pPr>
        <w:pStyle w:val="Estilo"/>
        <w:rPr>
          <w:rFonts w:cs="Arial"/>
        </w:rPr>
      </w:pPr>
    </w:p>
    <w:p w14:paraId="70300E22" w14:textId="77777777" w:rsidR="00D3344B" w:rsidRDefault="00143C25">
      <w:pPr>
        <w:pStyle w:val="Estilo"/>
        <w:jc w:val="center"/>
        <w:rPr>
          <w:rFonts w:cs="Arial"/>
          <w:i/>
          <w:sz w:val="16"/>
          <w:szCs w:val="16"/>
        </w:rPr>
      </w:pPr>
      <w:r>
        <w:rPr>
          <w:rFonts w:cs="Arial"/>
          <w:i/>
          <w:sz w:val="16"/>
          <w:szCs w:val="16"/>
        </w:rPr>
        <w:t>N. DE E. EN RELACIÓN CON LA ENTRADA EN VIGOR DE LA PRESENTE SUBSECCIÓN, VÉASE ARTÍCULO ÚNICO TRANSITORIO DEL DECRETO QUE MODIFICA ESTE ORDENAMIENTO.</w:t>
      </w:r>
    </w:p>
    <w:p w14:paraId="7E9B12AD" w14:textId="77777777" w:rsidR="00D3344B" w:rsidRDefault="00143C25">
      <w:pPr>
        <w:pStyle w:val="Estilo"/>
        <w:jc w:val="center"/>
        <w:rPr>
          <w:rFonts w:cs="Arial"/>
          <w:i/>
          <w:sz w:val="16"/>
          <w:szCs w:val="16"/>
        </w:rPr>
      </w:pPr>
      <w:r>
        <w:rPr>
          <w:rFonts w:cs="Arial"/>
          <w:i/>
          <w:sz w:val="16"/>
          <w:szCs w:val="16"/>
        </w:rPr>
        <w:t>(ADICIONADA, P.O. 23 DE DICIEMBRE DE 2011)</w:t>
      </w:r>
    </w:p>
    <w:p w14:paraId="1E287F72" w14:textId="77777777" w:rsidR="00D3344B" w:rsidRDefault="00143C25">
      <w:pPr>
        <w:pStyle w:val="Estilo"/>
        <w:jc w:val="center"/>
        <w:rPr>
          <w:rFonts w:cs="Arial"/>
          <w:b/>
        </w:rPr>
      </w:pPr>
      <w:r>
        <w:rPr>
          <w:rFonts w:cs="Arial"/>
          <w:b/>
        </w:rPr>
        <w:t>Subsección Novena</w:t>
      </w:r>
    </w:p>
    <w:p w14:paraId="12ADF0FD" w14:textId="77777777" w:rsidR="00D3344B" w:rsidRDefault="00143C25">
      <w:pPr>
        <w:pStyle w:val="Estilo"/>
        <w:jc w:val="center"/>
        <w:rPr>
          <w:rFonts w:cs="Arial"/>
        </w:rPr>
      </w:pPr>
      <w:r>
        <w:rPr>
          <w:rFonts w:cs="Arial"/>
          <w:b/>
        </w:rPr>
        <w:t>Derechos por los Servicios Prestados por la Secretaría de Salud</w:t>
      </w:r>
    </w:p>
    <w:p w14:paraId="3602D2B5" w14:textId="77777777" w:rsidR="00D3344B" w:rsidRDefault="00D3344B">
      <w:pPr>
        <w:pStyle w:val="Estilo"/>
        <w:rPr>
          <w:rFonts w:cs="Arial"/>
        </w:rPr>
      </w:pPr>
    </w:p>
    <w:p w14:paraId="255A3775" w14:textId="77777777" w:rsidR="00D3344B" w:rsidRDefault="00143C25">
      <w:pPr>
        <w:pStyle w:val="Estilo"/>
        <w:rPr>
          <w:rFonts w:cs="Arial"/>
        </w:rPr>
      </w:pPr>
      <w:r>
        <w:rPr>
          <w:rFonts w:cs="Arial"/>
          <w:i/>
          <w:sz w:val="16"/>
        </w:rPr>
        <w:t>(REFORMADO, P.O. 24 DE DICIEMBRE DE 2014)</w:t>
      </w:r>
    </w:p>
    <w:p w14:paraId="110E44D8" w14:textId="77777777" w:rsidR="00D3344B" w:rsidRDefault="00143C25">
      <w:pPr>
        <w:pStyle w:val="Estilo"/>
        <w:rPr>
          <w:rFonts w:cs="Arial"/>
        </w:rPr>
      </w:pPr>
      <w:r>
        <w:rPr>
          <w:rFonts w:cs="Arial"/>
          <w:b/>
        </w:rPr>
        <w:t>Artículo 162-B.</w:t>
      </w:r>
      <w:r>
        <w:rPr>
          <w:rFonts w:cs="Arial"/>
        </w:rPr>
        <w:t xml:space="preserve"> Los servicios prestados por la Secretaría de Salud, a través de su Organismo Desconcentrado Instituto Tlaxcalteca de Asistencia Especializada a la Salud, que de manera específica se señalan en este artículo causarán los derechos siguientes:</w:t>
      </w:r>
    </w:p>
    <w:p w14:paraId="6B73D4EE" w14:textId="77777777" w:rsidR="00D3344B" w:rsidRDefault="00D3344B">
      <w:pPr>
        <w:pStyle w:val="Estilo"/>
        <w:rPr>
          <w:rFonts w:cs="Arial"/>
        </w:rPr>
      </w:pPr>
    </w:p>
    <w:p w14:paraId="55BC8CB8" w14:textId="77777777" w:rsidR="00D3344B" w:rsidRDefault="00143C25">
      <w:pPr>
        <w:pStyle w:val="Estilo"/>
        <w:ind w:left="567" w:hanging="567"/>
        <w:rPr>
          <w:rFonts w:cs="Arial"/>
        </w:rPr>
      </w:pPr>
      <w:r>
        <w:rPr>
          <w:rFonts w:cs="Arial"/>
        </w:rPr>
        <w:t xml:space="preserve">I. </w:t>
      </w:r>
      <w:r>
        <w:rPr>
          <w:rFonts w:cs="Arial"/>
        </w:rPr>
        <w:tab/>
        <w:t>Imagenología</w:t>
      </w:r>
    </w:p>
    <w:p w14:paraId="3D6F5C2A" w14:textId="77777777" w:rsidR="00D3344B" w:rsidRDefault="00D3344B">
      <w:pPr>
        <w:pStyle w:val="Estilo"/>
        <w:rPr>
          <w:rFonts w:cs="Arial"/>
          <w:i/>
          <w:sz w:val="16"/>
        </w:rPr>
      </w:pPr>
    </w:p>
    <w:p w14:paraId="742F919E" w14:textId="77777777" w:rsidR="00D3344B" w:rsidRDefault="00143C25">
      <w:pPr>
        <w:pStyle w:val="Estilo"/>
        <w:rPr>
          <w:rFonts w:cs="Arial"/>
        </w:rPr>
      </w:pPr>
      <w:r>
        <w:rPr>
          <w:rFonts w:cs="Arial"/>
          <w:i/>
          <w:sz w:val="16"/>
        </w:rPr>
        <w:t>(REFORMADA, P.O. 29 DE NOVIEMBRE DE 2023)</w:t>
      </w:r>
    </w:p>
    <w:p w14:paraId="5FF25CD9" w14:textId="77777777" w:rsidR="00D3344B" w:rsidRDefault="00D3344B">
      <w:pPr>
        <w:pStyle w:val="Estilo"/>
        <w:ind w:left="567" w:hanging="567"/>
        <w:rPr>
          <w:rFonts w:cs="Arial"/>
        </w:rPr>
      </w:pPr>
    </w:p>
    <w:tbl>
      <w:tblPr>
        <w:tblStyle w:val="TableNormal"/>
        <w:tblW w:w="8828" w:type="dxa"/>
        <w:tblInd w:w="132" w:type="dxa"/>
        <w:tblLayout w:type="fixed"/>
        <w:tblCellMar>
          <w:left w:w="5" w:type="dxa"/>
          <w:right w:w="5" w:type="dxa"/>
        </w:tblCellMar>
        <w:tblLook w:val="01E0" w:firstRow="1" w:lastRow="1" w:firstColumn="1" w:lastColumn="1" w:noHBand="0" w:noVBand="0"/>
      </w:tblPr>
      <w:tblGrid>
        <w:gridCol w:w="1777"/>
        <w:gridCol w:w="3038"/>
        <w:gridCol w:w="697"/>
        <w:gridCol w:w="695"/>
        <w:gridCol w:w="699"/>
        <w:gridCol w:w="699"/>
        <w:gridCol w:w="696"/>
        <w:gridCol w:w="527"/>
      </w:tblGrid>
      <w:tr w:rsidR="00D3344B" w14:paraId="1C1C6A57" w14:textId="77777777">
        <w:trPr>
          <w:trHeight w:val="506"/>
        </w:trPr>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6FE0D3CF" w14:textId="77777777" w:rsidR="00D3344B" w:rsidRDefault="00D3344B">
            <w:pPr>
              <w:pStyle w:val="TableParagraph"/>
              <w:rPr>
                <w:rFonts w:ascii="Arial" w:hAnsi="Arial" w:cs="Arial"/>
                <w:sz w:val="18"/>
                <w:szCs w:val="18"/>
              </w:rPr>
            </w:pPr>
          </w:p>
          <w:p w14:paraId="1F2AAA61" w14:textId="77777777" w:rsidR="00D3344B" w:rsidRDefault="00143C25">
            <w:pPr>
              <w:pStyle w:val="TableParagraph"/>
              <w:rPr>
                <w:rFonts w:ascii="Arial" w:hAnsi="Arial" w:cs="Arial"/>
                <w:sz w:val="18"/>
                <w:szCs w:val="18"/>
              </w:rPr>
            </w:pPr>
            <w:r>
              <w:rPr>
                <w:rFonts w:ascii="Arial" w:hAnsi="Arial" w:cs="Arial"/>
                <w:spacing w:val="-4"/>
                <w:w w:val="115"/>
                <w:sz w:val="18"/>
                <w:szCs w:val="18"/>
              </w:rPr>
              <w:t>Clave</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42D72095" w14:textId="77777777" w:rsidR="00D3344B" w:rsidRDefault="00D3344B">
            <w:pPr>
              <w:pStyle w:val="TableParagraph"/>
              <w:rPr>
                <w:rFonts w:ascii="Arial" w:hAnsi="Arial" w:cs="Arial"/>
                <w:sz w:val="18"/>
                <w:szCs w:val="18"/>
              </w:rPr>
            </w:pPr>
          </w:p>
          <w:p w14:paraId="5209C9B2" w14:textId="77777777" w:rsidR="00D3344B" w:rsidRDefault="00143C25">
            <w:pPr>
              <w:pStyle w:val="TableParagraph"/>
              <w:rPr>
                <w:rFonts w:ascii="Arial" w:hAnsi="Arial" w:cs="Arial"/>
                <w:sz w:val="18"/>
                <w:szCs w:val="18"/>
              </w:rPr>
            </w:pPr>
            <w:r>
              <w:rPr>
                <w:rFonts w:ascii="Arial" w:hAnsi="Arial" w:cs="Arial"/>
                <w:spacing w:val="-2"/>
                <w:w w:val="110"/>
                <w:sz w:val="18"/>
                <w:szCs w:val="18"/>
              </w:rPr>
              <w:t>Servicio</w:t>
            </w:r>
          </w:p>
        </w:tc>
        <w:tc>
          <w:tcPr>
            <w:tcW w:w="697" w:type="dxa"/>
            <w:tcBorders>
              <w:top w:val="single" w:sz="4" w:space="0" w:color="000000"/>
              <w:left w:val="single" w:sz="4" w:space="0" w:color="000000"/>
              <w:bottom w:val="single" w:sz="4" w:space="0" w:color="000000"/>
              <w:right w:val="single" w:sz="4" w:space="0" w:color="000000"/>
            </w:tcBorders>
            <w:shd w:val="clear" w:color="auto" w:fill="A6A6A6"/>
          </w:tcPr>
          <w:p w14:paraId="5C8B9C23" w14:textId="77777777" w:rsidR="00D3344B" w:rsidRDefault="00143C25">
            <w:pPr>
              <w:pStyle w:val="TableParagraph"/>
              <w:spacing w:line="256" w:lineRule="exact"/>
              <w:ind w:left="2" w:right="124"/>
              <w:rPr>
                <w:rFonts w:ascii="Arial" w:hAnsi="Arial" w:cs="Arial"/>
                <w:sz w:val="18"/>
                <w:szCs w:val="18"/>
              </w:rPr>
            </w:pPr>
            <w:r>
              <w:rPr>
                <w:rFonts w:ascii="Arial" w:hAnsi="Arial" w:cs="Arial"/>
                <w:spacing w:val="-4"/>
                <w:sz w:val="18"/>
                <w:szCs w:val="18"/>
              </w:rPr>
              <w:t xml:space="preserve">Nivel </w:t>
            </w:r>
            <w:r>
              <w:rPr>
                <w:rFonts w:ascii="Arial" w:hAnsi="Arial" w:cs="Arial"/>
                <w:spacing w:val="-10"/>
                <w:w w:val="110"/>
                <w:sz w:val="18"/>
                <w:szCs w:val="18"/>
              </w:rPr>
              <w:t>5</w:t>
            </w:r>
          </w:p>
        </w:tc>
        <w:tc>
          <w:tcPr>
            <w:tcW w:w="695" w:type="dxa"/>
            <w:tcBorders>
              <w:top w:val="single" w:sz="4" w:space="0" w:color="000000"/>
              <w:left w:val="single" w:sz="4" w:space="0" w:color="000000"/>
              <w:bottom w:val="single" w:sz="4" w:space="0" w:color="000000"/>
              <w:right w:val="single" w:sz="4" w:space="0" w:color="000000"/>
            </w:tcBorders>
            <w:shd w:val="clear" w:color="auto" w:fill="A6A6A6"/>
          </w:tcPr>
          <w:p w14:paraId="72F1C8D2" w14:textId="77777777" w:rsidR="00D3344B" w:rsidRDefault="00143C25">
            <w:pPr>
              <w:pStyle w:val="TableParagraph"/>
              <w:spacing w:line="256" w:lineRule="exact"/>
              <w:ind w:right="124"/>
              <w:rPr>
                <w:rFonts w:ascii="Arial" w:hAnsi="Arial" w:cs="Arial"/>
                <w:sz w:val="18"/>
                <w:szCs w:val="18"/>
              </w:rPr>
            </w:pPr>
            <w:r>
              <w:rPr>
                <w:rFonts w:ascii="Arial" w:hAnsi="Arial" w:cs="Arial"/>
                <w:spacing w:val="-4"/>
                <w:sz w:val="18"/>
                <w:szCs w:val="18"/>
              </w:rPr>
              <w:t xml:space="preserve">Nivel </w:t>
            </w:r>
            <w:r>
              <w:rPr>
                <w:rFonts w:ascii="Arial" w:hAnsi="Arial" w:cs="Arial"/>
                <w:spacing w:val="-10"/>
                <w:w w:val="110"/>
                <w:sz w:val="18"/>
                <w:szCs w:val="1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6A6A6"/>
          </w:tcPr>
          <w:p w14:paraId="40B225E3" w14:textId="77777777" w:rsidR="00D3344B" w:rsidRDefault="00143C25">
            <w:pPr>
              <w:pStyle w:val="TableParagraph"/>
              <w:spacing w:line="256" w:lineRule="exact"/>
              <w:ind w:right="124"/>
              <w:rPr>
                <w:rFonts w:ascii="Arial" w:hAnsi="Arial" w:cs="Arial"/>
                <w:sz w:val="18"/>
                <w:szCs w:val="18"/>
              </w:rPr>
            </w:pPr>
            <w:r>
              <w:rPr>
                <w:rFonts w:ascii="Arial" w:hAnsi="Arial" w:cs="Arial"/>
                <w:spacing w:val="-4"/>
                <w:sz w:val="18"/>
                <w:szCs w:val="18"/>
              </w:rPr>
              <w:t xml:space="preserve">Nivel </w:t>
            </w:r>
            <w:r>
              <w:rPr>
                <w:rFonts w:ascii="Arial" w:hAnsi="Arial" w:cs="Arial"/>
                <w:spacing w:val="-10"/>
                <w:w w:val="110"/>
                <w:sz w:val="18"/>
                <w:szCs w:val="18"/>
              </w:rPr>
              <w:t>3</w:t>
            </w:r>
          </w:p>
        </w:tc>
        <w:tc>
          <w:tcPr>
            <w:tcW w:w="699" w:type="dxa"/>
            <w:tcBorders>
              <w:top w:val="single" w:sz="4" w:space="0" w:color="000000"/>
              <w:left w:val="single" w:sz="4" w:space="0" w:color="000000"/>
              <w:bottom w:val="single" w:sz="4" w:space="0" w:color="000000"/>
              <w:right w:val="single" w:sz="4" w:space="0" w:color="000000"/>
            </w:tcBorders>
            <w:shd w:val="clear" w:color="auto" w:fill="A6A6A6"/>
          </w:tcPr>
          <w:p w14:paraId="0D644A36" w14:textId="77777777" w:rsidR="00D3344B" w:rsidRDefault="00143C25">
            <w:pPr>
              <w:pStyle w:val="TableParagraph"/>
              <w:spacing w:line="256" w:lineRule="exact"/>
              <w:ind w:left="5" w:right="124"/>
              <w:rPr>
                <w:rFonts w:ascii="Arial" w:hAnsi="Arial" w:cs="Arial"/>
                <w:sz w:val="18"/>
                <w:szCs w:val="18"/>
              </w:rPr>
            </w:pPr>
            <w:r>
              <w:rPr>
                <w:rFonts w:ascii="Arial" w:hAnsi="Arial" w:cs="Arial"/>
                <w:spacing w:val="-4"/>
                <w:sz w:val="18"/>
                <w:szCs w:val="18"/>
              </w:rPr>
              <w:t xml:space="preserve">Nivel </w:t>
            </w:r>
            <w:r>
              <w:rPr>
                <w:rFonts w:ascii="Arial" w:hAnsi="Arial" w:cs="Arial"/>
                <w:spacing w:val="-10"/>
                <w:w w:val="110"/>
                <w:sz w:val="18"/>
                <w:szCs w:val="1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A6A6A6"/>
          </w:tcPr>
          <w:p w14:paraId="5B7FBDCD" w14:textId="77777777" w:rsidR="00D3344B" w:rsidRDefault="00143C25">
            <w:pPr>
              <w:pStyle w:val="TableParagraph"/>
              <w:spacing w:line="256" w:lineRule="exact"/>
              <w:ind w:left="5" w:right="124"/>
              <w:rPr>
                <w:rFonts w:ascii="Arial" w:hAnsi="Arial" w:cs="Arial"/>
                <w:sz w:val="18"/>
                <w:szCs w:val="18"/>
              </w:rPr>
            </w:pPr>
            <w:r>
              <w:rPr>
                <w:rFonts w:ascii="Arial" w:hAnsi="Arial" w:cs="Arial"/>
                <w:spacing w:val="-4"/>
                <w:sz w:val="18"/>
                <w:szCs w:val="18"/>
              </w:rPr>
              <w:t xml:space="preserve">Nivel </w:t>
            </w:r>
            <w:r>
              <w:rPr>
                <w:rFonts w:ascii="Arial" w:hAnsi="Arial" w:cs="Arial"/>
                <w:spacing w:val="-10"/>
                <w:w w:val="110"/>
                <w:sz w:val="18"/>
                <w:szCs w:val="18"/>
              </w:rPr>
              <w:t>1</w:t>
            </w:r>
          </w:p>
        </w:tc>
        <w:tc>
          <w:tcPr>
            <w:tcW w:w="527" w:type="dxa"/>
            <w:tcBorders>
              <w:top w:val="single" w:sz="4" w:space="0" w:color="000000"/>
              <w:left w:val="single" w:sz="4" w:space="0" w:color="000000"/>
              <w:bottom w:val="single" w:sz="4" w:space="0" w:color="000000"/>
              <w:right w:val="single" w:sz="4" w:space="0" w:color="000000"/>
            </w:tcBorders>
            <w:shd w:val="clear" w:color="auto" w:fill="A6A6A6"/>
          </w:tcPr>
          <w:p w14:paraId="4EA1468D" w14:textId="77777777" w:rsidR="00D3344B" w:rsidRDefault="00143C25">
            <w:pPr>
              <w:pStyle w:val="TableParagraph"/>
              <w:ind w:left="5" w:hanging="8"/>
              <w:rPr>
                <w:rFonts w:ascii="Arial" w:hAnsi="Arial" w:cs="Arial"/>
                <w:sz w:val="18"/>
                <w:szCs w:val="18"/>
              </w:rPr>
            </w:pPr>
            <w:r>
              <w:rPr>
                <w:rFonts w:ascii="Arial" w:hAnsi="Arial" w:cs="Arial"/>
                <w:spacing w:val="-2"/>
                <w:sz w:val="18"/>
                <w:szCs w:val="18"/>
              </w:rPr>
              <w:t>Paquete</w:t>
            </w:r>
            <w:r>
              <w:rPr>
                <w:rFonts w:ascii="Arial" w:hAnsi="Arial" w:cs="Arial"/>
                <w:spacing w:val="40"/>
                <w:sz w:val="18"/>
                <w:szCs w:val="18"/>
              </w:rPr>
              <w:t xml:space="preserve"> </w:t>
            </w:r>
            <w:r>
              <w:rPr>
                <w:rFonts w:ascii="Arial" w:hAnsi="Arial" w:cs="Arial"/>
                <w:spacing w:val="-2"/>
                <w:sz w:val="18"/>
                <w:szCs w:val="18"/>
              </w:rPr>
              <w:t>Integral</w:t>
            </w:r>
          </w:p>
        </w:tc>
      </w:tr>
      <w:tr w:rsidR="00D3344B" w14:paraId="1C79D209" w14:textId="77777777">
        <w:trPr>
          <w:trHeight w:val="294"/>
        </w:trPr>
        <w:tc>
          <w:tcPr>
            <w:tcW w:w="1776" w:type="dxa"/>
            <w:vMerge/>
            <w:tcBorders>
              <w:left w:val="single" w:sz="4" w:space="0" w:color="000000"/>
              <w:bottom w:val="single" w:sz="4" w:space="0" w:color="000000"/>
              <w:right w:val="single" w:sz="4" w:space="0" w:color="000000"/>
            </w:tcBorders>
            <w:shd w:val="clear" w:color="auto" w:fill="A6A6A6"/>
          </w:tcPr>
          <w:p w14:paraId="09283A4A" w14:textId="77777777" w:rsidR="00D3344B" w:rsidRDefault="00D3344B">
            <w:pPr>
              <w:widowControl w:val="0"/>
              <w:suppressAutoHyphens w:val="0"/>
              <w:rPr>
                <w:rFonts w:ascii="Arial" w:hAnsi="Arial" w:cs="Arial"/>
                <w:sz w:val="18"/>
                <w:szCs w:val="18"/>
              </w:rPr>
            </w:pPr>
          </w:p>
        </w:tc>
        <w:tc>
          <w:tcPr>
            <w:tcW w:w="3038" w:type="dxa"/>
            <w:vMerge/>
            <w:tcBorders>
              <w:left w:val="single" w:sz="4" w:space="0" w:color="000000"/>
              <w:bottom w:val="single" w:sz="4" w:space="0" w:color="000000"/>
              <w:right w:val="single" w:sz="4" w:space="0" w:color="000000"/>
            </w:tcBorders>
            <w:shd w:val="clear" w:color="auto" w:fill="A6A6A6"/>
          </w:tcPr>
          <w:p w14:paraId="6750E293" w14:textId="77777777" w:rsidR="00D3344B" w:rsidRDefault="00D3344B">
            <w:pPr>
              <w:widowControl w:val="0"/>
              <w:suppressAutoHyphens w:val="0"/>
              <w:rPr>
                <w:rFonts w:ascii="Arial" w:hAnsi="Arial" w:cs="Arial"/>
                <w:sz w:val="18"/>
                <w:szCs w:val="18"/>
              </w:rPr>
            </w:pPr>
          </w:p>
        </w:tc>
        <w:tc>
          <w:tcPr>
            <w:tcW w:w="4013" w:type="dxa"/>
            <w:gridSpan w:val="6"/>
            <w:tcBorders>
              <w:top w:val="single" w:sz="4" w:space="0" w:color="000000"/>
              <w:left w:val="single" w:sz="4" w:space="0" w:color="000000"/>
              <w:bottom w:val="single" w:sz="4" w:space="0" w:color="000000"/>
              <w:right w:val="single" w:sz="4" w:space="0" w:color="000000"/>
            </w:tcBorders>
            <w:shd w:val="clear" w:color="auto" w:fill="A6A6A6"/>
          </w:tcPr>
          <w:p w14:paraId="25111C5D" w14:textId="77777777" w:rsidR="00D3344B" w:rsidRDefault="00143C25">
            <w:pPr>
              <w:pStyle w:val="TableParagraph"/>
              <w:spacing w:line="246" w:lineRule="exact"/>
              <w:ind w:left="2" w:right="-15"/>
              <w:rPr>
                <w:rFonts w:ascii="Arial" w:hAnsi="Arial" w:cs="Arial"/>
                <w:sz w:val="18"/>
                <w:szCs w:val="18"/>
              </w:rPr>
            </w:pPr>
            <w:r>
              <w:rPr>
                <w:rFonts w:ascii="Arial" w:hAnsi="Arial" w:cs="Arial"/>
                <w:w w:val="120"/>
                <w:sz w:val="18"/>
                <w:szCs w:val="18"/>
              </w:rPr>
              <w:t>DERECHOS</w:t>
            </w:r>
            <w:r>
              <w:rPr>
                <w:rFonts w:ascii="Arial" w:hAnsi="Arial" w:cs="Arial"/>
                <w:spacing w:val="6"/>
                <w:w w:val="120"/>
                <w:sz w:val="18"/>
                <w:szCs w:val="18"/>
              </w:rPr>
              <w:t xml:space="preserve"> </w:t>
            </w:r>
            <w:r>
              <w:rPr>
                <w:rFonts w:ascii="Arial" w:hAnsi="Arial" w:cs="Arial"/>
                <w:w w:val="120"/>
                <w:sz w:val="18"/>
                <w:szCs w:val="18"/>
              </w:rPr>
              <w:t>CAUSADOS</w:t>
            </w:r>
            <w:r>
              <w:rPr>
                <w:rFonts w:ascii="Arial" w:hAnsi="Arial" w:cs="Arial"/>
                <w:spacing w:val="7"/>
                <w:w w:val="120"/>
                <w:sz w:val="18"/>
                <w:szCs w:val="18"/>
              </w:rPr>
              <w:t xml:space="preserve"> </w:t>
            </w:r>
            <w:r>
              <w:rPr>
                <w:rFonts w:ascii="Arial" w:hAnsi="Arial" w:cs="Arial"/>
                <w:w w:val="120"/>
                <w:sz w:val="18"/>
                <w:szCs w:val="18"/>
              </w:rPr>
              <w:t>EN</w:t>
            </w:r>
            <w:r>
              <w:rPr>
                <w:rFonts w:ascii="Arial" w:hAnsi="Arial" w:cs="Arial"/>
                <w:spacing w:val="7"/>
                <w:w w:val="120"/>
                <w:sz w:val="18"/>
                <w:szCs w:val="18"/>
              </w:rPr>
              <w:t xml:space="preserve"> </w:t>
            </w:r>
            <w:r>
              <w:rPr>
                <w:rFonts w:ascii="Arial" w:hAnsi="Arial" w:cs="Arial"/>
                <w:spacing w:val="-5"/>
                <w:w w:val="120"/>
                <w:sz w:val="18"/>
                <w:szCs w:val="18"/>
              </w:rPr>
              <w:t>UMA</w:t>
            </w:r>
          </w:p>
        </w:tc>
      </w:tr>
      <w:tr w:rsidR="00D3344B" w14:paraId="617962EF"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87B6A3B" w14:textId="77777777" w:rsidR="00D3344B" w:rsidRDefault="00143C25">
            <w:pPr>
              <w:pStyle w:val="TableParagraph"/>
              <w:rPr>
                <w:rFonts w:ascii="Arial" w:hAnsi="Arial" w:cs="Arial"/>
                <w:sz w:val="18"/>
                <w:szCs w:val="18"/>
              </w:rPr>
            </w:pPr>
            <w:r>
              <w:rPr>
                <w:rFonts w:ascii="Arial" w:hAnsi="Arial" w:cs="Arial"/>
                <w:w w:val="110"/>
                <w:sz w:val="18"/>
                <w:szCs w:val="18"/>
              </w:rPr>
              <w:t>02-DEN-</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01A70D70" w14:textId="77777777" w:rsidR="00D3344B" w:rsidRDefault="00143C25">
            <w:pPr>
              <w:pStyle w:val="TableParagraph"/>
              <w:rPr>
                <w:rFonts w:ascii="Arial" w:hAnsi="Arial" w:cs="Arial"/>
                <w:sz w:val="18"/>
                <w:szCs w:val="18"/>
              </w:rPr>
            </w:pPr>
            <w:r>
              <w:rPr>
                <w:rFonts w:ascii="Arial" w:hAnsi="Arial" w:cs="Arial"/>
                <w:w w:val="115"/>
                <w:sz w:val="18"/>
                <w:szCs w:val="18"/>
              </w:rPr>
              <w:t>Edad</w:t>
            </w:r>
            <w:r>
              <w:rPr>
                <w:rFonts w:ascii="Arial" w:hAnsi="Arial" w:cs="Arial"/>
                <w:spacing w:val="7"/>
                <w:w w:val="115"/>
                <w:sz w:val="18"/>
                <w:szCs w:val="18"/>
              </w:rPr>
              <w:t xml:space="preserve"> </w:t>
            </w:r>
            <w:r>
              <w:rPr>
                <w:rFonts w:ascii="Arial" w:hAnsi="Arial" w:cs="Arial"/>
                <w:spacing w:val="-4"/>
                <w:w w:val="115"/>
                <w:sz w:val="18"/>
                <w:szCs w:val="18"/>
              </w:rPr>
              <w:t>ósea</w:t>
            </w:r>
          </w:p>
        </w:tc>
        <w:tc>
          <w:tcPr>
            <w:tcW w:w="697" w:type="dxa"/>
            <w:tcBorders>
              <w:top w:val="single" w:sz="4" w:space="0" w:color="000000"/>
              <w:left w:val="single" w:sz="4" w:space="0" w:color="000000"/>
              <w:bottom w:val="single" w:sz="4" w:space="0" w:color="000000"/>
              <w:right w:val="single" w:sz="4" w:space="0" w:color="000000"/>
            </w:tcBorders>
          </w:tcPr>
          <w:p w14:paraId="00BB376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29499A0E"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07A7C113"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49A6A0A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186DDEF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4A0FF6BC" w14:textId="77777777" w:rsidR="00D3344B" w:rsidRDefault="00D3344B">
            <w:pPr>
              <w:pStyle w:val="TableParagraph"/>
              <w:rPr>
                <w:rFonts w:ascii="Arial" w:hAnsi="Arial" w:cs="Arial"/>
                <w:sz w:val="18"/>
                <w:szCs w:val="18"/>
              </w:rPr>
            </w:pPr>
          </w:p>
        </w:tc>
      </w:tr>
      <w:tr w:rsidR="00D3344B" w14:paraId="5575DA90"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8D56676" w14:textId="77777777" w:rsidR="00D3344B" w:rsidRDefault="00143C25">
            <w:pPr>
              <w:pStyle w:val="TableParagraph"/>
              <w:rPr>
                <w:rFonts w:ascii="Arial" w:hAnsi="Arial" w:cs="Arial"/>
                <w:sz w:val="18"/>
                <w:szCs w:val="18"/>
              </w:rPr>
            </w:pPr>
            <w:r>
              <w:rPr>
                <w:rFonts w:ascii="Arial" w:hAnsi="Arial" w:cs="Arial"/>
                <w:w w:val="110"/>
                <w:sz w:val="18"/>
                <w:szCs w:val="18"/>
              </w:rPr>
              <w:t>02-DEN-</w:t>
            </w:r>
            <w:r>
              <w:rPr>
                <w:rFonts w:ascii="Arial" w:hAnsi="Arial" w:cs="Arial"/>
                <w:spacing w:val="-5"/>
                <w:w w:val="110"/>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7DC8651A" w14:textId="77777777" w:rsidR="00D3344B" w:rsidRDefault="00143C25">
            <w:pPr>
              <w:pStyle w:val="TableParagraph"/>
              <w:tabs>
                <w:tab w:val="left" w:pos="1975"/>
              </w:tabs>
              <w:spacing w:line="252" w:lineRule="exact"/>
              <w:ind w:right="725"/>
              <w:rPr>
                <w:rFonts w:ascii="Arial" w:hAnsi="Arial" w:cs="Arial"/>
                <w:sz w:val="18"/>
                <w:szCs w:val="18"/>
              </w:rPr>
            </w:pPr>
            <w:r>
              <w:rPr>
                <w:rFonts w:ascii="Arial" w:hAnsi="Arial" w:cs="Arial"/>
                <w:w w:val="110"/>
                <w:sz w:val="18"/>
                <w:szCs w:val="18"/>
              </w:rPr>
              <w:t>Densitometría</w:t>
            </w:r>
            <w:r>
              <w:rPr>
                <w:rFonts w:ascii="Arial" w:hAnsi="Arial" w:cs="Arial"/>
                <w:spacing w:val="40"/>
                <w:w w:val="110"/>
                <w:sz w:val="18"/>
                <w:szCs w:val="18"/>
              </w:rPr>
              <w:t xml:space="preserve"> </w:t>
            </w:r>
            <w:r>
              <w:rPr>
                <w:rFonts w:ascii="Arial" w:hAnsi="Arial" w:cs="Arial"/>
                <w:w w:val="110"/>
                <w:sz w:val="18"/>
                <w:szCs w:val="18"/>
              </w:rPr>
              <w:t>por</w:t>
            </w:r>
            <w:r>
              <w:rPr>
                <w:rFonts w:ascii="Arial" w:hAnsi="Arial" w:cs="Arial"/>
                <w:sz w:val="18"/>
                <w:szCs w:val="18"/>
              </w:rPr>
              <w:tab/>
            </w:r>
            <w:r>
              <w:rPr>
                <w:rFonts w:ascii="Arial" w:hAnsi="Arial" w:cs="Arial"/>
                <w:spacing w:val="-6"/>
                <w:w w:val="110"/>
                <w:sz w:val="18"/>
                <w:szCs w:val="18"/>
              </w:rPr>
              <w:t xml:space="preserve">dos </w:t>
            </w:r>
            <w:r>
              <w:rPr>
                <w:rFonts w:ascii="Arial" w:hAnsi="Arial" w:cs="Arial"/>
                <w:spacing w:val="-2"/>
                <w:w w:val="110"/>
                <w:sz w:val="18"/>
                <w:szCs w:val="18"/>
              </w:rPr>
              <w:t>regiones</w:t>
            </w:r>
          </w:p>
        </w:tc>
        <w:tc>
          <w:tcPr>
            <w:tcW w:w="697" w:type="dxa"/>
            <w:tcBorders>
              <w:top w:val="single" w:sz="4" w:space="0" w:color="000000"/>
              <w:left w:val="single" w:sz="4" w:space="0" w:color="000000"/>
              <w:bottom w:val="single" w:sz="4" w:space="0" w:color="000000"/>
              <w:right w:val="single" w:sz="4" w:space="0" w:color="000000"/>
            </w:tcBorders>
          </w:tcPr>
          <w:p w14:paraId="0BDB850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7F8BAE5D" w14:textId="77777777" w:rsidR="00D3344B" w:rsidRDefault="00143C25">
            <w:pPr>
              <w:pStyle w:val="TableParagraph"/>
              <w:rPr>
                <w:rFonts w:ascii="Arial" w:hAnsi="Arial" w:cs="Arial"/>
                <w:sz w:val="18"/>
                <w:szCs w:val="18"/>
              </w:rPr>
            </w:pPr>
            <w:r>
              <w:rPr>
                <w:rFonts w:ascii="Arial" w:hAnsi="Arial" w:cs="Arial"/>
                <w:spacing w:val="-4"/>
                <w:w w:val="115"/>
                <w:sz w:val="18"/>
                <w:szCs w:val="18"/>
              </w:rPr>
              <w:t>6.50</w:t>
            </w:r>
          </w:p>
        </w:tc>
        <w:tc>
          <w:tcPr>
            <w:tcW w:w="699" w:type="dxa"/>
            <w:tcBorders>
              <w:top w:val="single" w:sz="4" w:space="0" w:color="000000"/>
              <w:left w:val="single" w:sz="4" w:space="0" w:color="000000"/>
              <w:bottom w:val="single" w:sz="4" w:space="0" w:color="000000"/>
              <w:right w:val="single" w:sz="4" w:space="0" w:color="000000"/>
            </w:tcBorders>
          </w:tcPr>
          <w:p w14:paraId="2CAD2EE8" w14:textId="77777777" w:rsidR="00D3344B" w:rsidRDefault="00143C25">
            <w:pPr>
              <w:pStyle w:val="TableParagraph"/>
              <w:rPr>
                <w:rFonts w:ascii="Arial" w:hAnsi="Arial" w:cs="Arial"/>
                <w:sz w:val="18"/>
                <w:szCs w:val="18"/>
              </w:rPr>
            </w:pPr>
            <w:r>
              <w:rPr>
                <w:rFonts w:ascii="Arial" w:hAnsi="Arial" w:cs="Arial"/>
                <w:spacing w:val="-4"/>
                <w:w w:val="115"/>
                <w:sz w:val="18"/>
                <w:szCs w:val="18"/>
              </w:rPr>
              <w:t>5.50</w:t>
            </w:r>
          </w:p>
        </w:tc>
        <w:tc>
          <w:tcPr>
            <w:tcW w:w="699" w:type="dxa"/>
            <w:tcBorders>
              <w:top w:val="single" w:sz="4" w:space="0" w:color="000000"/>
              <w:left w:val="single" w:sz="4" w:space="0" w:color="000000"/>
              <w:bottom w:val="single" w:sz="4" w:space="0" w:color="000000"/>
              <w:right w:val="single" w:sz="4" w:space="0" w:color="000000"/>
            </w:tcBorders>
          </w:tcPr>
          <w:p w14:paraId="0AED3D5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696" w:type="dxa"/>
            <w:tcBorders>
              <w:top w:val="single" w:sz="4" w:space="0" w:color="000000"/>
              <w:left w:val="single" w:sz="4" w:space="0" w:color="000000"/>
              <w:bottom w:val="single" w:sz="4" w:space="0" w:color="000000"/>
              <w:right w:val="single" w:sz="4" w:space="0" w:color="000000"/>
            </w:tcBorders>
          </w:tcPr>
          <w:p w14:paraId="4A57224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4.00</w:t>
            </w:r>
          </w:p>
        </w:tc>
        <w:tc>
          <w:tcPr>
            <w:tcW w:w="527" w:type="dxa"/>
            <w:tcBorders>
              <w:top w:val="single" w:sz="4" w:space="0" w:color="000000"/>
              <w:left w:val="single" w:sz="4" w:space="0" w:color="000000"/>
              <w:bottom w:val="single" w:sz="4" w:space="0" w:color="000000"/>
              <w:right w:val="single" w:sz="4" w:space="0" w:color="000000"/>
            </w:tcBorders>
          </w:tcPr>
          <w:p w14:paraId="0BC9BD75" w14:textId="77777777" w:rsidR="00D3344B" w:rsidRDefault="00D3344B">
            <w:pPr>
              <w:pStyle w:val="TableParagraph"/>
              <w:rPr>
                <w:rFonts w:ascii="Arial" w:hAnsi="Arial" w:cs="Arial"/>
                <w:sz w:val="18"/>
                <w:szCs w:val="18"/>
              </w:rPr>
            </w:pPr>
          </w:p>
        </w:tc>
      </w:tr>
      <w:tr w:rsidR="00D3344B" w14:paraId="66580505"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54EB4D5" w14:textId="77777777" w:rsidR="00D3344B" w:rsidRDefault="00143C25">
            <w:pPr>
              <w:pStyle w:val="TableParagraph"/>
              <w:rPr>
                <w:rFonts w:ascii="Arial" w:hAnsi="Arial" w:cs="Arial"/>
                <w:sz w:val="18"/>
                <w:szCs w:val="18"/>
              </w:rPr>
            </w:pPr>
            <w:r>
              <w:rPr>
                <w:rFonts w:ascii="Arial" w:hAnsi="Arial" w:cs="Arial"/>
                <w:w w:val="110"/>
                <w:sz w:val="18"/>
                <w:szCs w:val="18"/>
              </w:rPr>
              <w:lastRenderedPageBreak/>
              <w:t>02-DEN-</w:t>
            </w:r>
            <w:r>
              <w:rPr>
                <w:rFonts w:ascii="Arial" w:hAnsi="Arial" w:cs="Arial"/>
                <w:spacing w:val="-5"/>
                <w:w w:val="110"/>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577C2625"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Examen general de huesos (serie ósea)</w:t>
            </w:r>
          </w:p>
        </w:tc>
        <w:tc>
          <w:tcPr>
            <w:tcW w:w="697" w:type="dxa"/>
            <w:tcBorders>
              <w:top w:val="single" w:sz="4" w:space="0" w:color="000000"/>
              <w:left w:val="single" w:sz="4" w:space="0" w:color="000000"/>
              <w:bottom w:val="single" w:sz="4" w:space="0" w:color="000000"/>
              <w:right w:val="single" w:sz="4" w:space="0" w:color="000000"/>
            </w:tcBorders>
          </w:tcPr>
          <w:p w14:paraId="50D0405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10.00</w:t>
            </w:r>
          </w:p>
        </w:tc>
        <w:tc>
          <w:tcPr>
            <w:tcW w:w="695" w:type="dxa"/>
            <w:tcBorders>
              <w:top w:val="single" w:sz="4" w:space="0" w:color="000000"/>
              <w:left w:val="single" w:sz="4" w:space="0" w:color="000000"/>
              <w:bottom w:val="single" w:sz="4" w:space="0" w:color="000000"/>
              <w:right w:val="single" w:sz="4" w:space="0" w:color="000000"/>
            </w:tcBorders>
          </w:tcPr>
          <w:p w14:paraId="60404C53" w14:textId="77777777" w:rsidR="00D3344B" w:rsidRDefault="00143C25">
            <w:pPr>
              <w:pStyle w:val="TableParagraph"/>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1DBCF162" w14:textId="77777777" w:rsidR="00D3344B" w:rsidRDefault="00143C25">
            <w:pPr>
              <w:pStyle w:val="TableParagraph"/>
              <w:rPr>
                <w:rFonts w:ascii="Arial" w:hAnsi="Arial" w:cs="Arial"/>
                <w:sz w:val="18"/>
                <w:szCs w:val="18"/>
              </w:rPr>
            </w:pPr>
            <w:r>
              <w:rPr>
                <w:rFonts w:ascii="Arial" w:hAnsi="Arial" w:cs="Arial"/>
                <w:spacing w:val="-4"/>
                <w:w w:val="115"/>
                <w:sz w:val="18"/>
                <w:szCs w:val="18"/>
              </w:rPr>
              <w:t>7.25</w:t>
            </w:r>
          </w:p>
        </w:tc>
        <w:tc>
          <w:tcPr>
            <w:tcW w:w="699" w:type="dxa"/>
            <w:tcBorders>
              <w:top w:val="single" w:sz="4" w:space="0" w:color="000000"/>
              <w:left w:val="single" w:sz="4" w:space="0" w:color="000000"/>
              <w:bottom w:val="single" w:sz="4" w:space="0" w:color="000000"/>
              <w:right w:val="single" w:sz="4" w:space="0" w:color="000000"/>
            </w:tcBorders>
          </w:tcPr>
          <w:p w14:paraId="7484FF49" w14:textId="77777777" w:rsidR="00D3344B" w:rsidRDefault="00143C25">
            <w:pPr>
              <w:pStyle w:val="TableParagraph"/>
              <w:ind w:left="5"/>
              <w:rPr>
                <w:rFonts w:ascii="Arial" w:hAnsi="Arial" w:cs="Arial"/>
                <w:sz w:val="18"/>
                <w:szCs w:val="18"/>
              </w:rPr>
            </w:pPr>
            <w:r>
              <w:rPr>
                <w:rFonts w:ascii="Arial" w:hAnsi="Arial" w:cs="Arial"/>
                <w:spacing w:val="-4"/>
                <w:w w:val="110"/>
                <w:sz w:val="18"/>
                <w:szCs w:val="18"/>
              </w:rPr>
              <w:t>6.00</w:t>
            </w:r>
          </w:p>
        </w:tc>
        <w:tc>
          <w:tcPr>
            <w:tcW w:w="696" w:type="dxa"/>
            <w:tcBorders>
              <w:top w:val="single" w:sz="4" w:space="0" w:color="000000"/>
              <w:left w:val="single" w:sz="4" w:space="0" w:color="000000"/>
              <w:bottom w:val="single" w:sz="4" w:space="0" w:color="000000"/>
              <w:right w:val="single" w:sz="4" w:space="0" w:color="000000"/>
            </w:tcBorders>
          </w:tcPr>
          <w:p w14:paraId="2D4286B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527" w:type="dxa"/>
            <w:tcBorders>
              <w:top w:val="single" w:sz="4" w:space="0" w:color="000000"/>
              <w:left w:val="single" w:sz="4" w:space="0" w:color="000000"/>
              <w:bottom w:val="single" w:sz="4" w:space="0" w:color="000000"/>
              <w:right w:val="single" w:sz="4" w:space="0" w:color="000000"/>
            </w:tcBorders>
          </w:tcPr>
          <w:p w14:paraId="6C35C874" w14:textId="77777777" w:rsidR="00D3344B" w:rsidRDefault="00D3344B">
            <w:pPr>
              <w:pStyle w:val="TableParagraph"/>
              <w:rPr>
                <w:rFonts w:ascii="Arial" w:hAnsi="Arial" w:cs="Arial"/>
                <w:sz w:val="18"/>
                <w:szCs w:val="18"/>
              </w:rPr>
            </w:pPr>
          </w:p>
        </w:tc>
      </w:tr>
      <w:tr w:rsidR="00D3344B" w14:paraId="4A5E3C18"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9C58CD2" w14:textId="77777777" w:rsidR="00D3344B" w:rsidRDefault="00143C25">
            <w:pPr>
              <w:pStyle w:val="TableParagraph"/>
              <w:rPr>
                <w:rFonts w:ascii="Arial" w:hAnsi="Arial" w:cs="Arial"/>
                <w:sz w:val="18"/>
                <w:szCs w:val="18"/>
              </w:rPr>
            </w:pPr>
            <w:r>
              <w:rPr>
                <w:rFonts w:ascii="Arial" w:hAnsi="Arial" w:cs="Arial"/>
                <w:w w:val="110"/>
                <w:sz w:val="18"/>
                <w:szCs w:val="18"/>
              </w:rPr>
              <w:t>02-DEN-</w:t>
            </w:r>
            <w:r>
              <w:rPr>
                <w:rFonts w:ascii="Arial" w:hAnsi="Arial" w:cs="Arial"/>
                <w:spacing w:val="-5"/>
                <w:w w:val="110"/>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0AB845BC" w14:textId="77777777" w:rsidR="00D3344B" w:rsidRDefault="00143C25">
            <w:pPr>
              <w:pStyle w:val="TableParagraph"/>
              <w:tabs>
                <w:tab w:val="left" w:pos="1008"/>
                <w:tab w:val="left" w:pos="1932"/>
                <w:tab w:val="left" w:pos="2373"/>
              </w:tabs>
              <w:spacing w:line="252" w:lineRule="exact"/>
              <w:ind w:right="1"/>
              <w:rPr>
                <w:rFonts w:ascii="Arial" w:hAnsi="Arial" w:cs="Arial"/>
                <w:sz w:val="18"/>
                <w:szCs w:val="18"/>
              </w:rPr>
            </w:pPr>
            <w:r>
              <w:rPr>
                <w:rFonts w:ascii="Arial" w:hAnsi="Arial" w:cs="Arial"/>
                <w:spacing w:val="-2"/>
                <w:w w:val="110"/>
                <w:sz w:val="18"/>
                <w:szCs w:val="18"/>
              </w:rPr>
              <w:t>Examen</w:t>
            </w:r>
            <w:r>
              <w:rPr>
                <w:rFonts w:ascii="Arial" w:hAnsi="Arial" w:cs="Arial"/>
                <w:sz w:val="18"/>
                <w:szCs w:val="18"/>
              </w:rPr>
              <w:tab/>
            </w:r>
            <w:r>
              <w:rPr>
                <w:rFonts w:ascii="Arial" w:hAnsi="Arial" w:cs="Arial"/>
                <w:spacing w:val="-2"/>
                <w:w w:val="110"/>
                <w:sz w:val="18"/>
                <w:szCs w:val="18"/>
              </w:rPr>
              <w:t>general</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4"/>
                <w:w w:val="110"/>
                <w:sz w:val="18"/>
                <w:szCs w:val="18"/>
              </w:rPr>
              <w:t xml:space="preserve">huesos </w:t>
            </w:r>
            <w:r>
              <w:rPr>
                <w:rFonts w:ascii="Arial" w:hAnsi="Arial" w:cs="Arial"/>
                <w:w w:val="110"/>
                <w:sz w:val="18"/>
                <w:szCs w:val="18"/>
              </w:rPr>
              <w:t>(serie ósea) niños</w:t>
            </w:r>
          </w:p>
        </w:tc>
        <w:tc>
          <w:tcPr>
            <w:tcW w:w="697" w:type="dxa"/>
            <w:tcBorders>
              <w:top w:val="single" w:sz="4" w:space="0" w:color="000000"/>
              <w:left w:val="single" w:sz="4" w:space="0" w:color="000000"/>
              <w:bottom w:val="single" w:sz="4" w:space="0" w:color="000000"/>
              <w:right w:val="single" w:sz="4" w:space="0" w:color="000000"/>
            </w:tcBorders>
          </w:tcPr>
          <w:p w14:paraId="5A57F0E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7.50</w:t>
            </w:r>
          </w:p>
        </w:tc>
        <w:tc>
          <w:tcPr>
            <w:tcW w:w="695" w:type="dxa"/>
            <w:tcBorders>
              <w:top w:val="single" w:sz="4" w:space="0" w:color="000000"/>
              <w:left w:val="single" w:sz="4" w:space="0" w:color="000000"/>
              <w:bottom w:val="single" w:sz="4" w:space="0" w:color="000000"/>
              <w:right w:val="single" w:sz="4" w:space="0" w:color="000000"/>
            </w:tcBorders>
          </w:tcPr>
          <w:p w14:paraId="7AC26D57" w14:textId="77777777" w:rsidR="00D3344B" w:rsidRDefault="00143C25">
            <w:pPr>
              <w:pStyle w:val="TableParagraph"/>
              <w:rPr>
                <w:rFonts w:ascii="Arial" w:hAnsi="Arial" w:cs="Arial"/>
                <w:sz w:val="18"/>
                <w:szCs w:val="18"/>
              </w:rPr>
            </w:pPr>
            <w:r>
              <w:rPr>
                <w:rFonts w:ascii="Arial" w:hAnsi="Arial" w:cs="Arial"/>
                <w:spacing w:val="-4"/>
                <w:w w:val="115"/>
                <w:sz w:val="18"/>
                <w:szCs w:val="18"/>
              </w:rPr>
              <w:t>7.25</w:t>
            </w:r>
          </w:p>
        </w:tc>
        <w:tc>
          <w:tcPr>
            <w:tcW w:w="699" w:type="dxa"/>
            <w:tcBorders>
              <w:top w:val="single" w:sz="4" w:space="0" w:color="000000"/>
              <w:left w:val="single" w:sz="4" w:space="0" w:color="000000"/>
              <w:bottom w:val="single" w:sz="4" w:space="0" w:color="000000"/>
              <w:right w:val="single" w:sz="4" w:space="0" w:color="000000"/>
            </w:tcBorders>
          </w:tcPr>
          <w:p w14:paraId="0FE99A1F" w14:textId="77777777" w:rsidR="00D3344B" w:rsidRDefault="00143C25">
            <w:pPr>
              <w:pStyle w:val="TableParagraph"/>
              <w:rPr>
                <w:rFonts w:ascii="Arial" w:hAnsi="Arial" w:cs="Arial"/>
                <w:sz w:val="18"/>
                <w:szCs w:val="18"/>
              </w:rPr>
            </w:pPr>
            <w:r>
              <w:rPr>
                <w:rFonts w:ascii="Arial" w:hAnsi="Arial" w:cs="Arial"/>
                <w:spacing w:val="-4"/>
                <w:w w:val="115"/>
                <w:sz w:val="18"/>
                <w:szCs w:val="18"/>
              </w:rPr>
              <w:t>6.75</w:t>
            </w:r>
          </w:p>
        </w:tc>
        <w:tc>
          <w:tcPr>
            <w:tcW w:w="699" w:type="dxa"/>
            <w:tcBorders>
              <w:top w:val="single" w:sz="4" w:space="0" w:color="000000"/>
              <w:left w:val="single" w:sz="4" w:space="0" w:color="000000"/>
              <w:bottom w:val="single" w:sz="4" w:space="0" w:color="000000"/>
              <w:right w:val="single" w:sz="4" w:space="0" w:color="000000"/>
            </w:tcBorders>
          </w:tcPr>
          <w:p w14:paraId="0FCA3F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5D0418F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6.25</w:t>
            </w:r>
          </w:p>
        </w:tc>
        <w:tc>
          <w:tcPr>
            <w:tcW w:w="527" w:type="dxa"/>
            <w:tcBorders>
              <w:top w:val="single" w:sz="4" w:space="0" w:color="000000"/>
              <w:left w:val="single" w:sz="4" w:space="0" w:color="000000"/>
              <w:bottom w:val="single" w:sz="4" w:space="0" w:color="000000"/>
              <w:right w:val="single" w:sz="4" w:space="0" w:color="000000"/>
            </w:tcBorders>
          </w:tcPr>
          <w:p w14:paraId="013E3404" w14:textId="77777777" w:rsidR="00D3344B" w:rsidRDefault="00D3344B">
            <w:pPr>
              <w:pStyle w:val="TableParagraph"/>
              <w:rPr>
                <w:rFonts w:ascii="Arial" w:hAnsi="Arial" w:cs="Arial"/>
                <w:sz w:val="18"/>
                <w:szCs w:val="18"/>
              </w:rPr>
            </w:pPr>
          </w:p>
        </w:tc>
      </w:tr>
      <w:tr w:rsidR="00D3344B" w14:paraId="712FE4F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C3438DE"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1A765AEB" w14:textId="77777777" w:rsidR="00D3344B" w:rsidRDefault="00143C25">
            <w:pPr>
              <w:pStyle w:val="TableParagraph"/>
              <w:rPr>
                <w:rFonts w:ascii="Arial" w:hAnsi="Arial" w:cs="Arial"/>
                <w:sz w:val="18"/>
                <w:szCs w:val="18"/>
              </w:rPr>
            </w:pPr>
            <w:r>
              <w:rPr>
                <w:rFonts w:ascii="Arial" w:hAnsi="Arial" w:cs="Arial"/>
                <w:w w:val="110"/>
                <w:sz w:val="18"/>
                <w:szCs w:val="18"/>
              </w:rPr>
              <w:t>Simple</w:t>
            </w:r>
            <w:r>
              <w:rPr>
                <w:rFonts w:ascii="Arial" w:hAnsi="Arial" w:cs="Arial"/>
                <w:spacing w:val="12"/>
                <w:w w:val="110"/>
                <w:sz w:val="18"/>
                <w:szCs w:val="18"/>
              </w:rPr>
              <w:t xml:space="preserve"> </w:t>
            </w:r>
            <w:r>
              <w:rPr>
                <w:rFonts w:ascii="Arial" w:hAnsi="Arial" w:cs="Arial"/>
                <w:w w:val="110"/>
                <w:sz w:val="18"/>
                <w:szCs w:val="18"/>
              </w:rPr>
              <w:t>de</w:t>
            </w:r>
            <w:r>
              <w:rPr>
                <w:rFonts w:ascii="Arial" w:hAnsi="Arial" w:cs="Arial"/>
                <w:spacing w:val="19"/>
                <w:w w:val="110"/>
                <w:sz w:val="18"/>
                <w:szCs w:val="18"/>
              </w:rPr>
              <w:t xml:space="preserve"> </w:t>
            </w:r>
            <w:r>
              <w:rPr>
                <w:rFonts w:ascii="Arial" w:hAnsi="Arial" w:cs="Arial"/>
                <w:spacing w:val="-2"/>
                <w:w w:val="110"/>
                <w:sz w:val="18"/>
                <w:szCs w:val="18"/>
              </w:rPr>
              <w:t>Abdomen</w:t>
            </w:r>
          </w:p>
        </w:tc>
        <w:tc>
          <w:tcPr>
            <w:tcW w:w="697" w:type="dxa"/>
            <w:tcBorders>
              <w:top w:val="single" w:sz="4" w:space="0" w:color="000000"/>
              <w:left w:val="single" w:sz="4" w:space="0" w:color="000000"/>
              <w:bottom w:val="single" w:sz="4" w:space="0" w:color="000000"/>
              <w:right w:val="single" w:sz="4" w:space="0" w:color="000000"/>
            </w:tcBorders>
          </w:tcPr>
          <w:p w14:paraId="498A9AA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655CA641"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2E62E96D"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23A1BDF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0F01452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3EC6F19D" w14:textId="77777777" w:rsidR="00D3344B" w:rsidRDefault="00D3344B">
            <w:pPr>
              <w:pStyle w:val="TableParagraph"/>
              <w:rPr>
                <w:rFonts w:ascii="Arial" w:hAnsi="Arial" w:cs="Arial"/>
                <w:sz w:val="18"/>
                <w:szCs w:val="18"/>
              </w:rPr>
            </w:pPr>
          </w:p>
        </w:tc>
      </w:tr>
      <w:tr w:rsidR="00D3344B" w14:paraId="08461B6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56F6B70"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2E7978D6" w14:textId="77777777" w:rsidR="00D3344B" w:rsidRDefault="00143C25">
            <w:pPr>
              <w:pStyle w:val="TableParagraph"/>
              <w:tabs>
                <w:tab w:val="left" w:pos="1257"/>
                <w:tab w:val="left" w:pos="1785"/>
                <w:tab w:val="left" w:pos="2383"/>
                <w:tab w:val="left" w:pos="2803"/>
              </w:tabs>
              <w:spacing w:line="252" w:lineRule="exact"/>
              <w:ind w:right="-15"/>
              <w:rPr>
                <w:rFonts w:ascii="Arial" w:hAnsi="Arial" w:cs="Arial"/>
                <w:sz w:val="18"/>
                <w:szCs w:val="18"/>
              </w:rPr>
            </w:pPr>
            <w:r>
              <w:rPr>
                <w:rFonts w:ascii="Arial" w:hAnsi="Arial" w:cs="Arial"/>
                <w:spacing w:val="-2"/>
                <w:w w:val="110"/>
                <w:sz w:val="18"/>
                <w:szCs w:val="18"/>
              </w:rPr>
              <w:t>Abdomen</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4"/>
                <w:w w:val="110"/>
                <w:sz w:val="18"/>
                <w:szCs w:val="18"/>
              </w:rPr>
              <w:t>pie</w:t>
            </w:r>
            <w:r>
              <w:rPr>
                <w:rFonts w:ascii="Arial" w:hAnsi="Arial" w:cs="Arial"/>
                <w:sz w:val="18"/>
                <w:szCs w:val="18"/>
              </w:rPr>
              <w:tab/>
            </w:r>
            <w:r>
              <w:rPr>
                <w:rFonts w:ascii="Arial" w:hAnsi="Arial" w:cs="Arial"/>
                <w:spacing w:val="-10"/>
                <w:w w:val="110"/>
                <w:sz w:val="18"/>
                <w:szCs w:val="18"/>
              </w:rPr>
              <w:t>y</w:t>
            </w:r>
            <w:r>
              <w:rPr>
                <w:rFonts w:ascii="Arial" w:hAnsi="Arial" w:cs="Arial"/>
                <w:sz w:val="18"/>
                <w:szCs w:val="18"/>
              </w:rPr>
              <w:tab/>
            </w:r>
            <w:r>
              <w:rPr>
                <w:rFonts w:ascii="Arial" w:hAnsi="Arial" w:cs="Arial"/>
                <w:spacing w:val="-6"/>
                <w:w w:val="110"/>
                <w:sz w:val="18"/>
                <w:szCs w:val="18"/>
              </w:rPr>
              <w:t xml:space="preserve">en </w:t>
            </w:r>
            <w:r>
              <w:rPr>
                <w:rFonts w:ascii="Arial" w:hAnsi="Arial" w:cs="Arial"/>
                <w:spacing w:val="-2"/>
                <w:w w:val="110"/>
                <w:sz w:val="18"/>
                <w:szCs w:val="18"/>
              </w:rPr>
              <w:t>decúbito</w:t>
            </w:r>
          </w:p>
        </w:tc>
        <w:tc>
          <w:tcPr>
            <w:tcW w:w="697" w:type="dxa"/>
            <w:tcBorders>
              <w:top w:val="single" w:sz="4" w:space="0" w:color="000000"/>
              <w:left w:val="single" w:sz="4" w:space="0" w:color="000000"/>
              <w:bottom w:val="single" w:sz="4" w:space="0" w:color="000000"/>
              <w:right w:val="single" w:sz="4" w:space="0" w:color="000000"/>
            </w:tcBorders>
          </w:tcPr>
          <w:p w14:paraId="051D78B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56ACEF8D" w14:textId="77777777" w:rsidR="00D3344B" w:rsidRDefault="00143C25">
            <w:pPr>
              <w:pStyle w:val="TableParagraph"/>
              <w:rPr>
                <w:rFonts w:ascii="Arial" w:hAnsi="Arial" w:cs="Arial"/>
                <w:sz w:val="18"/>
                <w:szCs w:val="18"/>
              </w:rPr>
            </w:pPr>
            <w:r>
              <w:rPr>
                <w:rFonts w:ascii="Arial" w:hAnsi="Arial" w:cs="Arial"/>
                <w:spacing w:val="-4"/>
                <w:w w:val="115"/>
                <w:sz w:val="18"/>
                <w:szCs w:val="18"/>
              </w:rPr>
              <w:t>4.25</w:t>
            </w:r>
          </w:p>
        </w:tc>
        <w:tc>
          <w:tcPr>
            <w:tcW w:w="699" w:type="dxa"/>
            <w:tcBorders>
              <w:top w:val="single" w:sz="4" w:space="0" w:color="000000"/>
              <w:left w:val="single" w:sz="4" w:space="0" w:color="000000"/>
              <w:bottom w:val="single" w:sz="4" w:space="0" w:color="000000"/>
              <w:right w:val="single" w:sz="4" w:space="0" w:color="000000"/>
            </w:tcBorders>
          </w:tcPr>
          <w:p w14:paraId="436EE3B7"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1022C81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2163B1D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08AA4C84" w14:textId="77777777" w:rsidR="00D3344B" w:rsidRDefault="00D3344B">
            <w:pPr>
              <w:pStyle w:val="TableParagraph"/>
              <w:rPr>
                <w:rFonts w:ascii="Arial" w:hAnsi="Arial" w:cs="Arial"/>
                <w:sz w:val="18"/>
                <w:szCs w:val="18"/>
              </w:rPr>
            </w:pPr>
          </w:p>
        </w:tc>
      </w:tr>
      <w:tr w:rsidR="00D3344B" w14:paraId="54FC6A95"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049601C8"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09CF1473" w14:textId="77777777" w:rsidR="00D3344B" w:rsidRDefault="00143C25">
            <w:pPr>
              <w:pStyle w:val="TableParagraph"/>
              <w:rPr>
                <w:rFonts w:ascii="Arial" w:hAnsi="Arial" w:cs="Arial"/>
                <w:sz w:val="18"/>
                <w:szCs w:val="18"/>
              </w:rPr>
            </w:pPr>
            <w:r>
              <w:rPr>
                <w:rFonts w:ascii="Arial" w:hAnsi="Arial" w:cs="Arial"/>
                <w:w w:val="110"/>
                <w:sz w:val="18"/>
                <w:szCs w:val="18"/>
              </w:rPr>
              <w:t>Abdomen</w:t>
            </w:r>
            <w:r>
              <w:rPr>
                <w:rFonts w:ascii="Arial" w:hAnsi="Arial" w:cs="Arial"/>
                <w:spacing w:val="7"/>
                <w:w w:val="110"/>
                <w:sz w:val="18"/>
                <w:szCs w:val="18"/>
              </w:rPr>
              <w:t xml:space="preserve"> </w:t>
            </w:r>
            <w:r>
              <w:rPr>
                <w:rFonts w:ascii="Arial" w:hAnsi="Arial" w:cs="Arial"/>
                <w:w w:val="110"/>
                <w:sz w:val="18"/>
                <w:szCs w:val="18"/>
              </w:rPr>
              <w:t>3</w:t>
            </w:r>
            <w:r>
              <w:rPr>
                <w:rFonts w:ascii="Arial" w:hAnsi="Arial" w:cs="Arial"/>
                <w:spacing w:val="10"/>
                <w:w w:val="110"/>
                <w:sz w:val="18"/>
                <w:szCs w:val="18"/>
              </w:rPr>
              <w:t xml:space="preserve"> </w:t>
            </w:r>
            <w:r>
              <w:rPr>
                <w:rFonts w:ascii="Arial" w:hAnsi="Arial" w:cs="Arial"/>
                <w:spacing w:val="-12"/>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68503B7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5.75</w:t>
            </w:r>
          </w:p>
        </w:tc>
        <w:tc>
          <w:tcPr>
            <w:tcW w:w="695" w:type="dxa"/>
            <w:tcBorders>
              <w:top w:val="single" w:sz="4" w:space="0" w:color="000000"/>
              <w:left w:val="single" w:sz="4" w:space="0" w:color="000000"/>
              <w:bottom w:val="single" w:sz="4" w:space="0" w:color="000000"/>
              <w:right w:val="single" w:sz="4" w:space="0" w:color="000000"/>
            </w:tcBorders>
          </w:tcPr>
          <w:p w14:paraId="6907480F" w14:textId="77777777" w:rsidR="00D3344B" w:rsidRDefault="00143C25">
            <w:pPr>
              <w:pStyle w:val="TableParagraph"/>
              <w:rPr>
                <w:rFonts w:ascii="Arial" w:hAnsi="Arial" w:cs="Arial"/>
                <w:sz w:val="18"/>
                <w:szCs w:val="18"/>
              </w:rPr>
            </w:pPr>
            <w:r>
              <w:rPr>
                <w:rFonts w:ascii="Arial" w:hAnsi="Arial" w:cs="Arial"/>
                <w:spacing w:val="-4"/>
                <w:w w:val="115"/>
                <w:sz w:val="18"/>
                <w:szCs w:val="18"/>
              </w:rPr>
              <w:t>5.00</w:t>
            </w:r>
          </w:p>
        </w:tc>
        <w:tc>
          <w:tcPr>
            <w:tcW w:w="699" w:type="dxa"/>
            <w:tcBorders>
              <w:top w:val="single" w:sz="4" w:space="0" w:color="000000"/>
              <w:left w:val="single" w:sz="4" w:space="0" w:color="000000"/>
              <w:bottom w:val="single" w:sz="4" w:space="0" w:color="000000"/>
              <w:right w:val="single" w:sz="4" w:space="0" w:color="000000"/>
            </w:tcBorders>
          </w:tcPr>
          <w:p w14:paraId="576447E1" w14:textId="77777777" w:rsidR="00D3344B" w:rsidRDefault="00143C25">
            <w:pPr>
              <w:pStyle w:val="TableParagraph"/>
              <w:rPr>
                <w:rFonts w:ascii="Arial" w:hAnsi="Arial" w:cs="Arial"/>
                <w:sz w:val="18"/>
                <w:szCs w:val="18"/>
              </w:rPr>
            </w:pPr>
            <w:r>
              <w:rPr>
                <w:rFonts w:ascii="Arial" w:hAnsi="Arial" w:cs="Arial"/>
                <w:spacing w:val="-4"/>
                <w:w w:val="115"/>
                <w:sz w:val="18"/>
                <w:szCs w:val="18"/>
              </w:rPr>
              <w:t>4.50</w:t>
            </w:r>
          </w:p>
        </w:tc>
        <w:tc>
          <w:tcPr>
            <w:tcW w:w="699" w:type="dxa"/>
            <w:tcBorders>
              <w:top w:val="single" w:sz="4" w:space="0" w:color="000000"/>
              <w:left w:val="single" w:sz="4" w:space="0" w:color="000000"/>
              <w:bottom w:val="single" w:sz="4" w:space="0" w:color="000000"/>
              <w:right w:val="single" w:sz="4" w:space="0" w:color="000000"/>
            </w:tcBorders>
          </w:tcPr>
          <w:p w14:paraId="3D267A2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696" w:type="dxa"/>
            <w:tcBorders>
              <w:top w:val="single" w:sz="4" w:space="0" w:color="000000"/>
              <w:left w:val="single" w:sz="4" w:space="0" w:color="000000"/>
              <w:bottom w:val="single" w:sz="4" w:space="0" w:color="000000"/>
              <w:right w:val="single" w:sz="4" w:space="0" w:color="000000"/>
            </w:tcBorders>
          </w:tcPr>
          <w:p w14:paraId="0829D85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3.25</w:t>
            </w:r>
          </w:p>
        </w:tc>
        <w:tc>
          <w:tcPr>
            <w:tcW w:w="527" w:type="dxa"/>
            <w:tcBorders>
              <w:top w:val="single" w:sz="4" w:space="0" w:color="000000"/>
              <w:left w:val="single" w:sz="4" w:space="0" w:color="000000"/>
              <w:bottom w:val="single" w:sz="4" w:space="0" w:color="000000"/>
              <w:right w:val="single" w:sz="4" w:space="0" w:color="000000"/>
            </w:tcBorders>
          </w:tcPr>
          <w:p w14:paraId="485DE3E4" w14:textId="77777777" w:rsidR="00D3344B" w:rsidRDefault="00D3344B">
            <w:pPr>
              <w:pStyle w:val="TableParagraph"/>
              <w:rPr>
                <w:rFonts w:ascii="Arial" w:hAnsi="Arial" w:cs="Arial"/>
                <w:sz w:val="18"/>
                <w:szCs w:val="18"/>
              </w:rPr>
            </w:pPr>
          </w:p>
        </w:tc>
      </w:tr>
      <w:tr w:rsidR="00D3344B" w14:paraId="45BFE2EF"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7291BE47"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5C3D9610"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Abdomen</w:t>
            </w:r>
            <w:r>
              <w:rPr>
                <w:rFonts w:ascii="Arial" w:hAnsi="Arial" w:cs="Arial"/>
                <w:spacing w:val="7"/>
                <w:w w:val="110"/>
                <w:sz w:val="18"/>
                <w:szCs w:val="18"/>
              </w:rPr>
              <w:t xml:space="preserve"> </w:t>
            </w:r>
            <w:r>
              <w:rPr>
                <w:rFonts w:ascii="Arial" w:hAnsi="Arial" w:cs="Arial"/>
                <w:w w:val="110"/>
                <w:sz w:val="18"/>
                <w:szCs w:val="18"/>
              </w:rPr>
              <w:t>4</w:t>
            </w:r>
            <w:r>
              <w:rPr>
                <w:rFonts w:ascii="Arial" w:hAnsi="Arial" w:cs="Arial"/>
                <w:spacing w:val="10"/>
                <w:w w:val="110"/>
                <w:sz w:val="18"/>
                <w:szCs w:val="18"/>
              </w:rPr>
              <w:t xml:space="preserve"> </w:t>
            </w:r>
            <w:r>
              <w:rPr>
                <w:rFonts w:ascii="Arial" w:hAnsi="Arial" w:cs="Arial"/>
                <w:spacing w:val="-12"/>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41B2CFC9"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7.50</w:t>
            </w:r>
          </w:p>
        </w:tc>
        <w:tc>
          <w:tcPr>
            <w:tcW w:w="695" w:type="dxa"/>
            <w:tcBorders>
              <w:top w:val="single" w:sz="4" w:space="0" w:color="000000"/>
              <w:left w:val="single" w:sz="4" w:space="0" w:color="000000"/>
              <w:bottom w:val="single" w:sz="4" w:space="0" w:color="000000"/>
              <w:right w:val="single" w:sz="4" w:space="0" w:color="000000"/>
            </w:tcBorders>
          </w:tcPr>
          <w:p w14:paraId="03DA220C"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7.00</w:t>
            </w:r>
          </w:p>
        </w:tc>
        <w:tc>
          <w:tcPr>
            <w:tcW w:w="699" w:type="dxa"/>
            <w:tcBorders>
              <w:top w:val="single" w:sz="4" w:space="0" w:color="000000"/>
              <w:left w:val="single" w:sz="4" w:space="0" w:color="000000"/>
              <w:bottom w:val="single" w:sz="4" w:space="0" w:color="000000"/>
              <w:right w:val="single" w:sz="4" w:space="0" w:color="000000"/>
            </w:tcBorders>
          </w:tcPr>
          <w:p w14:paraId="6258D989"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6.25</w:t>
            </w:r>
          </w:p>
        </w:tc>
        <w:tc>
          <w:tcPr>
            <w:tcW w:w="699" w:type="dxa"/>
            <w:tcBorders>
              <w:top w:val="single" w:sz="4" w:space="0" w:color="000000"/>
              <w:left w:val="single" w:sz="4" w:space="0" w:color="000000"/>
              <w:bottom w:val="single" w:sz="4" w:space="0" w:color="000000"/>
              <w:right w:val="single" w:sz="4" w:space="0" w:color="000000"/>
            </w:tcBorders>
          </w:tcPr>
          <w:p w14:paraId="059E38EF"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5.75</w:t>
            </w:r>
          </w:p>
        </w:tc>
        <w:tc>
          <w:tcPr>
            <w:tcW w:w="696" w:type="dxa"/>
            <w:tcBorders>
              <w:top w:val="single" w:sz="4" w:space="0" w:color="000000"/>
              <w:left w:val="single" w:sz="4" w:space="0" w:color="000000"/>
              <w:bottom w:val="single" w:sz="4" w:space="0" w:color="000000"/>
              <w:right w:val="single" w:sz="4" w:space="0" w:color="000000"/>
            </w:tcBorders>
          </w:tcPr>
          <w:p w14:paraId="21FAEC56"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5.00</w:t>
            </w:r>
          </w:p>
        </w:tc>
        <w:tc>
          <w:tcPr>
            <w:tcW w:w="527" w:type="dxa"/>
            <w:tcBorders>
              <w:top w:val="single" w:sz="4" w:space="0" w:color="000000"/>
              <w:left w:val="single" w:sz="4" w:space="0" w:color="000000"/>
              <w:bottom w:val="single" w:sz="4" w:space="0" w:color="000000"/>
              <w:right w:val="single" w:sz="4" w:space="0" w:color="000000"/>
            </w:tcBorders>
          </w:tcPr>
          <w:p w14:paraId="32496BF8" w14:textId="77777777" w:rsidR="00D3344B" w:rsidRDefault="00D3344B">
            <w:pPr>
              <w:pStyle w:val="TableParagraph"/>
              <w:rPr>
                <w:rFonts w:ascii="Arial" w:hAnsi="Arial" w:cs="Arial"/>
                <w:sz w:val="18"/>
                <w:szCs w:val="18"/>
              </w:rPr>
            </w:pPr>
          </w:p>
        </w:tc>
      </w:tr>
      <w:tr w:rsidR="00D3344B" w14:paraId="5127CB8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D71BC7E"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005</w:t>
            </w:r>
          </w:p>
        </w:tc>
        <w:tc>
          <w:tcPr>
            <w:tcW w:w="3038" w:type="dxa"/>
            <w:tcBorders>
              <w:top w:val="single" w:sz="4" w:space="0" w:color="000000"/>
              <w:left w:val="single" w:sz="4" w:space="0" w:color="000000"/>
              <w:bottom w:val="single" w:sz="4" w:space="0" w:color="000000"/>
              <w:right w:val="single" w:sz="4" w:space="0" w:color="000000"/>
            </w:tcBorders>
          </w:tcPr>
          <w:p w14:paraId="3F592D87"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Antebrazo</w:t>
            </w:r>
            <w:r>
              <w:rPr>
                <w:rFonts w:ascii="Arial" w:hAnsi="Arial" w:cs="Arial"/>
                <w:spacing w:val="-12"/>
                <w:w w:val="110"/>
                <w:sz w:val="18"/>
                <w:szCs w:val="18"/>
              </w:rPr>
              <w:t xml:space="preserve"> </w:t>
            </w:r>
            <w:r>
              <w:rPr>
                <w:rFonts w:ascii="Arial" w:hAnsi="Arial" w:cs="Arial"/>
                <w:w w:val="110"/>
                <w:sz w:val="18"/>
                <w:szCs w:val="18"/>
              </w:rPr>
              <w:t>(radio</w:t>
            </w:r>
            <w:r>
              <w:rPr>
                <w:rFonts w:ascii="Arial" w:hAnsi="Arial" w:cs="Arial"/>
                <w:spacing w:val="-12"/>
                <w:w w:val="110"/>
                <w:sz w:val="18"/>
                <w:szCs w:val="18"/>
              </w:rPr>
              <w:t xml:space="preserve"> </w:t>
            </w:r>
            <w:r>
              <w:rPr>
                <w:rFonts w:ascii="Arial" w:hAnsi="Arial" w:cs="Arial"/>
                <w:w w:val="110"/>
                <w:sz w:val="18"/>
                <w:szCs w:val="18"/>
              </w:rPr>
              <w:t>y</w:t>
            </w:r>
            <w:r>
              <w:rPr>
                <w:rFonts w:ascii="Arial" w:hAnsi="Arial" w:cs="Arial"/>
                <w:spacing w:val="-12"/>
                <w:w w:val="110"/>
                <w:sz w:val="18"/>
                <w:szCs w:val="18"/>
              </w:rPr>
              <w:t xml:space="preserve"> </w:t>
            </w:r>
            <w:r>
              <w:rPr>
                <w:rFonts w:ascii="Arial" w:hAnsi="Arial" w:cs="Arial"/>
                <w:w w:val="110"/>
                <w:sz w:val="18"/>
                <w:szCs w:val="18"/>
              </w:rPr>
              <w:t>cubito)</w:t>
            </w:r>
            <w:r>
              <w:rPr>
                <w:rFonts w:ascii="Arial" w:hAnsi="Arial" w:cs="Arial"/>
                <w:spacing w:val="-12"/>
                <w:w w:val="110"/>
                <w:sz w:val="18"/>
                <w:szCs w:val="18"/>
              </w:rPr>
              <w:t xml:space="preserve"> </w:t>
            </w:r>
            <w:r>
              <w:rPr>
                <w:rFonts w:ascii="Arial" w:hAnsi="Arial" w:cs="Arial"/>
                <w:w w:val="110"/>
                <w:sz w:val="18"/>
                <w:szCs w:val="18"/>
              </w:rPr>
              <w:t>2</w:t>
            </w:r>
            <w:r>
              <w:rPr>
                <w:rFonts w:ascii="Arial" w:hAnsi="Arial" w:cs="Arial"/>
                <w:spacing w:val="23"/>
                <w:w w:val="110"/>
                <w:sz w:val="18"/>
                <w:szCs w:val="18"/>
              </w:rPr>
              <w:t xml:space="preserve"> </w:t>
            </w:r>
            <w:r>
              <w:rPr>
                <w:rFonts w:ascii="Arial" w:hAnsi="Arial" w:cs="Arial"/>
                <w:w w:val="110"/>
                <w:sz w:val="18"/>
                <w:szCs w:val="18"/>
              </w:rPr>
              <w:t xml:space="preserve">P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5B346257"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03AD9CB2"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3660FA28"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4169B1C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0ED6636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51AF67A3" w14:textId="77777777" w:rsidR="00D3344B" w:rsidRDefault="00D3344B">
            <w:pPr>
              <w:pStyle w:val="TableParagraph"/>
              <w:rPr>
                <w:rFonts w:ascii="Arial" w:hAnsi="Arial" w:cs="Arial"/>
                <w:sz w:val="18"/>
                <w:szCs w:val="18"/>
              </w:rPr>
            </w:pPr>
          </w:p>
        </w:tc>
      </w:tr>
      <w:tr w:rsidR="00D3344B" w14:paraId="3A04E378"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7EB7E8C9" w14:textId="77777777" w:rsidR="00D3344B" w:rsidRDefault="00D3344B">
            <w:pPr>
              <w:pStyle w:val="TableParagraph"/>
              <w:spacing w:before="9"/>
              <w:rPr>
                <w:rFonts w:ascii="Arial" w:hAnsi="Arial" w:cs="Arial"/>
                <w:sz w:val="18"/>
                <w:szCs w:val="18"/>
              </w:rPr>
            </w:pPr>
          </w:p>
          <w:p w14:paraId="706A52B0"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006</w:t>
            </w:r>
          </w:p>
        </w:tc>
        <w:tc>
          <w:tcPr>
            <w:tcW w:w="3038" w:type="dxa"/>
            <w:tcBorders>
              <w:top w:val="single" w:sz="4" w:space="0" w:color="000000"/>
              <w:left w:val="single" w:sz="4" w:space="0" w:color="000000"/>
              <w:bottom w:val="single" w:sz="4" w:space="0" w:color="000000"/>
              <w:right w:val="single" w:sz="4" w:space="0" w:color="000000"/>
            </w:tcBorders>
          </w:tcPr>
          <w:p w14:paraId="39F32AE4" w14:textId="77777777" w:rsidR="00D3344B" w:rsidRDefault="00143C25">
            <w:pPr>
              <w:pStyle w:val="TableParagraph"/>
              <w:tabs>
                <w:tab w:val="left" w:pos="1560"/>
              </w:tabs>
              <w:spacing w:line="249" w:lineRule="exact"/>
              <w:rPr>
                <w:rFonts w:ascii="Arial" w:hAnsi="Arial" w:cs="Arial"/>
                <w:sz w:val="18"/>
                <w:szCs w:val="18"/>
              </w:rPr>
            </w:pPr>
            <w:r>
              <w:rPr>
                <w:rFonts w:ascii="Arial" w:hAnsi="Arial" w:cs="Arial"/>
                <w:spacing w:val="-2"/>
                <w:w w:val="115"/>
                <w:sz w:val="18"/>
                <w:szCs w:val="18"/>
              </w:rPr>
              <w:t>Articulación</w:t>
            </w:r>
            <w:r>
              <w:rPr>
                <w:rFonts w:ascii="Arial" w:hAnsi="Arial" w:cs="Arial"/>
                <w:sz w:val="18"/>
                <w:szCs w:val="18"/>
              </w:rPr>
              <w:tab/>
            </w:r>
            <w:r>
              <w:rPr>
                <w:rFonts w:ascii="Arial" w:hAnsi="Arial" w:cs="Arial"/>
                <w:spacing w:val="-2"/>
                <w:w w:val="115"/>
                <w:sz w:val="18"/>
                <w:szCs w:val="18"/>
              </w:rPr>
              <w:t>acromio-</w:t>
            </w:r>
          </w:p>
          <w:p w14:paraId="40C13788" w14:textId="77777777" w:rsidR="00D3344B" w:rsidRDefault="00143C25">
            <w:pPr>
              <w:pStyle w:val="TableParagraph"/>
              <w:tabs>
                <w:tab w:val="left" w:pos="1190"/>
              </w:tabs>
              <w:spacing w:line="252" w:lineRule="exact"/>
              <w:ind w:right="530"/>
              <w:rPr>
                <w:rFonts w:ascii="Arial" w:hAnsi="Arial" w:cs="Arial"/>
                <w:sz w:val="18"/>
                <w:szCs w:val="18"/>
              </w:rPr>
            </w:pPr>
            <w:r>
              <w:rPr>
                <w:rFonts w:ascii="Arial" w:hAnsi="Arial" w:cs="Arial"/>
                <w:spacing w:val="-2"/>
                <w:w w:val="110"/>
                <w:sz w:val="18"/>
                <w:szCs w:val="18"/>
              </w:rPr>
              <w:t>clavicular</w:t>
            </w:r>
            <w:r>
              <w:rPr>
                <w:rFonts w:ascii="Arial" w:hAnsi="Arial" w:cs="Arial"/>
                <w:sz w:val="18"/>
                <w:szCs w:val="18"/>
              </w:rPr>
              <w:tab/>
            </w:r>
            <w:r>
              <w:rPr>
                <w:rFonts w:ascii="Arial" w:hAnsi="Arial" w:cs="Arial"/>
                <w:spacing w:val="-6"/>
                <w:w w:val="110"/>
                <w:sz w:val="18"/>
                <w:szCs w:val="18"/>
              </w:rPr>
              <w:t xml:space="preserve">(comparativa) </w:t>
            </w:r>
            <w:r>
              <w:rPr>
                <w:rFonts w:ascii="Arial" w:hAnsi="Arial" w:cs="Arial"/>
                <w:w w:val="110"/>
                <w:sz w:val="18"/>
                <w:szCs w:val="18"/>
              </w:rPr>
              <w:t xml:space="preserve">método de </w:t>
            </w:r>
            <w:proofErr w:type="spellStart"/>
            <w:r>
              <w:rPr>
                <w:rFonts w:ascii="Arial" w:hAnsi="Arial" w:cs="Arial"/>
                <w:w w:val="110"/>
                <w:sz w:val="18"/>
                <w:szCs w:val="18"/>
              </w:rPr>
              <w:t>pearson</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4F7C39EB" w14:textId="77777777" w:rsidR="00D3344B" w:rsidRDefault="00D3344B">
            <w:pPr>
              <w:pStyle w:val="TableParagraph"/>
              <w:spacing w:before="9"/>
              <w:rPr>
                <w:rFonts w:ascii="Arial" w:hAnsi="Arial" w:cs="Arial"/>
                <w:sz w:val="18"/>
                <w:szCs w:val="18"/>
              </w:rPr>
            </w:pPr>
          </w:p>
          <w:p w14:paraId="6BC6BA3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3.00</w:t>
            </w:r>
          </w:p>
        </w:tc>
        <w:tc>
          <w:tcPr>
            <w:tcW w:w="695" w:type="dxa"/>
            <w:tcBorders>
              <w:top w:val="single" w:sz="4" w:space="0" w:color="000000"/>
              <w:left w:val="single" w:sz="4" w:space="0" w:color="000000"/>
              <w:bottom w:val="single" w:sz="4" w:space="0" w:color="000000"/>
              <w:right w:val="single" w:sz="4" w:space="0" w:color="000000"/>
            </w:tcBorders>
          </w:tcPr>
          <w:p w14:paraId="41E2EBFB" w14:textId="77777777" w:rsidR="00D3344B" w:rsidRDefault="00D3344B">
            <w:pPr>
              <w:pStyle w:val="TableParagraph"/>
              <w:spacing w:before="9"/>
              <w:rPr>
                <w:rFonts w:ascii="Arial" w:hAnsi="Arial" w:cs="Arial"/>
                <w:sz w:val="18"/>
                <w:szCs w:val="18"/>
              </w:rPr>
            </w:pPr>
          </w:p>
          <w:p w14:paraId="3983DCEB"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12BEE9F5" w14:textId="77777777" w:rsidR="00D3344B" w:rsidRDefault="00D3344B">
            <w:pPr>
              <w:pStyle w:val="TableParagraph"/>
              <w:spacing w:before="9"/>
              <w:rPr>
                <w:rFonts w:ascii="Arial" w:hAnsi="Arial" w:cs="Arial"/>
                <w:sz w:val="18"/>
                <w:szCs w:val="18"/>
              </w:rPr>
            </w:pPr>
          </w:p>
          <w:p w14:paraId="41221387"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5353EC5F" w14:textId="77777777" w:rsidR="00D3344B" w:rsidRDefault="00D3344B">
            <w:pPr>
              <w:pStyle w:val="TableParagraph"/>
              <w:spacing w:before="9"/>
              <w:rPr>
                <w:rFonts w:ascii="Arial" w:hAnsi="Arial" w:cs="Arial"/>
                <w:sz w:val="18"/>
                <w:szCs w:val="18"/>
              </w:rPr>
            </w:pPr>
          </w:p>
          <w:p w14:paraId="559FD98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70698BF3" w14:textId="77777777" w:rsidR="00D3344B" w:rsidRDefault="00D3344B">
            <w:pPr>
              <w:pStyle w:val="TableParagraph"/>
              <w:spacing w:before="9"/>
              <w:rPr>
                <w:rFonts w:ascii="Arial" w:hAnsi="Arial" w:cs="Arial"/>
                <w:sz w:val="18"/>
                <w:szCs w:val="18"/>
              </w:rPr>
            </w:pPr>
          </w:p>
          <w:p w14:paraId="1C2ADD0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336EBAE6" w14:textId="77777777" w:rsidR="00D3344B" w:rsidRDefault="00D3344B">
            <w:pPr>
              <w:pStyle w:val="TableParagraph"/>
              <w:rPr>
                <w:rFonts w:ascii="Arial" w:hAnsi="Arial" w:cs="Arial"/>
                <w:sz w:val="18"/>
                <w:szCs w:val="18"/>
              </w:rPr>
            </w:pPr>
          </w:p>
        </w:tc>
      </w:tr>
      <w:tr w:rsidR="00D3344B" w14:paraId="20F5AE61" w14:textId="77777777">
        <w:trPr>
          <w:trHeight w:val="1009"/>
        </w:trPr>
        <w:tc>
          <w:tcPr>
            <w:tcW w:w="1776" w:type="dxa"/>
            <w:tcBorders>
              <w:top w:val="single" w:sz="4" w:space="0" w:color="000000"/>
              <w:left w:val="single" w:sz="4" w:space="0" w:color="000000"/>
              <w:bottom w:val="single" w:sz="4" w:space="0" w:color="000000"/>
              <w:right w:val="single" w:sz="4" w:space="0" w:color="000000"/>
            </w:tcBorders>
          </w:tcPr>
          <w:p w14:paraId="68974B3B" w14:textId="77777777" w:rsidR="00D3344B" w:rsidRDefault="00D3344B">
            <w:pPr>
              <w:pStyle w:val="TableParagraph"/>
              <w:spacing w:before="8"/>
              <w:rPr>
                <w:rFonts w:ascii="Arial" w:hAnsi="Arial" w:cs="Arial"/>
                <w:sz w:val="18"/>
                <w:szCs w:val="18"/>
              </w:rPr>
            </w:pPr>
          </w:p>
          <w:p w14:paraId="0F2E1212"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007</w:t>
            </w:r>
          </w:p>
        </w:tc>
        <w:tc>
          <w:tcPr>
            <w:tcW w:w="3038" w:type="dxa"/>
            <w:tcBorders>
              <w:top w:val="single" w:sz="4" w:space="0" w:color="000000"/>
              <w:left w:val="single" w:sz="4" w:space="0" w:color="000000"/>
              <w:bottom w:val="single" w:sz="4" w:space="0" w:color="000000"/>
              <w:right w:val="single" w:sz="4" w:space="0" w:color="000000"/>
            </w:tcBorders>
          </w:tcPr>
          <w:p w14:paraId="7577E4C6" w14:textId="77777777" w:rsidR="00D3344B" w:rsidRDefault="00143C25">
            <w:pPr>
              <w:pStyle w:val="TableParagraph"/>
              <w:tabs>
                <w:tab w:val="left" w:pos="1190"/>
                <w:tab w:val="left" w:pos="1560"/>
              </w:tabs>
              <w:rPr>
                <w:rFonts w:ascii="Arial" w:hAnsi="Arial" w:cs="Arial"/>
                <w:sz w:val="18"/>
                <w:szCs w:val="18"/>
              </w:rPr>
            </w:pPr>
            <w:r>
              <w:rPr>
                <w:rFonts w:ascii="Arial" w:hAnsi="Arial" w:cs="Arial"/>
                <w:spacing w:val="-2"/>
                <w:w w:val="110"/>
                <w:sz w:val="18"/>
                <w:szCs w:val="18"/>
              </w:rPr>
              <w:t>Articulación</w:t>
            </w:r>
            <w:r>
              <w:rPr>
                <w:rFonts w:ascii="Arial" w:hAnsi="Arial" w:cs="Arial"/>
                <w:sz w:val="18"/>
                <w:szCs w:val="18"/>
              </w:rPr>
              <w:tab/>
            </w:r>
            <w:r>
              <w:rPr>
                <w:rFonts w:ascii="Arial" w:hAnsi="Arial" w:cs="Arial"/>
                <w:sz w:val="18"/>
                <w:szCs w:val="18"/>
              </w:rPr>
              <w:tab/>
            </w:r>
            <w:r>
              <w:rPr>
                <w:rFonts w:ascii="Arial" w:hAnsi="Arial" w:cs="Arial"/>
                <w:spacing w:val="-2"/>
                <w:w w:val="110"/>
                <w:sz w:val="18"/>
                <w:szCs w:val="18"/>
              </w:rPr>
              <w:t>acromio- clavicular</w:t>
            </w:r>
            <w:r>
              <w:rPr>
                <w:rFonts w:ascii="Arial" w:hAnsi="Arial" w:cs="Arial"/>
                <w:sz w:val="18"/>
                <w:szCs w:val="18"/>
              </w:rPr>
              <w:tab/>
            </w:r>
            <w:r>
              <w:rPr>
                <w:rFonts w:ascii="Arial" w:hAnsi="Arial" w:cs="Arial"/>
                <w:spacing w:val="-2"/>
                <w:w w:val="110"/>
                <w:sz w:val="18"/>
                <w:szCs w:val="18"/>
              </w:rPr>
              <w:t xml:space="preserve">(comparativa) </w:t>
            </w:r>
            <w:r>
              <w:rPr>
                <w:rFonts w:ascii="Arial" w:hAnsi="Arial" w:cs="Arial"/>
                <w:w w:val="110"/>
                <w:sz w:val="18"/>
                <w:szCs w:val="18"/>
              </w:rPr>
              <w:t>neutra</w:t>
            </w:r>
            <w:r>
              <w:rPr>
                <w:rFonts w:ascii="Arial" w:hAnsi="Arial" w:cs="Arial"/>
                <w:spacing w:val="40"/>
                <w:w w:val="110"/>
                <w:sz w:val="18"/>
                <w:szCs w:val="18"/>
              </w:rPr>
              <w:t xml:space="preserve"> </w:t>
            </w:r>
            <w:r>
              <w:rPr>
                <w:rFonts w:ascii="Arial" w:hAnsi="Arial" w:cs="Arial"/>
                <w:w w:val="110"/>
                <w:sz w:val="18"/>
                <w:szCs w:val="18"/>
              </w:rPr>
              <w:t>y</w:t>
            </w:r>
            <w:r>
              <w:rPr>
                <w:rFonts w:ascii="Arial" w:hAnsi="Arial" w:cs="Arial"/>
                <w:spacing w:val="40"/>
                <w:w w:val="110"/>
                <w:sz w:val="18"/>
                <w:szCs w:val="18"/>
              </w:rPr>
              <w:t xml:space="preserve"> </w:t>
            </w:r>
            <w:r>
              <w:rPr>
                <w:rFonts w:ascii="Arial" w:hAnsi="Arial" w:cs="Arial"/>
                <w:w w:val="110"/>
                <w:sz w:val="18"/>
                <w:szCs w:val="18"/>
              </w:rPr>
              <w:t>con</w:t>
            </w:r>
            <w:r>
              <w:rPr>
                <w:rFonts w:ascii="Arial" w:hAnsi="Arial" w:cs="Arial"/>
                <w:spacing w:val="40"/>
                <w:w w:val="110"/>
                <w:sz w:val="18"/>
                <w:szCs w:val="18"/>
              </w:rPr>
              <w:t xml:space="preserve"> </w:t>
            </w:r>
            <w:r>
              <w:rPr>
                <w:rFonts w:ascii="Arial" w:hAnsi="Arial" w:cs="Arial"/>
                <w:w w:val="110"/>
                <w:sz w:val="18"/>
                <w:szCs w:val="18"/>
              </w:rPr>
              <w:t>peso</w:t>
            </w:r>
            <w:r>
              <w:rPr>
                <w:rFonts w:ascii="Arial" w:hAnsi="Arial" w:cs="Arial"/>
                <w:spacing w:val="40"/>
                <w:w w:val="110"/>
                <w:sz w:val="18"/>
                <w:szCs w:val="18"/>
              </w:rPr>
              <w:t xml:space="preserve"> </w:t>
            </w:r>
            <w:r>
              <w:rPr>
                <w:rFonts w:ascii="Arial" w:hAnsi="Arial" w:cs="Arial"/>
                <w:w w:val="110"/>
                <w:sz w:val="18"/>
                <w:szCs w:val="18"/>
              </w:rPr>
              <w:t>método</w:t>
            </w:r>
            <w:r>
              <w:rPr>
                <w:rFonts w:ascii="Arial" w:hAnsi="Arial" w:cs="Arial"/>
                <w:spacing w:val="40"/>
                <w:w w:val="110"/>
                <w:sz w:val="18"/>
                <w:szCs w:val="18"/>
              </w:rPr>
              <w:t xml:space="preserve"> </w:t>
            </w:r>
            <w:r>
              <w:rPr>
                <w:rFonts w:ascii="Arial" w:hAnsi="Arial" w:cs="Arial"/>
                <w:w w:val="110"/>
                <w:sz w:val="18"/>
                <w:szCs w:val="18"/>
              </w:rPr>
              <w:t>de</w:t>
            </w:r>
          </w:p>
          <w:p w14:paraId="13906E87" w14:textId="77777777" w:rsidR="00D3344B" w:rsidRDefault="00143C25">
            <w:pPr>
              <w:pStyle w:val="TableParagraph"/>
              <w:spacing w:line="233" w:lineRule="exact"/>
              <w:rPr>
                <w:rFonts w:ascii="Arial" w:hAnsi="Arial" w:cs="Arial"/>
                <w:sz w:val="18"/>
                <w:szCs w:val="18"/>
              </w:rPr>
            </w:pPr>
            <w:proofErr w:type="spellStart"/>
            <w:r>
              <w:rPr>
                <w:rFonts w:ascii="Arial" w:hAnsi="Arial" w:cs="Arial"/>
                <w:spacing w:val="-2"/>
                <w:w w:val="110"/>
                <w:sz w:val="18"/>
                <w:szCs w:val="18"/>
              </w:rPr>
              <w:t>pearson</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26ECE86B" w14:textId="77777777" w:rsidR="00D3344B" w:rsidRDefault="00D3344B">
            <w:pPr>
              <w:pStyle w:val="TableParagraph"/>
              <w:spacing w:before="8"/>
              <w:rPr>
                <w:rFonts w:ascii="Arial" w:hAnsi="Arial" w:cs="Arial"/>
                <w:sz w:val="18"/>
                <w:szCs w:val="18"/>
              </w:rPr>
            </w:pPr>
          </w:p>
          <w:p w14:paraId="699D0D43"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5.50</w:t>
            </w:r>
          </w:p>
        </w:tc>
        <w:tc>
          <w:tcPr>
            <w:tcW w:w="695" w:type="dxa"/>
            <w:tcBorders>
              <w:top w:val="single" w:sz="4" w:space="0" w:color="000000"/>
              <w:left w:val="single" w:sz="4" w:space="0" w:color="000000"/>
              <w:bottom w:val="single" w:sz="4" w:space="0" w:color="000000"/>
              <w:right w:val="single" w:sz="4" w:space="0" w:color="000000"/>
            </w:tcBorders>
          </w:tcPr>
          <w:p w14:paraId="4912AC9D" w14:textId="77777777" w:rsidR="00D3344B" w:rsidRDefault="00D3344B">
            <w:pPr>
              <w:pStyle w:val="TableParagraph"/>
              <w:spacing w:before="8"/>
              <w:rPr>
                <w:rFonts w:ascii="Arial" w:hAnsi="Arial" w:cs="Arial"/>
                <w:sz w:val="18"/>
                <w:szCs w:val="18"/>
              </w:rPr>
            </w:pPr>
          </w:p>
          <w:p w14:paraId="6C74E4B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5.00</w:t>
            </w:r>
          </w:p>
        </w:tc>
        <w:tc>
          <w:tcPr>
            <w:tcW w:w="699" w:type="dxa"/>
            <w:tcBorders>
              <w:top w:val="single" w:sz="4" w:space="0" w:color="000000"/>
              <w:left w:val="single" w:sz="4" w:space="0" w:color="000000"/>
              <w:bottom w:val="single" w:sz="4" w:space="0" w:color="000000"/>
              <w:right w:val="single" w:sz="4" w:space="0" w:color="000000"/>
            </w:tcBorders>
          </w:tcPr>
          <w:p w14:paraId="5B782177" w14:textId="77777777" w:rsidR="00D3344B" w:rsidRDefault="00D3344B">
            <w:pPr>
              <w:pStyle w:val="TableParagraph"/>
              <w:spacing w:before="8"/>
              <w:rPr>
                <w:rFonts w:ascii="Arial" w:hAnsi="Arial" w:cs="Arial"/>
                <w:sz w:val="18"/>
                <w:szCs w:val="18"/>
              </w:rPr>
            </w:pPr>
          </w:p>
          <w:p w14:paraId="2AA8C75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27F45123" w14:textId="77777777" w:rsidR="00D3344B" w:rsidRDefault="00D3344B">
            <w:pPr>
              <w:pStyle w:val="TableParagraph"/>
              <w:spacing w:before="8"/>
              <w:rPr>
                <w:rFonts w:ascii="Arial" w:hAnsi="Arial" w:cs="Arial"/>
                <w:sz w:val="18"/>
                <w:szCs w:val="18"/>
              </w:rPr>
            </w:pPr>
          </w:p>
          <w:p w14:paraId="62D9813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4D3EB1C2" w14:textId="77777777" w:rsidR="00D3344B" w:rsidRDefault="00D3344B">
            <w:pPr>
              <w:pStyle w:val="TableParagraph"/>
              <w:spacing w:before="8"/>
              <w:rPr>
                <w:rFonts w:ascii="Arial" w:hAnsi="Arial" w:cs="Arial"/>
                <w:sz w:val="18"/>
                <w:szCs w:val="18"/>
              </w:rPr>
            </w:pPr>
          </w:p>
          <w:p w14:paraId="793641B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4.25</w:t>
            </w:r>
          </w:p>
        </w:tc>
        <w:tc>
          <w:tcPr>
            <w:tcW w:w="527" w:type="dxa"/>
            <w:tcBorders>
              <w:top w:val="single" w:sz="4" w:space="0" w:color="000000"/>
              <w:left w:val="single" w:sz="4" w:space="0" w:color="000000"/>
              <w:bottom w:val="single" w:sz="4" w:space="0" w:color="000000"/>
              <w:right w:val="single" w:sz="4" w:space="0" w:color="000000"/>
            </w:tcBorders>
          </w:tcPr>
          <w:p w14:paraId="31839B9D" w14:textId="77777777" w:rsidR="00D3344B" w:rsidRDefault="00D3344B">
            <w:pPr>
              <w:pStyle w:val="TableParagraph"/>
              <w:rPr>
                <w:rFonts w:ascii="Arial" w:hAnsi="Arial" w:cs="Arial"/>
                <w:sz w:val="18"/>
                <w:szCs w:val="18"/>
              </w:rPr>
            </w:pPr>
          </w:p>
        </w:tc>
      </w:tr>
      <w:tr w:rsidR="00D3344B" w14:paraId="2FF63B8B"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C2F78A3"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008</w:t>
            </w:r>
          </w:p>
        </w:tc>
        <w:tc>
          <w:tcPr>
            <w:tcW w:w="3038" w:type="dxa"/>
            <w:tcBorders>
              <w:top w:val="single" w:sz="4" w:space="0" w:color="000000"/>
              <w:left w:val="single" w:sz="4" w:space="0" w:color="000000"/>
              <w:bottom w:val="single" w:sz="4" w:space="0" w:color="000000"/>
              <w:right w:val="single" w:sz="4" w:space="0" w:color="000000"/>
            </w:tcBorders>
          </w:tcPr>
          <w:p w14:paraId="1433BDF0" w14:textId="77777777" w:rsidR="00D3344B" w:rsidRDefault="00143C25">
            <w:pPr>
              <w:pStyle w:val="TableParagraph"/>
              <w:spacing w:line="252" w:lineRule="exact"/>
              <w:ind w:right="272"/>
              <w:rPr>
                <w:rFonts w:ascii="Arial" w:hAnsi="Arial" w:cs="Arial"/>
                <w:sz w:val="18"/>
                <w:szCs w:val="18"/>
              </w:rPr>
            </w:pPr>
            <w:proofErr w:type="gramStart"/>
            <w:r>
              <w:rPr>
                <w:rFonts w:ascii="Arial" w:hAnsi="Arial" w:cs="Arial"/>
                <w:w w:val="110"/>
                <w:sz w:val="18"/>
                <w:szCs w:val="18"/>
              </w:rPr>
              <w:t>Antebrazo(</w:t>
            </w:r>
            <w:proofErr w:type="gramEnd"/>
            <w:r>
              <w:rPr>
                <w:rFonts w:ascii="Arial" w:hAnsi="Arial" w:cs="Arial"/>
                <w:w w:val="110"/>
                <w:sz w:val="18"/>
                <w:szCs w:val="18"/>
              </w:rPr>
              <w:t>radio y cubito) 2 P unilateral</w:t>
            </w:r>
          </w:p>
        </w:tc>
        <w:tc>
          <w:tcPr>
            <w:tcW w:w="697" w:type="dxa"/>
            <w:tcBorders>
              <w:top w:val="single" w:sz="4" w:space="0" w:color="000000"/>
              <w:left w:val="single" w:sz="4" w:space="0" w:color="000000"/>
              <w:bottom w:val="single" w:sz="4" w:space="0" w:color="000000"/>
              <w:right w:val="single" w:sz="4" w:space="0" w:color="000000"/>
            </w:tcBorders>
          </w:tcPr>
          <w:p w14:paraId="200A66EC"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3.25</w:t>
            </w:r>
          </w:p>
        </w:tc>
        <w:tc>
          <w:tcPr>
            <w:tcW w:w="695" w:type="dxa"/>
            <w:tcBorders>
              <w:top w:val="single" w:sz="4" w:space="0" w:color="000000"/>
              <w:left w:val="single" w:sz="4" w:space="0" w:color="000000"/>
              <w:bottom w:val="single" w:sz="4" w:space="0" w:color="000000"/>
              <w:right w:val="single" w:sz="4" w:space="0" w:color="000000"/>
            </w:tcBorders>
          </w:tcPr>
          <w:p w14:paraId="4A1B313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103B0D4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4478320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5224385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1.75</w:t>
            </w:r>
          </w:p>
        </w:tc>
        <w:tc>
          <w:tcPr>
            <w:tcW w:w="527" w:type="dxa"/>
            <w:tcBorders>
              <w:top w:val="single" w:sz="4" w:space="0" w:color="000000"/>
              <w:left w:val="single" w:sz="4" w:space="0" w:color="000000"/>
              <w:bottom w:val="single" w:sz="4" w:space="0" w:color="000000"/>
              <w:right w:val="single" w:sz="4" w:space="0" w:color="000000"/>
            </w:tcBorders>
          </w:tcPr>
          <w:p w14:paraId="52916C58" w14:textId="77777777" w:rsidR="00D3344B" w:rsidRDefault="00D3344B">
            <w:pPr>
              <w:pStyle w:val="TableParagraph"/>
              <w:rPr>
                <w:rFonts w:ascii="Arial" w:hAnsi="Arial" w:cs="Arial"/>
                <w:sz w:val="18"/>
                <w:szCs w:val="18"/>
              </w:rPr>
            </w:pPr>
          </w:p>
        </w:tc>
      </w:tr>
      <w:tr w:rsidR="00D3344B" w14:paraId="5CBC2886"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4571997"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009</w:t>
            </w:r>
          </w:p>
        </w:tc>
        <w:tc>
          <w:tcPr>
            <w:tcW w:w="3038" w:type="dxa"/>
            <w:tcBorders>
              <w:top w:val="single" w:sz="4" w:space="0" w:color="000000"/>
              <w:left w:val="single" w:sz="4" w:space="0" w:color="000000"/>
              <w:bottom w:val="single" w:sz="4" w:space="0" w:color="000000"/>
              <w:right w:val="single" w:sz="4" w:space="0" w:color="000000"/>
            </w:tcBorders>
          </w:tcPr>
          <w:p w14:paraId="6C7D8461" w14:textId="77777777" w:rsidR="00D3344B" w:rsidRDefault="00143C25">
            <w:pPr>
              <w:pStyle w:val="TableParagraph"/>
              <w:spacing w:before="1"/>
              <w:rPr>
                <w:rFonts w:ascii="Arial" w:hAnsi="Arial" w:cs="Arial"/>
                <w:sz w:val="18"/>
                <w:szCs w:val="18"/>
              </w:rPr>
            </w:pPr>
            <w:r>
              <w:rPr>
                <w:rFonts w:ascii="Arial" w:hAnsi="Arial" w:cs="Arial"/>
                <w:w w:val="110"/>
                <w:sz w:val="18"/>
                <w:szCs w:val="18"/>
              </w:rPr>
              <w:t>Brazo</w:t>
            </w:r>
            <w:r>
              <w:rPr>
                <w:rFonts w:ascii="Arial" w:hAnsi="Arial" w:cs="Arial"/>
                <w:spacing w:val="-6"/>
                <w:w w:val="110"/>
                <w:sz w:val="18"/>
                <w:szCs w:val="18"/>
              </w:rPr>
              <w:t xml:space="preserve"> </w:t>
            </w:r>
            <w:r>
              <w:rPr>
                <w:rFonts w:ascii="Arial" w:hAnsi="Arial" w:cs="Arial"/>
                <w:w w:val="110"/>
                <w:sz w:val="18"/>
                <w:szCs w:val="18"/>
              </w:rPr>
              <w:t>(húmero)</w:t>
            </w:r>
            <w:r>
              <w:rPr>
                <w:rFonts w:ascii="Arial" w:hAnsi="Arial" w:cs="Arial"/>
                <w:spacing w:val="-1"/>
                <w:w w:val="110"/>
                <w:sz w:val="18"/>
                <w:szCs w:val="18"/>
              </w:rPr>
              <w:t xml:space="preserve"> </w:t>
            </w:r>
            <w:r>
              <w:rPr>
                <w:rFonts w:ascii="Arial" w:hAnsi="Arial" w:cs="Arial"/>
                <w:w w:val="110"/>
                <w:sz w:val="18"/>
                <w:szCs w:val="18"/>
              </w:rPr>
              <w:t>2</w:t>
            </w:r>
            <w:r>
              <w:rPr>
                <w:rFonts w:ascii="Arial" w:hAnsi="Arial" w:cs="Arial"/>
                <w:spacing w:val="-6"/>
                <w:w w:val="110"/>
                <w:sz w:val="18"/>
                <w:szCs w:val="18"/>
              </w:rPr>
              <w:t xml:space="preserve"> </w:t>
            </w:r>
            <w:r>
              <w:rPr>
                <w:rFonts w:ascii="Arial" w:hAnsi="Arial" w:cs="Arial"/>
                <w:w w:val="110"/>
                <w:sz w:val="18"/>
                <w:szCs w:val="18"/>
              </w:rPr>
              <w:t>P</w:t>
            </w:r>
            <w:r>
              <w:rPr>
                <w:rFonts w:ascii="Arial" w:hAnsi="Arial" w:cs="Arial"/>
                <w:spacing w:val="-5"/>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264C64D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5BC6543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6299AB5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3C4E9E3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2F178E20"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35B430AD" w14:textId="77777777" w:rsidR="00D3344B" w:rsidRDefault="00D3344B">
            <w:pPr>
              <w:pStyle w:val="TableParagraph"/>
              <w:rPr>
                <w:rFonts w:ascii="Arial" w:hAnsi="Arial" w:cs="Arial"/>
                <w:sz w:val="18"/>
                <w:szCs w:val="18"/>
              </w:rPr>
            </w:pPr>
          </w:p>
        </w:tc>
      </w:tr>
      <w:tr w:rsidR="00D3344B" w14:paraId="132DD5AC"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96B880D"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010</w:t>
            </w:r>
          </w:p>
        </w:tc>
        <w:tc>
          <w:tcPr>
            <w:tcW w:w="3038" w:type="dxa"/>
            <w:tcBorders>
              <w:top w:val="single" w:sz="4" w:space="0" w:color="000000"/>
              <w:left w:val="single" w:sz="4" w:space="0" w:color="000000"/>
              <w:bottom w:val="single" w:sz="4" w:space="0" w:color="000000"/>
              <w:right w:val="single" w:sz="4" w:space="0" w:color="000000"/>
            </w:tcBorders>
          </w:tcPr>
          <w:p w14:paraId="6D4F3FB9" w14:textId="77777777" w:rsidR="00D3344B" w:rsidRDefault="00143C25">
            <w:pPr>
              <w:pStyle w:val="TableParagraph"/>
              <w:tabs>
                <w:tab w:val="left" w:pos="797"/>
                <w:tab w:val="left" w:pos="2148"/>
              </w:tabs>
              <w:spacing w:line="254" w:lineRule="exact"/>
              <w:ind w:right="745"/>
              <w:rPr>
                <w:rFonts w:ascii="Arial" w:hAnsi="Arial" w:cs="Arial"/>
                <w:sz w:val="18"/>
                <w:szCs w:val="18"/>
              </w:rPr>
            </w:pPr>
            <w:r>
              <w:rPr>
                <w:rFonts w:ascii="Arial" w:hAnsi="Arial" w:cs="Arial"/>
                <w:spacing w:val="-2"/>
                <w:w w:val="110"/>
                <w:sz w:val="18"/>
                <w:szCs w:val="18"/>
              </w:rPr>
              <w:t>Brazo</w:t>
            </w:r>
            <w:r>
              <w:rPr>
                <w:rFonts w:ascii="Arial" w:hAnsi="Arial" w:cs="Arial"/>
                <w:sz w:val="18"/>
                <w:szCs w:val="18"/>
              </w:rPr>
              <w:tab/>
            </w:r>
            <w:r>
              <w:rPr>
                <w:rFonts w:ascii="Arial" w:hAnsi="Arial" w:cs="Arial"/>
                <w:w w:val="110"/>
                <w:sz w:val="18"/>
                <w:szCs w:val="18"/>
              </w:rPr>
              <w:t>(húmero) 2</w:t>
            </w:r>
            <w:r>
              <w:rPr>
                <w:rFonts w:ascii="Arial" w:hAnsi="Arial" w:cs="Arial"/>
                <w:sz w:val="18"/>
                <w:szCs w:val="18"/>
              </w:rPr>
              <w:tab/>
            </w:r>
            <w:r>
              <w:rPr>
                <w:rFonts w:ascii="Arial" w:hAnsi="Arial" w:cs="Arial"/>
                <w:spacing w:val="-10"/>
                <w:w w:val="110"/>
                <w:sz w:val="18"/>
                <w:szCs w:val="18"/>
              </w:rPr>
              <w:t xml:space="preserve">P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144C96B8"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3.25</w:t>
            </w:r>
          </w:p>
        </w:tc>
        <w:tc>
          <w:tcPr>
            <w:tcW w:w="695" w:type="dxa"/>
            <w:tcBorders>
              <w:top w:val="single" w:sz="4" w:space="0" w:color="000000"/>
              <w:left w:val="single" w:sz="4" w:space="0" w:color="000000"/>
              <w:bottom w:val="single" w:sz="4" w:space="0" w:color="000000"/>
              <w:right w:val="single" w:sz="4" w:space="0" w:color="000000"/>
            </w:tcBorders>
          </w:tcPr>
          <w:p w14:paraId="593EC3B8"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57E7507F"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6007EC21"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2AFA9F95"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1.75</w:t>
            </w:r>
          </w:p>
        </w:tc>
        <w:tc>
          <w:tcPr>
            <w:tcW w:w="527" w:type="dxa"/>
            <w:tcBorders>
              <w:top w:val="single" w:sz="4" w:space="0" w:color="000000"/>
              <w:left w:val="single" w:sz="4" w:space="0" w:color="000000"/>
              <w:bottom w:val="single" w:sz="4" w:space="0" w:color="000000"/>
              <w:right w:val="single" w:sz="4" w:space="0" w:color="000000"/>
            </w:tcBorders>
          </w:tcPr>
          <w:p w14:paraId="6BC8D8B0" w14:textId="77777777" w:rsidR="00D3344B" w:rsidRDefault="00D3344B">
            <w:pPr>
              <w:pStyle w:val="TableParagraph"/>
              <w:rPr>
                <w:rFonts w:ascii="Arial" w:hAnsi="Arial" w:cs="Arial"/>
                <w:sz w:val="18"/>
                <w:szCs w:val="18"/>
              </w:rPr>
            </w:pPr>
          </w:p>
        </w:tc>
      </w:tr>
      <w:tr w:rsidR="00D3344B" w14:paraId="0528FD82"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606AD32A"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011</w:t>
            </w:r>
          </w:p>
        </w:tc>
        <w:tc>
          <w:tcPr>
            <w:tcW w:w="3038" w:type="dxa"/>
            <w:tcBorders>
              <w:top w:val="single" w:sz="4" w:space="0" w:color="000000"/>
              <w:left w:val="single" w:sz="4" w:space="0" w:color="000000"/>
              <w:bottom w:val="single" w:sz="4" w:space="0" w:color="000000"/>
              <w:right w:val="single" w:sz="4" w:space="0" w:color="000000"/>
            </w:tcBorders>
          </w:tcPr>
          <w:p w14:paraId="7D33EE7C"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Calcáneo</w:t>
            </w:r>
            <w:r>
              <w:rPr>
                <w:rFonts w:ascii="Arial" w:hAnsi="Arial" w:cs="Arial"/>
                <w:spacing w:val="12"/>
                <w:w w:val="110"/>
                <w:sz w:val="18"/>
                <w:szCs w:val="18"/>
              </w:rPr>
              <w:t xml:space="preserve"> </w:t>
            </w:r>
            <w:r>
              <w:rPr>
                <w:rFonts w:ascii="Arial" w:hAnsi="Arial" w:cs="Arial"/>
                <w:w w:val="110"/>
                <w:sz w:val="18"/>
                <w:szCs w:val="18"/>
              </w:rPr>
              <w:t>unilateral</w:t>
            </w:r>
            <w:r>
              <w:rPr>
                <w:rFonts w:ascii="Arial" w:hAnsi="Arial" w:cs="Arial"/>
                <w:spacing w:val="-9"/>
                <w:w w:val="110"/>
                <w:sz w:val="18"/>
                <w:szCs w:val="18"/>
              </w:rPr>
              <w:t xml:space="preserve"> </w:t>
            </w:r>
            <w:r>
              <w:rPr>
                <w:rFonts w:ascii="Arial" w:hAnsi="Arial" w:cs="Arial"/>
                <w:spacing w:val="-4"/>
                <w:w w:val="110"/>
                <w:sz w:val="18"/>
                <w:szCs w:val="18"/>
              </w:rPr>
              <w:t>(1P)</w:t>
            </w:r>
          </w:p>
          <w:p w14:paraId="4C511165" w14:textId="77777777" w:rsidR="00D3344B" w:rsidRDefault="00143C25">
            <w:pPr>
              <w:pStyle w:val="TableParagraph"/>
              <w:spacing w:before="1" w:line="233" w:lineRule="exact"/>
              <w:rPr>
                <w:rFonts w:ascii="Arial" w:hAnsi="Arial" w:cs="Arial"/>
                <w:sz w:val="18"/>
                <w:szCs w:val="18"/>
              </w:rPr>
            </w:pPr>
            <w:r>
              <w:rPr>
                <w:rFonts w:ascii="Arial" w:hAnsi="Arial" w:cs="Arial"/>
                <w:spacing w:val="-2"/>
                <w:w w:val="115"/>
                <w:sz w:val="18"/>
                <w:szCs w:val="18"/>
              </w:rPr>
              <w:t>Tangencial</w:t>
            </w:r>
          </w:p>
        </w:tc>
        <w:tc>
          <w:tcPr>
            <w:tcW w:w="697" w:type="dxa"/>
            <w:tcBorders>
              <w:top w:val="single" w:sz="4" w:space="0" w:color="000000"/>
              <w:left w:val="single" w:sz="4" w:space="0" w:color="000000"/>
              <w:bottom w:val="single" w:sz="4" w:space="0" w:color="000000"/>
              <w:right w:val="single" w:sz="4" w:space="0" w:color="000000"/>
            </w:tcBorders>
          </w:tcPr>
          <w:p w14:paraId="5D151D64"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0E156D08"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67048E5E"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34D68A69"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2588A4F4"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062CF112" w14:textId="77777777" w:rsidR="00D3344B" w:rsidRDefault="00D3344B">
            <w:pPr>
              <w:pStyle w:val="TableParagraph"/>
              <w:rPr>
                <w:rFonts w:ascii="Arial" w:hAnsi="Arial" w:cs="Arial"/>
                <w:sz w:val="18"/>
                <w:szCs w:val="18"/>
              </w:rPr>
            </w:pPr>
          </w:p>
        </w:tc>
      </w:tr>
      <w:tr w:rsidR="00D3344B" w14:paraId="260D9A1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0922006"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012</w:t>
            </w:r>
          </w:p>
        </w:tc>
        <w:tc>
          <w:tcPr>
            <w:tcW w:w="3038" w:type="dxa"/>
            <w:tcBorders>
              <w:top w:val="single" w:sz="4" w:space="0" w:color="000000"/>
              <w:left w:val="single" w:sz="4" w:space="0" w:color="000000"/>
              <w:bottom w:val="single" w:sz="4" w:space="0" w:color="000000"/>
              <w:right w:val="single" w:sz="4" w:space="0" w:color="000000"/>
            </w:tcBorders>
          </w:tcPr>
          <w:p w14:paraId="50E337B5"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Calcáneo</w:t>
            </w:r>
            <w:r>
              <w:rPr>
                <w:rFonts w:ascii="Arial" w:hAnsi="Arial" w:cs="Arial"/>
                <w:spacing w:val="37"/>
                <w:w w:val="110"/>
                <w:sz w:val="18"/>
                <w:szCs w:val="18"/>
              </w:rPr>
              <w:t xml:space="preserve"> </w:t>
            </w:r>
            <w:r>
              <w:rPr>
                <w:rFonts w:ascii="Arial" w:hAnsi="Arial" w:cs="Arial"/>
                <w:w w:val="110"/>
                <w:sz w:val="18"/>
                <w:szCs w:val="18"/>
              </w:rPr>
              <w:t xml:space="preserve">bilateral (1P) </w:t>
            </w:r>
            <w:r>
              <w:rPr>
                <w:rFonts w:ascii="Arial" w:hAnsi="Arial" w:cs="Arial"/>
                <w:spacing w:val="-2"/>
                <w:w w:val="110"/>
                <w:sz w:val="18"/>
                <w:szCs w:val="18"/>
              </w:rPr>
              <w:t>Tangencial</w:t>
            </w:r>
          </w:p>
        </w:tc>
        <w:tc>
          <w:tcPr>
            <w:tcW w:w="697" w:type="dxa"/>
            <w:tcBorders>
              <w:top w:val="single" w:sz="4" w:space="0" w:color="000000"/>
              <w:left w:val="single" w:sz="4" w:space="0" w:color="000000"/>
              <w:bottom w:val="single" w:sz="4" w:space="0" w:color="000000"/>
              <w:right w:val="single" w:sz="4" w:space="0" w:color="000000"/>
            </w:tcBorders>
          </w:tcPr>
          <w:p w14:paraId="37DCF71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3.00</w:t>
            </w:r>
          </w:p>
        </w:tc>
        <w:tc>
          <w:tcPr>
            <w:tcW w:w="695" w:type="dxa"/>
            <w:tcBorders>
              <w:top w:val="single" w:sz="4" w:space="0" w:color="000000"/>
              <w:left w:val="single" w:sz="4" w:space="0" w:color="000000"/>
              <w:bottom w:val="single" w:sz="4" w:space="0" w:color="000000"/>
              <w:right w:val="single" w:sz="4" w:space="0" w:color="000000"/>
            </w:tcBorders>
          </w:tcPr>
          <w:p w14:paraId="32FF18A0"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7F60769B"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32B3194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1BDCEA0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050B8583" w14:textId="77777777" w:rsidR="00D3344B" w:rsidRDefault="00D3344B">
            <w:pPr>
              <w:pStyle w:val="TableParagraph"/>
              <w:rPr>
                <w:rFonts w:ascii="Arial" w:hAnsi="Arial" w:cs="Arial"/>
                <w:sz w:val="18"/>
                <w:szCs w:val="18"/>
              </w:rPr>
            </w:pPr>
          </w:p>
        </w:tc>
      </w:tr>
      <w:tr w:rsidR="00D3344B" w14:paraId="59253128" w14:textId="77777777">
        <w:trPr>
          <w:trHeight w:val="295"/>
        </w:trPr>
        <w:tc>
          <w:tcPr>
            <w:tcW w:w="1776" w:type="dxa"/>
            <w:tcBorders>
              <w:top w:val="single" w:sz="4" w:space="0" w:color="000000"/>
              <w:left w:val="single" w:sz="4" w:space="0" w:color="000000"/>
              <w:bottom w:val="single" w:sz="4" w:space="0" w:color="000000"/>
              <w:right w:val="single" w:sz="4" w:space="0" w:color="000000"/>
            </w:tcBorders>
          </w:tcPr>
          <w:p w14:paraId="72DCC089"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013</w:t>
            </w:r>
          </w:p>
        </w:tc>
        <w:tc>
          <w:tcPr>
            <w:tcW w:w="3038" w:type="dxa"/>
            <w:tcBorders>
              <w:top w:val="single" w:sz="4" w:space="0" w:color="000000"/>
              <w:left w:val="single" w:sz="4" w:space="0" w:color="000000"/>
              <w:bottom w:val="single" w:sz="4" w:space="0" w:color="000000"/>
              <w:right w:val="single" w:sz="4" w:space="0" w:color="000000"/>
            </w:tcBorders>
          </w:tcPr>
          <w:p w14:paraId="19D34EB8"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Codo</w:t>
            </w:r>
            <w:r>
              <w:rPr>
                <w:rFonts w:ascii="Arial" w:hAnsi="Arial" w:cs="Arial"/>
                <w:spacing w:val="14"/>
                <w:w w:val="110"/>
                <w:sz w:val="18"/>
                <w:szCs w:val="18"/>
              </w:rPr>
              <w:t xml:space="preserve"> </w:t>
            </w:r>
            <w:r>
              <w:rPr>
                <w:rFonts w:ascii="Arial" w:hAnsi="Arial" w:cs="Arial"/>
                <w:w w:val="110"/>
                <w:sz w:val="18"/>
                <w:szCs w:val="18"/>
              </w:rPr>
              <w:t>2</w:t>
            </w:r>
            <w:r>
              <w:rPr>
                <w:rFonts w:ascii="Arial" w:hAnsi="Arial" w:cs="Arial"/>
                <w:spacing w:val="14"/>
                <w:w w:val="110"/>
                <w:sz w:val="18"/>
                <w:szCs w:val="18"/>
              </w:rPr>
              <w:t xml:space="preserve"> </w:t>
            </w:r>
            <w:r>
              <w:rPr>
                <w:rFonts w:ascii="Arial" w:hAnsi="Arial" w:cs="Arial"/>
                <w:w w:val="110"/>
                <w:sz w:val="18"/>
                <w:szCs w:val="18"/>
              </w:rPr>
              <w:t>P</w:t>
            </w:r>
            <w:r>
              <w:rPr>
                <w:rFonts w:ascii="Arial" w:hAnsi="Arial" w:cs="Arial"/>
                <w:spacing w:val="9"/>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5A7FA190"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3.00</w:t>
            </w:r>
          </w:p>
        </w:tc>
        <w:tc>
          <w:tcPr>
            <w:tcW w:w="695" w:type="dxa"/>
            <w:tcBorders>
              <w:top w:val="single" w:sz="4" w:space="0" w:color="000000"/>
              <w:left w:val="single" w:sz="4" w:space="0" w:color="000000"/>
              <w:bottom w:val="single" w:sz="4" w:space="0" w:color="000000"/>
              <w:right w:val="single" w:sz="4" w:space="0" w:color="000000"/>
            </w:tcBorders>
          </w:tcPr>
          <w:p w14:paraId="6D65FE68"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7CDDC79A"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633F4778"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0DA5AF6C"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28477A22" w14:textId="77777777" w:rsidR="00D3344B" w:rsidRDefault="00D3344B">
            <w:pPr>
              <w:pStyle w:val="TableParagraph"/>
              <w:rPr>
                <w:rFonts w:ascii="Arial" w:hAnsi="Arial" w:cs="Arial"/>
                <w:sz w:val="18"/>
                <w:szCs w:val="18"/>
              </w:rPr>
            </w:pPr>
          </w:p>
        </w:tc>
      </w:tr>
      <w:tr w:rsidR="00D3344B" w14:paraId="10361421" w14:textId="77777777">
        <w:trPr>
          <w:trHeight w:val="301"/>
        </w:trPr>
        <w:tc>
          <w:tcPr>
            <w:tcW w:w="1776" w:type="dxa"/>
            <w:tcBorders>
              <w:top w:val="single" w:sz="4" w:space="0" w:color="000000"/>
              <w:left w:val="single" w:sz="4" w:space="0" w:color="000000"/>
              <w:bottom w:val="single" w:sz="4" w:space="0" w:color="000000"/>
              <w:right w:val="single" w:sz="4" w:space="0" w:color="000000"/>
            </w:tcBorders>
          </w:tcPr>
          <w:p w14:paraId="02DBBE5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014</w:t>
            </w:r>
          </w:p>
        </w:tc>
        <w:tc>
          <w:tcPr>
            <w:tcW w:w="3038" w:type="dxa"/>
            <w:tcBorders>
              <w:top w:val="single" w:sz="4" w:space="0" w:color="000000"/>
              <w:left w:val="single" w:sz="4" w:space="0" w:color="000000"/>
              <w:bottom w:val="single" w:sz="4" w:space="0" w:color="000000"/>
              <w:right w:val="single" w:sz="4" w:space="0" w:color="000000"/>
            </w:tcBorders>
          </w:tcPr>
          <w:p w14:paraId="4321341E" w14:textId="77777777" w:rsidR="00D3344B" w:rsidRDefault="00143C25">
            <w:pPr>
              <w:pStyle w:val="TableParagraph"/>
              <w:rPr>
                <w:rFonts w:ascii="Arial" w:hAnsi="Arial" w:cs="Arial"/>
                <w:sz w:val="18"/>
                <w:szCs w:val="18"/>
              </w:rPr>
            </w:pPr>
            <w:r>
              <w:rPr>
                <w:rFonts w:ascii="Arial" w:hAnsi="Arial" w:cs="Arial"/>
                <w:w w:val="110"/>
                <w:sz w:val="18"/>
                <w:szCs w:val="18"/>
              </w:rPr>
              <w:t>Codo</w:t>
            </w:r>
            <w:r>
              <w:rPr>
                <w:rFonts w:ascii="Arial" w:hAnsi="Arial" w:cs="Arial"/>
                <w:spacing w:val="14"/>
                <w:w w:val="110"/>
                <w:sz w:val="18"/>
                <w:szCs w:val="18"/>
              </w:rPr>
              <w:t xml:space="preserve"> </w:t>
            </w:r>
            <w:r>
              <w:rPr>
                <w:rFonts w:ascii="Arial" w:hAnsi="Arial" w:cs="Arial"/>
                <w:w w:val="110"/>
                <w:sz w:val="18"/>
                <w:szCs w:val="18"/>
              </w:rPr>
              <w:t>2</w:t>
            </w:r>
            <w:r>
              <w:rPr>
                <w:rFonts w:ascii="Arial" w:hAnsi="Arial" w:cs="Arial"/>
                <w:spacing w:val="14"/>
                <w:w w:val="110"/>
                <w:sz w:val="18"/>
                <w:szCs w:val="18"/>
              </w:rPr>
              <w:t xml:space="preserve"> </w:t>
            </w:r>
            <w:r>
              <w:rPr>
                <w:rFonts w:ascii="Arial" w:hAnsi="Arial" w:cs="Arial"/>
                <w:w w:val="110"/>
                <w:sz w:val="18"/>
                <w:szCs w:val="18"/>
              </w:rPr>
              <w:t>P</w:t>
            </w:r>
            <w:r>
              <w:rPr>
                <w:rFonts w:ascii="Arial" w:hAnsi="Arial" w:cs="Arial"/>
                <w:spacing w:val="9"/>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6BD9450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093B18FC"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3B3A286E"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412DD63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1680803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5AC344DF" w14:textId="77777777" w:rsidR="00D3344B" w:rsidRDefault="00D3344B">
            <w:pPr>
              <w:pStyle w:val="TableParagraph"/>
              <w:rPr>
                <w:rFonts w:ascii="Arial" w:hAnsi="Arial" w:cs="Arial"/>
                <w:sz w:val="18"/>
                <w:szCs w:val="18"/>
              </w:rPr>
            </w:pPr>
          </w:p>
        </w:tc>
      </w:tr>
      <w:tr w:rsidR="00D3344B" w14:paraId="747E0E7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5AEE5CC"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015</w:t>
            </w:r>
          </w:p>
        </w:tc>
        <w:tc>
          <w:tcPr>
            <w:tcW w:w="3038" w:type="dxa"/>
            <w:tcBorders>
              <w:top w:val="single" w:sz="4" w:space="0" w:color="000000"/>
              <w:left w:val="single" w:sz="4" w:space="0" w:color="000000"/>
              <w:bottom w:val="single" w:sz="4" w:space="0" w:color="000000"/>
              <w:right w:val="single" w:sz="4" w:space="0" w:color="000000"/>
            </w:tcBorders>
          </w:tcPr>
          <w:p w14:paraId="21B2723E" w14:textId="77777777" w:rsidR="00D3344B" w:rsidRDefault="00143C25">
            <w:pPr>
              <w:pStyle w:val="TableParagraph"/>
              <w:tabs>
                <w:tab w:val="left" w:pos="727"/>
              </w:tabs>
              <w:spacing w:line="252" w:lineRule="exact"/>
              <w:ind w:right="633"/>
              <w:rPr>
                <w:rFonts w:ascii="Arial" w:hAnsi="Arial" w:cs="Arial"/>
                <w:sz w:val="18"/>
                <w:szCs w:val="18"/>
              </w:rPr>
            </w:pPr>
            <w:r>
              <w:rPr>
                <w:rFonts w:ascii="Arial" w:hAnsi="Arial" w:cs="Arial"/>
                <w:spacing w:val="-4"/>
                <w:w w:val="115"/>
                <w:sz w:val="18"/>
                <w:szCs w:val="18"/>
              </w:rPr>
              <w:t>Col.</w:t>
            </w:r>
            <w:r>
              <w:rPr>
                <w:rFonts w:ascii="Arial" w:hAnsi="Arial" w:cs="Arial"/>
                <w:sz w:val="18"/>
                <w:szCs w:val="18"/>
              </w:rPr>
              <w:tab/>
            </w:r>
            <w:r>
              <w:rPr>
                <w:rFonts w:ascii="Arial" w:hAnsi="Arial" w:cs="Arial"/>
                <w:spacing w:val="-2"/>
                <w:w w:val="115"/>
                <w:sz w:val="18"/>
                <w:szCs w:val="18"/>
              </w:rPr>
              <w:t>Cervical</w:t>
            </w:r>
            <w:r>
              <w:rPr>
                <w:rFonts w:ascii="Arial" w:hAnsi="Arial" w:cs="Arial"/>
                <w:spacing w:val="24"/>
                <w:w w:val="115"/>
                <w:sz w:val="18"/>
                <w:szCs w:val="18"/>
              </w:rPr>
              <w:t xml:space="preserve"> </w:t>
            </w:r>
            <w:r>
              <w:rPr>
                <w:rFonts w:ascii="Arial" w:hAnsi="Arial" w:cs="Arial"/>
                <w:spacing w:val="-2"/>
                <w:w w:val="115"/>
                <w:sz w:val="18"/>
                <w:szCs w:val="18"/>
              </w:rPr>
              <w:t>Lateral (Adenoides)</w:t>
            </w:r>
          </w:p>
        </w:tc>
        <w:tc>
          <w:tcPr>
            <w:tcW w:w="697" w:type="dxa"/>
            <w:tcBorders>
              <w:top w:val="single" w:sz="4" w:space="0" w:color="000000"/>
              <w:left w:val="single" w:sz="4" w:space="0" w:color="000000"/>
              <w:bottom w:val="single" w:sz="4" w:space="0" w:color="000000"/>
              <w:right w:val="single" w:sz="4" w:space="0" w:color="000000"/>
            </w:tcBorders>
          </w:tcPr>
          <w:p w14:paraId="55D571AA"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787668F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71A690C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1E0CADE9"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67787D1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1464A797" w14:textId="77777777" w:rsidR="00D3344B" w:rsidRDefault="00D3344B">
            <w:pPr>
              <w:pStyle w:val="TableParagraph"/>
              <w:rPr>
                <w:rFonts w:ascii="Arial" w:hAnsi="Arial" w:cs="Arial"/>
                <w:sz w:val="18"/>
                <w:szCs w:val="18"/>
              </w:rPr>
            </w:pPr>
          </w:p>
        </w:tc>
      </w:tr>
      <w:tr w:rsidR="00D3344B" w14:paraId="0F27C0EB"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2FDD76E"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016</w:t>
            </w:r>
          </w:p>
        </w:tc>
        <w:tc>
          <w:tcPr>
            <w:tcW w:w="3038" w:type="dxa"/>
            <w:tcBorders>
              <w:top w:val="single" w:sz="4" w:space="0" w:color="000000"/>
              <w:left w:val="single" w:sz="4" w:space="0" w:color="000000"/>
              <w:bottom w:val="single" w:sz="4" w:space="0" w:color="000000"/>
              <w:right w:val="single" w:sz="4" w:space="0" w:color="000000"/>
            </w:tcBorders>
          </w:tcPr>
          <w:p w14:paraId="7F3E5586"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Col.</w:t>
            </w:r>
            <w:r>
              <w:rPr>
                <w:rFonts w:ascii="Arial" w:hAnsi="Arial" w:cs="Arial"/>
                <w:spacing w:val="80"/>
                <w:w w:val="110"/>
                <w:sz w:val="18"/>
                <w:szCs w:val="18"/>
              </w:rPr>
              <w:t xml:space="preserve"> </w:t>
            </w:r>
            <w:r>
              <w:rPr>
                <w:rFonts w:ascii="Arial" w:hAnsi="Arial" w:cs="Arial"/>
                <w:w w:val="110"/>
                <w:sz w:val="18"/>
                <w:szCs w:val="18"/>
              </w:rPr>
              <w:t>Cervical</w:t>
            </w:r>
            <w:r>
              <w:rPr>
                <w:rFonts w:ascii="Arial" w:hAnsi="Arial" w:cs="Arial"/>
                <w:spacing w:val="80"/>
                <w:w w:val="110"/>
                <w:sz w:val="18"/>
                <w:szCs w:val="18"/>
              </w:rPr>
              <w:t xml:space="preserve"> </w:t>
            </w:r>
            <w:r>
              <w:rPr>
                <w:rFonts w:ascii="Arial" w:hAnsi="Arial" w:cs="Arial"/>
                <w:w w:val="110"/>
                <w:sz w:val="18"/>
                <w:szCs w:val="18"/>
              </w:rPr>
              <w:t>2</w:t>
            </w:r>
            <w:r>
              <w:rPr>
                <w:rFonts w:ascii="Arial" w:hAnsi="Arial" w:cs="Arial"/>
                <w:spacing w:val="80"/>
                <w:w w:val="110"/>
                <w:sz w:val="18"/>
                <w:szCs w:val="18"/>
              </w:rPr>
              <w:t xml:space="preserve"> </w:t>
            </w:r>
            <w:r>
              <w:rPr>
                <w:rFonts w:ascii="Arial" w:hAnsi="Arial" w:cs="Arial"/>
                <w:w w:val="110"/>
                <w:sz w:val="18"/>
                <w:szCs w:val="18"/>
              </w:rPr>
              <w:t>p</w:t>
            </w:r>
            <w:r>
              <w:rPr>
                <w:rFonts w:ascii="Arial" w:hAnsi="Arial" w:cs="Arial"/>
                <w:spacing w:val="80"/>
                <w:w w:val="110"/>
                <w:sz w:val="18"/>
                <w:szCs w:val="18"/>
              </w:rPr>
              <w:t xml:space="preserve"> </w:t>
            </w:r>
            <w:r>
              <w:rPr>
                <w:rFonts w:ascii="Arial" w:hAnsi="Arial" w:cs="Arial"/>
                <w:w w:val="110"/>
                <w:sz w:val="18"/>
                <w:szCs w:val="18"/>
              </w:rPr>
              <w:t>(AP</w:t>
            </w:r>
            <w:r>
              <w:rPr>
                <w:rFonts w:ascii="Arial" w:hAnsi="Arial" w:cs="Arial"/>
                <w:spacing w:val="80"/>
                <w:w w:val="110"/>
                <w:sz w:val="18"/>
                <w:szCs w:val="18"/>
              </w:rPr>
              <w:t xml:space="preserve"> </w:t>
            </w:r>
            <w:r>
              <w:rPr>
                <w:rFonts w:ascii="Arial" w:hAnsi="Arial" w:cs="Arial"/>
                <w:w w:val="110"/>
                <w:sz w:val="18"/>
                <w:szCs w:val="18"/>
              </w:rPr>
              <w:t xml:space="preserve">y </w:t>
            </w:r>
            <w:r>
              <w:rPr>
                <w:rFonts w:ascii="Arial" w:hAnsi="Arial" w:cs="Arial"/>
                <w:spacing w:val="-2"/>
                <w:w w:val="110"/>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1563E93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34F6E6C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7F004D8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49AB7A8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52886D53"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56D6F2A6" w14:textId="77777777" w:rsidR="00D3344B" w:rsidRDefault="00D3344B">
            <w:pPr>
              <w:pStyle w:val="TableParagraph"/>
              <w:rPr>
                <w:rFonts w:ascii="Arial" w:hAnsi="Arial" w:cs="Arial"/>
                <w:sz w:val="18"/>
                <w:szCs w:val="18"/>
              </w:rPr>
            </w:pPr>
          </w:p>
        </w:tc>
      </w:tr>
      <w:tr w:rsidR="00D3344B" w14:paraId="23E7B5C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320BF75"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017</w:t>
            </w:r>
          </w:p>
        </w:tc>
        <w:tc>
          <w:tcPr>
            <w:tcW w:w="3038" w:type="dxa"/>
            <w:tcBorders>
              <w:top w:val="single" w:sz="4" w:space="0" w:color="000000"/>
              <w:left w:val="single" w:sz="4" w:space="0" w:color="000000"/>
              <w:bottom w:val="single" w:sz="4" w:space="0" w:color="000000"/>
              <w:right w:val="single" w:sz="4" w:space="0" w:color="000000"/>
            </w:tcBorders>
          </w:tcPr>
          <w:p w14:paraId="1A5D94F1" w14:textId="77777777" w:rsidR="00D3344B" w:rsidRDefault="00143C25">
            <w:pPr>
              <w:pStyle w:val="TableParagraph"/>
              <w:tabs>
                <w:tab w:val="left" w:pos="689"/>
                <w:tab w:val="left" w:pos="1800"/>
                <w:tab w:val="left" w:pos="2179"/>
                <w:tab w:val="left" w:pos="2558"/>
              </w:tabs>
              <w:spacing w:line="252" w:lineRule="exact"/>
              <w:ind w:right="-15"/>
              <w:rPr>
                <w:rFonts w:ascii="Arial" w:hAnsi="Arial" w:cs="Arial"/>
                <w:sz w:val="18"/>
                <w:szCs w:val="18"/>
              </w:rPr>
            </w:pPr>
            <w:r>
              <w:rPr>
                <w:rFonts w:ascii="Arial" w:hAnsi="Arial" w:cs="Arial"/>
                <w:spacing w:val="-4"/>
                <w:w w:val="115"/>
                <w:sz w:val="18"/>
                <w:szCs w:val="18"/>
              </w:rPr>
              <w:t>Col.</w:t>
            </w:r>
            <w:r>
              <w:rPr>
                <w:rFonts w:ascii="Arial" w:hAnsi="Arial" w:cs="Arial"/>
                <w:sz w:val="18"/>
                <w:szCs w:val="18"/>
              </w:rPr>
              <w:tab/>
            </w:r>
            <w:r>
              <w:rPr>
                <w:rFonts w:ascii="Arial" w:hAnsi="Arial" w:cs="Arial"/>
                <w:spacing w:val="-2"/>
                <w:w w:val="115"/>
                <w:sz w:val="18"/>
                <w:szCs w:val="18"/>
              </w:rPr>
              <w:t>Cervical</w:t>
            </w:r>
            <w:r>
              <w:rPr>
                <w:rFonts w:ascii="Arial" w:hAnsi="Arial" w:cs="Arial"/>
                <w:sz w:val="18"/>
                <w:szCs w:val="18"/>
              </w:rPr>
              <w:tab/>
            </w:r>
            <w:r>
              <w:rPr>
                <w:rFonts w:ascii="Arial" w:hAnsi="Arial" w:cs="Arial"/>
                <w:spacing w:val="-10"/>
                <w:w w:val="115"/>
                <w:sz w:val="18"/>
                <w:szCs w:val="18"/>
              </w:rPr>
              <w:t>4</w:t>
            </w:r>
            <w:r>
              <w:rPr>
                <w:rFonts w:ascii="Arial" w:hAnsi="Arial" w:cs="Arial"/>
                <w:sz w:val="18"/>
                <w:szCs w:val="18"/>
              </w:rPr>
              <w:tab/>
            </w:r>
            <w:r>
              <w:rPr>
                <w:rFonts w:ascii="Arial" w:hAnsi="Arial" w:cs="Arial"/>
                <w:spacing w:val="-10"/>
                <w:w w:val="115"/>
                <w:sz w:val="18"/>
                <w:szCs w:val="18"/>
              </w:rPr>
              <w:t>p</w:t>
            </w:r>
            <w:r>
              <w:rPr>
                <w:rFonts w:ascii="Arial" w:hAnsi="Arial" w:cs="Arial"/>
                <w:sz w:val="18"/>
                <w:szCs w:val="18"/>
              </w:rPr>
              <w:tab/>
            </w:r>
            <w:r>
              <w:rPr>
                <w:rFonts w:ascii="Arial" w:hAnsi="Arial" w:cs="Arial"/>
                <w:spacing w:val="-4"/>
                <w:w w:val="115"/>
                <w:sz w:val="18"/>
                <w:szCs w:val="18"/>
              </w:rPr>
              <w:t xml:space="preserve">(AP, </w:t>
            </w:r>
            <w:r>
              <w:rPr>
                <w:rFonts w:ascii="Arial" w:hAnsi="Arial" w:cs="Arial"/>
                <w:w w:val="115"/>
                <w:sz w:val="18"/>
                <w:szCs w:val="18"/>
              </w:rPr>
              <w:t>Lateral y Oblicuas)</w:t>
            </w:r>
          </w:p>
        </w:tc>
        <w:tc>
          <w:tcPr>
            <w:tcW w:w="697" w:type="dxa"/>
            <w:tcBorders>
              <w:top w:val="single" w:sz="4" w:space="0" w:color="000000"/>
              <w:left w:val="single" w:sz="4" w:space="0" w:color="000000"/>
              <w:bottom w:val="single" w:sz="4" w:space="0" w:color="000000"/>
              <w:right w:val="single" w:sz="4" w:space="0" w:color="000000"/>
            </w:tcBorders>
          </w:tcPr>
          <w:p w14:paraId="1327A63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6.00</w:t>
            </w:r>
          </w:p>
        </w:tc>
        <w:tc>
          <w:tcPr>
            <w:tcW w:w="695" w:type="dxa"/>
            <w:tcBorders>
              <w:top w:val="single" w:sz="4" w:space="0" w:color="000000"/>
              <w:left w:val="single" w:sz="4" w:space="0" w:color="000000"/>
              <w:bottom w:val="single" w:sz="4" w:space="0" w:color="000000"/>
              <w:right w:val="single" w:sz="4" w:space="0" w:color="000000"/>
            </w:tcBorders>
          </w:tcPr>
          <w:p w14:paraId="731F589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5.50</w:t>
            </w:r>
          </w:p>
        </w:tc>
        <w:tc>
          <w:tcPr>
            <w:tcW w:w="699" w:type="dxa"/>
            <w:tcBorders>
              <w:top w:val="single" w:sz="4" w:space="0" w:color="000000"/>
              <w:left w:val="single" w:sz="4" w:space="0" w:color="000000"/>
              <w:bottom w:val="single" w:sz="4" w:space="0" w:color="000000"/>
              <w:right w:val="single" w:sz="4" w:space="0" w:color="000000"/>
            </w:tcBorders>
          </w:tcPr>
          <w:p w14:paraId="1496EBA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7CDA57A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5F62800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4.00</w:t>
            </w:r>
          </w:p>
        </w:tc>
        <w:tc>
          <w:tcPr>
            <w:tcW w:w="527" w:type="dxa"/>
            <w:tcBorders>
              <w:top w:val="single" w:sz="4" w:space="0" w:color="000000"/>
              <w:left w:val="single" w:sz="4" w:space="0" w:color="000000"/>
              <w:bottom w:val="single" w:sz="4" w:space="0" w:color="000000"/>
              <w:right w:val="single" w:sz="4" w:space="0" w:color="000000"/>
            </w:tcBorders>
          </w:tcPr>
          <w:p w14:paraId="60D69A3B" w14:textId="77777777" w:rsidR="00D3344B" w:rsidRDefault="00D3344B">
            <w:pPr>
              <w:pStyle w:val="TableParagraph"/>
              <w:rPr>
                <w:rFonts w:ascii="Arial" w:hAnsi="Arial" w:cs="Arial"/>
                <w:sz w:val="18"/>
                <w:szCs w:val="18"/>
              </w:rPr>
            </w:pPr>
          </w:p>
        </w:tc>
      </w:tr>
      <w:tr w:rsidR="00D3344B" w14:paraId="66BEE748"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B358629"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018</w:t>
            </w:r>
          </w:p>
        </w:tc>
        <w:tc>
          <w:tcPr>
            <w:tcW w:w="3038" w:type="dxa"/>
            <w:tcBorders>
              <w:top w:val="single" w:sz="4" w:space="0" w:color="000000"/>
              <w:left w:val="single" w:sz="4" w:space="0" w:color="000000"/>
              <w:bottom w:val="single" w:sz="4" w:space="0" w:color="000000"/>
              <w:right w:val="single" w:sz="4" w:space="0" w:color="000000"/>
            </w:tcBorders>
          </w:tcPr>
          <w:p w14:paraId="1F6897D5" w14:textId="77777777" w:rsidR="00D3344B" w:rsidRDefault="00143C25">
            <w:pPr>
              <w:pStyle w:val="TableParagraph"/>
              <w:tabs>
                <w:tab w:val="left" w:pos="657"/>
                <w:tab w:val="left" w:pos="1737"/>
                <w:tab w:val="left" w:pos="2093"/>
                <w:tab w:val="left" w:pos="2448"/>
              </w:tabs>
              <w:spacing w:line="252" w:lineRule="exact"/>
              <w:ind w:right="119"/>
              <w:rPr>
                <w:rFonts w:ascii="Arial" w:hAnsi="Arial" w:cs="Arial"/>
                <w:sz w:val="18"/>
                <w:szCs w:val="18"/>
              </w:rPr>
            </w:pPr>
            <w:r>
              <w:rPr>
                <w:rFonts w:ascii="Arial" w:hAnsi="Arial" w:cs="Arial"/>
                <w:spacing w:val="-4"/>
                <w:w w:val="110"/>
                <w:sz w:val="18"/>
                <w:szCs w:val="18"/>
              </w:rPr>
              <w:t>Col.</w:t>
            </w:r>
            <w:r>
              <w:rPr>
                <w:rFonts w:ascii="Arial" w:hAnsi="Arial" w:cs="Arial"/>
                <w:sz w:val="18"/>
                <w:szCs w:val="18"/>
              </w:rPr>
              <w:tab/>
            </w:r>
            <w:r>
              <w:rPr>
                <w:rFonts w:ascii="Arial" w:hAnsi="Arial" w:cs="Arial"/>
                <w:spacing w:val="-2"/>
                <w:w w:val="110"/>
                <w:sz w:val="18"/>
                <w:szCs w:val="18"/>
              </w:rPr>
              <w:t>Cervical</w:t>
            </w:r>
            <w:r>
              <w:rPr>
                <w:rFonts w:ascii="Arial" w:hAnsi="Arial" w:cs="Arial"/>
                <w:sz w:val="18"/>
                <w:szCs w:val="18"/>
              </w:rPr>
              <w:tab/>
            </w:r>
            <w:r>
              <w:rPr>
                <w:rFonts w:ascii="Arial" w:hAnsi="Arial" w:cs="Arial"/>
                <w:spacing w:val="-10"/>
                <w:w w:val="110"/>
                <w:sz w:val="18"/>
                <w:szCs w:val="18"/>
              </w:rPr>
              <w:t>4</w:t>
            </w:r>
            <w:r>
              <w:rPr>
                <w:rFonts w:ascii="Arial" w:hAnsi="Arial" w:cs="Arial"/>
                <w:sz w:val="18"/>
                <w:szCs w:val="18"/>
              </w:rPr>
              <w:tab/>
            </w:r>
            <w:r>
              <w:rPr>
                <w:rFonts w:ascii="Arial" w:hAnsi="Arial" w:cs="Arial"/>
                <w:spacing w:val="-10"/>
                <w:w w:val="110"/>
                <w:sz w:val="18"/>
                <w:szCs w:val="18"/>
              </w:rPr>
              <w:t>p</w:t>
            </w:r>
            <w:r>
              <w:rPr>
                <w:rFonts w:ascii="Arial" w:hAnsi="Arial" w:cs="Arial"/>
                <w:sz w:val="18"/>
                <w:szCs w:val="18"/>
              </w:rPr>
              <w:tab/>
            </w:r>
            <w:r>
              <w:rPr>
                <w:rFonts w:ascii="Arial" w:hAnsi="Arial" w:cs="Arial"/>
                <w:spacing w:val="-4"/>
                <w:w w:val="110"/>
                <w:sz w:val="18"/>
                <w:szCs w:val="18"/>
              </w:rPr>
              <w:t xml:space="preserve">(AP, </w:t>
            </w:r>
            <w:r>
              <w:rPr>
                <w:rFonts w:ascii="Arial" w:hAnsi="Arial" w:cs="Arial"/>
                <w:w w:val="110"/>
                <w:sz w:val="18"/>
                <w:szCs w:val="18"/>
              </w:rPr>
              <w:t>Lateral y Dinámicas)</w:t>
            </w:r>
          </w:p>
        </w:tc>
        <w:tc>
          <w:tcPr>
            <w:tcW w:w="697" w:type="dxa"/>
            <w:tcBorders>
              <w:top w:val="single" w:sz="4" w:space="0" w:color="000000"/>
              <w:left w:val="single" w:sz="4" w:space="0" w:color="000000"/>
              <w:bottom w:val="single" w:sz="4" w:space="0" w:color="000000"/>
              <w:right w:val="single" w:sz="4" w:space="0" w:color="000000"/>
            </w:tcBorders>
          </w:tcPr>
          <w:p w14:paraId="0A957E0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6.00</w:t>
            </w:r>
          </w:p>
        </w:tc>
        <w:tc>
          <w:tcPr>
            <w:tcW w:w="695" w:type="dxa"/>
            <w:tcBorders>
              <w:top w:val="single" w:sz="4" w:space="0" w:color="000000"/>
              <w:left w:val="single" w:sz="4" w:space="0" w:color="000000"/>
              <w:bottom w:val="single" w:sz="4" w:space="0" w:color="000000"/>
              <w:right w:val="single" w:sz="4" w:space="0" w:color="000000"/>
            </w:tcBorders>
          </w:tcPr>
          <w:p w14:paraId="241190F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5.50</w:t>
            </w:r>
          </w:p>
        </w:tc>
        <w:tc>
          <w:tcPr>
            <w:tcW w:w="699" w:type="dxa"/>
            <w:tcBorders>
              <w:top w:val="single" w:sz="4" w:space="0" w:color="000000"/>
              <w:left w:val="single" w:sz="4" w:space="0" w:color="000000"/>
              <w:bottom w:val="single" w:sz="4" w:space="0" w:color="000000"/>
              <w:right w:val="single" w:sz="4" w:space="0" w:color="000000"/>
            </w:tcBorders>
          </w:tcPr>
          <w:p w14:paraId="50F412B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3E7E403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0C73042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4.00</w:t>
            </w:r>
          </w:p>
        </w:tc>
        <w:tc>
          <w:tcPr>
            <w:tcW w:w="527" w:type="dxa"/>
            <w:tcBorders>
              <w:top w:val="single" w:sz="4" w:space="0" w:color="000000"/>
              <w:left w:val="single" w:sz="4" w:space="0" w:color="000000"/>
              <w:bottom w:val="single" w:sz="4" w:space="0" w:color="000000"/>
              <w:right w:val="single" w:sz="4" w:space="0" w:color="000000"/>
            </w:tcBorders>
          </w:tcPr>
          <w:p w14:paraId="33733B83" w14:textId="77777777" w:rsidR="00D3344B" w:rsidRDefault="00D3344B">
            <w:pPr>
              <w:pStyle w:val="TableParagraph"/>
              <w:rPr>
                <w:rFonts w:ascii="Arial" w:hAnsi="Arial" w:cs="Arial"/>
                <w:sz w:val="18"/>
                <w:szCs w:val="18"/>
              </w:rPr>
            </w:pPr>
          </w:p>
        </w:tc>
      </w:tr>
      <w:tr w:rsidR="00D3344B" w14:paraId="467F163B"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4BB9511"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019</w:t>
            </w:r>
          </w:p>
        </w:tc>
        <w:tc>
          <w:tcPr>
            <w:tcW w:w="3038" w:type="dxa"/>
            <w:tcBorders>
              <w:top w:val="single" w:sz="4" w:space="0" w:color="000000"/>
              <w:left w:val="single" w:sz="4" w:space="0" w:color="000000"/>
              <w:bottom w:val="single" w:sz="4" w:space="0" w:color="000000"/>
              <w:right w:val="single" w:sz="4" w:space="0" w:color="000000"/>
            </w:tcBorders>
          </w:tcPr>
          <w:p w14:paraId="6B5273D5" w14:textId="77777777" w:rsidR="00D3344B" w:rsidRDefault="00143C25">
            <w:pPr>
              <w:pStyle w:val="TableParagraph"/>
              <w:tabs>
                <w:tab w:val="left" w:pos="657"/>
                <w:tab w:val="left" w:pos="1545"/>
                <w:tab w:val="left" w:pos="1910"/>
                <w:tab w:val="left" w:pos="2275"/>
                <w:tab w:val="left" w:pos="2909"/>
              </w:tabs>
              <w:spacing w:line="252" w:lineRule="exact"/>
              <w:rPr>
                <w:rFonts w:ascii="Arial" w:hAnsi="Arial" w:cs="Arial"/>
                <w:sz w:val="18"/>
                <w:szCs w:val="18"/>
              </w:rPr>
            </w:pPr>
            <w:r>
              <w:rPr>
                <w:rFonts w:ascii="Arial" w:hAnsi="Arial" w:cs="Arial"/>
                <w:spacing w:val="-4"/>
                <w:w w:val="110"/>
                <w:sz w:val="18"/>
                <w:szCs w:val="18"/>
              </w:rPr>
              <w:t>Col.</w:t>
            </w:r>
            <w:r>
              <w:rPr>
                <w:rFonts w:ascii="Arial" w:hAnsi="Arial" w:cs="Arial"/>
                <w:sz w:val="18"/>
                <w:szCs w:val="18"/>
              </w:rPr>
              <w:tab/>
            </w:r>
            <w:r>
              <w:rPr>
                <w:rFonts w:ascii="Arial" w:hAnsi="Arial" w:cs="Arial"/>
                <w:spacing w:val="-2"/>
                <w:w w:val="110"/>
                <w:sz w:val="18"/>
                <w:szCs w:val="18"/>
              </w:rPr>
              <w:t>Dorsal</w:t>
            </w:r>
            <w:r>
              <w:rPr>
                <w:rFonts w:ascii="Arial" w:hAnsi="Arial" w:cs="Arial"/>
                <w:sz w:val="18"/>
                <w:szCs w:val="18"/>
              </w:rPr>
              <w:tab/>
            </w:r>
            <w:r>
              <w:rPr>
                <w:rFonts w:ascii="Arial" w:hAnsi="Arial" w:cs="Arial"/>
                <w:spacing w:val="-10"/>
                <w:w w:val="110"/>
                <w:sz w:val="18"/>
                <w:szCs w:val="18"/>
              </w:rPr>
              <w:t>2</w:t>
            </w:r>
            <w:r>
              <w:rPr>
                <w:rFonts w:ascii="Arial" w:hAnsi="Arial" w:cs="Arial"/>
                <w:sz w:val="18"/>
                <w:szCs w:val="18"/>
              </w:rPr>
              <w:tab/>
            </w:r>
            <w:r>
              <w:rPr>
                <w:rFonts w:ascii="Arial" w:hAnsi="Arial" w:cs="Arial"/>
                <w:spacing w:val="-10"/>
                <w:w w:val="110"/>
                <w:sz w:val="18"/>
                <w:szCs w:val="18"/>
              </w:rPr>
              <w:t>p</w:t>
            </w:r>
            <w:r>
              <w:rPr>
                <w:rFonts w:ascii="Arial" w:hAnsi="Arial" w:cs="Arial"/>
                <w:sz w:val="18"/>
                <w:szCs w:val="18"/>
              </w:rPr>
              <w:tab/>
            </w:r>
            <w:r>
              <w:rPr>
                <w:rFonts w:ascii="Arial" w:hAnsi="Arial" w:cs="Arial"/>
                <w:spacing w:val="-4"/>
                <w:w w:val="110"/>
                <w:sz w:val="18"/>
                <w:szCs w:val="18"/>
              </w:rPr>
              <w:t>(AP</w:t>
            </w:r>
            <w:r>
              <w:rPr>
                <w:rFonts w:ascii="Arial" w:hAnsi="Arial" w:cs="Arial"/>
                <w:sz w:val="18"/>
                <w:szCs w:val="18"/>
              </w:rPr>
              <w:tab/>
            </w:r>
            <w:r>
              <w:rPr>
                <w:rFonts w:ascii="Arial" w:hAnsi="Arial" w:cs="Arial"/>
                <w:spacing w:val="-12"/>
                <w:w w:val="110"/>
                <w:sz w:val="18"/>
                <w:szCs w:val="18"/>
              </w:rPr>
              <w:t xml:space="preserve">y </w:t>
            </w:r>
            <w:r>
              <w:rPr>
                <w:rFonts w:ascii="Arial" w:hAnsi="Arial" w:cs="Arial"/>
                <w:spacing w:val="-2"/>
                <w:w w:val="110"/>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5532973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10E09F2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14468A8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13C9A4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3CF79C1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022AFED6" w14:textId="77777777" w:rsidR="00D3344B" w:rsidRDefault="00D3344B">
            <w:pPr>
              <w:pStyle w:val="TableParagraph"/>
              <w:rPr>
                <w:rFonts w:ascii="Arial" w:hAnsi="Arial" w:cs="Arial"/>
                <w:sz w:val="18"/>
                <w:szCs w:val="18"/>
              </w:rPr>
            </w:pPr>
          </w:p>
        </w:tc>
      </w:tr>
      <w:tr w:rsidR="00D3344B" w14:paraId="013AD84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484C20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020</w:t>
            </w:r>
          </w:p>
        </w:tc>
        <w:tc>
          <w:tcPr>
            <w:tcW w:w="3038" w:type="dxa"/>
            <w:tcBorders>
              <w:top w:val="single" w:sz="4" w:space="0" w:color="000000"/>
              <w:left w:val="single" w:sz="4" w:space="0" w:color="000000"/>
              <w:bottom w:val="single" w:sz="4" w:space="0" w:color="000000"/>
              <w:right w:val="single" w:sz="4" w:space="0" w:color="000000"/>
            </w:tcBorders>
          </w:tcPr>
          <w:p w14:paraId="441398C6" w14:textId="77777777" w:rsidR="00D3344B" w:rsidRDefault="00143C25">
            <w:pPr>
              <w:pStyle w:val="TableParagraph"/>
              <w:spacing w:line="254" w:lineRule="exact"/>
              <w:rPr>
                <w:rFonts w:ascii="Arial" w:hAnsi="Arial" w:cs="Arial"/>
                <w:sz w:val="18"/>
                <w:szCs w:val="18"/>
              </w:rPr>
            </w:pPr>
            <w:r>
              <w:rPr>
                <w:rFonts w:ascii="Arial" w:hAnsi="Arial" w:cs="Arial"/>
                <w:w w:val="115"/>
                <w:sz w:val="18"/>
                <w:szCs w:val="18"/>
              </w:rPr>
              <w:t xml:space="preserve">Col. Lumbo-sacra 2 p (AP y </w:t>
            </w:r>
            <w:r>
              <w:rPr>
                <w:rFonts w:ascii="Arial" w:hAnsi="Arial" w:cs="Arial"/>
                <w:spacing w:val="-2"/>
                <w:w w:val="115"/>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3ED8B9C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1B5CA718"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4C831158"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5B3D3DB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5774E8F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3B1A7658" w14:textId="77777777" w:rsidR="00D3344B" w:rsidRDefault="00D3344B">
            <w:pPr>
              <w:pStyle w:val="TableParagraph"/>
              <w:rPr>
                <w:rFonts w:ascii="Arial" w:hAnsi="Arial" w:cs="Arial"/>
                <w:sz w:val="18"/>
                <w:szCs w:val="18"/>
              </w:rPr>
            </w:pPr>
          </w:p>
        </w:tc>
      </w:tr>
      <w:tr w:rsidR="00D3344B" w14:paraId="4443E980"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4988BCA4"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021</w:t>
            </w:r>
          </w:p>
        </w:tc>
        <w:tc>
          <w:tcPr>
            <w:tcW w:w="3038" w:type="dxa"/>
            <w:tcBorders>
              <w:top w:val="single" w:sz="4" w:space="0" w:color="000000"/>
              <w:left w:val="single" w:sz="4" w:space="0" w:color="000000"/>
              <w:bottom w:val="single" w:sz="4" w:space="0" w:color="000000"/>
              <w:right w:val="single" w:sz="4" w:space="0" w:color="000000"/>
            </w:tcBorders>
          </w:tcPr>
          <w:p w14:paraId="1DB9C20A" w14:textId="77777777" w:rsidR="00D3344B" w:rsidRDefault="00143C25">
            <w:pPr>
              <w:pStyle w:val="TableParagraph"/>
              <w:spacing w:line="249" w:lineRule="exact"/>
              <w:ind w:right="-15"/>
              <w:rPr>
                <w:rFonts w:ascii="Arial" w:hAnsi="Arial" w:cs="Arial"/>
                <w:sz w:val="18"/>
                <w:szCs w:val="18"/>
              </w:rPr>
            </w:pPr>
            <w:r>
              <w:rPr>
                <w:rFonts w:ascii="Arial" w:hAnsi="Arial" w:cs="Arial"/>
                <w:w w:val="115"/>
                <w:sz w:val="18"/>
                <w:szCs w:val="18"/>
              </w:rPr>
              <w:t>Col.</w:t>
            </w:r>
            <w:r>
              <w:rPr>
                <w:rFonts w:ascii="Arial" w:hAnsi="Arial" w:cs="Arial"/>
                <w:spacing w:val="65"/>
                <w:w w:val="115"/>
                <w:sz w:val="18"/>
                <w:szCs w:val="18"/>
              </w:rPr>
              <w:t xml:space="preserve"> </w:t>
            </w:r>
            <w:r>
              <w:rPr>
                <w:rFonts w:ascii="Arial" w:hAnsi="Arial" w:cs="Arial"/>
                <w:w w:val="115"/>
                <w:sz w:val="18"/>
                <w:szCs w:val="18"/>
              </w:rPr>
              <w:t>Lumbo-sacra</w:t>
            </w:r>
            <w:r>
              <w:rPr>
                <w:rFonts w:ascii="Arial" w:hAnsi="Arial" w:cs="Arial"/>
                <w:spacing w:val="67"/>
                <w:w w:val="115"/>
                <w:sz w:val="18"/>
                <w:szCs w:val="18"/>
              </w:rPr>
              <w:t xml:space="preserve"> </w:t>
            </w:r>
            <w:r>
              <w:rPr>
                <w:rFonts w:ascii="Arial" w:hAnsi="Arial" w:cs="Arial"/>
                <w:w w:val="115"/>
                <w:sz w:val="18"/>
                <w:szCs w:val="18"/>
              </w:rPr>
              <w:t>4</w:t>
            </w:r>
            <w:r>
              <w:rPr>
                <w:rFonts w:ascii="Arial" w:hAnsi="Arial" w:cs="Arial"/>
                <w:spacing w:val="67"/>
                <w:w w:val="115"/>
                <w:sz w:val="18"/>
                <w:szCs w:val="18"/>
              </w:rPr>
              <w:t xml:space="preserve"> </w:t>
            </w:r>
            <w:r>
              <w:rPr>
                <w:rFonts w:ascii="Arial" w:hAnsi="Arial" w:cs="Arial"/>
                <w:w w:val="115"/>
                <w:sz w:val="18"/>
                <w:szCs w:val="18"/>
              </w:rPr>
              <w:t>p</w:t>
            </w:r>
            <w:r>
              <w:rPr>
                <w:rFonts w:ascii="Arial" w:hAnsi="Arial" w:cs="Arial"/>
                <w:spacing w:val="66"/>
                <w:w w:val="115"/>
                <w:sz w:val="18"/>
                <w:szCs w:val="18"/>
              </w:rPr>
              <w:t xml:space="preserve"> </w:t>
            </w:r>
            <w:r>
              <w:rPr>
                <w:rFonts w:ascii="Arial" w:hAnsi="Arial" w:cs="Arial"/>
                <w:spacing w:val="-4"/>
                <w:w w:val="115"/>
                <w:sz w:val="18"/>
                <w:szCs w:val="18"/>
              </w:rPr>
              <w:t>(AP,</w:t>
            </w:r>
          </w:p>
          <w:p w14:paraId="7A55AC22" w14:textId="77777777" w:rsidR="00D3344B" w:rsidRDefault="00143C25">
            <w:pPr>
              <w:pStyle w:val="TableParagraph"/>
              <w:spacing w:before="1" w:line="233" w:lineRule="exact"/>
              <w:rPr>
                <w:rFonts w:ascii="Arial" w:hAnsi="Arial" w:cs="Arial"/>
                <w:sz w:val="18"/>
                <w:szCs w:val="18"/>
              </w:rPr>
            </w:pPr>
            <w:r>
              <w:rPr>
                <w:rFonts w:ascii="Arial" w:hAnsi="Arial" w:cs="Arial"/>
                <w:w w:val="115"/>
                <w:sz w:val="18"/>
                <w:szCs w:val="18"/>
              </w:rPr>
              <w:t>Lateral</w:t>
            </w:r>
            <w:r>
              <w:rPr>
                <w:rFonts w:ascii="Arial" w:hAnsi="Arial" w:cs="Arial"/>
                <w:spacing w:val="-5"/>
                <w:w w:val="115"/>
                <w:sz w:val="18"/>
                <w:szCs w:val="18"/>
              </w:rPr>
              <w:t xml:space="preserve"> </w:t>
            </w:r>
            <w:r>
              <w:rPr>
                <w:rFonts w:ascii="Arial" w:hAnsi="Arial" w:cs="Arial"/>
                <w:w w:val="115"/>
                <w:sz w:val="18"/>
                <w:szCs w:val="18"/>
              </w:rPr>
              <w:t>y</w:t>
            </w:r>
            <w:r>
              <w:rPr>
                <w:rFonts w:ascii="Arial" w:hAnsi="Arial" w:cs="Arial"/>
                <w:spacing w:val="-6"/>
                <w:w w:val="115"/>
                <w:sz w:val="18"/>
                <w:szCs w:val="18"/>
              </w:rPr>
              <w:t xml:space="preserve"> </w:t>
            </w:r>
            <w:r>
              <w:rPr>
                <w:rFonts w:ascii="Arial" w:hAnsi="Arial" w:cs="Arial"/>
                <w:spacing w:val="-2"/>
                <w:w w:val="115"/>
                <w:sz w:val="18"/>
                <w:szCs w:val="18"/>
              </w:rPr>
              <w:t>Oblicuas)</w:t>
            </w:r>
          </w:p>
        </w:tc>
        <w:tc>
          <w:tcPr>
            <w:tcW w:w="697" w:type="dxa"/>
            <w:tcBorders>
              <w:top w:val="single" w:sz="4" w:space="0" w:color="000000"/>
              <w:left w:val="single" w:sz="4" w:space="0" w:color="000000"/>
              <w:bottom w:val="single" w:sz="4" w:space="0" w:color="000000"/>
              <w:right w:val="single" w:sz="4" w:space="0" w:color="000000"/>
            </w:tcBorders>
          </w:tcPr>
          <w:p w14:paraId="43B97E86"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6.00</w:t>
            </w:r>
          </w:p>
        </w:tc>
        <w:tc>
          <w:tcPr>
            <w:tcW w:w="695" w:type="dxa"/>
            <w:tcBorders>
              <w:top w:val="single" w:sz="4" w:space="0" w:color="000000"/>
              <w:left w:val="single" w:sz="4" w:space="0" w:color="000000"/>
              <w:bottom w:val="single" w:sz="4" w:space="0" w:color="000000"/>
              <w:right w:val="single" w:sz="4" w:space="0" w:color="000000"/>
            </w:tcBorders>
          </w:tcPr>
          <w:p w14:paraId="3E37C35B"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7C4E4A6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628860A6"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4.00</w:t>
            </w:r>
          </w:p>
        </w:tc>
        <w:tc>
          <w:tcPr>
            <w:tcW w:w="696" w:type="dxa"/>
            <w:tcBorders>
              <w:top w:val="single" w:sz="4" w:space="0" w:color="000000"/>
              <w:left w:val="single" w:sz="4" w:space="0" w:color="000000"/>
              <w:bottom w:val="single" w:sz="4" w:space="0" w:color="000000"/>
              <w:right w:val="single" w:sz="4" w:space="0" w:color="000000"/>
            </w:tcBorders>
          </w:tcPr>
          <w:p w14:paraId="24F0B26C"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3.25</w:t>
            </w:r>
          </w:p>
        </w:tc>
        <w:tc>
          <w:tcPr>
            <w:tcW w:w="527" w:type="dxa"/>
            <w:tcBorders>
              <w:top w:val="single" w:sz="4" w:space="0" w:color="000000"/>
              <w:left w:val="single" w:sz="4" w:space="0" w:color="000000"/>
              <w:bottom w:val="single" w:sz="4" w:space="0" w:color="000000"/>
              <w:right w:val="single" w:sz="4" w:space="0" w:color="000000"/>
            </w:tcBorders>
          </w:tcPr>
          <w:p w14:paraId="40F9A536" w14:textId="77777777" w:rsidR="00D3344B" w:rsidRDefault="00D3344B">
            <w:pPr>
              <w:pStyle w:val="TableParagraph"/>
              <w:rPr>
                <w:rFonts w:ascii="Arial" w:hAnsi="Arial" w:cs="Arial"/>
                <w:sz w:val="18"/>
                <w:szCs w:val="18"/>
              </w:rPr>
            </w:pPr>
          </w:p>
        </w:tc>
      </w:tr>
      <w:tr w:rsidR="00D3344B" w14:paraId="174A34C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C61A804"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022</w:t>
            </w:r>
          </w:p>
        </w:tc>
        <w:tc>
          <w:tcPr>
            <w:tcW w:w="3038" w:type="dxa"/>
            <w:tcBorders>
              <w:top w:val="single" w:sz="4" w:space="0" w:color="000000"/>
              <w:left w:val="single" w:sz="4" w:space="0" w:color="000000"/>
              <w:bottom w:val="single" w:sz="4" w:space="0" w:color="000000"/>
              <w:right w:val="single" w:sz="4" w:space="0" w:color="000000"/>
            </w:tcBorders>
          </w:tcPr>
          <w:p w14:paraId="49779D76" w14:textId="77777777" w:rsidR="00D3344B" w:rsidRDefault="00143C25">
            <w:pPr>
              <w:pStyle w:val="TableParagraph"/>
              <w:spacing w:line="254" w:lineRule="exact"/>
              <w:rPr>
                <w:rFonts w:ascii="Arial" w:hAnsi="Arial" w:cs="Arial"/>
                <w:sz w:val="18"/>
                <w:szCs w:val="18"/>
              </w:rPr>
            </w:pPr>
            <w:r>
              <w:rPr>
                <w:rFonts w:ascii="Arial" w:hAnsi="Arial" w:cs="Arial"/>
                <w:w w:val="115"/>
                <w:sz w:val="18"/>
                <w:szCs w:val="18"/>
              </w:rPr>
              <w:t>Col.</w:t>
            </w:r>
            <w:r>
              <w:rPr>
                <w:rFonts w:ascii="Arial" w:hAnsi="Arial" w:cs="Arial"/>
                <w:spacing w:val="40"/>
                <w:w w:val="115"/>
                <w:sz w:val="18"/>
                <w:szCs w:val="18"/>
              </w:rPr>
              <w:t xml:space="preserve"> </w:t>
            </w:r>
            <w:r>
              <w:rPr>
                <w:rFonts w:ascii="Arial" w:hAnsi="Arial" w:cs="Arial"/>
                <w:w w:val="115"/>
                <w:sz w:val="18"/>
                <w:szCs w:val="18"/>
              </w:rPr>
              <w:t>Lumbo-sacra</w:t>
            </w:r>
            <w:r>
              <w:rPr>
                <w:rFonts w:ascii="Arial" w:hAnsi="Arial" w:cs="Arial"/>
                <w:spacing w:val="40"/>
                <w:w w:val="115"/>
                <w:sz w:val="18"/>
                <w:szCs w:val="18"/>
              </w:rPr>
              <w:t xml:space="preserve"> </w:t>
            </w:r>
            <w:r>
              <w:rPr>
                <w:rFonts w:ascii="Arial" w:hAnsi="Arial" w:cs="Arial"/>
                <w:w w:val="115"/>
                <w:sz w:val="18"/>
                <w:szCs w:val="18"/>
              </w:rPr>
              <w:t>4</w:t>
            </w:r>
            <w:r>
              <w:rPr>
                <w:rFonts w:ascii="Arial" w:hAnsi="Arial" w:cs="Arial"/>
                <w:spacing w:val="40"/>
                <w:w w:val="115"/>
                <w:sz w:val="18"/>
                <w:szCs w:val="18"/>
              </w:rPr>
              <w:t xml:space="preserve"> </w:t>
            </w:r>
            <w:r>
              <w:rPr>
                <w:rFonts w:ascii="Arial" w:hAnsi="Arial" w:cs="Arial"/>
                <w:w w:val="115"/>
                <w:sz w:val="18"/>
                <w:szCs w:val="18"/>
              </w:rPr>
              <w:t>p</w:t>
            </w:r>
            <w:r>
              <w:rPr>
                <w:rFonts w:ascii="Arial" w:hAnsi="Arial" w:cs="Arial"/>
                <w:spacing w:val="40"/>
                <w:w w:val="115"/>
                <w:sz w:val="18"/>
                <w:szCs w:val="18"/>
              </w:rPr>
              <w:t xml:space="preserve"> </w:t>
            </w:r>
            <w:r>
              <w:rPr>
                <w:rFonts w:ascii="Arial" w:hAnsi="Arial" w:cs="Arial"/>
                <w:w w:val="115"/>
                <w:sz w:val="18"/>
                <w:szCs w:val="18"/>
              </w:rPr>
              <w:t>(AP, Lateral y Dinámicas)</w:t>
            </w:r>
          </w:p>
        </w:tc>
        <w:tc>
          <w:tcPr>
            <w:tcW w:w="697" w:type="dxa"/>
            <w:tcBorders>
              <w:top w:val="single" w:sz="4" w:space="0" w:color="000000"/>
              <w:left w:val="single" w:sz="4" w:space="0" w:color="000000"/>
              <w:bottom w:val="single" w:sz="4" w:space="0" w:color="000000"/>
              <w:right w:val="single" w:sz="4" w:space="0" w:color="000000"/>
            </w:tcBorders>
          </w:tcPr>
          <w:p w14:paraId="0CE08306"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6.00</w:t>
            </w:r>
          </w:p>
        </w:tc>
        <w:tc>
          <w:tcPr>
            <w:tcW w:w="695" w:type="dxa"/>
            <w:tcBorders>
              <w:top w:val="single" w:sz="4" w:space="0" w:color="000000"/>
              <w:left w:val="single" w:sz="4" w:space="0" w:color="000000"/>
              <w:bottom w:val="single" w:sz="4" w:space="0" w:color="000000"/>
              <w:right w:val="single" w:sz="4" w:space="0" w:color="000000"/>
            </w:tcBorders>
          </w:tcPr>
          <w:p w14:paraId="1C0F37C7"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0EDB826C"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16271465"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4.00</w:t>
            </w:r>
          </w:p>
        </w:tc>
        <w:tc>
          <w:tcPr>
            <w:tcW w:w="696" w:type="dxa"/>
            <w:tcBorders>
              <w:top w:val="single" w:sz="4" w:space="0" w:color="000000"/>
              <w:left w:val="single" w:sz="4" w:space="0" w:color="000000"/>
              <w:bottom w:val="single" w:sz="4" w:space="0" w:color="000000"/>
              <w:right w:val="single" w:sz="4" w:space="0" w:color="000000"/>
            </w:tcBorders>
          </w:tcPr>
          <w:p w14:paraId="74463224"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3.25</w:t>
            </w:r>
          </w:p>
        </w:tc>
        <w:tc>
          <w:tcPr>
            <w:tcW w:w="527" w:type="dxa"/>
            <w:tcBorders>
              <w:top w:val="single" w:sz="4" w:space="0" w:color="000000"/>
              <w:left w:val="single" w:sz="4" w:space="0" w:color="000000"/>
              <w:bottom w:val="single" w:sz="4" w:space="0" w:color="000000"/>
              <w:right w:val="single" w:sz="4" w:space="0" w:color="000000"/>
            </w:tcBorders>
          </w:tcPr>
          <w:p w14:paraId="43FE8BE9" w14:textId="77777777" w:rsidR="00D3344B" w:rsidRDefault="00D3344B">
            <w:pPr>
              <w:pStyle w:val="TableParagraph"/>
              <w:rPr>
                <w:rFonts w:ascii="Arial" w:hAnsi="Arial" w:cs="Arial"/>
                <w:sz w:val="18"/>
                <w:szCs w:val="18"/>
              </w:rPr>
            </w:pPr>
          </w:p>
        </w:tc>
      </w:tr>
      <w:tr w:rsidR="00D3344B" w14:paraId="507E5B0B" w14:textId="77777777">
        <w:trPr>
          <w:trHeight w:val="298"/>
        </w:trPr>
        <w:tc>
          <w:tcPr>
            <w:tcW w:w="1776" w:type="dxa"/>
            <w:tcBorders>
              <w:top w:val="single" w:sz="4" w:space="0" w:color="000000"/>
              <w:left w:val="single" w:sz="4" w:space="0" w:color="000000"/>
              <w:bottom w:val="single" w:sz="4" w:space="0" w:color="000000"/>
              <w:right w:val="single" w:sz="4" w:space="0" w:color="000000"/>
            </w:tcBorders>
          </w:tcPr>
          <w:p w14:paraId="14D85712"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025</w:t>
            </w:r>
          </w:p>
        </w:tc>
        <w:tc>
          <w:tcPr>
            <w:tcW w:w="3038" w:type="dxa"/>
            <w:tcBorders>
              <w:top w:val="single" w:sz="4" w:space="0" w:color="000000"/>
              <w:left w:val="single" w:sz="4" w:space="0" w:color="000000"/>
              <w:bottom w:val="single" w:sz="4" w:space="0" w:color="000000"/>
              <w:right w:val="single" w:sz="4" w:space="0" w:color="000000"/>
            </w:tcBorders>
          </w:tcPr>
          <w:p w14:paraId="4A9102AA"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Colangiografía</w:t>
            </w:r>
            <w:r>
              <w:rPr>
                <w:rFonts w:ascii="Arial" w:hAnsi="Arial" w:cs="Arial"/>
                <w:spacing w:val="9"/>
                <w:w w:val="110"/>
                <w:sz w:val="18"/>
                <w:szCs w:val="18"/>
              </w:rPr>
              <w:t xml:space="preserve"> </w:t>
            </w:r>
            <w:r>
              <w:rPr>
                <w:rFonts w:ascii="Arial" w:hAnsi="Arial" w:cs="Arial"/>
                <w:w w:val="110"/>
                <w:sz w:val="18"/>
                <w:szCs w:val="18"/>
              </w:rPr>
              <w:t>por</w:t>
            </w:r>
            <w:r>
              <w:rPr>
                <w:rFonts w:ascii="Arial" w:hAnsi="Arial" w:cs="Arial"/>
                <w:spacing w:val="13"/>
                <w:w w:val="110"/>
                <w:sz w:val="18"/>
                <w:szCs w:val="18"/>
              </w:rPr>
              <w:t xml:space="preserve"> </w:t>
            </w:r>
            <w:r>
              <w:rPr>
                <w:rFonts w:ascii="Arial" w:hAnsi="Arial" w:cs="Arial"/>
                <w:spacing w:val="-2"/>
                <w:w w:val="110"/>
                <w:sz w:val="18"/>
                <w:szCs w:val="18"/>
              </w:rPr>
              <w:t>sonda</w:t>
            </w:r>
          </w:p>
        </w:tc>
        <w:tc>
          <w:tcPr>
            <w:tcW w:w="697" w:type="dxa"/>
            <w:tcBorders>
              <w:top w:val="single" w:sz="4" w:space="0" w:color="000000"/>
              <w:left w:val="single" w:sz="4" w:space="0" w:color="000000"/>
              <w:bottom w:val="single" w:sz="4" w:space="0" w:color="000000"/>
              <w:right w:val="single" w:sz="4" w:space="0" w:color="000000"/>
            </w:tcBorders>
          </w:tcPr>
          <w:p w14:paraId="38200548"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14.50</w:t>
            </w:r>
          </w:p>
        </w:tc>
        <w:tc>
          <w:tcPr>
            <w:tcW w:w="695" w:type="dxa"/>
            <w:tcBorders>
              <w:top w:val="single" w:sz="4" w:space="0" w:color="000000"/>
              <w:left w:val="single" w:sz="4" w:space="0" w:color="000000"/>
              <w:bottom w:val="single" w:sz="4" w:space="0" w:color="000000"/>
              <w:right w:val="single" w:sz="4" w:space="0" w:color="000000"/>
            </w:tcBorders>
          </w:tcPr>
          <w:p w14:paraId="3F77669C"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14.00</w:t>
            </w:r>
          </w:p>
        </w:tc>
        <w:tc>
          <w:tcPr>
            <w:tcW w:w="699" w:type="dxa"/>
            <w:tcBorders>
              <w:top w:val="single" w:sz="4" w:space="0" w:color="000000"/>
              <w:left w:val="single" w:sz="4" w:space="0" w:color="000000"/>
              <w:bottom w:val="single" w:sz="4" w:space="0" w:color="000000"/>
              <w:right w:val="single" w:sz="4" w:space="0" w:color="000000"/>
            </w:tcBorders>
          </w:tcPr>
          <w:p w14:paraId="62A84523"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13.25</w:t>
            </w:r>
          </w:p>
        </w:tc>
        <w:tc>
          <w:tcPr>
            <w:tcW w:w="699" w:type="dxa"/>
            <w:tcBorders>
              <w:top w:val="single" w:sz="4" w:space="0" w:color="000000"/>
              <w:left w:val="single" w:sz="4" w:space="0" w:color="000000"/>
              <w:bottom w:val="single" w:sz="4" w:space="0" w:color="000000"/>
              <w:right w:val="single" w:sz="4" w:space="0" w:color="000000"/>
            </w:tcBorders>
          </w:tcPr>
          <w:p w14:paraId="6C714114"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12.50</w:t>
            </w:r>
          </w:p>
        </w:tc>
        <w:tc>
          <w:tcPr>
            <w:tcW w:w="696" w:type="dxa"/>
            <w:tcBorders>
              <w:top w:val="single" w:sz="4" w:space="0" w:color="000000"/>
              <w:left w:val="single" w:sz="4" w:space="0" w:color="000000"/>
              <w:bottom w:val="single" w:sz="4" w:space="0" w:color="000000"/>
              <w:right w:val="single" w:sz="4" w:space="0" w:color="000000"/>
            </w:tcBorders>
          </w:tcPr>
          <w:p w14:paraId="4FDA95A6"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11.75</w:t>
            </w:r>
          </w:p>
        </w:tc>
        <w:tc>
          <w:tcPr>
            <w:tcW w:w="527" w:type="dxa"/>
            <w:tcBorders>
              <w:top w:val="single" w:sz="4" w:space="0" w:color="000000"/>
              <w:left w:val="single" w:sz="4" w:space="0" w:color="000000"/>
              <w:bottom w:val="single" w:sz="4" w:space="0" w:color="000000"/>
              <w:right w:val="single" w:sz="4" w:space="0" w:color="000000"/>
            </w:tcBorders>
          </w:tcPr>
          <w:p w14:paraId="0FABE50A" w14:textId="77777777" w:rsidR="00D3344B" w:rsidRDefault="00D3344B">
            <w:pPr>
              <w:pStyle w:val="TableParagraph"/>
              <w:rPr>
                <w:rFonts w:ascii="Arial" w:hAnsi="Arial" w:cs="Arial"/>
                <w:sz w:val="18"/>
                <w:szCs w:val="18"/>
              </w:rPr>
            </w:pPr>
          </w:p>
        </w:tc>
      </w:tr>
      <w:tr w:rsidR="00D3344B" w14:paraId="019D4B1A"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A77877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027</w:t>
            </w:r>
          </w:p>
        </w:tc>
        <w:tc>
          <w:tcPr>
            <w:tcW w:w="3038" w:type="dxa"/>
            <w:tcBorders>
              <w:top w:val="single" w:sz="4" w:space="0" w:color="000000"/>
              <w:left w:val="single" w:sz="4" w:space="0" w:color="000000"/>
              <w:bottom w:val="single" w:sz="4" w:space="0" w:color="000000"/>
              <w:right w:val="single" w:sz="4" w:space="0" w:color="000000"/>
            </w:tcBorders>
          </w:tcPr>
          <w:p w14:paraId="7695C616" w14:textId="77777777" w:rsidR="00D3344B" w:rsidRDefault="00143C25">
            <w:pPr>
              <w:pStyle w:val="TableParagraph"/>
              <w:rPr>
                <w:rFonts w:ascii="Arial" w:hAnsi="Arial" w:cs="Arial"/>
                <w:sz w:val="18"/>
                <w:szCs w:val="18"/>
              </w:rPr>
            </w:pPr>
            <w:r>
              <w:rPr>
                <w:rFonts w:ascii="Arial" w:hAnsi="Arial" w:cs="Arial"/>
                <w:w w:val="110"/>
                <w:sz w:val="18"/>
                <w:szCs w:val="18"/>
              </w:rPr>
              <w:t>Colon</w:t>
            </w:r>
            <w:r>
              <w:rPr>
                <w:rFonts w:ascii="Arial" w:hAnsi="Arial" w:cs="Arial"/>
                <w:spacing w:val="12"/>
                <w:w w:val="110"/>
                <w:sz w:val="18"/>
                <w:szCs w:val="18"/>
              </w:rPr>
              <w:t xml:space="preserve"> </w:t>
            </w:r>
            <w:r>
              <w:rPr>
                <w:rFonts w:ascii="Arial" w:hAnsi="Arial" w:cs="Arial"/>
                <w:w w:val="110"/>
                <w:sz w:val="18"/>
                <w:szCs w:val="18"/>
              </w:rPr>
              <w:t>por</w:t>
            </w:r>
            <w:r>
              <w:rPr>
                <w:rFonts w:ascii="Arial" w:hAnsi="Arial" w:cs="Arial"/>
                <w:spacing w:val="9"/>
                <w:w w:val="110"/>
                <w:sz w:val="18"/>
                <w:szCs w:val="18"/>
              </w:rPr>
              <w:t xml:space="preserve"> </w:t>
            </w:r>
            <w:r>
              <w:rPr>
                <w:rFonts w:ascii="Arial" w:hAnsi="Arial" w:cs="Arial"/>
                <w:spacing w:val="-2"/>
                <w:w w:val="110"/>
                <w:sz w:val="18"/>
                <w:szCs w:val="18"/>
              </w:rPr>
              <w:t>enema</w:t>
            </w:r>
          </w:p>
        </w:tc>
        <w:tc>
          <w:tcPr>
            <w:tcW w:w="697" w:type="dxa"/>
            <w:tcBorders>
              <w:top w:val="single" w:sz="4" w:space="0" w:color="000000"/>
              <w:left w:val="single" w:sz="4" w:space="0" w:color="000000"/>
              <w:bottom w:val="single" w:sz="4" w:space="0" w:color="000000"/>
              <w:right w:val="single" w:sz="4" w:space="0" w:color="000000"/>
            </w:tcBorders>
          </w:tcPr>
          <w:p w14:paraId="6ADD279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11.50</w:t>
            </w:r>
          </w:p>
        </w:tc>
        <w:tc>
          <w:tcPr>
            <w:tcW w:w="695" w:type="dxa"/>
            <w:tcBorders>
              <w:top w:val="single" w:sz="4" w:space="0" w:color="000000"/>
              <w:left w:val="single" w:sz="4" w:space="0" w:color="000000"/>
              <w:bottom w:val="single" w:sz="4" w:space="0" w:color="000000"/>
              <w:right w:val="single" w:sz="4" w:space="0" w:color="000000"/>
            </w:tcBorders>
          </w:tcPr>
          <w:p w14:paraId="414581FC" w14:textId="77777777" w:rsidR="00D3344B" w:rsidRDefault="00143C25">
            <w:pPr>
              <w:pStyle w:val="TableParagraph"/>
              <w:rPr>
                <w:rFonts w:ascii="Arial" w:hAnsi="Arial" w:cs="Arial"/>
                <w:sz w:val="18"/>
                <w:szCs w:val="18"/>
              </w:rPr>
            </w:pPr>
            <w:r>
              <w:rPr>
                <w:rFonts w:ascii="Arial" w:hAnsi="Arial" w:cs="Arial"/>
                <w:spacing w:val="-4"/>
                <w:w w:val="115"/>
                <w:sz w:val="18"/>
                <w:szCs w:val="18"/>
              </w:rPr>
              <w:t>10.25</w:t>
            </w:r>
          </w:p>
        </w:tc>
        <w:tc>
          <w:tcPr>
            <w:tcW w:w="699" w:type="dxa"/>
            <w:tcBorders>
              <w:top w:val="single" w:sz="4" w:space="0" w:color="000000"/>
              <w:left w:val="single" w:sz="4" w:space="0" w:color="000000"/>
              <w:bottom w:val="single" w:sz="4" w:space="0" w:color="000000"/>
              <w:right w:val="single" w:sz="4" w:space="0" w:color="000000"/>
            </w:tcBorders>
          </w:tcPr>
          <w:p w14:paraId="22987332" w14:textId="77777777" w:rsidR="00D3344B" w:rsidRDefault="00143C25">
            <w:pPr>
              <w:pStyle w:val="TableParagraph"/>
              <w:rPr>
                <w:rFonts w:ascii="Arial" w:hAnsi="Arial" w:cs="Arial"/>
                <w:sz w:val="18"/>
                <w:szCs w:val="18"/>
              </w:rPr>
            </w:pPr>
            <w:r>
              <w:rPr>
                <w:rFonts w:ascii="Arial" w:hAnsi="Arial" w:cs="Arial"/>
                <w:spacing w:val="-4"/>
                <w:w w:val="115"/>
                <w:sz w:val="18"/>
                <w:szCs w:val="18"/>
              </w:rPr>
              <w:t>9.25</w:t>
            </w:r>
          </w:p>
        </w:tc>
        <w:tc>
          <w:tcPr>
            <w:tcW w:w="699" w:type="dxa"/>
            <w:tcBorders>
              <w:top w:val="single" w:sz="4" w:space="0" w:color="000000"/>
              <w:left w:val="single" w:sz="4" w:space="0" w:color="000000"/>
              <w:bottom w:val="single" w:sz="4" w:space="0" w:color="000000"/>
              <w:right w:val="single" w:sz="4" w:space="0" w:color="000000"/>
            </w:tcBorders>
          </w:tcPr>
          <w:p w14:paraId="4D88060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8.25</w:t>
            </w:r>
          </w:p>
        </w:tc>
        <w:tc>
          <w:tcPr>
            <w:tcW w:w="696" w:type="dxa"/>
            <w:tcBorders>
              <w:top w:val="single" w:sz="4" w:space="0" w:color="000000"/>
              <w:left w:val="single" w:sz="4" w:space="0" w:color="000000"/>
              <w:bottom w:val="single" w:sz="4" w:space="0" w:color="000000"/>
              <w:right w:val="single" w:sz="4" w:space="0" w:color="000000"/>
            </w:tcBorders>
          </w:tcPr>
          <w:p w14:paraId="765D061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7.00</w:t>
            </w:r>
          </w:p>
        </w:tc>
        <w:tc>
          <w:tcPr>
            <w:tcW w:w="527" w:type="dxa"/>
            <w:tcBorders>
              <w:top w:val="single" w:sz="4" w:space="0" w:color="000000"/>
              <w:left w:val="single" w:sz="4" w:space="0" w:color="000000"/>
              <w:bottom w:val="single" w:sz="4" w:space="0" w:color="000000"/>
              <w:right w:val="single" w:sz="4" w:space="0" w:color="000000"/>
            </w:tcBorders>
          </w:tcPr>
          <w:p w14:paraId="69BFE411" w14:textId="77777777" w:rsidR="00D3344B" w:rsidRDefault="00D3344B">
            <w:pPr>
              <w:pStyle w:val="TableParagraph"/>
              <w:rPr>
                <w:rFonts w:ascii="Arial" w:hAnsi="Arial" w:cs="Arial"/>
                <w:sz w:val="18"/>
                <w:szCs w:val="18"/>
              </w:rPr>
            </w:pPr>
          </w:p>
        </w:tc>
      </w:tr>
      <w:tr w:rsidR="00D3344B" w14:paraId="50023B4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A56DFA4" w14:textId="77777777" w:rsidR="00D3344B" w:rsidRDefault="00143C25">
            <w:pPr>
              <w:pStyle w:val="TableParagraph"/>
              <w:rPr>
                <w:rFonts w:ascii="Arial" w:hAnsi="Arial" w:cs="Arial"/>
                <w:sz w:val="18"/>
                <w:szCs w:val="18"/>
              </w:rPr>
            </w:pPr>
            <w:r>
              <w:rPr>
                <w:rFonts w:ascii="Arial" w:hAnsi="Arial" w:cs="Arial"/>
                <w:w w:val="110"/>
                <w:sz w:val="18"/>
                <w:szCs w:val="18"/>
              </w:rPr>
              <w:lastRenderedPageBreak/>
              <w:t>02-RX-</w:t>
            </w:r>
            <w:r>
              <w:rPr>
                <w:rFonts w:ascii="Arial" w:hAnsi="Arial" w:cs="Arial"/>
                <w:spacing w:val="-5"/>
                <w:w w:val="110"/>
                <w:sz w:val="18"/>
                <w:szCs w:val="18"/>
              </w:rPr>
              <w:t>028</w:t>
            </w:r>
          </w:p>
        </w:tc>
        <w:tc>
          <w:tcPr>
            <w:tcW w:w="3038" w:type="dxa"/>
            <w:tcBorders>
              <w:top w:val="single" w:sz="4" w:space="0" w:color="000000"/>
              <w:left w:val="single" w:sz="4" w:space="0" w:color="000000"/>
              <w:bottom w:val="single" w:sz="4" w:space="0" w:color="000000"/>
              <w:right w:val="single" w:sz="4" w:space="0" w:color="000000"/>
            </w:tcBorders>
          </w:tcPr>
          <w:p w14:paraId="41CE5D16" w14:textId="77777777" w:rsidR="00D3344B" w:rsidRDefault="00143C25">
            <w:pPr>
              <w:pStyle w:val="TableParagraph"/>
              <w:tabs>
                <w:tab w:val="left" w:pos="909"/>
                <w:tab w:val="left" w:pos="1548"/>
                <w:tab w:val="left" w:pos="2493"/>
              </w:tabs>
              <w:spacing w:line="252" w:lineRule="exact"/>
              <w:rPr>
                <w:rFonts w:ascii="Arial" w:hAnsi="Arial" w:cs="Arial"/>
                <w:sz w:val="18"/>
                <w:szCs w:val="18"/>
              </w:rPr>
            </w:pPr>
            <w:r>
              <w:rPr>
                <w:rFonts w:ascii="Arial" w:hAnsi="Arial" w:cs="Arial"/>
                <w:spacing w:val="-2"/>
                <w:w w:val="110"/>
                <w:sz w:val="18"/>
                <w:szCs w:val="18"/>
              </w:rPr>
              <w:t>Colon</w:t>
            </w:r>
            <w:r>
              <w:rPr>
                <w:rFonts w:ascii="Arial" w:hAnsi="Arial" w:cs="Arial"/>
                <w:sz w:val="18"/>
                <w:szCs w:val="18"/>
              </w:rPr>
              <w:tab/>
            </w:r>
            <w:r>
              <w:rPr>
                <w:rFonts w:ascii="Arial" w:hAnsi="Arial" w:cs="Arial"/>
                <w:spacing w:val="-4"/>
                <w:w w:val="110"/>
                <w:sz w:val="18"/>
                <w:szCs w:val="18"/>
              </w:rPr>
              <w:t>por</w:t>
            </w:r>
            <w:r>
              <w:rPr>
                <w:rFonts w:ascii="Arial" w:hAnsi="Arial" w:cs="Arial"/>
                <w:sz w:val="18"/>
                <w:szCs w:val="18"/>
              </w:rPr>
              <w:tab/>
            </w:r>
            <w:r>
              <w:rPr>
                <w:rFonts w:ascii="Arial" w:hAnsi="Arial" w:cs="Arial"/>
                <w:spacing w:val="-4"/>
                <w:w w:val="110"/>
                <w:sz w:val="18"/>
                <w:szCs w:val="18"/>
              </w:rPr>
              <w:t>enema</w:t>
            </w:r>
            <w:r>
              <w:rPr>
                <w:rFonts w:ascii="Arial" w:hAnsi="Arial" w:cs="Arial"/>
                <w:sz w:val="18"/>
                <w:szCs w:val="18"/>
              </w:rPr>
              <w:tab/>
            </w:r>
            <w:r>
              <w:rPr>
                <w:rFonts w:ascii="Arial" w:hAnsi="Arial" w:cs="Arial"/>
                <w:spacing w:val="-4"/>
                <w:w w:val="110"/>
                <w:sz w:val="18"/>
                <w:szCs w:val="18"/>
              </w:rPr>
              <w:t xml:space="preserve">doble </w:t>
            </w:r>
            <w:r>
              <w:rPr>
                <w:rFonts w:ascii="Arial" w:hAnsi="Arial" w:cs="Arial"/>
                <w:spacing w:val="-2"/>
                <w:w w:val="110"/>
                <w:sz w:val="18"/>
                <w:szCs w:val="18"/>
              </w:rPr>
              <w:t>contraste</w:t>
            </w:r>
          </w:p>
        </w:tc>
        <w:tc>
          <w:tcPr>
            <w:tcW w:w="697" w:type="dxa"/>
            <w:tcBorders>
              <w:top w:val="single" w:sz="4" w:space="0" w:color="000000"/>
              <w:left w:val="single" w:sz="4" w:space="0" w:color="000000"/>
              <w:bottom w:val="single" w:sz="4" w:space="0" w:color="000000"/>
              <w:right w:val="single" w:sz="4" w:space="0" w:color="000000"/>
            </w:tcBorders>
          </w:tcPr>
          <w:p w14:paraId="24D5F76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12.75</w:t>
            </w:r>
          </w:p>
        </w:tc>
        <w:tc>
          <w:tcPr>
            <w:tcW w:w="695" w:type="dxa"/>
            <w:tcBorders>
              <w:top w:val="single" w:sz="4" w:space="0" w:color="000000"/>
              <w:left w:val="single" w:sz="4" w:space="0" w:color="000000"/>
              <w:bottom w:val="single" w:sz="4" w:space="0" w:color="000000"/>
              <w:right w:val="single" w:sz="4" w:space="0" w:color="000000"/>
            </w:tcBorders>
          </w:tcPr>
          <w:p w14:paraId="3F815435" w14:textId="77777777" w:rsidR="00D3344B" w:rsidRDefault="00143C25">
            <w:pPr>
              <w:pStyle w:val="TableParagraph"/>
              <w:rPr>
                <w:rFonts w:ascii="Arial" w:hAnsi="Arial" w:cs="Arial"/>
                <w:sz w:val="18"/>
                <w:szCs w:val="18"/>
              </w:rPr>
            </w:pPr>
            <w:r>
              <w:rPr>
                <w:rFonts w:ascii="Arial" w:hAnsi="Arial" w:cs="Arial"/>
                <w:spacing w:val="-4"/>
                <w:w w:val="115"/>
                <w:sz w:val="18"/>
                <w:szCs w:val="18"/>
              </w:rPr>
              <w:t>12.00</w:t>
            </w:r>
          </w:p>
        </w:tc>
        <w:tc>
          <w:tcPr>
            <w:tcW w:w="699" w:type="dxa"/>
            <w:tcBorders>
              <w:top w:val="single" w:sz="4" w:space="0" w:color="000000"/>
              <w:left w:val="single" w:sz="4" w:space="0" w:color="000000"/>
              <w:bottom w:val="single" w:sz="4" w:space="0" w:color="000000"/>
              <w:right w:val="single" w:sz="4" w:space="0" w:color="000000"/>
            </w:tcBorders>
          </w:tcPr>
          <w:p w14:paraId="5F883FA8" w14:textId="77777777" w:rsidR="00D3344B" w:rsidRDefault="00143C25">
            <w:pPr>
              <w:pStyle w:val="TableParagraph"/>
              <w:rPr>
                <w:rFonts w:ascii="Arial" w:hAnsi="Arial" w:cs="Arial"/>
                <w:sz w:val="18"/>
                <w:szCs w:val="18"/>
              </w:rPr>
            </w:pPr>
            <w:r>
              <w:rPr>
                <w:rFonts w:ascii="Arial" w:hAnsi="Arial" w:cs="Arial"/>
                <w:spacing w:val="-4"/>
                <w:w w:val="115"/>
                <w:sz w:val="18"/>
                <w:szCs w:val="18"/>
              </w:rPr>
              <w:t>10.75</w:t>
            </w:r>
          </w:p>
        </w:tc>
        <w:tc>
          <w:tcPr>
            <w:tcW w:w="699" w:type="dxa"/>
            <w:tcBorders>
              <w:top w:val="single" w:sz="4" w:space="0" w:color="000000"/>
              <w:left w:val="single" w:sz="4" w:space="0" w:color="000000"/>
              <w:bottom w:val="single" w:sz="4" w:space="0" w:color="000000"/>
              <w:right w:val="single" w:sz="4" w:space="0" w:color="000000"/>
            </w:tcBorders>
          </w:tcPr>
          <w:p w14:paraId="08FEF80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9.50</w:t>
            </w:r>
          </w:p>
        </w:tc>
        <w:tc>
          <w:tcPr>
            <w:tcW w:w="696" w:type="dxa"/>
            <w:tcBorders>
              <w:top w:val="single" w:sz="4" w:space="0" w:color="000000"/>
              <w:left w:val="single" w:sz="4" w:space="0" w:color="000000"/>
              <w:bottom w:val="single" w:sz="4" w:space="0" w:color="000000"/>
              <w:right w:val="single" w:sz="4" w:space="0" w:color="000000"/>
            </w:tcBorders>
          </w:tcPr>
          <w:p w14:paraId="387E293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8.50</w:t>
            </w:r>
          </w:p>
        </w:tc>
        <w:tc>
          <w:tcPr>
            <w:tcW w:w="527" w:type="dxa"/>
            <w:tcBorders>
              <w:top w:val="single" w:sz="4" w:space="0" w:color="000000"/>
              <w:left w:val="single" w:sz="4" w:space="0" w:color="000000"/>
              <w:bottom w:val="single" w:sz="4" w:space="0" w:color="000000"/>
              <w:right w:val="single" w:sz="4" w:space="0" w:color="000000"/>
            </w:tcBorders>
          </w:tcPr>
          <w:p w14:paraId="5B00FD4C" w14:textId="77777777" w:rsidR="00D3344B" w:rsidRDefault="00D3344B">
            <w:pPr>
              <w:pStyle w:val="TableParagraph"/>
              <w:rPr>
                <w:rFonts w:ascii="Arial" w:hAnsi="Arial" w:cs="Arial"/>
                <w:sz w:val="18"/>
                <w:szCs w:val="18"/>
              </w:rPr>
            </w:pPr>
          </w:p>
        </w:tc>
      </w:tr>
      <w:tr w:rsidR="00D3344B" w14:paraId="0AAB187A"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0A8F780"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029</w:t>
            </w:r>
          </w:p>
        </w:tc>
        <w:tc>
          <w:tcPr>
            <w:tcW w:w="3038" w:type="dxa"/>
            <w:tcBorders>
              <w:top w:val="single" w:sz="4" w:space="0" w:color="000000"/>
              <w:left w:val="single" w:sz="4" w:space="0" w:color="000000"/>
              <w:bottom w:val="single" w:sz="4" w:space="0" w:color="000000"/>
              <w:right w:val="single" w:sz="4" w:space="0" w:color="000000"/>
            </w:tcBorders>
          </w:tcPr>
          <w:p w14:paraId="6D2BA1C5" w14:textId="77777777" w:rsidR="00D3344B" w:rsidRDefault="00143C25">
            <w:pPr>
              <w:pStyle w:val="TableParagraph"/>
              <w:rPr>
                <w:rFonts w:ascii="Arial" w:hAnsi="Arial" w:cs="Arial"/>
                <w:sz w:val="18"/>
                <w:szCs w:val="18"/>
              </w:rPr>
            </w:pPr>
            <w:r>
              <w:rPr>
                <w:rFonts w:ascii="Arial" w:hAnsi="Arial" w:cs="Arial"/>
                <w:w w:val="115"/>
                <w:sz w:val="18"/>
                <w:szCs w:val="18"/>
              </w:rPr>
              <w:t>Cráneo</w:t>
            </w:r>
            <w:r>
              <w:rPr>
                <w:rFonts w:ascii="Arial" w:hAnsi="Arial" w:cs="Arial"/>
                <w:spacing w:val="2"/>
                <w:w w:val="115"/>
                <w:sz w:val="18"/>
                <w:szCs w:val="18"/>
              </w:rPr>
              <w:t xml:space="preserve"> </w:t>
            </w:r>
            <w:r>
              <w:rPr>
                <w:rFonts w:ascii="Arial" w:hAnsi="Arial" w:cs="Arial"/>
                <w:w w:val="115"/>
                <w:sz w:val="18"/>
                <w:szCs w:val="18"/>
              </w:rPr>
              <w:t>1</w:t>
            </w:r>
            <w:r>
              <w:rPr>
                <w:rFonts w:ascii="Arial" w:hAnsi="Arial" w:cs="Arial"/>
                <w:spacing w:val="1"/>
                <w:w w:val="115"/>
                <w:sz w:val="18"/>
                <w:szCs w:val="18"/>
              </w:rPr>
              <w:t xml:space="preserve"> </w:t>
            </w:r>
            <w:r>
              <w:rPr>
                <w:rFonts w:ascii="Arial" w:hAnsi="Arial" w:cs="Arial"/>
                <w:spacing w:val="-10"/>
                <w:w w:val="115"/>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3DE9EC3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5217E3B4"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7987558A"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57E9979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3768D9C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4C76F53E" w14:textId="77777777" w:rsidR="00D3344B" w:rsidRDefault="00D3344B">
            <w:pPr>
              <w:pStyle w:val="TableParagraph"/>
              <w:rPr>
                <w:rFonts w:ascii="Arial" w:hAnsi="Arial" w:cs="Arial"/>
                <w:sz w:val="18"/>
                <w:szCs w:val="18"/>
              </w:rPr>
            </w:pPr>
          </w:p>
        </w:tc>
      </w:tr>
      <w:tr w:rsidR="00D3344B" w14:paraId="3FF06951"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60D6C8B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030</w:t>
            </w:r>
          </w:p>
        </w:tc>
        <w:tc>
          <w:tcPr>
            <w:tcW w:w="3038" w:type="dxa"/>
            <w:tcBorders>
              <w:top w:val="single" w:sz="4" w:space="0" w:color="000000"/>
              <w:left w:val="single" w:sz="4" w:space="0" w:color="000000"/>
              <w:bottom w:val="single" w:sz="4" w:space="0" w:color="000000"/>
              <w:right w:val="single" w:sz="4" w:space="0" w:color="000000"/>
            </w:tcBorders>
          </w:tcPr>
          <w:p w14:paraId="2ADE66B3" w14:textId="77777777" w:rsidR="00D3344B" w:rsidRDefault="00143C25">
            <w:pPr>
              <w:pStyle w:val="TableParagraph"/>
              <w:rPr>
                <w:rFonts w:ascii="Arial" w:hAnsi="Arial" w:cs="Arial"/>
                <w:sz w:val="18"/>
                <w:szCs w:val="18"/>
              </w:rPr>
            </w:pPr>
            <w:r>
              <w:rPr>
                <w:rFonts w:ascii="Arial" w:hAnsi="Arial" w:cs="Arial"/>
                <w:w w:val="110"/>
                <w:sz w:val="18"/>
                <w:szCs w:val="18"/>
              </w:rPr>
              <w:t>Cráneo</w:t>
            </w:r>
            <w:r>
              <w:rPr>
                <w:rFonts w:ascii="Arial" w:hAnsi="Arial" w:cs="Arial"/>
                <w:spacing w:val="13"/>
                <w:w w:val="110"/>
                <w:sz w:val="18"/>
                <w:szCs w:val="18"/>
              </w:rPr>
              <w:t xml:space="preserve"> </w:t>
            </w:r>
            <w:r>
              <w:rPr>
                <w:rFonts w:ascii="Arial" w:hAnsi="Arial" w:cs="Arial"/>
                <w:w w:val="110"/>
                <w:sz w:val="18"/>
                <w:szCs w:val="18"/>
              </w:rPr>
              <w:t>2</w:t>
            </w:r>
            <w:r>
              <w:rPr>
                <w:rFonts w:ascii="Arial" w:hAnsi="Arial" w:cs="Arial"/>
                <w:spacing w:val="10"/>
                <w:w w:val="110"/>
                <w:sz w:val="18"/>
                <w:szCs w:val="18"/>
              </w:rPr>
              <w:t xml:space="preserve"> </w:t>
            </w:r>
            <w:proofErr w:type="gramStart"/>
            <w:r>
              <w:rPr>
                <w:rFonts w:ascii="Arial" w:hAnsi="Arial" w:cs="Arial"/>
                <w:w w:val="110"/>
                <w:sz w:val="18"/>
                <w:szCs w:val="18"/>
              </w:rPr>
              <w:t>p,(</w:t>
            </w:r>
            <w:proofErr w:type="gramEnd"/>
            <w:r>
              <w:rPr>
                <w:rFonts w:ascii="Arial" w:hAnsi="Arial" w:cs="Arial"/>
                <w:w w:val="110"/>
                <w:sz w:val="18"/>
                <w:szCs w:val="18"/>
              </w:rPr>
              <w:t>AP</w:t>
            </w:r>
            <w:r>
              <w:rPr>
                <w:rFonts w:ascii="Arial" w:hAnsi="Arial" w:cs="Arial"/>
                <w:spacing w:val="12"/>
                <w:w w:val="110"/>
                <w:sz w:val="18"/>
                <w:szCs w:val="18"/>
              </w:rPr>
              <w:t xml:space="preserve"> </w:t>
            </w:r>
            <w:r>
              <w:rPr>
                <w:rFonts w:ascii="Arial" w:hAnsi="Arial" w:cs="Arial"/>
                <w:w w:val="110"/>
                <w:sz w:val="18"/>
                <w:szCs w:val="18"/>
              </w:rPr>
              <w:t>y</w:t>
            </w:r>
            <w:r>
              <w:rPr>
                <w:rFonts w:ascii="Arial" w:hAnsi="Arial" w:cs="Arial"/>
                <w:spacing w:val="10"/>
                <w:w w:val="110"/>
                <w:sz w:val="18"/>
                <w:szCs w:val="18"/>
              </w:rPr>
              <w:t xml:space="preserve"> </w:t>
            </w:r>
            <w:r>
              <w:rPr>
                <w:rFonts w:ascii="Arial" w:hAnsi="Arial" w:cs="Arial"/>
                <w:spacing w:val="-2"/>
                <w:w w:val="110"/>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3116BB8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50258728"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4ABEE432"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184523C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2F79C24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6D1E56AF" w14:textId="77777777" w:rsidR="00D3344B" w:rsidRDefault="00D3344B">
            <w:pPr>
              <w:pStyle w:val="TableParagraph"/>
              <w:rPr>
                <w:rFonts w:ascii="Arial" w:hAnsi="Arial" w:cs="Arial"/>
                <w:sz w:val="18"/>
                <w:szCs w:val="18"/>
              </w:rPr>
            </w:pPr>
          </w:p>
        </w:tc>
      </w:tr>
      <w:tr w:rsidR="00D3344B" w14:paraId="1F789CB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5051814"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031</w:t>
            </w:r>
          </w:p>
        </w:tc>
        <w:tc>
          <w:tcPr>
            <w:tcW w:w="3038" w:type="dxa"/>
            <w:tcBorders>
              <w:top w:val="single" w:sz="4" w:space="0" w:color="000000"/>
              <w:left w:val="single" w:sz="4" w:space="0" w:color="000000"/>
              <w:bottom w:val="single" w:sz="4" w:space="0" w:color="000000"/>
              <w:right w:val="single" w:sz="4" w:space="0" w:color="000000"/>
            </w:tcBorders>
          </w:tcPr>
          <w:p w14:paraId="2F796DF7" w14:textId="77777777" w:rsidR="00D3344B" w:rsidRDefault="00143C25">
            <w:pPr>
              <w:pStyle w:val="TableParagraph"/>
              <w:spacing w:line="254" w:lineRule="exact"/>
              <w:rPr>
                <w:rFonts w:ascii="Arial" w:hAnsi="Arial" w:cs="Arial"/>
                <w:sz w:val="18"/>
                <w:szCs w:val="18"/>
              </w:rPr>
            </w:pPr>
            <w:r>
              <w:rPr>
                <w:rFonts w:ascii="Arial" w:hAnsi="Arial" w:cs="Arial"/>
                <w:w w:val="115"/>
                <w:sz w:val="18"/>
                <w:szCs w:val="18"/>
              </w:rPr>
              <w:t>Cráneo</w:t>
            </w:r>
            <w:r>
              <w:rPr>
                <w:rFonts w:ascii="Arial" w:hAnsi="Arial" w:cs="Arial"/>
                <w:spacing w:val="40"/>
                <w:w w:val="115"/>
                <w:sz w:val="18"/>
                <w:szCs w:val="18"/>
              </w:rPr>
              <w:t xml:space="preserve"> </w:t>
            </w:r>
            <w:r>
              <w:rPr>
                <w:rFonts w:ascii="Arial" w:hAnsi="Arial" w:cs="Arial"/>
                <w:w w:val="115"/>
                <w:sz w:val="18"/>
                <w:szCs w:val="18"/>
              </w:rPr>
              <w:t>3</w:t>
            </w:r>
            <w:r>
              <w:rPr>
                <w:rFonts w:ascii="Arial" w:hAnsi="Arial" w:cs="Arial"/>
                <w:spacing w:val="40"/>
                <w:w w:val="115"/>
                <w:sz w:val="18"/>
                <w:szCs w:val="18"/>
              </w:rPr>
              <w:t xml:space="preserve"> </w:t>
            </w:r>
            <w:r>
              <w:rPr>
                <w:rFonts w:ascii="Arial" w:hAnsi="Arial" w:cs="Arial"/>
                <w:w w:val="115"/>
                <w:sz w:val="18"/>
                <w:szCs w:val="18"/>
              </w:rPr>
              <w:t>p</w:t>
            </w:r>
            <w:r>
              <w:rPr>
                <w:rFonts w:ascii="Arial" w:hAnsi="Arial" w:cs="Arial"/>
                <w:spacing w:val="40"/>
                <w:w w:val="115"/>
                <w:sz w:val="18"/>
                <w:szCs w:val="18"/>
              </w:rPr>
              <w:t xml:space="preserve"> </w:t>
            </w:r>
            <w:r>
              <w:rPr>
                <w:rFonts w:ascii="Arial" w:hAnsi="Arial" w:cs="Arial"/>
                <w:w w:val="115"/>
                <w:sz w:val="18"/>
                <w:szCs w:val="18"/>
              </w:rPr>
              <w:t>(AP,</w:t>
            </w:r>
            <w:r>
              <w:rPr>
                <w:rFonts w:ascii="Arial" w:hAnsi="Arial" w:cs="Arial"/>
                <w:spacing w:val="40"/>
                <w:w w:val="115"/>
                <w:sz w:val="18"/>
                <w:szCs w:val="18"/>
              </w:rPr>
              <w:t xml:space="preserve"> </w:t>
            </w:r>
            <w:r>
              <w:rPr>
                <w:rFonts w:ascii="Arial" w:hAnsi="Arial" w:cs="Arial"/>
                <w:w w:val="115"/>
                <w:sz w:val="18"/>
                <w:szCs w:val="18"/>
              </w:rPr>
              <w:t>Lateral</w:t>
            </w:r>
            <w:r>
              <w:rPr>
                <w:rFonts w:ascii="Arial" w:hAnsi="Arial" w:cs="Arial"/>
                <w:spacing w:val="40"/>
                <w:w w:val="115"/>
                <w:sz w:val="18"/>
                <w:szCs w:val="18"/>
              </w:rPr>
              <w:t xml:space="preserve"> </w:t>
            </w:r>
            <w:r>
              <w:rPr>
                <w:rFonts w:ascii="Arial" w:hAnsi="Arial" w:cs="Arial"/>
                <w:w w:val="115"/>
                <w:sz w:val="18"/>
                <w:szCs w:val="18"/>
              </w:rPr>
              <w:t xml:space="preserve">y </w:t>
            </w:r>
            <w:r>
              <w:rPr>
                <w:rFonts w:ascii="Arial" w:hAnsi="Arial" w:cs="Arial"/>
                <w:spacing w:val="-2"/>
                <w:w w:val="115"/>
                <w:sz w:val="18"/>
                <w:szCs w:val="18"/>
              </w:rPr>
              <w:t>Towne)</w:t>
            </w:r>
          </w:p>
        </w:tc>
        <w:tc>
          <w:tcPr>
            <w:tcW w:w="697" w:type="dxa"/>
            <w:tcBorders>
              <w:top w:val="single" w:sz="4" w:space="0" w:color="000000"/>
              <w:left w:val="single" w:sz="4" w:space="0" w:color="000000"/>
              <w:bottom w:val="single" w:sz="4" w:space="0" w:color="000000"/>
              <w:right w:val="single" w:sz="4" w:space="0" w:color="000000"/>
            </w:tcBorders>
          </w:tcPr>
          <w:p w14:paraId="607C672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4.75</w:t>
            </w:r>
          </w:p>
        </w:tc>
        <w:tc>
          <w:tcPr>
            <w:tcW w:w="695" w:type="dxa"/>
            <w:tcBorders>
              <w:top w:val="single" w:sz="4" w:space="0" w:color="000000"/>
              <w:left w:val="single" w:sz="4" w:space="0" w:color="000000"/>
              <w:bottom w:val="single" w:sz="4" w:space="0" w:color="000000"/>
              <w:right w:val="single" w:sz="4" w:space="0" w:color="000000"/>
            </w:tcBorders>
          </w:tcPr>
          <w:p w14:paraId="1F8D6B5B" w14:textId="77777777" w:rsidR="00D3344B" w:rsidRDefault="00143C25">
            <w:pPr>
              <w:pStyle w:val="TableParagraph"/>
              <w:rPr>
                <w:rFonts w:ascii="Arial" w:hAnsi="Arial" w:cs="Arial"/>
                <w:sz w:val="18"/>
                <w:szCs w:val="18"/>
              </w:rPr>
            </w:pPr>
            <w:r>
              <w:rPr>
                <w:rFonts w:ascii="Arial" w:hAnsi="Arial" w:cs="Arial"/>
                <w:spacing w:val="-4"/>
                <w:w w:val="115"/>
                <w:sz w:val="18"/>
                <w:szCs w:val="18"/>
              </w:rPr>
              <w:t>4.25</w:t>
            </w:r>
          </w:p>
        </w:tc>
        <w:tc>
          <w:tcPr>
            <w:tcW w:w="699" w:type="dxa"/>
            <w:tcBorders>
              <w:top w:val="single" w:sz="4" w:space="0" w:color="000000"/>
              <w:left w:val="single" w:sz="4" w:space="0" w:color="000000"/>
              <w:bottom w:val="single" w:sz="4" w:space="0" w:color="000000"/>
              <w:right w:val="single" w:sz="4" w:space="0" w:color="000000"/>
            </w:tcBorders>
          </w:tcPr>
          <w:p w14:paraId="0F5C3A09" w14:textId="77777777" w:rsidR="00D3344B" w:rsidRDefault="00143C25">
            <w:pPr>
              <w:pStyle w:val="TableParagraph"/>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602B12A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6F788BE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7E9B1B70" w14:textId="77777777" w:rsidR="00D3344B" w:rsidRDefault="00D3344B">
            <w:pPr>
              <w:pStyle w:val="TableParagraph"/>
              <w:rPr>
                <w:rFonts w:ascii="Arial" w:hAnsi="Arial" w:cs="Arial"/>
                <w:sz w:val="18"/>
                <w:szCs w:val="18"/>
              </w:rPr>
            </w:pPr>
          </w:p>
        </w:tc>
      </w:tr>
      <w:tr w:rsidR="00D3344B" w14:paraId="29DBA685"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711FCF4C"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032</w:t>
            </w:r>
          </w:p>
        </w:tc>
        <w:tc>
          <w:tcPr>
            <w:tcW w:w="3038" w:type="dxa"/>
            <w:tcBorders>
              <w:top w:val="single" w:sz="4" w:space="0" w:color="000000"/>
              <w:left w:val="single" w:sz="4" w:space="0" w:color="000000"/>
              <w:bottom w:val="single" w:sz="4" w:space="0" w:color="000000"/>
              <w:right w:val="single" w:sz="4" w:space="0" w:color="000000"/>
            </w:tcBorders>
          </w:tcPr>
          <w:p w14:paraId="6C607BC3" w14:textId="77777777" w:rsidR="00D3344B" w:rsidRDefault="00143C25">
            <w:pPr>
              <w:pStyle w:val="TableParagraph"/>
              <w:spacing w:line="249" w:lineRule="exact"/>
              <w:rPr>
                <w:rFonts w:ascii="Arial" w:hAnsi="Arial" w:cs="Arial"/>
                <w:sz w:val="18"/>
                <w:szCs w:val="18"/>
              </w:rPr>
            </w:pPr>
            <w:r>
              <w:rPr>
                <w:rFonts w:ascii="Arial" w:hAnsi="Arial" w:cs="Arial"/>
                <w:spacing w:val="-2"/>
                <w:w w:val="115"/>
                <w:sz w:val="18"/>
                <w:szCs w:val="18"/>
              </w:rPr>
              <w:t>Esófago</w:t>
            </w:r>
          </w:p>
        </w:tc>
        <w:tc>
          <w:tcPr>
            <w:tcW w:w="697" w:type="dxa"/>
            <w:tcBorders>
              <w:top w:val="single" w:sz="4" w:space="0" w:color="000000"/>
              <w:left w:val="single" w:sz="4" w:space="0" w:color="000000"/>
              <w:bottom w:val="single" w:sz="4" w:space="0" w:color="000000"/>
              <w:right w:val="single" w:sz="4" w:space="0" w:color="000000"/>
            </w:tcBorders>
          </w:tcPr>
          <w:p w14:paraId="4C78CA12"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8.25</w:t>
            </w:r>
          </w:p>
        </w:tc>
        <w:tc>
          <w:tcPr>
            <w:tcW w:w="695" w:type="dxa"/>
            <w:tcBorders>
              <w:top w:val="single" w:sz="4" w:space="0" w:color="000000"/>
              <w:left w:val="single" w:sz="4" w:space="0" w:color="000000"/>
              <w:bottom w:val="single" w:sz="4" w:space="0" w:color="000000"/>
              <w:right w:val="single" w:sz="4" w:space="0" w:color="000000"/>
            </w:tcBorders>
          </w:tcPr>
          <w:p w14:paraId="50ECF379"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2D45481E"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6.50</w:t>
            </w:r>
          </w:p>
        </w:tc>
        <w:tc>
          <w:tcPr>
            <w:tcW w:w="699" w:type="dxa"/>
            <w:tcBorders>
              <w:top w:val="single" w:sz="4" w:space="0" w:color="000000"/>
              <w:left w:val="single" w:sz="4" w:space="0" w:color="000000"/>
              <w:bottom w:val="single" w:sz="4" w:space="0" w:color="000000"/>
              <w:right w:val="single" w:sz="4" w:space="0" w:color="000000"/>
            </w:tcBorders>
          </w:tcPr>
          <w:p w14:paraId="55EC7499"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5.50</w:t>
            </w:r>
          </w:p>
        </w:tc>
        <w:tc>
          <w:tcPr>
            <w:tcW w:w="696" w:type="dxa"/>
            <w:tcBorders>
              <w:top w:val="single" w:sz="4" w:space="0" w:color="000000"/>
              <w:left w:val="single" w:sz="4" w:space="0" w:color="000000"/>
              <w:bottom w:val="single" w:sz="4" w:space="0" w:color="000000"/>
              <w:right w:val="single" w:sz="4" w:space="0" w:color="000000"/>
            </w:tcBorders>
          </w:tcPr>
          <w:p w14:paraId="6B41F948"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4.50</w:t>
            </w:r>
          </w:p>
        </w:tc>
        <w:tc>
          <w:tcPr>
            <w:tcW w:w="527" w:type="dxa"/>
            <w:tcBorders>
              <w:top w:val="single" w:sz="4" w:space="0" w:color="000000"/>
              <w:left w:val="single" w:sz="4" w:space="0" w:color="000000"/>
              <w:bottom w:val="single" w:sz="4" w:space="0" w:color="000000"/>
              <w:right w:val="single" w:sz="4" w:space="0" w:color="000000"/>
            </w:tcBorders>
          </w:tcPr>
          <w:p w14:paraId="5D0527FB" w14:textId="77777777" w:rsidR="00D3344B" w:rsidRDefault="00D3344B">
            <w:pPr>
              <w:pStyle w:val="TableParagraph"/>
              <w:rPr>
                <w:rFonts w:ascii="Arial" w:hAnsi="Arial" w:cs="Arial"/>
                <w:sz w:val="18"/>
                <w:szCs w:val="18"/>
              </w:rPr>
            </w:pPr>
          </w:p>
        </w:tc>
      </w:tr>
      <w:tr w:rsidR="00D3344B" w14:paraId="3ED5EE2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A900A17"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033</w:t>
            </w:r>
          </w:p>
        </w:tc>
        <w:tc>
          <w:tcPr>
            <w:tcW w:w="3038" w:type="dxa"/>
            <w:tcBorders>
              <w:top w:val="single" w:sz="4" w:space="0" w:color="000000"/>
              <w:left w:val="single" w:sz="4" w:space="0" w:color="000000"/>
              <w:bottom w:val="single" w:sz="4" w:space="0" w:color="000000"/>
              <w:right w:val="single" w:sz="4" w:space="0" w:color="000000"/>
            </w:tcBorders>
          </w:tcPr>
          <w:p w14:paraId="32E00307" w14:textId="77777777" w:rsidR="00D3344B" w:rsidRDefault="00143C25">
            <w:pPr>
              <w:pStyle w:val="TableParagraph"/>
              <w:spacing w:before="1"/>
              <w:rPr>
                <w:rFonts w:ascii="Arial" w:hAnsi="Arial" w:cs="Arial"/>
                <w:sz w:val="18"/>
                <w:szCs w:val="18"/>
              </w:rPr>
            </w:pPr>
            <w:r>
              <w:rPr>
                <w:rFonts w:ascii="Arial" w:hAnsi="Arial" w:cs="Arial"/>
                <w:spacing w:val="-2"/>
                <w:w w:val="115"/>
                <w:sz w:val="18"/>
                <w:szCs w:val="18"/>
              </w:rPr>
              <w:t>Fistulografía</w:t>
            </w:r>
          </w:p>
        </w:tc>
        <w:tc>
          <w:tcPr>
            <w:tcW w:w="697" w:type="dxa"/>
            <w:tcBorders>
              <w:top w:val="single" w:sz="4" w:space="0" w:color="000000"/>
              <w:left w:val="single" w:sz="4" w:space="0" w:color="000000"/>
              <w:bottom w:val="single" w:sz="4" w:space="0" w:color="000000"/>
              <w:right w:val="single" w:sz="4" w:space="0" w:color="000000"/>
            </w:tcBorders>
          </w:tcPr>
          <w:p w14:paraId="56E0E1E2"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11.00</w:t>
            </w:r>
          </w:p>
        </w:tc>
        <w:tc>
          <w:tcPr>
            <w:tcW w:w="695" w:type="dxa"/>
            <w:tcBorders>
              <w:top w:val="single" w:sz="4" w:space="0" w:color="000000"/>
              <w:left w:val="single" w:sz="4" w:space="0" w:color="000000"/>
              <w:bottom w:val="single" w:sz="4" w:space="0" w:color="000000"/>
              <w:right w:val="single" w:sz="4" w:space="0" w:color="000000"/>
            </w:tcBorders>
          </w:tcPr>
          <w:p w14:paraId="0C4679B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9.75</w:t>
            </w:r>
          </w:p>
        </w:tc>
        <w:tc>
          <w:tcPr>
            <w:tcW w:w="699" w:type="dxa"/>
            <w:tcBorders>
              <w:top w:val="single" w:sz="4" w:space="0" w:color="000000"/>
              <w:left w:val="single" w:sz="4" w:space="0" w:color="000000"/>
              <w:bottom w:val="single" w:sz="4" w:space="0" w:color="000000"/>
              <w:right w:val="single" w:sz="4" w:space="0" w:color="000000"/>
            </w:tcBorders>
          </w:tcPr>
          <w:p w14:paraId="06B90AF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03E5C41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7.00</w:t>
            </w:r>
          </w:p>
        </w:tc>
        <w:tc>
          <w:tcPr>
            <w:tcW w:w="696" w:type="dxa"/>
            <w:tcBorders>
              <w:top w:val="single" w:sz="4" w:space="0" w:color="000000"/>
              <w:left w:val="single" w:sz="4" w:space="0" w:color="000000"/>
              <w:bottom w:val="single" w:sz="4" w:space="0" w:color="000000"/>
              <w:right w:val="single" w:sz="4" w:space="0" w:color="000000"/>
            </w:tcBorders>
          </w:tcPr>
          <w:p w14:paraId="20A0D949"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6.00</w:t>
            </w:r>
          </w:p>
        </w:tc>
        <w:tc>
          <w:tcPr>
            <w:tcW w:w="527" w:type="dxa"/>
            <w:tcBorders>
              <w:top w:val="single" w:sz="4" w:space="0" w:color="000000"/>
              <w:left w:val="single" w:sz="4" w:space="0" w:color="000000"/>
              <w:bottom w:val="single" w:sz="4" w:space="0" w:color="000000"/>
              <w:right w:val="single" w:sz="4" w:space="0" w:color="000000"/>
            </w:tcBorders>
          </w:tcPr>
          <w:p w14:paraId="55BC9611" w14:textId="77777777" w:rsidR="00D3344B" w:rsidRDefault="00D3344B">
            <w:pPr>
              <w:pStyle w:val="TableParagraph"/>
              <w:rPr>
                <w:rFonts w:ascii="Arial" w:hAnsi="Arial" w:cs="Arial"/>
                <w:sz w:val="18"/>
                <w:szCs w:val="18"/>
              </w:rPr>
            </w:pPr>
          </w:p>
        </w:tc>
      </w:tr>
      <w:tr w:rsidR="00D3344B" w14:paraId="406C21B7"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301D4DAB"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035</w:t>
            </w:r>
          </w:p>
        </w:tc>
        <w:tc>
          <w:tcPr>
            <w:tcW w:w="3038" w:type="dxa"/>
            <w:tcBorders>
              <w:top w:val="single" w:sz="4" w:space="0" w:color="000000"/>
              <w:left w:val="single" w:sz="4" w:space="0" w:color="000000"/>
              <w:bottom w:val="single" w:sz="4" w:space="0" w:color="000000"/>
              <w:right w:val="single" w:sz="4" w:space="0" w:color="000000"/>
            </w:tcBorders>
          </w:tcPr>
          <w:p w14:paraId="6F395F40" w14:textId="77777777" w:rsidR="00D3344B" w:rsidRDefault="00143C25">
            <w:pPr>
              <w:pStyle w:val="TableParagraph"/>
              <w:spacing w:line="252" w:lineRule="exact"/>
              <w:rPr>
                <w:rFonts w:ascii="Arial" w:hAnsi="Arial" w:cs="Arial"/>
                <w:sz w:val="18"/>
                <w:szCs w:val="18"/>
              </w:rPr>
            </w:pPr>
            <w:proofErr w:type="spellStart"/>
            <w:r>
              <w:rPr>
                <w:rFonts w:ascii="Arial" w:hAnsi="Arial" w:cs="Arial"/>
                <w:spacing w:val="-2"/>
                <w:w w:val="110"/>
                <w:sz w:val="18"/>
                <w:szCs w:val="18"/>
              </w:rPr>
              <w:t>Histerosalpingografía</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07081B0E"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11.75</w:t>
            </w:r>
          </w:p>
        </w:tc>
        <w:tc>
          <w:tcPr>
            <w:tcW w:w="695" w:type="dxa"/>
            <w:tcBorders>
              <w:top w:val="single" w:sz="4" w:space="0" w:color="000000"/>
              <w:left w:val="single" w:sz="4" w:space="0" w:color="000000"/>
              <w:bottom w:val="single" w:sz="4" w:space="0" w:color="000000"/>
              <w:right w:val="single" w:sz="4" w:space="0" w:color="000000"/>
            </w:tcBorders>
          </w:tcPr>
          <w:p w14:paraId="5D02A4DA"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11.00</w:t>
            </w:r>
          </w:p>
        </w:tc>
        <w:tc>
          <w:tcPr>
            <w:tcW w:w="699" w:type="dxa"/>
            <w:tcBorders>
              <w:top w:val="single" w:sz="4" w:space="0" w:color="000000"/>
              <w:left w:val="single" w:sz="4" w:space="0" w:color="000000"/>
              <w:bottom w:val="single" w:sz="4" w:space="0" w:color="000000"/>
              <w:right w:val="single" w:sz="4" w:space="0" w:color="000000"/>
            </w:tcBorders>
          </w:tcPr>
          <w:p w14:paraId="497B24F3"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10.25</w:t>
            </w:r>
          </w:p>
        </w:tc>
        <w:tc>
          <w:tcPr>
            <w:tcW w:w="699" w:type="dxa"/>
            <w:tcBorders>
              <w:top w:val="single" w:sz="4" w:space="0" w:color="000000"/>
              <w:left w:val="single" w:sz="4" w:space="0" w:color="000000"/>
              <w:bottom w:val="single" w:sz="4" w:space="0" w:color="000000"/>
              <w:right w:val="single" w:sz="4" w:space="0" w:color="000000"/>
            </w:tcBorders>
          </w:tcPr>
          <w:p w14:paraId="14454B62"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9.50</w:t>
            </w:r>
          </w:p>
        </w:tc>
        <w:tc>
          <w:tcPr>
            <w:tcW w:w="696" w:type="dxa"/>
            <w:tcBorders>
              <w:top w:val="single" w:sz="4" w:space="0" w:color="000000"/>
              <w:left w:val="single" w:sz="4" w:space="0" w:color="000000"/>
              <w:bottom w:val="single" w:sz="4" w:space="0" w:color="000000"/>
              <w:right w:val="single" w:sz="4" w:space="0" w:color="000000"/>
            </w:tcBorders>
          </w:tcPr>
          <w:p w14:paraId="41699E8E"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8.50</w:t>
            </w:r>
          </w:p>
        </w:tc>
        <w:tc>
          <w:tcPr>
            <w:tcW w:w="527" w:type="dxa"/>
            <w:tcBorders>
              <w:top w:val="single" w:sz="4" w:space="0" w:color="000000"/>
              <w:left w:val="single" w:sz="4" w:space="0" w:color="000000"/>
              <w:bottom w:val="single" w:sz="4" w:space="0" w:color="000000"/>
              <w:right w:val="single" w:sz="4" w:space="0" w:color="000000"/>
            </w:tcBorders>
          </w:tcPr>
          <w:p w14:paraId="0BF49105" w14:textId="77777777" w:rsidR="00D3344B" w:rsidRDefault="00D3344B">
            <w:pPr>
              <w:pStyle w:val="TableParagraph"/>
              <w:rPr>
                <w:rFonts w:ascii="Arial" w:hAnsi="Arial" w:cs="Arial"/>
                <w:sz w:val="18"/>
                <w:szCs w:val="18"/>
              </w:rPr>
            </w:pPr>
          </w:p>
        </w:tc>
      </w:tr>
      <w:tr w:rsidR="00D3344B" w14:paraId="2038F88D"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F564C77"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036</w:t>
            </w:r>
          </w:p>
        </w:tc>
        <w:tc>
          <w:tcPr>
            <w:tcW w:w="3038" w:type="dxa"/>
            <w:tcBorders>
              <w:top w:val="single" w:sz="4" w:space="0" w:color="000000"/>
              <w:left w:val="single" w:sz="4" w:space="0" w:color="000000"/>
              <w:bottom w:val="single" w:sz="4" w:space="0" w:color="000000"/>
              <w:right w:val="single" w:sz="4" w:space="0" w:color="000000"/>
            </w:tcBorders>
          </w:tcPr>
          <w:p w14:paraId="7CC022AE" w14:textId="77777777" w:rsidR="00D3344B" w:rsidRDefault="00143C25">
            <w:pPr>
              <w:pStyle w:val="TableParagraph"/>
              <w:rPr>
                <w:rFonts w:ascii="Arial" w:hAnsi="Arial" w:cs="Arial"/>
                <w:sz w:val="18"/>
                <w:szCs w:val="18"/>
              </w:rPr>
            </w:pPr>
            <w:r>
              <w:rPr>
                <w:rFonts w:ascii="Arial" w:hAnsi="Arial" w:cs="Arial"/>
                <w:w w:val="110"/>
                <w:sz w:val="18"/>
                <w:szCs w:val="18"/>
              </w:rPr>
              <w:t>Hombro</w:t>
            </w:r>
            <w:r>
              <w:rPr>
                <w:rFonts w:ascii="Arial" w:hAnsi="Arial" w:cs="Arial"/>
                <w:spacing w:val="11"/>
                <w:w w:val="110"/>
                <w:sz w:val="18"/>
                <w:szCs w:val="18"/>
              </w:rPr>
              <w:t xml:space="preserve"> </w:t>
            </w:r>
            <w:r>
              <w:rPr>
                <w:rFonts w:ascii="Arial" w:hAnsi="Arial" w:cs="Arial"/>
                <w:w w:val="110"/>
                <w:sz w:val="18"/>
                <w:szCs w:val="18"/>
              </w:rPr>
              <w:t>1</w:t>
            </w:r>
            <w:r>
              <w:rPr>
                <w:rFonts w:ascii="Arial" w:hAnsi="Arial" w:cs="Arial"/>
                <w:spacing w:val="10"/>
                <w:w w:val="110"/>
                <w:sz w:val="18"/>
                <w:szCs w:val="18"/>
              </w:rPr>
              <w:t xml:space="preserve"> </w:t>
            </w:r>
            <w:r>
              <w:rPr>
                <w:rFonts w:ascii="Arial" w:hAnsi="Arial" w:cs="Arial"/>
                <w:w w:val="110"/>
                <w:sz w:val="18"/>
                <w:szCs w:val="18"/>
              </w:rPr>
              <w:t>p</w:t>
            </w:r>
            <w:r>
              <w:rPr>
                <w:rFonts w:ascii="Arial" w:hAnsi="Arial" w:cs="Arial"/>
                <w:spacing w:val="7"/>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71FF68E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6E68D503"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46C0C59B"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6C69AC5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2D05681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4375FB5D" w14:textId="77777777" w:rsidR="00D3344B" w:rsidRDefault="00D3344B">
            <w:pPr>
              <w:pStyle w:val="TableParagraph"/>
              <w:rPr>
                <w:rFonts w:ascii="Arial" w:hAnsi="Arial" w:cs="Arial"/>
                <w:sz w:val="18"/>
                <w:szCs w:val="18"/>
              </w:rPr>
            </w:pPr>
          </w:p>
        </w:tc>
      </w:tr>
      <w:tr w:rsidR="00D3344B" w14:paraId="6092EE53"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44A403ED"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037</w:t>
            </w:r>
          </w:p>
        </w:tc>
        <w:tc>
          <w:tcPr>
            <w:tcW w:w="3038" w:type="dxa"/>
            <w:tcBorders>
              <w:top w:val="single" w:sz="4" w:space="0" w:color="000000"/>
              <w:left w:val="single" w:sz="4" w:space="0" w:color="000000"/>
              <w:bottom w:val="single" w:sz="4" w:space="0" w:color="000000"/>
              <w:right w:val="single" w:sz="4" w:space="0" w:color="000000"/>
            </w:tcBorders>
          </w:tcPr>
          <w:p w14:paraId="6337789B" w14:textId="77777777" w:rsidR="00D3344B" w:rsidRDefault="00143C25">
            <w:pPr>
              <w:pStyle w:val="TableParagraph"/>
              <w:rPr>
                <w:rFonts w:ascii="Arial" w:hAnsi="Arial" w:cs="Arial"/>
                <w:sz w:val="18"/>
                <w:szCs w:val="18"/>
              </w:rPr>
            </w:pPr>
            <w:r>
              <w:rPr>
                <w:rFonts w:ascii="Arial" w:hAnsi="Arial" w:cs="Arial"/>
                <w:w w:val="110"/>
                <w:sz w:val="18"/>
                <w:szCs w:val="18"/>
              </w:rPr>
              <w:t>Hombro</w:t>
            </w:r>
            <w:r>
              <w:rPr>
                <w:rFonts w:ascii="Arial" w:hAnsi="Arial" w:cs="Arial"/>
                <w:spacing w:val="11"/>
                <w:w w:val="110"/>
                <w:sz w:val="18"/>
                <w:szCs w:val="18"/>
              </w:rPr>
              <w:t xml:space="preserve"> </w:t>
            </w:r>
            <w:r>
              <w:rPr>
                <w:rFonts w:ascii="Arial" w:hAnsi="Arial" w:cs="Arial"/>
                <w:w w:val="110"/>
                <w:sz w:val="18"/>
                <w:szCs w:val="18"/>
              </w:rPr>
              <w:t>1</w:t>
            </w:r>
            <w:r>
              <w:rPr>
                <w:rFonts w:ascii="Arial" w:hAnsi="Arial" w:cs="Arial"/>
                <w:spacing w:val="10"/>
                <w:w w:val="110"/>
                <w:sz w:val="18"/>
                <w:szCs w:val="18"/>
              </w:rPr>
              <w:t xml:space="preserve"> </w:t>
            </w:r>
            <w:r>
              <w:rPr>
                <w:rFonts w:ascii="Arial" w:hAnsi="Arial" w:cs="Arial"/>
                <w:w w:val="110"/>
                <w:sz w:val="18"/>
                <w:szCs w:val="18"/>
              </w:rPr>
              <w:t>p</w:t>
            </w:r>
            <w:r>
              <w:rPr>
                <w:rFonts w:ascii="Arial" w:hAnsi="Arial" w:cs="Arial"/>
                <w:spacing w:val="7"/>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621AC68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3.00</w:t>
            </w:r>
          </w:p>
        </w:tc>
        <w:tc>
          <w:tcPr>
            <w:tcW w:w="695" w:type="dxa"/>
            <w:tcBorders>
              <w:top w:val="single" w:sz="4" w:space="0" w:color="000000"/>
              <w:left w:val="single" w:sz="4" w:space="0" w:color="000000"/>
              <w:bottom w:val="single" w:sz="4" w:space="0" w:color="000000"/>
              <w:right w:val="single" w:sz="4" w:space="0" w:color="000000"/>
            </w:tcBorders>
          </w:tcPr>
          <w:p w14:paraId="383ED1F4"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5D095E39"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4B708FB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3846459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7AE93B40" w14:textId="77777777" w:rsidR="00D3344B" w:rsidRDefault="00D3344B">
            <w:pPr>
              <w:pStyle w:val="TableParagraph"/>
              <w:rPr>
                <w:rFonts w:ascii="Arial" w:hAnsi="Arial" w:cs="Arial"/>
                <w:sz w:val="18"/>
                <w:szCs w:val="18"/>
              </w:rPr>
            </w:pPr>
          </w:p>
        </w:tc>
      </w:tr>
      <w:tr w:rsidR="00D3344B" w14:paraId="119F100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FCDCB87"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038</w:t>
            </w:r>
          </w:p>
        </w:tc>
        <w:tc>
          <w:tcPr>
            <w:tcW w:w="3038" w:type="dxa"/>
            <w:tcBorders>
              <w:top w:val="single" w:sz="4" w:space="0" w:color="000000"/>
              <w:left w:val="single" w:sz="4" w:space="0" w:color="000000"/>
              <w:bottom w:val="single" w:sz="4" w:space="0" w:color="000000"/>
              <w:right w:val="single" w:sz="4" w:space="0" w:color="000000"/>
            </w:tcBorders>
          </w:tcPr>
          <w:p w14:paraId="1505F108" w14:textId="77777777" w:rsidR="00D3344B" w:rsidRDefault="00143C25">
            <w:pPr>
              <w:pStyle w:val="TableParagraph"/>
              <w:spacing w:before="1"/>
              <w:rPr>
                <w:rFonts w:ascii="Arial" w:hAnsi="Arial" w:cs="Arial"/>
                <w:sz w:val="18"/>
                <w:szCs w:val="18"/>
              </w:rPr>
            </w:pPr>
            <w:r>
              <w:rPr>
                <w:rFonts w:ascii="Arial" w:hAnsi="Arial" w:cs="Arial"/>
                <w:w w:val="110"/>
                <w:sz w:val="18"/>
                <w:szCs w:val="18"/>
              </w:rPr>
              <w:t>Hombro</w:t>
            </w:r>
            <w:r>
              <w:rPr>
                <w:rFonts w:ascii="Arial" w:hAnsi="Arial" w:cs="Arial"/>
                <w:spacing w:val="11"/>
                <w:w w:val="110"/>
                <w:sz w:val="18"/>
                <w:szCs w:val="18"/>
              </w:rPr>
              <w:t xml:space="preserve"> </w:t>
            </w:r>
            <w:r>
              <w:rPr>
                <w:rFonts w:ascii="Arial" w:hAnsi="Arial" w:cs="Arial"/>
                <w:w w:val="110"/>
                <w:sz w:val="18"/>
                <w:szCs w:val="18"/>
              </w:rPr>
              <w:t>2</w:t>
            </w:r>
            <w:r>
              <w:rPr>
                <w:rFonts w:ascii="Arial" w:hAnsi="Arial" w:cs="Arial"/>
                <w:spacing w:val="10"/>
                <w:w w:val="110"/>
                <w:sz w:val="18"/>
                <w:szCs w:val="18"/>
              </w:rPr>
              <w:t xml:space="preserve"> </w:t>
            </w:r>
            <w:r>
              <w:rPr>
                <w:rFonts w:ascii="Arial" w:hAnsi="Arial" w:cs="Arial"/>
                <w:w w:val="110"/>
                <w:sz w:val="18"/>
                <w:szCs w:val="18"/>
              </w:rPr>
              <w:t>p</w:t>
            </w:r>
            <w:r>
              <w:rPr>
                <w:rFonts w:ascii="Arial" w:hAnsi="Arial" w:cs="Arial"/>
                <w:spacing w:val="7"/>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1FFC8478"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3.25</w:t>
            </w:r>
          </w:p>
        </w:tc>
        <w:tc>
          <w:tcPr>
            <w:tcW w:w="695" w:type="dxa"/>
            <w:tcBorders>
              <w:top w:val="single" w:sz="4" w:space="0" w:color="000000"/>
              <w:left w:val="single" w:sz="4" w:space="0" w:color="000000"/>
              <w:bottom w:val="single" w:sz="4" w:space="0" w:color="000000"/>
              <w:right w:val="single" w:sz="4" w:space="0" w:color="000000"/>
            </w:tcBorders>
          </w:tcPr>
          <w:p w14:paraId="3572AACA"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0B0ECDE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51FD7AB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045ABFD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1.75</w:t>
            </w:r>
          </w:p>
        </w:tc>
        <w:tc>
          <w:tcPr>
            <w:tcW w:w="527" w:type="dxa"/>
            <w:tcBorders>
              <w:top w:val="single" w:sz="4" w:space="0" w:color="000000"/>
              <w:left w:val="single" w:sz="4" w:space="0" w:color="000000"/>
              <w:bottom w:val="single" w:sz="4" w:space="0" w:color="000000"/>
              <w:right w:val="single" w:sz="4" w:space="0" w:color="000000"/>
            </w:tcBorders>
          </w:tcPr>
          <w:p w14:paraId="287E5567" w14:textId="77777777" w:rsidR="00D3344B" w:rsidRDefault="00D3344B">
            <w:pPr>
              <w:pStyle w:val="TableParagraph"/>
              <w:rPr>
                <w:rFonts w:ascii="Arial" w:hAnsi="Arial" w:cs="Arial"/>
                <w:sz w:val="18"/>
                <w:szCs w:val="18"/>
              </w:rPr>
            </w:pPr>
          </w:p>
        </w:tc>
      </w:tr>
      <w:tr w:rsidR="00D3344B" w14:paraId="7E654FD2"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1E36E4EA"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039</w:t>
            </w:r>
          </w:p>
        </w:tc>
        <w:tc>
          <w:tcPr>
            <w:tcW w:w="3038" w:type="dxa"/>
            <w:tcBorders>
              <w:top w:val="single" w:sz="4" w:space="0" w:color="000000"/>
              <w:left w:val="single" w:sz="4" w:space="0" w:color="000000"/>
              <w:bottom w:val="single" w:sz="4" w:space="0" w:color="000000"/>
              <w:right w:val="single" w:sz="4" w:space="0" w:color="000000"/>
            </w:tcBorders>
          </w:tcPr>
          <w:p w14:paraId="3AF8AEF6" w14:textId="77777777" w:rsidR="00D3344B" w:rsidRDefault="00143C25">
            <w:pPr>
              <w:pStyle w:val="TableParagraph"/>
              <w:rPr>
                <w:rFonts w:ascii="Arial" w:hAnsi="Arial" w:cs="Arial"/>
                <w:sz w:val="18"/>
                <w:szCs w:val="18"/>
              </w:rPr>
            </w:pPr>
            <w:r>
              <w:rPr>
                <w:rFonts w:ascii="Arial" w:hAnsi="Arial" w:cs="Arial"/>
                <w:w w:val="110"/>
                <w:sz w:val="18"/>
                <w:szCs w:val="18"/>
              </w:rPr>
              <w:t>Hombro</w:t>
            </w:r>
            <w:r>
              <w:rPr>
                <w:rFonts w:ascii="Arial" w:hAnsi="Arial" w:cs="Arial"/>
                <w:spacing w:val="11"/>
                <w:w w:val="110"/>
                <w:sz w:val="18"/>
                <w:szCs w:val="18"/>
              </w:rPr>
              <w:t xml:space="preserve"> </w:t>
            </w:r>
            <w:r>
              <w:rPr>
                <w:rFonts w:ascii="Arial" w:hAnsi="Arial" w:cs="Arial"/>
                <w:w w:val="110"/>
                <w:sz w:val="18"/>
                <w:szCs w:val="18"/>
              </w:rPr>
              <w:t>2</w:t>
            </w:r>
            <w:r>
              <w:rPr>
                <w:rFonts w:ascii="Arial" w:hAnsi="Arial" w:cs="Arial"/>
                <w:spacing w:val="10"/>
                <w:w w:val="110"/>
                <w:sz w:val="18"/>
                <w:szCs w:val="18"/>
              </w:rPr>
              <w:t xml:space="preserve"> </w:t>
            </w:r>
            <w:r>
              <w:rPr>
                <w:rFonts w:ascii="Arial" w:hAnsi="Arial" w:cs="Arial"/>
                <w:w w:val="110"/>
                <w:sz w:val="18"/>
                <w:szCs w:val="18"/>
              </w:rPr>
              <w:t>p</w:t>
            </w:r>
            <w:r>
              <w:rPr>
                <w:rFonts w:ascii="Arial" w:hAnsi="Arial" w:cs="Arial"/>
                <w:spacing w:val="7"/>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715CF7E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169FE96F" w14:textId="77777777" w:rsidR="00D3344B" w:rsidRDefault="00143C25">
            <w:pPr>
              <w:pStyle w:val="TableParagraph"/>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0FCB12EE"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CA1F28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6BE1019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32082AF9" w14:textId="77777777" w:rsidR="00D3344B" w:rsidRDefault="00D3344B">
            <w:pPr>
              <w:pStyle w:val="TableParagraph"/>
              <w:rPr>
                <w:rFonts w:ascii="Arial" w:hAnsi="Arial" w:cs="Arial"/>
                <w:sz w:val="18"/>
                <w:szCs w:val="18"/>
              </w:rPr>
            </w:pPr>
          </w:p>
        </w:tc>
      </w:tr>
      <w:tr w:rsidR="00D3344B" w14:paraId="4FFE528C"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FB4226E"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040</w:t>
            </w:r>
          </w:p>
        </w:tc>
        <w:tc>
          <w:tcPr>
            <w:tcW w:w="3038" w:type="dxa"/>
            <w:tcBorders>
              <w:top w:val="single" w:sz="4" w:space="0" w:color="000000"/>
              <w:left w:val="single" w:sz="4" w:space="0" w:color="000000"/>
              <w:bottom w:val="single" w:sz="4" w:space="0" w:color="000000"/>
              <w:right w:val="single" w:sz="4" w:space="0" w:color="000000"/>
            </w:tcBorders>
          </w:tcPr>
          <w:p w14:paraId="0C99823F" w14:textId="77777777" w:rsidR="00D3344B" w:rsidRDefault="00143C25">
            <w:pPr>
              <w:pStyle w:val="TableParagraph"/>
              <w:tabs>
                <w:tab w:val="left" w:pos="1087"/>
                <w:tab w:val="left" w:pos="2143"/>
              </w:tabs>
              <w:spacing w:line="254" w:lineRule="exact"/>
              <w:ind w:right="1"/>
              <w:rPr>
                <w:rFonts w:ascii="Arial" w:hAnsi="Arial" w:cs="Arial"/>
                <w:sz w:val="18"/>
                <w:szCs w:val="18"/>
              </w:rPr>
            </w:pPr>
            <w:r>
              <w:rPr>
                <w:rFonts w:ascii="Arial" w:hAnsi="Arial" w:cs="Arial"/>
                <w:spacing w:val="-2"/>
                <w:w w:val="110"/>
                <w:sz w:val="18"/>
                <w:szCs w:val="18"/>
              </w:rPr>
              <w:t>Intestino</w:t>
            </w:r>
            <w:r>
              <w:rPr>
                <w:rFonts w:ascii="Arial" w:hAnsi="Arial" w:cs="Arial"/>
                <w:sz w:val="18"/>
                <w:szCs w:val="18"/>
              </w:rPr>
              <w:tab/>
            </w:r>
            <w:r>
              <w:rPr>
                <w:rFonts w:ascii="Arial" w:hAnsi="Arial" w:cs="Arial"/>
                <w:spacing w:val="-2"/>
                <w:w w:val="110"/>
                <w:sz w:val="18"/>
                <w:szCs w:val="18"/>
              </w:rPr>
              <w:t>Delgado</w:t>
            </w:r>
            <w:r>
              <w:rPr>
                <w:rFonts w:ascii="Arial" w:hAnsi="Arial" w:cs="Arial"/>
                <w:sz w:val="18"/>
                <w:szCs w:val="18"/>
              </w:rPr>
              <w:tab/>
            </w:r>
            <w:r>
              <w:rPr>
                <w:rFonts w:ascii="Arial" w:hAnsi="Arial" w:cs="Arial"/>
                <w:spacing w:val="-2"/>
                <w:w w:val="110"/>
                <w:sz w:val="18"/>
                <w:szCs w:val="18"/>
              </w:rPr>
              <w:t xml:space="preserve">(Tránsito </w:t>
            </w:r>
            <w:r>
              <w:rPr>
                <w:rFonts w:ascii="Arial" w:hAnsi="Arial" w:cs="Arial"/>
                <w:w w:val="110"/>
                <w:sz w:val="18"/>
                <w:szCs w:val="18"/>
              </w:rPr>
              <w:t>intestinal) niño</w:t>
            </w:r>
          </w:p>
        </w:tc>
        <w:tc>
          <w:tcPr>
            <w:tcW w:w="697" w:type="dxa"/>
            <w:tcBorders>
              <w:top w:val="single" w:sz="4" w:space="0" w:color="000000"/>
              <w:left w:val="single" w:sz="4" w:space="0" w:color="000000"/>
              <w:bottom w:val="single" w:sz="4" w:space="0" w:color="000000"/>
              <w:right w:val="single" w:sz="4" w:space="0" w:color="000000"/>
            </w:tcBorders>
          </w:tcPr>
          <w:p w14:paraId="78266BC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11.25</w:t>
            </w:r>
          </w:p>
        </w:tc>
        <w:tc>
          <w:tcPr>
            <w:tcW w:w="695" w:type="dxa"/>
            <w:tcBorders>
              <w:top w:val="single" w:sz="4" w:space="0" w:color="000000"/>
              <w:left w:val="single" w:sz="4" w:space="0" w:color="000000"/>
              <w:bottom w:val="single" w:sz="4" w:space="0" w:color="000000"/>
              <w:right w:val="single" w:sz="4" w:space="0" w:color="000000"/>
            </w:tcBorders>
          </w:tcPr>
          <w:p w14:paraId="7501704E" w14:textId="77777777" w:rsidR="00D3344B" w:rsidRDefault="00143C25">
            <w:pPr>
              <w:pStyle w:val="TableParagraph"/>
              <w:rPr>
                <w:rFonts w:ascii="Arial" w:hAnsi="Arial" w:cs="Arial"/>
                <w:sz w:val="18"/>
                <w:szCs w:val="18"/>
              </w:rPr>
            </w:pPr>
            <w:r>
              <w:rPr>
                <w:rFonts w:ascii="Arial" w:hAnsi="Arial" w:cs="Arial"/>
                <w:spacing w:val="-4"/>
                <w:w w:val="115"/>
                <w:sz w:val="18"/>
                <w:szCs w:val="18"/>
              </w:rPr>
              <w:t>10.00</w:t>
            </w:r>
          </w:p>
        </w:tc>
        <w:tc>
          <w:tcPr>
            <w:tcW w:w="699" w:type="dxa"/>
            <w:tcBorders>
              <w:top w:val="single" w:sz="4" w:space="0" w:color="000000"/>
              <w:left w:val="single" w:sz="4" w:space="0" w:color="000000"/>
              <w:bottom w:val="single" w:sz="4" w:space="0" w:color="000000"/>
              <w:right w:val="single" w:sz="4" w:space="0" w:color="000000"/>
            </w:tcBorders>
          </w:tcPr>
          <w:p w14:paraId="533E5765" w14:textId="77777777" w:rsidR="00D3344B" w:rsidRDefault="00143C25">
            <w:pPr>
              <w:pStyle w:val="TableParagraph"/>
              <w:rPr>
                <w:rFonts w:ascii="Arial" w:hAnsi="Arial" w:cs="Arial"/>
                <w:sz w:val="18"/>
                <w:szCs w:val="18"/>
              </w:rPr>
            </w:pPr>
            <w:r>
              <w:rPr>
                <w:rFonts w:ascii="Arial" w:hAnsi="Arial" w:cs="Arial"/>
                <w:spacing w:val="-4"/>
                <w:w w:val="115"/>
                <w:sz w:val="18"/>
                <w:szCs w:val="18"/>
              </w:rPr>
              <w:t>9.00</w:t>
            </w:r>
          </w:p>
        </w:tc>
        <w:tc>
          <w:tcPr>
            <w:tcW w:w="699" w:type="dxa"/>
            <w:tcBorders>
              <w:top w:val="single" w:sz="4" w:space="0" w:color="000000"/>
              <w:left w:val="single" w:sz="4" w:space="0" w:color="000000"/>
              <w:bottom w:val="single" w:sz="4" w:space="0" w:color="000000"/>
              <w:right w:val="single" w:sz="4" w:space="0" w:color="000000"/>
            </w:tcBorders>
          </w:tcPr>
          <w:p w14:paraId="19ABAFA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8.00</w:t>
            </w:r>
          </w:p>
        </w:tc>
        <w:tc>
          <w:tcPr>
            <w:tcW w:w="696" w:type="dxa"/>
            <w:tcBorders>
              <w:top w:val="single" w:sz="4" w:space="0" w:color="000000"/>
              <w:left w:val="single" w:sz="4" w:space="0" w:color="000000"/>
              <w:bottom w:val="single" w:sz="4" w:space="0" w:color="000000"/>
              <w:right w:val="single" w:sz="4" w:space="0" w:color="000000"/>
            </w:tcBorders>
          </w:tcPr>
          <w:p w14:paraId="6A7EA46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6.75</w:t>
            </w:r>
          </w:p>
        </w:tc>
        <w:tc>
          <w:tcPr>
            <w:tcW w:w="527" w:type="dxa"/>
            <w:tcBorders>
              <w:top w:val="single" w:sz="4" w:space="0" w:color="000000"/>
              <w:left w:val="single" w:sz="4" w:space="0" w:color="000000"/>
              <w:bottom w:val="single" w:sz="4" w:space="0" w:color="000000"/>
              <w:right w:val="single" w:sz="4" w:space="0" w:color="000000"/>
            </w:tcBorders>
          </w:tcPr>
          <w:p w14:paraId="17771F74" w14:textId="77777777" w:rsidR="00D3344B" w:rsidRDefault="00D3344B">
            <w:pPr>
              <w:pStyle w:val="TableParagraph"/>
              <w:rPr>
                <w:rFonts w:ascii="Arial" w:hAnsi="Arial" w:cs="Arial"/>
                <w:sz w:val="18"/>
                <w:szCs w:val="18"/>
              </w:rPr>
            </w:pPr>
          </w:p>
        </w:tc>
      </w:tr>
      <w:tr w:rsidR="00D3344B" w14:paraId="3586BA6D"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6AB1A18B"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041</w:t>
            </w:r>
          </w:p>
        </w:tc>
        <w:tc>
          <w:tcPr>
            <w:tcW w:w="3038" w:type="dxa"/>
            <w:tcBorders>
              <w:top w:val="single" w:sz="4" w:space="0" w:color="000000"/>
              <w:left w:val="single" w:sz="4" w:space="0" w:color="000000"/>
              <w:bottom w:val="single" w:sz="4" w:space="0" w:color="000000"/>
              <w:right w:val="single" w:sz="4" w:space="0" w:color="000000"/>
            </w:tcBorders>
          </w:tcPr>
          <w:p w14:paraId="3B8F45C9"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Intestino</w:t>
            </w:r>
            <w:r>
              <w:rPr>
                <w:rFonts w:ascii="Arial" w:hAnsi="Arial" w:cs="Arial"/>
                <w:spacing w:val="39"/>
                <w:w w:val="110"/>
                <w:sz w:val="18"/>
                <w:szCs w:val="18"/>
              </w:rPr>
              <w:t xml:space="preserve"> </w:t>
            </w:r>
            <w:r>
              <w:rPr>
                <w:rFonts w:ascii="Arial" w:hAnsi="Arial" w:cs="Arial"/>
                <w:w w:val="110"/>
                <w:sz w:val="18"/>
                <w:szCs w:val="18"/>
              </w:rPr>
              <w:t>Delgado</w:t>
            </w:r>
            <w:r>
              <w:rPr>
                <w:rFonts w:ascii="Arial" w:hAnsi="Arial" w:cs="Arial"/>
                <w:spacing w:val="39"/>
                <w:w w:val="110"/>
                <w:sz w:val="18"/>
                <w:szCs w:val="18"/>
              </w:rPr>
              <w:t xml:space="preserve"> </w:t>
            </w:r>
            <w:r>
              <w:rPr>
                <w:rFonts w:ascii="Arial" w:hAnsi="Arial" w:cs="Arial"/>
                <w:spacing w:val="-2"/>
                <w:w w:val="110"/>
                <w:sz w:val="18"/>
                <w:szCs w:val="18"/>
              </w:rPr>
              <w:t>(Tránsito</w:t>
            </w:r>
          </w:p>
          <w:p w14:paraId="02750644"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intestinal)</w:t>
            </w:r>
            <w:r>
              <w:rPr>
                <w:rFonts w:ascii="Arial" w:hAnsi="Arial" w:cs="Arial"/>
                <w:spacing w:val="5"/>
                <w:w w:val="110"/>
                <w:sz w:val="18"/>
                <w:szCs w:val="18"/>
              </w:rPr>
              <w:t xml:space="preserve"> </w:t>
            </w:r>
            <w:r>
              <w:rPr>
                <w:rFonts w:ascii="Arial" w:hAnsi="Arial" w:cs="Arial"/>
                <w:spacing w:val="-2"/>
                <w:w w:val="110"/>
                <w:sz w:val="18"/>
                <w:szCs w:val="18"/>
              </w:rPr>
              <w:t>adulto</w:t>
            </w:r>
          </w:p>
        </w:tc>
        <w:tc>
          <w:tcPr>
            <w:tcW w:w="697" w:type="dxa"/>
            <w:tcBorders>
              <w:top w:val="single" w:sz="4" w:space="0" w:color="000000"/>
              <w:left w:val="single" w:sz="4" w:space="0" w:color="000000"/>
              <w:bottom w:val="single" w:sz="4" w:space="0" w:color="000000"/>
              <w:right w:val="single" w:sz="4" w:space="0" w:color="000000"/>
            </w:tcBorders>
          </w:tcPr>
          <w:p w14:paraId="5E7E14CD"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9.50</w:t>
            </w:r>
          </w:p>
        </w:tc>
        <w:tc>
          <w:tcPr>
            <w:tcW w:w="695" w:type="dxa"/>
            <w:tcBorders>
              <w:top w:val="single" w:sz="4" w:space="0" w:color="000000"/>
              <w:left w:val="single" w:sz="4" w:space="0" w:color="000000"/>
              <w:bottom w:val="single" w:sz="4" w:space="0" w:color="000000"/>
              <w:right w:val="single" w:sz="4" w:space="0" w:color="000000"/>
            </w:tcBorders>
          </w:tcPr>
          <w:p w14:paraId="25F0DBDC"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9.00</w:t>
            </w:r>
          </w:p>
        </w:tc>
        <w:tc>
          <w:tcPr>
            <w:tcW w:w="699" w:type="dxa"/>
            <w:tcBorders>
              <w:top w:val="single" w:sz="4" w:space="0" w:color="000000"/>
              <w:left w:val="single" w:sz="4" w:space="0" w:color="000000"/>
              <w:bottom w:val="single" w:sz="4" w:space="0" w:color="000000"/>
              <w:right w:val="single" w:sz="4" w:space="0" w:color="000000"/>
            </w:tcBorders>
          </w:tcPr>
          <w:p w14:paraId="242F5A2B"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47A2F5E4"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7.50</w:t>
            </w:r>
          </w:p>
        </w:tc>
        <w:tc>
          <w:tcPr>
            <w:tcW w:w="696" w:type="dxa"/>
            <w:tcBorders>
              <w:top w:val="single" w:sz="4" w:space="0" w:color="000000"/>
              <w:left w:val="single" w:sz="4" w:space="0" w:color="000000"/>
              <w:bottom w:val="single" w:sz="4" w:space="0" w:color="000000"/>
              <w:right w:val="single" w:sz="4" w:space="0" w:color="000000"/>
            </w:tcBorders>
          </w:tcPr>
          <w:p w14:paraId="51C0169A"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7.00</w:t>
            </w:r>
          </w:p>
        </w:tc>
        <w:tc>
          <w:tcPr>
            <w:tcW w:w="527" w:type="dxa"/>
            <w:tcBorders>
              <w:top w:val="single" w:sz="4" w:space="0" w:color="000000"/>
              <w:left w:val="single" w:sz="4" w:space="0" w:color="000000"/>
              <w:bottom w:val="single" w:sz="4" w:space="0" w:color="000000"/>
              <w:right w:val="single" w:sz="4" w:space="0" w:color="000000"/>
            </w:tcBorders>
          </w:tcPr>
          <w:p w14:paraId="512FE591" w14:textId="77777777" w:rsidR="00D3344B" w:rsidRDefault="00D3344B">
            <w:pPr>
              <w:pStyle w:val="TableParagraph"/>
              <w:rPr>
                <w:rFonts w:ascii="Arial" w:hAnsi="Arial" w:cs="Arial"/>
                <w:sz w:val="18"/>
                <w:szCs w:val="18"/>
              </w:rPr>
            </w:pPr>
          </w:p>
        </w:tc>
      </w:tr>
      <w:tr w:rsidR="00D3344B" w14:paraId="1ECCEFC5"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CAABDC5"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042</w:t>
            </w:r>
          </w:p>
        </w:tc>
        <w:tc>
          <w:tcPr>
            <w:tcW w:w="3038" w:type="dxa"/>
            <w:tcBorders>
              <w:top w:val="single" w:sz="4" w:space="0" w:color="000000"/>
              <w:left w:val="single" w:sz="4" w:space="0" w:color="000000"/>
              <w:bottom w:val="single" w:sz="4" w:space="0" w:color="000000"/>
              <w:right w:val="single" w:sz="4" w:space="0" w:color="000000"/>
            </w:tcBorders>
          </w:tcPr>
          <w:p w14:paraId="0D3EDDB3" w14:textId="77777777" w:rsidR="00D3344B" w:rsidRDefault="00143C25">
            <w:pPr>
              <w:pStyle w:val="TableParagraph"/>
              <w:rPr>
                <w:rFonts w:ascii="Arial" w:hAnsi="Arial" w:cs="Arial"/>
                <w:sz w:val="18"/>
                <w:szCs w:val="18"/>
              </w:rPr>
            </w:pPr>
            <w:r>
              <w:rPr>
                <w:rFonts w:ascii="Arial" w:hAnsi="Arial" w:cs="Arial"/>
                <w:spacing w:val="-2"/>
                <w:w w:val="115"/>
                <w:sz w:val="18"/>
                <w:szCs w:val="18"/>
              </w:rPr>
              <w:t>Mamografía/Mastografía</w:t>
            </w:r>
          </w:p>
        </w:tc>
        <w:tc>
          <w:tcPr>
            <w:tcW w:w="697" w:type="dxa"/>
            <w:tcBorders>
              <w:top w:val="single" w:sz="4" w:space="0" w:color="000000"/>
              <w:left w:val="single" w:sz="4" w:space="0" w:color="000000"/>
              <w:bottom w:val="single" w:sz="4" w:space="0" w:color="000000"/>
              <w:right w:val="single" w:sz="4" w:space="0" w:color="000000"/>
            </w:tcBorders>
          </w:tcPr>
          <w:p w14:paraId="3FCBD92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12.00</w:t>
            </w:r>
          </w:p>
        </w:tc>
        <w:tc>
          <w:tcPr>
            <w:tcW w:w="695" w:type="dxa"/>
            <w:tcBorders>
              <w:top w:val="single" w:sz="4" w:space="0" w:color="000000"/>
              <w:left w:val="single" w:sz="4" w:space="0" w:color="000000"/>
              <w:bottom w:val="single" w:sz="4" w:space="0" w:color="000000"/>
              <w:right w:val="single" w:sz="4" w:space="0" w:color="000000"/>
            </w:tcBorders>
          </w:tcPr>
          <w:p w14:paraId="0A5728DB" w14:textId="77777777" w:rsidR="00D3344B" w:rsidRDefault="00143C25">
            <w:pPr>
              <w:pStyle w:val="TableParagraph"/>
              <w:rPr>
                <w:rFonts w:ascii="Arial" w:hAnsi="Arial" w:cs="Arial"/>
                <w:sz w:val="18"/>
                <w:szCs w:val="18"/>
              </w:rPr>
            </w:pPr>
            <w:r>
              <w:rPr>
                <w:rFonts w:ascii="Arial" w:hAnsi="Arial" w:cs="Arial"/>
                <w:spacing w:val="-4"/>
                <w:w w:val="115"/>
                <w:sz w:val="18"/>
                <w:szCs w:val="18"/>
              </w:rPr>
              <w:t>11.00</w:t>
            </w:r>
          </w:p>
        </w:tc>
        <w:tc>
          <w:tcPr>
            <w:tcW w:w="699" w:type="dxa"/>
            <w:tcBorders>
              <w:top w:val="single" w:sz="4" w:space="0" w:color="000000"/>
              <w:left w:val="single" w:sz="4" w:space="0" w:color="000000"/>
              <w:bottom w:val="single" w:sz="4" w:space="0" w:color="000000"/>
              <w:right w:val="single" w:sz="4" w:space="0" w:color="000000"/>
            </w:tcBorders>
          </w:tcPr>
          <w:p w14:paraId="4CC7120E" w14:textId="77777777" w:rsidR="00D3344B" w:rsidRDefault="00143C25">
            <w:pPr>
              <w:pStyle w:val="TableParagraph"/>
              <w:rPr>
                <w:rFonts w:ascii="Arial" w:hAnsi="Arial" w:cs="Arial"/>
                <w:sz w:val="18"/>
                <w:szCs w:val="18"/>
              </w:rPr>
            </w:pPr>
            <w:r>
              <w:rPr>
                <w:rFonts w:ascii="Arial" w:hAnsi="Arial" w:cs="Arial"/>
                <w:spacing w:val="-4"/>
                <w:w w:val="115"/>
                <w:sz w:val="18"/>
                <w:szCs w:val="18"/>
              </w:rPr>
              <w:t>9.75</w:t>
            </w:r>
          </w:p>
        </w:tc>
        <w:tc>
          <w:tcPr>
            <w:tcW w:w="699" w:type="dxa"/>
            <w:tcBorders>
              <w:top w:val="single" w:sz="4" w:space="0" w:color="000000"/>
              <w:left w:val="single" w:sz="4" w:space="0" w:color="000000"/>
              <w:bottom w:val="single" w:sz="4" w:space="0" w:color="000000"/>
              <w:right w:val="single" w:sz="4" w:space="0" w:color="000000"/>
            </w:tcBorders>
          </w:tcPr>
          <w:p w14:paraId="0C0C7B4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8.75</w:t>
            </w:r>
          </w:p>
        </w:tc>
        <w:tc>
          <w:tcPr>
            <w:tcW w:w="696" w:type="dxa"/>
            <w:tcBorders>
              <w:top w:val="single" w:sz="4" w:space="0" w:color="000000"/>
              <w:left w:val="single" w:sz="4" w:space="0" w:color="000000"/>
              <w:bottom w:val="single" w:sz="4" w:space="0" w:color="000000"/>
              <w:right w:val="single" w:sz="4" w:space="0" w:color="000000"/>
            </w:tcBorders>
          </w:tcPr>
          <w:p w14:paraId="55E2249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7.50</w:t>
            </w:r>
          </w:p>
        </w:tc>
        <w:tc>
          <w:tcPr>
            <w:tcW w:w="527" w:type="dxa"/>
            <w:tcBorders>
              <w:top w:val="single" w:sz="4" w:space="0" w:color="000000"/>
              <w:left w:val="single" w:sz="4" w:space="0" w:color="000000"/>
              <w:bottom w:val="single" w:sz="4" w:space="0" w:color="000000"/>
              <w:right w:val="single" w:sz="4" w:space="0" w:color="000000"/>
            </w:tcBorders>
          </w:tcPr>
          <w:p w14:paraId="5FA3825C" w14:textId="77777777" w:rsidR="00D3344B" w:rsidRDefault="00D3344B">
            <w:pPr>
              <w:pStyle w:val="TableParagraph"/>
              <w:rPr>
                <w:rFonts w:ascii="Arial" w:hAnsi="Arial" w:cs="Arial"/>
                <w:sz w:val="18"/>
                <w:szCs w:val="18"/>
              </w:rPr>
            </w:pPr>
          </w:p>
        </w:tc>
      </w:tr>
      <w:tr w:rsidR="00D3344B" w14:paraId="53B96FD1"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7172512"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043</w:t>
            </w:r>
          </w:p>
        </w:tc>
        <w:tc>
          <w:tcPr>
            <w:tcW w:w="3038" w:type="dxa"/>
            <w:tcBorders>
              <w:top w:val="single" w:sz="4" w:space="0" w:color="000000"/>
              <w:left w:val="single" w:sz="4" w:space="0" w:color="000000"/>
              <w:bottom w:val="single" w:sz="4" w:space="0" w:color="000000"/>
              <w:right w:val="single" w:sz="4" w:space="0" w:color="000000"/>
            </w:tcBorders>
          </w:tcPr>
          <w:p w14:paraId="0DF5E87A" w14:textId="77777777" w:rsidR="00D3344B" w:rsidRDefault="00143C25">
            <w:pPr>
              <w:pStyle w:val="TableParagraph"/>
              <w:spacing w:line="252" w:lineRule="exact"/>
              <w:ind w:right="272"/>
              <w:rPr>
                <w:rFonts w:ascii="Arial" w:hAnsi="Arial" w:cs="Arial"/>
                <w:sz w:val="18"/>
                <w:szCs w:val="18"/>
              </w:rPr>
            </w:pPr>
            <w:r>
              <w:rPr>
                <w:rFonts w:ascii="Arial" w:hAnsi="Arial" w:cs="Arial"/>
                <w:spacing w:val="-2"/>
                <w:w w:val="115"/>
                <w:sz w:val="18"/>
                <w:szCs w:val="18"/>
              </w:rPr>
              <w:t xml:space="preserve">Mamografía/Mastografía </w:t>
            </w:r>
            <w:r>
              <w:rPr>
                <w:rFonts w:ascii="Arial" w:hAnsi="Arial" w:cs="Arial"/>
                <w:w w:val="115"/>
                <w:sz w:val="18"/>
                <w:szCs w:val="18"/>
              </w:rPr>
              <w:t>para</w:t>
            </w:r>
            <w:r>
              <w:rPr>
                <w:rFonts w:ascii="Arial" w:hAnsi="Arial" w:cs="Arial"/>
                <w:spacing w:val="-16"/>
                <w:w w:val="115"/>
                <w:sz w:val="18"/>
                <w:szCs w:val="18"/>
              </w:rPr>
              <w:t xml:space="preserve"> </w:t>
            </w:r>
            <w:r>
              <w:rPr>
                <w:rFonts w:ascii="Arial" w:hAnsi="Arial" w:cs="Arial"/>
                <w:w w:val="115"/>
                <w:sz w:val="18"/>
                <w:szCs w:val="18"/>
              </w:rPr>
              <w:t>pacientes</w:t>
            </w:r>
            <w:r>
              <w:rPr>
                <w:rFonts w:ascii="Arial" w:hAnsi="Arial" w:cs="Arial"/>
                <w:spacing w:val="-16"/>
                <w:w w:val="115"/>
                <w:sz w:val="18"/>
                <w:szCs w:val="18"/>
              </w:rPr>
              <w:t xml:space="preserve"> </w:t>
            </w:r>
            <w:r>
              <w:rPr>
                <w:rFonts w:ascii="Arial" w:hAnsi="Arial" w:cs="Arial"/>
                <w:w w:val="115"/>
                <w:sz w:val="18"/>
                <w:szCs w:val="18"/>
              </w:rPr>
              <w:t>con</w:t>
            </w:r>
            <w:r>
              <w:rPr>
                <w:rFonts w:ascii="Arial" w:hAnsi="Arial" w:cs="Arial"/>
                <w:spacing w:val="-16"/>
                <w:w w:val="115"/>
                <w:sz w:val="18"/>
                <w:szCs w:val="18"/>
              </w:rPr>
              <w:t xml:space="preserve"> </w:t>
            </w:r>
            <w:r>
              <w:rPr>
                <w:rFonts w:ascii="Arial" w:hAnsi="Arial" w:cs="Arial"/>
                <w:w w:val="115"/>
                <w:sz w:val="18"/>
                <w:szCs w:val="18"/>
              </w:rPr>
              <w:t>prótesis</w:t>
            </w:r>
          </w:p>
        </w:tc>
        <w:tc>
          <w:tcPr>
            <w:tcW w:w="697" w:type="dxa"/>
            <w:tcBorders>
              <w:top w:val="single" w:sz="4" w:space="0" w:color="000000"/>
              <w:left w:val="single" w:sz="4" w:space="0" w:color="000000"/>
              <w:bottom w:val="single" w:sz="4" w:space="0" w:color="000000"/>
              <w:right w:val="single" w:sz="4" w:space="0" w:color="000000"/>
            </w:tcBorders>
          </w:tcPr>
          <w:p w14:paraId="2DE447F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24.25</w:t>
            </w:r>
          </w:p>
        </w:tc>
        <w:tc>
          <w:tcPr>
            <w:tcW w:w="695" w:type="dxa"/>
            <w:tcBorders>
              <w:top w:val="single" w:sz="4" w:space="0" w:color="000000"/>
              <w:left w:val="single" w:sz="4" w:space="0" w:color="000000"/>
              <w:bottom w:val="single" w:sz="4" w:space="0" w:color="000000"/>
              <w:right w:val="single" w:sz="4" w:space="0" w:color="000000"/>
            </w:tcBorders>
          </w:tcPr>
          <w:p w14:paraId="29AAB38A" w14:textId="77777777" w:rsidR="00D3344B" w:rsidRDefault="00143C25">
            <w:pPr>
              <w:pStyle w:val="TableParagraph"/>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14B68DED" w14:textId="77777777" w:rsidR="00D3344B" w:rsidRDefault="00143C25">
            <w:pPr>
              <w:pStyle w:val="TableParagraph"/>
              <w:rPr>
                <w:rFonts w:ascii="Arial" w:hAnsi="Arial" w:cs="Arial"/>
                <w:sz w:val="18"/>
                <w:szCs w:val="18"/>
              </w:rPr>
            </w:pPr>
            <w:r>
              <w:rPr>
                <w:rFonts w:ascii="Arial" w:hAnsi="Arial" w:cs="Arial"/>
                <w:spacing w:val="-4"/>
                <w:w w:val="115"/>
                <w:sz w:val="18"/>
                <w:szCs w:val="18"/>
              </w:rPr>
              <w:t>19.75</w:t>
            </w:r>
          </w:p>
        </w:tc>
        <w:tc>
          <w:tcPr>
            <w:tcW w:w="699" w:type="dxa"/>
            <w:tcBorders>
              <w:top w:val="single" w:sz="4" w:space="0" w:color="000000"/>
              <w:left w:val="single" w:sz="4" w:space="0" w:color="000000"/>
              <w:bottom w:val="single" w:sz="4" w:space="0" w:color="000000"/>
              <w:right w:val="single" w:sz="4" w:space="0" w:color="000000"/>
            </w:tcBorders>
          </w:tcPr>
          <w:p w14:paraId="3A6F79F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17.25</w:t>
            </w:r>
          </w:p>
        </w:tc>
        <w:tc>
          <w:tcPr>
            <w:tcW w:w="696" w:type="dxa"/>
            <w:tcBorders>
              <w:top w:val="single" w:sz="4" w:space="0" w:color="000000"/>
              <w:left w:val="single" w:sz="4" w:space="0" w:color="000000"/>
              <w:bottom w:val="single" w:sz="4" w:space="0" w:color="000000"/>
              <w:right w:val="single" w:sz="4" w:space="0" w:color="000000"/>
            </w:tcBorders>
          </w:tcPr>
          <w:p w14:paraId="61A5D8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14.50</w:t>
            </w:r>
          </w:p>
        </w:tc>
        <w:tc>
          <w:tcPr>
            <w:tcW w:w="527" w:type="dxa"/>
            <w:tcBorders>
              <w:top w:val="single" w:sz="4" w:space="0" w:color="000000"/>
              <w:left w:val="single" w:sz="4" w:space="0" w:color="000000"/>
              <w:bottom w:val="single" w:sz="4" w:space="0" w:color="000000"/>
              <w:right w:val="single" w:sz="4" w:space="0" w:color="000000"/>
            </w:tcBorders>
          </w:tcPr>
          <w:p w14:paraId="327F2BA0" w14:textId="77777777" w:rsidR="00D3344B" w:rsidRDefault="00D3344B">
            <w:pPr>
              <w:pStyle w:val="TableParagraph"/>
              <w:rPr>
                <w:rFonts w:ascii="Arial" w:hAnsi="Arial" w:cs="Arial"/>
                <w:sz w:val="18"/>
                <w:szCs w:val="18"/>
              </w:rPr>
            </w:pPr>
          </w:p>
        </w:tc>
      </w:tr>
      <w:tr w:rsidR="00D3344B" w14:paraId="03881922"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0C0384D6"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044</w:t>
            </w:r>
          </w:p>
        </w:tc>
        <w:tc>
          <w:tcPr>
            <w:tcW w:w="3038" w:type="dxa"/>
            <w:tcBorders>
              <w:top w:val="single" w:sz="4" w:space="0" w:color="000000"/>
              <w:left w:val="single" w:sz="4" w:space="0" w:color="000000"/>
              <w:bottom w:val="single" w:sz="4" w:space="0" w:color="000000"/>
              <w:right w:val="single" w:sz="4" w:space="0" w:color="000000"/>
            </w:tcBorders>
          </w:tcPr>
          <w:p w14:paraId="7E0BCC65"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Mano</w:t>
            </w:r>
            <w:r>
              <w:rPr>
                <w:rFonts w:ascii="Arial" w:hAnsi="Arial" w:cs="Arial"/>
                <w:spacing w:val="1"/>
                <w:w w:val="115"/>
                <w:sz w:val="18"/>
                <w:szCs w:val="18"/>
              </w:rPr>
              <w:t xml:space="preserve"> </w:t>
            </w:r>
            <w:r>
              <w:rPr>
                <w:rFonts w:ascii="Arial" w:hAnsi="Arial" w:cs="Arial"/>
                <w:w w:val="115"/>
                <w:sz w:val="18"/>
                <w:szCs w:val="18"/>
              </w:rPr>
              <w:t>2</w:t>
            </w:r>
            <w:r>
              <w:rPr>
                <w:rFonts w:ascii="Arial" w:hAnsi="Arial" w:cs="Arial"/>
                <w:spacing w:val="4"/>
                <w:w w:val="115"/>
                <w:sz w:val="18"/>
                <w:szCs w:val="18"/>
              </w:rPr>
              <w:t xml:space="preserve"> </w:t>
            </w:r>
            <w:r>
              <w:rPr>
                <w:rFonts w:ascii="Arial" w:hAnsi="Arial" w:cs="Arial"/>
                <w:w w:val="115"/>
                <w:sz w:val="18"/>
                <w:szCs w:val="18"/>
              </w:rPr>
              <w:t>p</w:t>
            </w:r>
            <w:r>
              <w:rPr>
                <w:rFonts w:ascii="Arial" w:hAnsi="Arial" w:cs="Arial"/>
                <w:spacing w:val="1"/>
                <w:w w:val="115"/>
                <w:sz w:val="18"/>
                <w:szCs w:val="18"/>
              </w:rPr>
              <w:t xml:space="preserve"> </w:t>
            </w:r>
            <w:r>
              <w:rPr>
                <w:rFonts w:ascii="Arial" w:hAnsi="Arial" w:cs="Arial"/>
                <w:spacing w:val="-2"/>
                <w:w w:val="115"/>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25AD49E9"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03F93602"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0A998D59"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3FD03FA9"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3327164E"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7D8F74FD" w14:textId="77777777" w:rsidR="00D3344B" w:rsidRDefault="00D3344B">
            <w:pPr>
              <w:pStyle w:val="TableParagraph"/>
              <w:rPr>
                <w:rFonts w:ascii="Arial" w:hAnsi="Arial" w:cs="Arial"/>
                <w:sz w:val="18"/>
                <w:szCs w:val="18"/>
              </w:rPr>
            </w:pPr>
          </w:p>
        </w:tc>
      </w:tr>
      <w:tr w:rsidR="00D3344B" w14:paraId="6CE4C09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738CD5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045</w:t>
            </w:r>
          </w:p>
        </w:tc>
        <w:tc>
          <w:tcPr>
            <w:tcW w:w="3038" w:type="dxa"/>
            <w:tcBorders>
              <w:top w:val="single" w:sz="4" w:space="0" w:color="000000"/>
              <w:left w:val="single" w:sz="4" w:space="0" w:color="000000"/>
              <w:bottom w:val="single" w:sz="4" w:space="0" w:color="000000"/>
              <w:right w:val="single" w:sz="4" w:space="0" w:color="000000"/>
            </w:tcBorders>
          </w:tcPr>
          <w:p w14:paraId="792A984F" w14:textId="77777777" w:rsidR="00D3344B" w:rsidRDefault="00143C25">
            <w:pPr>
              <w:pStyle w:val="TableParagraph"/>
              <w:rPr>
                <w:rFonts w:ascii="Arial" w:hAnsi="Arial" w:cs="Arial"/>
                <w:sz w:val="18"/>
                <w:szCs w:val="18"/>
              </w:rPr>
            </w:pPr>
            <w:r>
              <w:rPr>
                <w:rFonts w:ascii="Arial" w:hAnsi="Arial" w:cs="Arial"/>
                <w:w w:val="115"/>
                <w:sz w:val="18"/>
                <w:szCs w:val="18"/>
              </w:rPr>
              <w:t>Mano</w:t>
            </w:r>
            <w:r>
              <w:rPr>
                <w:rFonts w:ascii="Arial" w:hAnsi="Arial" w:cs="Arial"/>
                <w:spacing w:val="1"/>
                <w:w w:val="115"/>
                <w:sz w:val="18"/>
                <w:szCs w:val="18"/>
              </w:rPr>
              <w:t xml:space="preserve"> </w:t>
            </w:r>
            <w:r>
              <w:rPr>
                <w:rFonts w:ascii="Arial" w:hAnsi="Arial" w:cs="Arial"/>
                <w:w w:val="115"/>
                <w:sz w:val="18"/>
                <w:szCs w:val="18"/>
              </w:rPr>
              <w:t>2</w:t>
            </w:r>
            <w:r>
              <w:rPr>
                <w:rFonts w:ascii="Arial" w:hAnsi="Arial" w:cs="Arial"/>
                <w:spacing w:val="4"/>
                <w:w w:val="115"/>
                <w:sz w:val="18"/>
                <w:szCs w:val="18"/>
              </w:rPr>
              <w:t xml:space="preserve"> </w:t>
            </w:r>
            <w:r>
              <w:rPr>
                <w:rFonts w:ascii="Arial" w:hAnsi="Arial" w:cs="Arial"/>
                <w:w w:val="115"/>
                <w:sz w:val="18"/>
                <w:szCs w:val="18"/>
              </w:rPr>
              <w:t>p</w:t>
            </w:r>
            <w:r>
              <w:rPr>
                <w:rFonts w:ascii="Arial" w:hAnsi="Arial" w:cs="Arial"/>
                <w:spacing w:val="1"/>
                <w:w w:val="115"/>
                <w:sz w:val="18"/>
                <w:szCs w:val="18"/>
              </w:rPr>
              <w:t xml:space="preserve"> </w:t>
            </w:r>
            <w:r>
              <w:rPr>
                <w:rFonts w:ascii="Arial" w:hAnsi="Arial" w:cs="Arial"/>
                <w:spacing w:val="-2"/>
                <w:w w:val="115"/>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72220BC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1F29CB19"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21614BC9"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2CA51F5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55B0CEE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7AFD925C" w14:textId="77777777" w:rsidR="00D3344B" w:rsidRDefault="00D3344B">
            <w:pPr>
              <w:pStyle w:val="TableParagraph"/>
              <w:rPr>
                <w:rFonts w:ascii="Arial" w:hAnsi="Arial" w:cs="Arial"/>
                <w:sz w:val="18"/>
                <w:szCs w:val="18"/>
              </w:rPr>
            </w:pPr>
          </w:p>
        </w:tc>
      </w:tr>
      <w:tr w:rsidR="00D3344B" w14:paraId="76B85BC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EBD53B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046</w:t>
            </w:r>
          </w:p>
        </w:tc>
        <w:tc>
          <w:tcPr>
            <w:tcW w:w="3038" w:type="dxa"/>
            <w:tcBorders>
              <w:top w:val="single" w:sz="4" w:space="0" w:color="000000"/>
              <w:left w:val="single" w:sz="4" w:space="0" w:color="000000"/>
              <w:bottom w:val="single" w:sz="4" w:space="0" w:color="000000"/>
              <w:right w:val="single" w:sz="4" w:space="0" w:color="000000"/>
            </w:tcBorders>
          </w:tcPr>
          <w:p w14:paraId="6041A537" w14:textId="77777777" w:rsidR="00D3344B" w:rsidRDefault="00143C25">
            <w:pPr>
              <w:pStyle w:val="TableParagraph"/>
              <w:rPr>
                <w:rFonts w:ascii="Arial" w:hAnsi="Arial" w:cs="Arial"/>
                <w:sz w:val="18"/>
                <w:szCs w:val="18"/>
              </w:rPr>
            </w:pPr>
            <w:r>
              <w:rPr>
                <w:rFonts w:ascii="Arial" w:hAnsi="Arial" w:cs="Arial"/>
                <w:w w:val="115"/>
                <w:sz w:val="18"/>
                <w:szCs w:val="18"/>
              </w:rPr>
              <w:t>Marcaje</w:t>
            </w:r>
            <w:r>
              <w:rPr>
                <w:rFonts w:ascii="Arial" w:hAnsi="Arial" w:cs="Arial"/>
                <w:spacing w:val="-7"/>
                <w:w w:val="115"/>
                <w:sz w:val="18"/>
                <w:szCs w:val="18"/>
              </w:rPr>
              <w:t xml:space="preserve"> </w:t>
            </w:r>
            <w:r>
              <w:rPr>
                <w:rFonts w:ascii="Arial" w:hAnsi="Arial" w:cs="Arial"/>
                <w:w w:val="115"/>
                <w:sz w:val="18"/>
                <w:szCs w:val="18"/>
              </w:rPr>
              <w:t>para</w:t>
            </w:r>
            <w:r>
              <w:rPr>
                <w:rFonts w:ascii="Arial" w:hAnsi="Arial" w:cs="Arial"/>
                <w:spacing w:val="-8"/>
                <w:w w:val="115"/>
                <w:sz w:val="18"/>
                <w:szCs w:val="18"/>
              </w:rPr>
              <w:t xml:space="preserve"> </w:t>
            </w:r>
            <w:r>
              <w:rPr>
                <w:rFonts w:ascii="Arial" w:hAnsi="Arial" w:cs="Arial"/>
                <w:spacing w:val="-2"/>
                <w:w w:val="115"/>
                <w:sz w:val="18"/>
                <w:szCs w:val="18"/>
              </w:rPr>
              <w:t>biopsia</w:t>
            </w:r>
          </w:p>
        </w:tc>
        <w:tc>
          <w:tcPr>
            <w:tcW w:w="697" w:type="dxa"/>
            <w:tcBorders>
              <w:top w:val="single" w:sz="4" w:space="0" w:color="000000"/>
              <w:left w:val="single" w:sz="4" w:space="0" w:color="000000"/>
              <w:bottom w:val="single" w:sz="4" w:space="0" w:color="000000"/>
              <w:right w:val="single" w:sz="4" w:space="0" w:color="000000"/>
            </w:tcBorders>
          </w:tcPr>
          <w:p w14:paraId="516C13F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24.75</w:t>
            </w:r>
          </w:p>
        </w:tc>
        <w:tc>
          <w:tcPr>
            <w:tcW w:w="695" w:type="dxa"/>
            <w:tcBorders>
              <w:top w:val="single" w:sz="4" w:space="0" w:color="000000"/>
              <w:left w:val="single" w:sz="4" w:space="0" w:color="000000"/>
              <w:bottom w:val="single" w:sz="4" w:space="0" w:color="000000"/>
              <w:right w:val="single" w:sz="4" w:space="0" w:color="000000"/>
            </w:tcBorders>
          </w:tcPr>
          <w:p w14:paraId="3A477EB1" w14:textId="77777777" w:rsidR="00D3344B" w:rsidRDefault="00143C25">
            <w:pPr>
              <w:pStyle w:val="TableParagraph"/>
              <w:rPr>
                <w:rFonts w:ascii="Arial" w:hAnsi="Arial" w:cs="Arial"/>
                <w:sz w:val="18"/>
                <w:szCs w:val="18"/>
              </w:rPr>
            </w:pPr>
            <w:r>
              <w:rPr>
                <w:rFonts w:ascii="Arial" w:hAnsi="Arial" w:cs="Arial"/>
                <w:spacing w:val="-4"/>
                <w:w w:val="115"/>
                <w:sz w:val="18"/>
                <w:szCs w:val="18"/>
              </w:rPr>
              <w:t>23.50</w:t>
            </w:r>
          </w:p>
        </w:tc>
        <w:tc>
          <w:tcPr>
            <w:tcW w:w="699" w:type="dxa"/>
            <w:tcBorders>
              <w:top w:val="single" w:sz="4" w:space="0" w:color="000000"/>
              <w:left w:val="single" w:sz="4" w:space="0" w:color="000000"/>
              <w:bottom w:val="single" w:sz="4" w:space="0" w:color="000000"/>
              <w:right w:val="single" w:sz="4" w:space="0" w:color="000000"/>
            </w:tcBorders>
          </w:tcPr>
          <w:p w14:paraId="63D42577" w14:textId="77777777" w:rsidR="00D3344B" w:rsidRDefault="00143C25">
            <w:pPr>
              <w:pStyle w:val="TableParagraph"/>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5CAE25E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20.25</w:t>
            </w:r>
          </w:p>
        </w:tc>
        <w:tc>
          <w:tcPr>
            <w:tcW w:w="696" w:type="dxa"/>
            <w:tcBorders>
              <w:top w:val="single" w:sz="4" w:space="0" w:color="000000"/>
              <w:left w:val="single" w:sz="4" w:space="0" w:color="000000"/>
              <w:bottom w:val="single" w:sz="4" w:space="0" w:color="000000"/>
              <w:right w:val="single" w:sz="4" w:space="0" w:color="000000"/>
            </w:tcBorders>
          </w:tcPr>
          <w:p w14:paraId="1FF15A2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18.75</w:t>
            </w:r>
          </w:p>
        </w:tc>
        <w:tc>
          <w:tcPr>
            <w:tcW w:w="527" w:type="dxa"/>
            <w:tcBorders>
              <w:top w:val="single" w:sz="4" w:space="0" w:color="000000"/>
              <w:left w:val="single" w:sz="4" w:space="0" w:color="000000"/>
              <w:bottom w:val="single" w:sz="4" w:space="0" w:color="000000"/>
              <w:right w:val="single" w:sz="4" w:space="0" w:color="000000"/>
            </w:tcBorders>
          </w:tcPr>
          <w:p w14:paraId="091B487B" w14:textId="77777777" w:rsidR="00D3344B" w:rsidRDefault="00D3344B">
            <w:pPr>
              <w:pStyle w:val="TableParagraph"/>
              <w:rPr>
                <w:rFonts w:ascii="Arial" w:hAnsi="Arial" w:cs="Arial"/>
                <w:sz w:val="18"/>
                <w:szCs w:val="18"/>
              </w:rPr>
            </w:pPr>
          </w:p>
        </w:tc>
      </w:tr>
      <w:tr w:rsidR="00D3344B" w14:paraId="377A4357"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19A55A2D"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047</w:t>
            </w:r>
          </w:p>
        </w:tc>
        <w:tc>
          <w:tcPr>
            <w:tcW w:w="3038" w:type="dxa"/>
            <w:tcBorders>
              <w:top w:val="single" w:sz="4" w:space="0" w:color="000000"/>
              <w:left w:val="single" w:sz="4" w:space="0" w:color="000000"/>
              <w:bottom w:val="single" w:sz="4" w:space="0" w:color="000000"/>
              <w:right w:val="single" w:sz="4" w:space="0" w:color="000000"/>
            </w:tcBorders>
          </w:tcPr>
          <w:p w14:paraId="77814071" w14:textId="77777777" w:rsidR="00D3344B" w:rsidRDefault="00143C25">
            <w:pPr>
              <w:pStyle w:val="TableParagraph"/>
              <w:rPr>
                <w:rFonts w:ascii="Arial" w:hAnsi="Arial" w:cs="Arial"/>
                <w:sz w:val="18"/>
                <w:szCs w:val="18"/>
              </w:rPr>
            </w:pPr>
            <w:r>
              <w:rPr>
                <w:rFonts w:ascii="Arial" w:hAnsi="Arial" w:cs="Arial"/>
                <w:spacing w:val="-2"/>
                <w:w w:val="115"/>
                <w:sz w:val="18"/>
                <w:szCs w:val="18"/>
              </w:rPr>
              <w:t>Mastoides</w:t>
            </w:r>
          </w:p>
        </w:tc>
        <w:tc>
          <w:tcPr>
            <w:tcW w:w="697" w:type="dxa"/>
            <w:tcBorders>
              <w:top w:val="single" w:sz="4" w:space="0" w:color="000000"/>
              <w:left w:val="single" w:sz="4" w:space="0" w:color="000000"/>
              <w:bottom w:val="single" w:sz="4" w:space="0" w:color="000000"/>
              <w:right w:val="single" w:sz="4" w:space="0" w:color="000000"/>
            </w:tcBorders>
          </w:tcPr>
          <w:p w14:paraId="349235E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682B76C6"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6678742D"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360DD1E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4B3AE99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2E20B2DB" w14:textId="77777777" w:rsidR="00D3344B" w:rsidRDefault="00D3344B">
            <w:pPr>
              <w:pStyle w:val="TableParagraph"/>
              <w:rPr>
                <w:rFonts w:ascii="Arial" w:hAnsi="Arial" w:cs="Arial"/>
                <w:sz w:val="18"/>
                <w:szCs w:val="18"/>
              </w:rPr>
            </w:pPr>
          </w:p>
        </w:tc>
      </w:tr>
      <w:tr w:rsidR="00D3344B" w14:paraId="138518E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8763AE4"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048</w:t>
            </w:r>
          </w:p>
        </w:tc>
        <w:tc>
          <w:tcPr>
            <w:tcW w:w="3038" w:type="dxa"/>
            <w:tcBorders>
              <w:top w:val="single" w:sz="4" w:space="0" w:color="000000"/>
              <w:left w:val="single" w:sz="4" w:space="0" w:color="000000"/>
              <w:bottom w:val="single" w:sz="4" w:space="0" w:color="000000"/>
              <w:right w:val="single" w:sz="4" w:space="0" w:color="000000"/>
            </w:tcBorders>
          </w:tcPr>
          <w:p w14:paraId="1ABE3850"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Maxilar</w:t>
            </w:r>
            <w:r>
              <w:rPr>
                <w:rFonts w:ascii="Arial" w:hAnsi="Arial" w:cs="Arial"/>
                <w:spacing w:val="80"/>
                <w:w w:val="110"/>
                <w:sz w:val="18"/>
                <w:szCs w:val="18"/>
              </w:rPr>
              <w:t xml:space="preserve"> </w:t>
            </w:r>
            <w:r>
              <w:rPr>
                <w:rFonts w:ascii="Arial" w:hAnsi="Arial" w:cs="Arial"/>
                <w:w w:val="110"/>
                <w:sz w:val="18"/>
                <w:szCs w:val="18"/>
              </w:rPr>
              <w:t>inferior</w:t>
            </w:r>
            <w:r>
              <w:rPr>
                <w:rFonts w:ascii="Arial" w:hAnsi="Arial" w:cs="Arial"/>
                <w:spacing w:val="80"/>
                <w:w w:val="110"/>
                <w:sz w:val="18"/>
                <w:szCs w:val="18"/>
              </w:rPr>
              <w:t xml:space="preserve"> </w:t>
            </w:r>
            <w:r>
              <w:rPr>
                <w:rFonts w:ascii="Arial" w:hAnsi="Arial" w:cs="Arial"/>
                <w:w w:val="110"/>
                <w:sz w:val="18"/>
                <w:szCs w:val="18"/>
              </w:rPr>
              <w:t xml:space="preserve">(mandíbula) </w:t>
            </w:r>
            <w:r>
              <w:rPr>
                <w:rFonts w:ascii="Arial" w:hAnsi="Arial" w:cs="Arial"/>
                <w:spacing w:val="-2"/>
                <w:w w:val="110"/>
                <w:sz w:val="18"/>
                <w:szCs w:val="18"/>
              </w:rPr>
              <w:t>comparativa</w:t>
            </w:r>
          </w:p>
        </w:tc>
        <w:tc>
          <w:tcPr>
            <w:tcW w:w="697" w:type="dxa"/>
            <w:tcBorders>
              <w:top w:val="single" w:sz="4" w:space="0" w:color="000000"/>
              <w:left w:val="single" w:sz="4" w:space="0" w:color="000000"/>
              <w:bottom w:val="single" w:sz="4" w:space="0" w:color="000000"/>
              <w:right w:val="single" w:sz="4" w:space="0" w:color="000000"/>
            </w:tcBorders>
          </w:tcPr>
          <w:p w14:paraId="0E8315B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55E5510B"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5962EFFB"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439D59F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0691DE4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250A344C" w14:textId="77777777" w:rsidR="00D3344B" w:rsidRDefault="00D3344B">
            <w:pPr>
              <w:pStyle w:val="TableParagraph"/>
              <w:rPr>
                <w:rFonts w:ascii="Arial" w:hAnsi="Arial" w:cs="Arial"/>
                <w:sz w:val="18"/>
                <w:szCs w:val="18"/>
              </w:rPr>
            </w:pPr>
          </w:p>
        </w:tc>
      </w:tr>
      <w:tr w:rsidR="00D3344B" w14:paraId="12BEA01F"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74195931"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049</w:t>
            </w:r>
          </w:p>
        </w:tc>
        <w:tc>
          <w:tcPr>
            <w:tcW w:w="3038" w:type="dxa"/>
            <w:tcBorders>
              <w:top w:val="single" w:sz="4" w:space="0" w:color="000000"/>
              <w:left w:val="single" w:sz="4" w:space="0" w:color="000000"/>
              <w:bottom w:val="single" w:sz="4" w:space="0" w:color="000000"/>
              <w:right w:val="single" w:sz="4" w:space="0" w:color="000000"/>
            </w:tcBorders>
          </w:tcPr>
          <w:p w14:paraId="0B7F8FA2"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Maxilar</w:t>
            </w:r>
            <w:r>
              <w:rPr>
                <w:rFonts w:ascii="Arial" w:hAnsi="Arial" w:cs="Arial"/>
                <w:spacing w:val="-9"/>
                <w:w w:val="110"/>
                <w:sz w:val="18"/>
                <w:szCs w:val="18"/>
              </w:rPr>
              <w:t xml:space="preserve"> </w:t>
            </w:r>
            <w:r>
              <w:rPr>
                <w:rFonts w:ascii="Arial" w:hAnsi="Arial" w:cs="Arial"/>
                <w:w w:val="110"/>
                <w:sz w:val="18"/>
                <w:szCs w:val="18"/>
              </w:rPr>
              <w:t>inferior</w:t>
            </w:r>
            <w:r>
              <w:rPr>
                <w:rFonts w:ascii="Arial" w:hAnsi="Arial" w:cs="Arial"/>
                <w:spacing w:val="-5"/>
                <w:w w:val="110"/>
                <w:sz w:val="18"/>
                <w:szCs w:val="18"/>
              </w:rPr>
              <w:t xml:space="preserve"> </w:t>
            </w:r>
            <w:r>
              <w:rPr>
                <w:rFonts w:ascii="Arial" w:hAnsi="Arial" w:cs="Arial"/>
                <w:spacing w:val="-2"/>
                <w:w w:val="110"/>
                <w:sz w:val="18"/>
                <w:szCs w:val="18"/>
              </w:rPr>
              <w:t>(mandíbula)</w:t>
            </w:r>
          </w:p>
          <w:p w14:paraId="37B603CE"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1</w:t>
            </w:r>
            <w:r>
              <w:rPr>
                <w:rFonts w:ascii="Arial" w:hAnsi="Arial" w:cs="Arial"/>
                <w:spacing w:val="12"/>
                <w:w w:val="110"/>
                <w:sz w:val="18"/>
                <w:szCs w:val="18"/>
              </w:rPr>
              <w:t xml:space="preserve"> </w:t>
            </w:r>
            <w:r>
              <w:rPr>
                <w:rFonts w:ascii="Arial" w:hAnsi="Arial" w:cs="Arial"/>
                <w:spacing w:val="-10"/>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5CBCDA63"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2.00</w:t>
            </w:r>
          </w:p>
        </w:tc>
        <w:tc>
          <w:tcPr>
            <w:tcW w:w="695" w:type="dxa"/>
            <w:tcBorders>
              <w:top w:val="single" w:sz="4" w:space="0" w:color="000000"/>
              <w:left w:val="single" w:sz="4" w:space="0" w:color="000000"/>
              <w:bottom w:val="single" w:sz="4" w:space="0" w:color="000000"/>
              <w:right w:val="single" w:sz="4" w:space="0" w:color="000000"/>
            </w:tcBorders>
          </w:tcPr>
          <w:p w14:paraId="5412FF06"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77CE7B1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1.50</w:t>
            </w:r>
          </w:p>
        </w:tc>
        <w:tc>
          <w:tcPr>
            <w:tcW w:w="699" w:type="dxa"/>
            <w:tcBorders>
              <w:top w:val="single" w:sz="4" w:space="0" w:color="000000"/>
              <w:left w:val="single" w:sz="4" w:space="0" w:color="000000"/>
              <w:bottom w:val="single" w:sz="4" w:space="0" w:color="000000"/>
              <w:right w:val="single" w:sz="4" w:space="0" w:color="000000"/>
            </w:tcBorders>
          </w:tcPr>
          <w:p w14:paraId="47543EF9"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1.25</w:t>
            </w:r>
          </w:p>
        </w:tc>
        <w:tc>
          <w:tcPr>
            <w:tcW w:w="696" w:type="dxa"/>
            <w:tcBorders>
              <w:top w:val="single" w:sz="4" w:space="0" w:color="000000"/>
              <w:left w:val="single" w:sz="4" w:space="0" w:color="000000"/>
              <w:bottom w:val="single" w:sz="4" w:space="0" w:color="000000"/>
              <w:right w:val="single" w:sz="4" w:space="0" w:color="000000"/>
            </w:tcBorders>
          </w:tcPr>
          <w:p w14:paraId="0600C3C8"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1.00</w:t>
            </w:r>
          </w:p>
        </w:tc>
        <w:tc>
          <w:tcPr>
            <w:tcW w:w="527" w:type="dxa"/>
            <w:tcBorders>
              <w:top w:val="single" w:sz="4" w:space="0" w:color="000000"/>
              <w:left w:val="single" w:sz="4" w:space="0" w:color="000000"/>
              <w:bottom w:val="single" w:sz="4" w:space="0" w:color="000000"/>
              <w:right w:val="single" w:sz="4" w:space="0" w:color="000000"/>
            </w:tcBorders>
          </w:tcPr>
          <w:p w14:paraId="666383A8" w14:textId="77777777" w:rsidR="00D3344B" w:rsidRDefault="00D3344B">
            <w:pPr>
              <w:pStyle w:val="TableParagraph"/>
              <w:rPr>
                <w:rFonts w:ascii="Arial" w:hAnsi="Arial" w:cs="Arial"/>
                <w:sz w:val="18"/>
                <w:szCs w:val="18"/>
              </w:rPr>
            </w:pPr>
          </w:p>
        </w:tc>
      </w:tr>
      <w:tr w:rsidR="00D3344B" w14:paraId="0D84C8D4"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361181CE"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051</w:t>
            </w:r>
          </w:p>
        </w:tc>
        <w:tc>
          <w:tcPr>
            <w:tcW w:w="3038" w:type="dxa"/>
            <w:tcBorders>
              <w:top w:val="single" w:sz="4" w:space="0" w:color="000000"/>
              <w:left w:val="single" w:sz="4" w:space="0" w:color="000000"/>
              <w:bottom w:val="single" w:sz="4" w:space="0" w:color="000000"/>
              <w:right w:val="single" w:sz="4" w:space="0" w:color="000000"/>
            </w:tcBorders>
          </w:tcPr>
          <w:p w14:paraId="58AD8CAF" w14:textId="77777777" w:rsidR="00D3344B" w:rsidRDefault="00143C25">
            <w:pPr>
              <w:pStyle w:val="TableParagraph"/>
              <w:spacing w:before="1"/>
              <w:rPr>
                <w:rFonts w:ascii="Arial" w:hAnsi="Arial" w:cs="Arial"/>
                <w:sz w:val="18"/>
                <w:szCs w:val="18"/>
              </w:rPr>
            </w:pPr>
            <w:r>
              <w:rPr>
                <w:rFonts w:ascii="Arial" w:hAnsi="Arial" w:cs="Arial"/>
                <w:w w:val="115"/>
                <w:sz w:val="18"/>
                <w:szCs w:val="18"/>
              </w:rPr>
              <w:t>Muñeca</w:t>
            </w:r>
            <w:r>
              <w:rPr>
                <w:rFonts w:ascii="Arial" w:hAnsi="Arial" w:cs="Arial"/>
                <w:spacing w:val="3"/>
                <w:w w:val="115"/>
                <w:sz w:val="18"/>
                <w:szCs w:val="18"/>
              </w:rPr>
              <w:t xml:space="preserve"> </w:t>
            </w:r>
            <w:r>
              <w:rPr>
                <w:rFonts w:ascii="Arial" w:hAnsi="Arial" w:cs="Arial"/>
                <w:w w:val="115"/>
                <w:sz w:val="18"/>
                <w:szCs w:val="18"/>
              </w:rPr>
              <w:t>2</w:t>
            </w:r>
            <w:r>
              <w:rPr>
                <w:rFonts w:ascii="Arial" w:hAnsi="Arial" w:cs="Arial"/>
                <w:spacing w:val="5"/>
                <w:w w:val="115"/>
                <w:sz w:val="18"/>
                <w:szCs w:val="18"/>
              </w:rPr>
              <w:t xml:space="preserve"> </w:t>
            </w:r>
            <w:r>
              <w:rPr>
                <w:rFonts w:ascii="Arial" w:hAnsi="Arial" w:cs="Arial"/>
                <w:w w:val="115"/>
                <w:sz w:val="18"/>
                <w:szCs w:val="18"/>
              </w:rPr>
              <w:t>p</w:t>
            </w:r>
            <w:r>
              <w:rPr>
                <w:rFonts w:ascii="Arial" w:hAnsi="Arial" w:cs="Arial"/>
                <w:spacing w:val="7"/>
                <w:w w:val="115"/>
                <w:sz w:val="18"/>
                <w:szCs w:val="18"/>
              </w:rPr>
              <w:t xml:space="preserve"> </w:t>
            </w:r>
            <w:r>
              <w:rPr>
                <w:rFonts w:ascii="Arial" w:hAnsi="Arial" w:cs="Arial"/>
                <w:spacing w:val="-2"/>
                <w:w w:val="115"/>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14FAEF0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79B127D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1C51B7A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05FF27A9"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28A1356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4B8A239B" w14:textId="77777777" w:rsidR="00D3344B" w:rsidRDefault="00D3344B">
            <w:pPr>
              <w:pStyle w:val="TableParagraph"/>
              <w:rPr>
                <w:rFonts w:ascii="Arial" w:hAnsi="Arial" w:cs="Arial"/>
                <w:sz w:val="18"/>
                <w:szCs w:val="18"/>
              </w:rPr>
            </w:pPr>
          </w:p>
        </w:tc>
      </w:tr>
      <w:tr w:rsidR="00D3344B" w14:paraId="1E7E966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3A19267C"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052</w:t>
            </w:r>
          </w:p>
        </w:tc>
        <w:tc>
          <w:tcPr>
            <w:tcW w:w="3038" w:type="dxa"/>
            <w:tcBorders>
              <w:top w:val="single" w:sz="4" w:space="0" w:color="000000"/>
              <w:left w:val="single" w:sz="4" w:space="0" w:color="000000"/>
              <w:bottom w:val="single" w:sz="4" w:space="0" w:color="000000"/>
              <w:right w:val="single" w:sz="4" w:space="0" w:color="000000"/>
            </w:tcBorders>
          </w:tcPr>
          <w:p w14:paraId="71E64919" w14:textId="77777777" w:rsidR="00D3344B" w:rsidRDefault="00143C25">
            <w:pPr>
              <w:pStyle w:val="TableParagraph"/>
              <w:rPr>
                <w:rFonts w:ascii="Arial" w:hAnsi="Arial" w:cs="Arial"/>
                <w:sz w:val="18"/>
                <w:szCs w:val="18"/>
              </w:rPr>
            </w:pPr>
            <w:r>
              <w:rPr>
                <w:rFonts w:ascii="Arial" w:hAnsi="Arial" w:cs="Arial"/>
                <w:w w:val="115"/>
                <w:sz w:val="18"/>
                <w:szCs w:val="18"/>
              </w:rPr>
              <w:t>Muñeca</w:t>
            </w:r>
            <w:r>
              <w:rPr>
                <w:rFonts w:ascii="Arial" w:hAnsi="Arial" w:cs="Arial"/>
                <w:spacing w:val="3"/>
                <w:w w:val="115"/>
                <w:sz w:val="18"/>
                <w:szCs w:val="18"/>
              </w:rPr>
              <w:t xml:space="preserve"> </w:t>
            </w:r>
            <w:r>
              <w:rPr>
                <w:rFonts w:ascii="Arial" w:hAnsi="Arial" w:cs="Arial"/>
                <w:w w:val="115"/>
                <w:sz w:val="18"/>
                <w:szCs w:val="18"/>
              </w:rPr>
              <w:t>2</w:t>
            </w:r>
            <w:r>
              <w:rPr>
                <w:rFonts w:ascii="Arial" w:hAnsi="Arial" w:cs="Arial"/>
                <w:spacing w:val="5"/>
                <w:w w:val="115"/>
                <w:sz w:val="18"/>
                <w:szCs w:val="18"/>
              </w:rPr>
              <w:t xml:space="preserve"> </w:t>
            </w:r>
            <w:r>
              <w:rPr>
                <w:rFonts w:ascii="Arial" w:hAnsi="Arial" w:cs="Arial"/>
                <w:w w:val="115"/>
                <w:sz w:val="18"/>
                <w:szCs w:val="18"/>
              </w:rPr>
              <w:t>p</w:t>
            </w:r>
            <w:r>
              <w:rPr>
                <w:rFonts w:ascii="Arial" w:hAnsi="Arial" w:cs="Arial"/>
                <w:spacing w:val="7"/>
                <w:w w:val="115"/>
                <w:sz w:val="18"/>
                <w:szCs w:val="18"/>
              </w:rPr>
              <w:t xml:space="preserve"> </w:t>
            </w:r>
            <w:r>
              <w:rPr>
                <w:rFonts w:ascii="Arial" w:hAnsi="Arial" w:cs="Arial"/>
                <w:spacing w:val="-2"/>
                <w:w w:val="115"/>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2A8F2D0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51C05E5B"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5BF0B4F4"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3C5AE40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696" w:type="dxa"/>
            <w:tcBorders>
              <w:top w:val="single" w:sz="4" w:space="0" w:color="000000"/>
              <w:left w:val="single" w:sz="4" w:space="0" w:color="000000"/>
              <w:bottom w:val="single" w:sz="4" w:space="0" w:color="000000"/>
              <w:right w:val="single" w:sz="4" w:space="0" w:color="000000"/>
            </w:tcBorders>
          </w:tcPr>
          <w:p w14:paraId="05EBF11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527" w:type="dxa"/>
            <w:tcBorders>
              <w:top w:val="single" w:sz="4" w:space="0" w:color="000000"/>
              <w:left w:val="single" w:sz="4" w:space="0" w:color="000000"/>
              <w:bottom w:val="single" w:sz="4" w:space="0" w:color="000000"/>
              <w:right w:val="single" w:sz="4" w:space="0" w:color="000000"/>
            </w:tcBorders>
          </w:tcPr>
          <w:p w14:paraId="478D9AF5" w14:textId="77777777" w:rsidR="00D3344B" w:rsidRDefault="00D3344B">
            <w:pPr>
              <w:pStyle w:val="TableParagraph"/>
              <w:rPr>
                <w:rFonts w:ascii="Arial" w:hAnsi="Arial" w:cs="Arial"/>
                <w:sz w:val="18"/>
                <w:szCs w:val="18"/>
              </w:rPr>
            </w:pPr>
          </w:p>
        </w:tc>
      </w:tr>
      <w:tr w:rsidR="00D3344B" w14:paraId="44CCFD3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95CA862"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053</w:t>
            </w:r>
          </w:p>
        </w:tc>
        <w:tc>
          <w:tcPr>
            <w:tcW w:w="3038" w:type="dxa"/>
            <w:tcBorders>
              <w:top w:val="single" w:sz="4" w:space="0" w:color="000000"/>
              <w:left w:val="single" w:sz="4" w:space="0" w:color="000000"/>
              <w:bottom w:val="single" w:sz="4" w:space="0" w:color="000000"/>
              <w:right w:val="single" w:sz="4" w:space="0" w:color="000000"/>
            </w:tcBorders>
          </w:tcPr>
          <w:p w14:paraId="72B4B5EE" w14:textId="77777777" w:rsidR="00D3344B" w:rsidRDefault="00143C25">
            <w:pPr>
              <w:pStyle w:val="TableParagraph"/>
              <w:rPr>
                <w:rFonts w:ascii="Arial" w:hAnsi="Arial" w:cs="Arial"/>
                <w:sz w:val="18"/>
                <w:szCs w:val="18"/>
              </w:rPr>
            </w:pPr>
            <w:r>
              <w:rPr>
                <w:rFonts w:ascii="Arial" w:hAnsi="Arial" w:cs="Arial"/>
                <w:w w:val="110"/>
                <w:sz w:val="18"/>
                <w:szCs w:val="18"/>
              </w:rPr>
              <w:t>Muslo</w:t>
            </w:r>
            <w:r>
              <w:rPr>
                <w:rFonts w:ascii="Arial" w:hAnsi="Arial" w:cs="Arial"/>
                <w:spacing w:val="3"/>
                <w:w w:val="110"/>
                <w:sz w:val="18"/>
                <w:szCs w:val="18"/>
              </w:rPr>
              <w:t xml:space="preserve"> </w:t>
            </w:r>
            <w:r>
              <w:rPr>
                <w:rFonts w:ascii="Arial" w:hAnsi="Arial" w:cs="Arial"/>
                <w:w w:val="110"/>
                <w:sz w:val="18"/>
                <w:szCs w:val="18"/>
              </w:rPr>
              <w:t>(fémur)</w:t>
            </w:r>
            <w:r>
              <w:rPr>
                <w:rFonts w:ascii="Arial" w:hAnsi="Arial" w:cs="Arial"/>
                <w:spacing w:val="4"/>
                <w:w w:val="110"/>
                <w:sz w:val="18"/>
                <w:szCs w:val="18"/>
              </w:rPr>
              <w:t xml:space="preserve"> </w:t>
            </w:r>
            <w:r>
              <w:rPr>
                <w:rFonts w:ascii="Arial" w:hAnsi="Arial" w:cs="Arial"/>
                <w:w w:val="110"/>
                <w:sz w:val="18"/>
                <w:szCs w:val="18"/>
              </w:rPr>
              <w:t>2</w:t>
            </w:r>
            <w:r>
              <w:rPr>
                <w:rFonts w:ascii="Arial" w:hAnsi="Arial" w:cs="Arial"/>
                <w:spacing w:val="3"/>
                <w:w w:val="110"/>
                <w:sz w:val="18"/>
                <w:szCs w:val="18"/>
              </w:rPr>
              <w:t xml:space="preserve"> </w:t>
            </w:r>
            <w:r>
              <w:rPr>
                <w:rFonts w:ascii="Arial" w:hAnsi="Arial" w:cs="Arial"/>
                <w:w w:val="110"/>
                <w:sz w:val="18"/>
                <w:szCs w:val="18"/>
              </w:rPr>
              <w:t>p</w:t>
            </w:r>
            <w:r>
              <w:rPr>
                <w:rFonts w:ascii="Arial" w:hAnsi="Arial" w:cs="Arial"/>
                <w:spacing w:val="4"/>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19B44EE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35435C2B" w14:textId="77777777" w:rsidR="00D3344B" w:rsidRDefault="00143C25">
            <w:pPr>
              <w:pStyle w:val="TableParagraph"/>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7433A134"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7BBC41F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003ADD1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6D3FD4A0" w14:textId="77777777" w:rsidR="00D3344B" w:rsidRDefault="00D3344B">
            <w:pPr>
              <w:pStyle w:val="TableParagraph"/>
              <w:rPr>
                <w:rFonts w:ascii="Arial" w:hAnsi="Arial" w:cs="Arial"/>
                <w:sz w:val="18"/>
                <w:szCs w:val="18"/>
              </w:rPr>
            </w:pPr>
          </w:p>
        </w:tc>
      </w:tr>
      <w:tr w:rsidR="00D3344B" w14:paraId="099FC1BF"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071A9E84"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054</w:t>
            </w:r>
          </w:p>
        </w:tc>
        <w:tc>
          <w:tcPr>
            <w:tcW w:w="3038" w:type="dxa"/>
            <w:tcBorders>
              <w:top w:val="single" w:sz="4" w:space="0" w:color="000000"/>
              <w:left w:val="single" w:sz="4" w:space="0" w:color="000000"/>
              <w:bottom w:val="single" w:sz="4" w:space="0" w:color="000000"/>
              <w:right w:val="single" w:sz="4" w:space="0" w:color="000000"/>
            </w:tcBorders>
          </w:tcPr>
          <w:p w14:paraId="233FF3A3" w14:textId="77777777" w:rsidR="00D3344B" w:rsidRDefault="00143C25">
            <w:pPr>
              <w:pStyle w:val="TableParagraph"/>
              <w:rPr>
                <w:rFonts w:ascii="Arial" w:hAnsi="Arial" w:cs="Arial"/>
                <w:sz w:val="18"/>
                <w:szCs w:val="18"/>
              </w:rPr>
            </w:pPr>
            <w:r>
              <w:rPr>
                <w:rFonts w:ascii="Arial" w:hAnsi="Arial" w:cs="Arial"/>
                <w:w w:val="110"/>
                <w:sz w:val="18"/>
                <w:szCs w:val="18"/>
              </w:rPr>
              <w:t>Muslo</w:t>
            </w:r>
            <w:r>
              <w:rPr>
                <w:rFonts w:ascii="Arial" w:hAnsi="Arial" w:cs="Arial"/>
                <w:spacing w:val="-1"/>
                <w:w w:val="110"/>
                <w:sz w:val="18"/>
                <w:szCs w:val="18"/>
              </w:rPr>
              <w:t xml:space="preserve"> </w:t>
            </w:r>
            <w:r>
              <w:rPr>
                <w:rFonts w:ascii="Arial" w:hAnsi="Arial" w:cs="Arial"/>
                <w:w w:val="110"/>
                <w:sz w:val="18"/>
                <w:szCs w:val="18"/>
              </w:rPr>
              <w:t>(fémur)</w:t>
            </w:r>
            <w:r>
              <w:rPr>
                <w:rFonts w:ascii="Arial" w:hAnsi="Arial" w:cs="Arial"/>
                <w:spacing w:val="-3"/>
                <w:w w:val="110"/>
                <w:sz w:val="18"/>
                <w:szCs w:val="18"/>
              </w:rPr>
              <w:t xml:space="preserve"> </w:t>
            </w:r>
            <w:r>
              <w:rPr>
                <w:rFonts w:ascii="Arial" w:hAnsi="Arial" w:cs="Arial"/>
                <w:w w:val="110"/>
                <w:sz w:val="18"/>
                <w:szCs w:val="18"/>
              </w:rPr>
              <w:t>2</w:t>
            </w:r>
            <w:r>
              <w:rPr>
                <w:rFonts w:ascii="Arial" w:hAnsi="Arial" w:cs="Arial"/>
                <w:spacing w:val="-5"/>
                <w:w w:val="110"/>
                <w:sz w:val="18"/>
                <w:szCs w:val="18"/>
              </w:rPr>
              <w:t xml:space="preserve"> </w:t>
            </w:r>
            <w:r>
              <w:rPr>
                <w:rFonts w:ascii="Arial" w:hAnsi="Arial" w:cs="Arial"/>
                <w:w w:val="110"/>
                <w:sz w:val="18"/>
                <w:szCs w:val="18"/>
              </w:rPr>
              <w:t>p</w:t>
            </w:r>
            <w:r>
              <w:rPr>
                <w:rFonts w:ascii="Arial" w:hAnsi="Arial" w:cs="Arial"/>
                <w:spacing w:val="-2"/>
                <w:w w:val="110"/>
                <w:sz w:val="18"/>
                <w:szCs w:val="18"/>
              </w:rPr>
              <w:t xml:space="preserve"> unilateral</w:t>
            </w:r>
          </w:p>
        </w:tc>
        <w:tc>
          <w:tcPr>
            <w:tcW w:w="697" w:type="dxa"/>
            <w:tcBorders>
              <w:top w:val="single" w:sz="4" w:space="0" w:color="000000"/>
              <w:left w:val="single" w:sz="4" w:space="0" w:color="000000"/>
              <w:bottom w:val="single" w:sz="4" w:space="0" w:color="000000"/>
              <w:right w:val="single" w:sz="4" w:space="0" w:color="000000"/>
            </w:tcBorders>
          </w:tcPr>
          <w:p w14:paraId="67728B3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305345AC"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05A4B406"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1A9B0A2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48E1F21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1F11D186" w14:textId="77777777" w:rsidR="00D3344B" w:rsidRDefault="00D3344B">
            <w:pPr>
              <w:pStyle w:val="TableParagraph"/>
              <w:rPr>
                <w:rFonts w:ascii="Arial" w:hAnsi="Arial" w:cs="Arial"/>
                <w:sz w:val="18"/>
                <w:szCs w:val="18"/>
              </w:rPr>
            </w:pPr>
          </w:p>
        </w:tc>
      </w:tr>
      <w:tr w:rsidR="00D3344B" w14:paraId="4B9FB913"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0D87B7A"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055</w:t>
            </w:r>
          </w:p>
        </w:tc>
        <w:tc>
          <w:tcPr>
            <w:tcW w:w="3038" w:type="dxa"/>
            <w:tcBorders>
              <w:top w:val="single" w:sz="4" w:space="0" w:color="000000"/>
              <w:left w:val="single" w:sz="4" w:space="0" w:color="000000"/>
              <w:bottom w:val="single" w:sz="4" w:space="0" w:color="000000"/>
              <w:right w:val="single" w:sz="4" w:space="0" w:color="000000"/>
            </w:tcBorders>
          </w:tcPr>
          <w:p w14:paraId="1C05CEEA" w14:textId="77777777" w:rsidR="00D3344B" w:rsidRDefault="00143C25">
            <w:pPr>
              <w:pStyle w:val="TableParagraph"/>
              <w:rPr>
                <w:rFonts w:ascii="Arial" w:hAnsi="Arial" w:cs="Arial"/>
                <w:sz w:val="18"/>
                <w:szCs w:val="18"/>
              </w:rPr>
            </w:pPr>
            <w:r>
              <w:rPr>
                <w:rFonts w:ascii="Arial" w:hAnsi="Arial" w:cs="Arial"/>
                <w:w w:val="110"/>
                <w:sz w:val="18"/>
                <w:szCs w:val="18"/>
              </w:rPr>
              <w:t xml:space="preserve">Nariz </w:t>
            </w:r>
            <w:r>
              <w:rPr>
                <w:rFonts w:ascii="Arial" w:hAnsi="Arial" w:cs="Arial"/>
                <w:spacing w:val="-2"/>
                <w:w w:val="110"/>
                <w:sz w:val="18"/>
                <w:szCs w:val="18"/>
              </w:rPr>
              <w:t>(</w:t>
            </w:r>
            <w:proofErr w:type="spellStart"/>
            <w:r>
              <w:rPr>
                <w:rFonts w:ascii="Arial" w:hAnsi="Arial" w:cs="Arial"/>
                <w:spacing w:val="-2"/>
                <w:w w:val="110"/>
                <w:sz w:val="18"/>
                <w:szCs w:val="18"/>
              </w:rPr>
              <w:t>perfilograma</w:t>
            </w:r>
            <w:proofErr w:type="spellEnd"/>
            <w:r>
              <w:rPr>
                <w:rFonts w:ascii="Arial" w:hAnsi="Arial" w:cs="Arial"/>
                <w:spacing w:val="-2"/>
                <w:w w:val="110"/>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25DFA77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1027A259"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5B8BF351"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2302531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2B3ADCC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0C34409F" w14:textId="77777777" w:rsidR="00D3344B" w:rsidRDefault="00D3344B">
            <w:pPr>
              <w:pStyle w:val="TableParagraph"/>
              <w:rPr>
                <w:rFonts w:ascii="Arial" w:hAnsi="Arial" w:cs="Arial"/>
                <w:sz w:val="18"/>
                <w:szCs w:val="18"/>
              </w:rPr>
            </w:pPr>
          </w:p>
        </w:tc>
      </w:tr>
      <w:tr w:rsidR="00D3344B" w14:paraId="47574A9E"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98BF946"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056</w:t>
            </w:r>
          </w:p>
        </w:tc>
        <w:tc>
          <w:tcPr>
            <w:tcW w:w="3038" w:type="dxa"/>
            <w:tcBorders>
              <w:top w:val="single" w:sz="4" w:space="0" w:color="000000"/>
              <w:left w:val="single" w:sz="4" w:space="0" w:color="000000"/>
              <w:bottom w:val="single" w:sz="4" w:space="0" w:color="000000"/>
              <w:right w:val="single" w:sz="4" w:space="0" w:color="000000"/>
            </w:tcBorders>
          </w:tcPr>
          <w:p w14:paraId="19E6D770" w14:textId="77777777" w:rsidR="00D3344B" w:rsidRDefault="00143C25">
            <w:pPr>
              <w:pStyle w:val="TableParagraph"/>
              <w:spacing w:before="1"/>
              <w:rPr>
                <w:rFonts w:ascii="Arial" w:hAnsi="Arial" w:cs="Arial"/>
                <w:sz w:val="18"/>
                <w:szCs w:val="18"/>
              </w:rPr>
            </w:pPr>
            <w:r>
              <w:rPr>
                <w:rFonts w:ascii="Arial" w:hAnsi="Arial" w:cs="Arial"/>
                <w:spacing w:val="-2"/>
                <w:w w:val="115"/>
                <w:sz w:val="18"/>
                <w:szCs w:val="18"/>
              </w:rPr>
              <w:t>Órbita</w:t>
            </w:r>
          </w:p>
        </w:tc>
        <w:tc>
          <w:tcPr>
            <w:tcW w:w="697" w:type="dxa"/>
            <w:tcBorders>
              <w:top w:val="single" w:sz="4" w:space="0" w:color="000000"/>
              <w:left w:val="single" w:sz="4" w:space="0" w:color="000000"/>
              <w:bottom w:val="single" w:sz="4" w:space="0" w:color="000000"/>
              <w:right w:val="single" w:sz="4" w:space="0" w:color="000000"/>
            </w:tcBorders>
          </w:tcPr>
          <w:p w14:paraId="47E39178"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005081C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2B8ECF2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20AE300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5574BC5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7A69C92A" w14:textId="77777777" w:rsidR="00D3344B" w:rsidRDefault="00D3344B">
            <w:pPr>
              <w:pStyle w:val="TableParagraph"/>
              <w:rPr>
                <w:rFonts w:ascii="Arial" w:hAnsi="Arial" w:cs="Arial"/>
                <w:sz w:val="18"/>
                <w:szCs w:val="18"/>
              </w:rPr>
            </w:pPr>
          </w:p>
        </w:tc>
      </w:tr>
      <w:tr w:rsidR="00D3344B" w14:paraId="1A7D4703"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AD65AB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057</w:t>
            </w:r>
          </w:p>
        </w:tc>
        <w:tc>
          <w:tcPr>
            <w:tcW w:w="3038" w:type="dxa"/>
            <w:tcBorders>
              <w:top w:val="single" w:sz="4" w:space="0" w:color="000000"/>
              <w:left w:val="single" w:sz="4" w:space="0" w:color="000000"/>
              <w:bottom w:val="single" w:sz="4" w:space="0" w:color="000000"/>
              <w:right w:val="single" w:sz="4" w:space="0" w:color="000000"/>
            </w:tcBorders>
          </w:tcPr>
          <w:p w14:paraId="0C6273ED" w14:textId="77777777" w:rsidR="00D3344B" w:rsidRDefault="00143C25">
            <w:pPr>
              <w:pStyle w:val="TableParagraph"/>
              <w:tabs>
                <w:tab w:val="left" w:pos="1704"/>
              </w:tabs>
              <w:spacing w:line="254" w:lineRule="exact"/>
              <w:ind w:right="677"/>
              <w:rPr>
                <w:rFonts w:ascii="Arial" w:hAnsi="Arial" w:cs="Arial"/>
                <w:sz w:val="18"/>
                <w:szCs w:val="18"/>
              </w:rPr>
            </w:pPr>
            <w:r>
              <w:rPr>
                <w:rFonts w:ascii="Arial" w:hAnsi="Arial" w:cs="Arial"/>
                <w:w w:val="110"/>
                <w:sz w:val="18"/>
                <w:szCs w:val="18"/>
              </w:rPr>
              <w:t>Tomografía</w:t>
            </w:r>
            <w:r>
              <w:rPr>
                <w:rFonts w:ascii="Arial" w:hAnsi="Arial" w:cs="Arial"/>
                <w:spacing w:val="40"/>
                <w:w w:val="110"/>
                <w:sz w:val="18"/>
                <w:szCs w:val="18"/>
              </w:rPr>
              <w:t xml:space="preserve"> </w:t>
            </w:r>
            <w:r>
              <w:rPr>
                <w:rFonts w:ascii="Arial" w:hAnsi="Arial" w:cs="Arial"/>
                <w:w w:val="110"/>
                <w:sz w:val="18"/>
                <w:szCs w:val="18"/>
              </w:rPr>
              <w:t>de</w:t>
            </w:r>
            <w:r>
              <w:rPr>
                <w:rFonts w:ascii="Arial" w:hAnsi="Arial" w:cs="Arial"/>
                <w:sz w:val="18"/>
                <w:szCs w:val="18"/>
              </w:rPr>
              <w:tab/>
            </w:r>
            <w:r>
              <w:rPr>
                <w:rFonts w:ascii="Arial" w:hAnsi="Arial" w:cs="Arial"/>
                <w:spacing w:val="-4"/>
                <w:w w:val="110"/>
                <w:sz w:val="18"/>
                <w:szCs w:val="18"/>
              </w:rPr>
              <w:t xml:space="preserve">orbitas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3805F7F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26.00</w:t>
            </w:r>
          </w:p>
        </w:tc>
        <w:tc>
          <w:tcPr>
            <w:tcW w:w="695" w:type="dxa"/>
            <w:tcBorders>
              <w:top w:val="single" w:sz="4" w:space="0" w:color="000000"/>
              <w:left w:val="single" w:sz="4" w:space="0" w:color="000000"/>
              <w:bottom w:val="single" w:sz="4" w:space="0" w:color="000000"/>
              <w:right w:val="single" w:sz="4" w:space="0" w:color="000000"/>
            </w:tcBorders>
          </w:tcPr>
          <w:p w14:paraId="58072A74" w14:textId="77777777" w:rsidR="00D3344B" w:rsidRDefault="00143C25">
            <w:pPr>
              <w:pStyle w:val="TableParagraph"/>
              <w:rPr>
                <w:rFonts w:ascii="Arial" w:hAnsi="Arial" w:cs="Arial"/>
                <w:sz w:val="18"/>
                <w:szCs w:val="18"/>
              </w:rPr>
            </w:pPr>
            <w:r>
              <w:rPr>
                <w:rFonts w:ascii="Arial" w:hAnsi="Arial" w:cs="Arial"/>
                <w:spacing w:val="-4"/>
                <w:w w:val="115"/>
                <w:sz w:val="18"/>
                <w:szCs w:val="18"/>
              </w:rPr>
              <w:t>22.75</w:t>
            </w:r>
          </w:p>
        </w:tc>
        <w:tc>
          <w:tcPr>
            <w:tcW w:w="699" w:type="dxa"/>
            <w:tcBorders>
              <w:top w:val="single" w:sz="4" w:space="0" w:color="000000"/>
              <w:left w:val="single" w:sz="4" w:space="0" w:color="000000"/>
              <w:bottom w:val="single" w:sz="4" w:space="0" w:color="000000"/>
              <w:right w:val="single" w:sz="4" w:space="0" w:color="000000"/>
            </w:tcBorders>
          </w:tcPr>
          <w:p w14:paraId="25F48EEA" w14:textId="77777777" w:rsidR="00D3344B" w:rsidRDefault="00143C25">
            <w:pPr>
              <w:pStyle w:val="TableParagraph"/>
              <w:rPr>
                <w:rFonts w:ascii="Arial" w:hAnsi="Arial" w:cs="Arial"/>
                <w:sz w:val="18"/>
                <w:szCs w:val="18"/>
              </w:rPr>
            </w:pPr>
            <w:r>
              <w:rPr>
                <w:rFonts w:ascii="Arial" w:hAnsi="Arial" w:cs="Arial"/>
                <w:spacing w:val="-4"/>
                <w:w w:val="115"/>
                <w:sz w:val="18"/>
                <w:szCs w:val="18"/>
              </w:rPr>
              <w:t>19.75</w:t>
            </w:r>
          </w:p>
        </w:tc>
        <w:tc>
          <w:tcPr>
            <w:tcW w:w="699" w:type="dxa"/>
            <w:tcBorders>
              <w:top w:val="single" w:sz="4" w:space="0" w:color="000000"/>
              <w:left w:val="single" w:sz="4" w:space="0" w:color="000000"/>
              <w:bottom w:val="single" w:sz="4" w:space="0" w:color="000000"/>
              <w:right w:val="single" w:sz="4" w:space="0" w:color="000000"/>
            </w:tcBorders>
          </w:tcPr>
          <w:p w14:paraId="321B7AA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16.50</w:t>
            </w:r>
          </w:p>
        </w:tc>
        <w:tc>
          <w:tcPr>
            <w:tcW w:w="696" w:type="dxa"/>
            <w:tcBorders>
              <w:top w:val="single" w:sz="4" w:space="0" w:color="000000"/>
              <w:left w:val="single" w:sz="4" w:space="0" w:color="000000"/>
              <w:bottom w:val="single" w:sz="4" w:space="0" w:color="000000"/>
              <w:right w:val="single" w:sz="4" w:space="0" w:color="000000"/>
            </w:tcBorders>
          </w:tcPr>
          <w:p w14:paraId="633C413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13.50</w:t>
            </w:r>
          </w:p>
        </w:tc>
        <w:tc>
          <w:tcPr>
            <w:tcW w:w="527" w:type="dxa"/>
            <w:tcBorders>
              <w:top w:val="single" w:sz="4" w:space="0" w:color="000000"/>
              <w:left w:val="single" w:sz="4" w:space="0" w:color="000000"/>
              <w:bottom w:val="single" w:sz="4" w:space="0" w:color="000000"/>
              <w:right w:val="single" w:sz="4" w:space="0" w:color="000000"/>
            </w:tcBorders>
          </w:tcPr>
          <w:p w14:paraId="199F9755" w14:textId="77777777" w:rsidR="00D3344B" w:rsidRDefault="00D3344B">
            <w:pPr>
              <w:pStyle w:val="TableParagraph"/>
              <w:rPr>
                <w:rFonts w:ascii="Arial" w:hAnsi="Arial" w:cs="Arial"/>
                <w:sz w:val="18"/>
                <w:szCs w:val="18"/>
              </w:rPr>
            </w:pPr>
          </w:p>
        </w:tc>
      </w:tr>
      <w:tr w:rsidR="00D3344B" w14:paraId="11F749AE"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5319FB3B"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058</w:t>
            </w:r>
          </w:p>
        </w:tc>
        <w:tc>
          <w:tcPr>
            <w:tcW w:w="3038" w:type="dxa"/>
            <w:tcBorders>
              <w:top w:val="single" w:sz="4" w:space="0" w:color="000000"/>
              <w:left w:val="single" w:sz="4" w:space="0" w:color="000000"/>
              <w:bottom w:val="single" w:sz="4" w:space="0" w:color="000000"/>
              <w:right w:val="single" w:sz="4" w:space="0" w:color="000000"/>
            </w:tcBorders>
          </w:tcPr>
          <w:p w14:paraId="26C7E8AB" w14:textId="77777777" w:rsidR="00D3344B" w:rsidRDefault="00143C25">
            <w:pPr>
              <w:pStyle w:val="TableParagraph"/>
              <w:tabs>
                <w:tab w:val="left" w:pos="1361"/>
                <w:tab w:val="left" w:pos="1807"/>
                <w:tab w:val="left" w:pos="2681"/>
              </w:tabs>
              <w:spacing w:line="249" w:lineRule="exact"/>
              <w:rPr>
                <w:rFonts w:ascii="Arial" w:hAnsi="Arial" w:cs="Arial"/>
                <w:sz w:val="18"/>
                <w:szCs w:val="18"/>
              </w:rPr>
            </w:pPr>
            <w:r>
              <w:rPr>
                <w:rFonts w:ascii="Arial" w:hAnsi="Arial" w:cs="Arial"/>
                <w:spacing w:val="-2"/>
                <w:w w:val="110"/>
                <w:sz w:val="18"/>
                <w:szCs w:val="18"/>
              </w:rPr>
              <w:t>Tomografía</w:t>
            </w:r>
            <w:r>
              <w:rPr>
                <w:rFonts w:ascii="Arial" w:hAnsi="Arial" w:cs="Arial"/>
                <w:sz w:val="18"/>
                <w:szCs w:val="18"/>
              </w:rPr>
              <w:tab/>
            </w:r>
            <w:r>
              <w:rPr>
                <w:rFonts w:ascii="Arial" w:hAnsi="Arial" w:cs="Arial"/>
                <w:spacing w:val="-5"/>
                <w:w w:val="110"/>
                <w:sz w:val="18"/>
                <w:szCs w:val="18"/>
              </w:rPr>
              <w:t>de</w:t>
            </w:r>
            <w:r>
              <w:rPr>
                <w:rFonts w:ascii="Arial" w:hAnsi="Arial" w:cs="Arial"/>
                <w:sz w:val="18"/>
                <w:szCs w:val="18"/>
              </w:rPr>
              <w:tab/>
            </w:r>
            <w:r>
              <w:rPr>
                <w:rFonts w:ascii="Arial" w:hAnsi="Arial" w:cs="Arial"/>
                <w:spacing w:val="-2"/>
                <w:w w:val="110"/>
                <w:sz w:val="18"/>
                <w:szCs w:val="18"/>
              </w:rPr>
              <w:t>orbitas</w:t>
            </w:r>
            <w:r>
              <w:rPr>
                <w:rFonts w:ascii="Arial" w:hAnsi="Arial" w:cs="Arial"/>
                <w:sz w:val="18"/>
                <w:szCs w:val="18"/>
              </w:rPr>
              <w:tab/>
            </w:r>
            <w:r>
              <w:rPr>
                <w:rFonts w:ascii="Arial" w:hAnsi="Arial" w:cs="Arial"/>
                <w:spacing w:val="-5"/>
                <w:w w:val="110"/>
                <w:sz w:val="18"/>
                <w:szCs w:val="18"/>
              </w:rPr>
              <w:t>con</w:t>
            </w:r>
          </w:p>
          <w:p w14:paraId="5E35A09E" w14:textId="77777777" w:rsidR="00D3344B" w:rsidRDefault="00143C25">
            <w:pPr>
              <w:pStyle w:val="TableParagraph"/>
              <w:spacing w:before="1" w:line="233" w:lineRule="exact"/>
              <w:rPr>
                <w:rFonts w:ascii="Arial" w:hAnsi="Arial" w:cs="Arial"/>
                <w:sz w:val="18"/>
                <w:szCs w:val="18"/>
              </w:rPr>
            </w:pPr>
            <w:r>
              <w:rPr>
                <w:rFonts w:ascii="Arial" w:hAnsi="Arial" w:cs="Arial"/>
                <w:spacing w:val="-2"/>
                <w:w w:val="110"/>
                <w:sz w:val="18"/>
                <w:szCs w:val="18"/>
              </w:rPr>
              <w:t>contraste</w:t>
            </w:r>
          </w:p>
        </w:tc>
        <w:tc>
          <w:tcPr>
            <w:tcW w:w="697" w:type="dxa"/>
            <w:tcBorders>
              <w:top w:val="single" w:sz="4" w:space="0" w:color="000000"/>
              <w:left w:val="single" w:sz="4" w:space="0" w:color="000000"/>
              <w:bottom w:val="single" w:sz="4" w:space="0" w:color="000000"/>
              <w:right w:val="single" w:sz="4" w:space="0" w:color="000000"/>
            </w:tcBorders>
          </w:tcPr>
          <w:p w14:paraId="4A5FA597"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39.25</w:t>
            </w:r>
          </w:p>
        </w:tc>
        <w:tc>
          <w:tcPr>
            <w:tcW w:w="695" w:type="dxa"/>
            <w:tcBorders>
              <w:top w:val="single" w:sz="4" w:space="0" w:color="000000"/>
              <w:left w:val="single" w:sz="4" w:space="0" w:color="000000"/>
              <w:bottom w:val="single" w:sz="4" w:space="0" w:color="000000"/>
              <w:right w:val="single" w:sz="4" w:space="0" w:color="000000"/>
            </w:tcBorders>
          </w:tcPr>
          <w:p w14:paraId="526063AD"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56DCCB2C"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33.00</w:t>
            </w:r>
          </w:p>
        </w:tc>
        <w:tc>
          <w:tcPr>
            <w:tcW w:w="699" w:type="dxa"/>
            <w:tcBorders>
              <w:top w:val="single" w:sz="4" w:space="0" w:color="000000"/>
              <w:left w:val="single" w:sz="4" w:space="0" w:color="000000"/>
              <w:bottom w:val="single" w:sz="4" w:space="0" w:color="000000"/>
              <w:right w:val="single" w:sz="4" w:space="0" w:color="000000"/>
            </w:tcBorders>
          </w:tcPr>
          <w:p w14:paraId="6F6B4354"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29.75</w:t>
            </w:r>
          </w:p>
        </w:tc>
        <w:tc>
          <w:tcPr>
            <w:tcW w:w="696" w:type="dxa"/>
            <w:tcBorders>
              <w:top w:val="single" w:sz="4" w:space="0" w:color="000000"/>
              <w:left w:val="single" w:sz="4" w:space="0" w:color="000000"/>
              <w:bottom w:val="single" w:sz="4" w:space="0" w:color="000000"/>
              <w:right w:val="single" w:sz="4" w:space="0" w:color="000000"/>
            </w:tcBorders>
          </w:tcPr>
          <w:p w14:paraId="0102E063"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26.50</w:t>
            </w:r>
          </w:p>
        </w:tc>
        <w:tc>
          <w:tcPr>
            <w:tcW w:w="527" w:type="dxa"/>
            <w:tcBorders>
              <w:top w:val="single" w:sz="4" w:space="0" w:color="000000"/>
              <w:left w:val="single" w:sz="4" w:space="0" w:color="000000"/>
              <w:bottom w:val="single" w:sz="4" w:space="0" w:color="000000"/>
              <w:right w:val="single" w:sz="4" w:space="0" w:color="000000"/>
            </w:tcBorders>
          </w:tcPr>
          <w:p w14:paraId="6666D49C" w14:textId="77777777" w:rsidR="00D3344B" w:rsidRDefault="00D3344B">
            <w:pPr>
              <w:pStyle w:val="TableParagraph"/>
              <w:rPr>
                <w:rFonts w:ascii="Arial" w:hAnsi="Arial" w:cs="Arial"/>
                <w:sz w:val="18"/>
                <w:szCs w:val="18"/>
              </w:rPr>
            </w:pPr>
          </w:p>
        </w:tc>
      </w:tr>
      <w:tr w:rsidR="00D3344B" w14:paraId="5A90666F"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6D25175"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059</w:t>
            </w:r>
          </w:p>
        </w:tc>
        <w:tc>
          <w:tcPr>
            <w:tcW w:w="3038" w:type="dxa"/>
            <w:tcBorders>
              <w:top w:val="single" w:sz="4" w:space="0" w:color="000000"/>
              <w:left w:val="single" w:sz="4" w:space="0" w:color="000000"/>
              <w:bottom w:val="single" w:sz="4" w:space="0" w:color="000000"/>
              <w:right w:val="single" w:sz="4" w:space="0" w:color="000000"/>
            </w:tcBorders>
          </w:tcPr>
          <w:p w14:paraId="5D8BC6A6" w14:textId="77777777" w:rsidR="00D3344B" w:rsidRDefault="00143C25">
            <w:pPr>
              <w:pStyle w:val="TableParagraph"/>
              <w:rPr>
                <w:rFonts w:ascii="Arial" w:hAnsi="Arial" w:cs="Arial"/>
                <w:sz w:val="18"/>
                <w:szCs w:val="18"/>
              </w:rPr>
            </w:pPr>
            <w:r>
              <w:rPr>
                <w:rFonts w:ascii="Arial" w:hAnsi="Arial" w:cs="Arial"/>
                <w:w w:val="110"/>
                <w:sz w:val="18"/>
                <w:szCs w:val="18"/>
              </w:rPr>
              <w:t>Pelvis</w:t>
            </w:r>
            <w:r>
              <w:rPr>
                <w:rFonts w:ascii="Arial" w:hAnsi="Arial" w:cs="Arial"/>
                <w:spacing w:val="6"/>
                <w:w w:val="110"/>
                <w:sz w:val="18"/>
                <w:szCs w:val="18"/>
              </w:rPr>
              <w:t xml:space="preserve"> </w:t>
            </w:r>
            <w:r>
              <w:rPr>
                <w:rFonts w:ascii="Arial" w:hAnsi="Arial" w:cs="Arial"/>
                <w:w w:val="110"/>
                <w:sz w:val="18"/>
                <w:szCs w:val="18"/>
              </w:rPr>
              <w:t>1</w:t>
            </w:r>
            <w:r>
              <w:rPr>
                <w:rFonts w:ascii="Arial" w:hAnsi="Arial" w:cs="Arial"/>
                <w:spacing w:val="7"/>
                <w:w w:val="110"/>
                <w:sz w:val="18"/>
                <w:szCs w:val="18"/>
              </w:rPr>
              <w:t xml:space="preserve"> </w:t>
            </w:r>
            <w:r>
              <w:rPr>
                <w:rFonts w:ascii="Arial" w:hAnsi="Arial" w:cs="Arial"/>
                <w:spacing w:val="-10"/>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5650C3A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3.75</w:t>
            </w:r>
          </w:p>
        </w:tc>
        <w:tc>
          <w:tcPr>
            <w:tcW w:w="695" w:type="dxa"/>
            <w:tcBorders>
              <w:top w:val="single" w:sz="4" w:space="0" w:color="000000"/>
              <w:left w:val="single" w:sz="4" w:space="0" w:color="000000"/>
              <w:bottom w:val="single" w:sz="4" w:space="0" w:color="000000"/>
              <w:right w:val="single" w:sz="4" w:space="0" w:color="000000"/>
            </w:tcBorders>
          </w:tcPr>
          <w:p w14:paraId="736E55A6"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6AD8B0CC"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160366B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1B89386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7A4595CA" w14:textId="77777777" w:rsidR="00D3344B" w:rsidRDefault="00D3344B">
            <w:pPr>
              <w:pStyle w:val="TableParagraph"/>
              <w:rPr>
                <w:rFonts w:ascii="Arial" w:hAnsi="Arial" w:cs="Arial"/>
                <w:sz w:val="18"/>
                <w:szCs w:val="18"/>
              </w:rPr>
            </w:pPr>
          </w:p>
        </w:tc>
      </w:tr>
      <w:tr w:rsidR="00D3344B" w14:paraId="3323A8A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0B69A7F"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060</w:t>
            </w:r>
          </w:p>
        </w:tc>
        <w:tc>
          <w:tcPr>
            <w:tcW w:w="3038" w:type="dxa"/>
            <w:tcBorders>
              <w:top w:val="single" w:sz="4" w:space="0" w:color="000000"/>
              <w:left w:val="single" w:sz="4" w:space="0" w:color="000000"/>
              <w:bottom w:val="single" w:sz="4" w:space="0" w:color="000000"/>
              <w:right w:val="single" w:sz="4" w:space="0" w:color="000000"/>
            </w:tcBorders>
          </w:tcPr>
          <w:p w14:paraId="2851E2BD" w14:textId="77777777" w:rsidR="00D3344B" w:rsidRDefault="00143C25">
            <w:pPr>
              <w:pStyle w:val="TableParagraph"/>
              <w:spacing w:before="1"/>
              <w:rPr>
                <w:rFonts w:ascii="Arial" w:hAnsi="Arial" w:cs="Arial"/>
                <w:sz w:val="18"/>
                <w:szCs w:val="18"/>
              </w:rPr>
            </w:pPr>
            <w:r>
              <w:rPr>
                <w:rFonts w:ascii="Arial" w:hAnsi="Arial" w:cs="Arial"/>
                <w:w w:val="110"/>
                <w:sz w:val="18"/>
                <w:szCs w:val="18"/>
              </w:rPr>
              <w:t>Pelvis</w:t>
            </w:r>
            <w:r>
              <w:rPr>
                <w:rFonts w:ascii="Arial" w:hAnsi="Arial" w:cs="Arial"/>
                <w:spacing w:val="6"/>
                <w:w w:val="110"/>
                <w:sz w:val="18"/>
                <w:szCs w:val="18"/>
              </w:rPr>
              <w:t xml:space="preserve"> </w:t>
            </w:r>
            <w:r>
              <w:rPr>
                <w:rFonts w:ascii="Arial" w:hAnsi="Arial" w:cs="Arial"/>
                <w:w w:val="110"/>
                <w:sz w:val="18"/>
                <w:szCs w:val="18"/>
              </w:rPr>
              <w:t>2</w:t>
            </w:r>
            <w:r>
              <w:rPr>
                <w:rFonts w:ascii="Arial" w:hAnsi="Arial" w:cs="Arial"/>
                <w:spacing w:val="7"/>
                <w:w w:val="110"/>
                <w:sz w:val="18"/>
                <w:szCs w:val="18"/>
              </w:rPr>
              <w:t xml:space="preserve"> </w:t>
            </w:r>
            <w:r>
              <w:rPr>
                <w:rFonts w:ascii="Arial" w:hAnsi="Arial" w:cs="Arial"/>
                <w:spacing w:val="-10"/>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68743603"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4D490A9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0629676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D71AF7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0D66480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27E5BA2A" w14:textId="77777777" w:rsidR="00D3344B" w:rsidRDefault="00D3344B">
            <w:pPr>
              <w:pStyle w:val="TableParagraph"/>
              <w:rPr>
                <w:rFonts w:ascii="Arial" w:hAnsi="Arial" w:cs="Arial"/>
                <w:sz w:val="18"/>
                <w:szCs w:val="18"/>
              </w:rPr>
            </w:pPr>
          </w:p>
        </w:tc>
      </w:tr>
      <w:tr w:rsidR="00D3344B" w14:paraId="14664C01"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7A0944B6"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061</w:t>
            </w:r>
          </w:p>
        </w:tc>
        <w:tc>
          <w:tcPr>
            <w:tcW w:w="3038" w:type="dxa"/>
            <w:tcBorders>
              <w:top w:val="single" w:sz="4" w:space="0" w:color="000000"/>
              <w:left w:val="single" w:sz="4" w:space="0" w:color="000000"/>
              <w:bottom w:val="single" w:sz="4" w:space="0" w:color="000000"/>
              <w:right w:val="single" w:sz="4" w:space="0" w:color="000000"/>
            </w:tcBorders>
          </w:tcPr>
          <w:p w14:paraId="509DEF9B"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Pie</w:t>
            </w:r>
            <w:r>
              <w:rPr>
                <w:rFonts w:ascii="Arial" w:hAnsi="Arial" w:cs="Arial"/>
                <w:spacing w:val="7"/>
                <w:w w:val="110"/>
                <w:sz w:val="18"/>
                <w:szCs w:val="18"/>
              </w:rPr>
              <w:t xml:space="preserve"> </w:t>
            </w:r>
            <w:r>
              <w:rPr>
                <w:rFonts w:ascii="Arial" w:hAnsi="Arial" w:cs="Arial"/>
                <w:w w:val="110"/>
                <w:sz w:val="18"/>
                <w:szCs w:val="18"/>
              </w:rPr>
              <w:t>2</w:t>
            </w:r>
            <w:r>
              <w:rPr>
                <w:rFonts w:ascii="Arial" w:hAnsi="Arial" w:cs="Arial"/>
                <w:spacing w:val="7"/>
                <w:w w:val="110"/>
                <w:sz w:val="18"/>
                <w:szCs w:val="18"/>
              </w:rPr>
              <w:t xml:space="preserve"> </w:t>
            </w:r>
            <w:r>
              <w:rPr>
                <w:rFonts w:ascii="Arial" w:hAnsi="Arial" w:cs="Arial"/>
                <w:w w:val="110"/>
                <w:sz w:val="18"/>
                <w:szCs w:val="18"/>
              </w:rPr>
              <w:t>p</w:t>
            </w:r>
            <w:r>
              <w:rPr>
                <w:rFonts w:ascii="Arial" w:hAnsi="Arial" w:cs="Arial"/>
                <w:spacing w:val="12"/>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55FDDFF4"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07857AE5"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26C86235"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706C5BE0"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080D8B4D"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0AA5C43F" w14:textId="77777777" w:rsidR="00D3344B" w:rsidRDefault="00D3344B">
            <w:pPr>
              <w:pStyle w:val="TableParagraph"/>
              <w:rPr>
                <w:rFonts w:ascii="Arial" w:hAnsi="Arial" w:cs="Arial"/>
                <w:sz w:val="18"/>
                <w:szCs w:val="18"/>
              </w:rPr>
            </w:pPr>
          </w:p>
        </w:tc>
      </w:tr>
      <w:tr w:rsidR="00D3344B" w14:paraId="12A2F31C"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337E6ECC"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062</w:t>
            </w:r>
          </w:p>
        </w:tc>
        <w:tc>
          <w:tcPr>
            <w:tcW w:w="3038" w:type="dxa"/>
            <w:tcBorders>
              <w:top w:val="single" w:sz="4" w:space="0" w:color="000000"/>
              <w:left w:val="single" w:sz="4" w:space="0" w:color="000000"/>
              <w:bottom w:val="single" w:sz="4" w:space="0" w:color="000000"/>
              <w:right w:val="single" w:sz="4" w:space="0" w:color="000000"/>
            </w:tcBorders>
          </w:tcPr>
          <w:p w14:paraId="146D56F0" w14:textId="77777777" w:rsidR="00D3344B" w:rsidRDefault="00143C25">
            <w:pPr>
              <w:pStyle w:val="TableParagraph"/>
              <w:rPr>
                <w:rFonts w:ascii="Arial" w:hAnsi="Arial" w:cs="Arial"/>
                <w:sz w:val="18"/>
                <w:szCs w:val="18"/>
              </w:rPr>
            </w:pPr>
            <w:r>
              <w:rPr>
                <w:rFonts w:ascii="Arial" w:hAnsi="Arial" w:cs="Arial"/>
                <w:w w:val="110"/>
                <w:sz w:val="18"/>
                <w:szCs w:val="18"/>
              </w:rPr>
              <w:t>Pie</w:t>
            </w:r>
            <w:r>
              <w:rPr>
                <w:rFonts w:ascii="Arial" w:hAnsi="Arial" w:cs="Arial"/>
                <w:spacing w:val="7"/>
                <w:w w:val="110"/>
                <w:sz w:val="18"/>
                <w:szCs w:val="18"/>
              </w:rPr>
              <w:t xml:space="preserve"> </w:t>
            </w:r>
            <w:r>
              <w:rPr>
                <w:rFonts w:ascii="Arial" w:hAnsi="Arial" w:cs="Arial"/>
                <w:w w:val="110"/>
                <w:sz w:val="18"/>
                <w:szCs w:val="18"/>
              </w:rPr>
              <w:t>2</w:t>
            </w:r>
            <w:r>
              <w:rPr>
                <w:rFonts w:ascii="Arial" w:hAnsi="Arial" w:cs="Arial"/>
                <w:spacing w:val="7"/>
                <w:w w:val="110"/>
                <w:sz w:val="18"/>
                <w:szCs w:val="18"/>
              </w:rPr>
              <w:t xml:space="preserve"> </w:t>
            </w:r>
            <w:r>
              <w:rPr>
                <w:rFonts w:ascii="Arial" w:hAnsi="Arial" w:cs="Arial"/>
                <w:w w:val="110"/>
                <w:sz w:val="18"/>
                <w:szCs w:val="18"/>
              </w:rPr>
              <w:t>p</w:t>
            </w:r>
            <w:r>
              <w:rPr>
                <w:rFonts w:ascii="Arial" w:hAnsi="Arial" w:cs="Arial"/>
                <w:spacing w:val="12"/>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41ACEBF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21E50DBE"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6B4CEF8A"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018E5FD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4DFFABB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646BB245" w14:textId="77777777" w:rsidR="00D3344B" w:rsidRDefault="00D3344B">
            <w:pPr>
              <w:pStyle w:val="TableParagraph"/>
              <w:rPr>
                <w:rFonts w:ascii="Arial" w:hAnsi="Arial" w:cs="Arial"/>
                <w:sz w:val="18"/>
                <w:szCs w:val="18"/>
              </w:rPr>
            </w:pPr>
          </w:p>
        </w:tc>
      </w:tr>
      <w:tr w:rsidR="00D3344B" w14:paraId="75E7F5A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0553E2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063</w:t>
            </w:r>
          </w:p>
        </w:tc>
        <w:tc>
          <w:tcPr>
            <w:tcW w:w="3038" w:type="dxa"/>
            <w:tcBorders>
              <w:top w:val="single" w:sz="4" w:space="0" w:color="000000"/>
              <w:left w:val="single" w:sz="4" w:space="0" w:color="000000"/>
              <w:bottom w:val="single" w:sz="4" w:space="0" w:color="000000"/>
              <w:right w:val="single" w:sz="4" w:space="0" w:color="000000"/>
            </w:tcBorders>
          </w:tcPr>
          <w:p w14:paraId="313F4FB7" w14:textId="77777777" w:rsidR="00D3344B" w:rsidRDefault="00143C25">
            <w:pPr>
              <w:pStyle w:val="TableParagraph"/>
              <w:rPr>
                <w:rFonts w:ascii="Arial" w:hAnsi="Arial" w:cs="Arial"/>
                <w:sz w:val="18"/>
                <w:szCs w:val="18"/>
              </w:rPr>
            </w:pPr>
            <w:r>
              <w:rPr>
                <w:rFonts w:ascii="Arial" w:hAnsi="Arial" w:cs="Arial"/>
                <w:w w:val="110"/>
                <w:sz w:val="18"/>
                <w:szCs w:val="18"/>
              </w:rPr>
              <w:t>Pie</w:t>
            </w:r>
            <w:r>
              <w:rPr>
                <w:rFonts w:ascii="Arial" w:hAnsi="Arial" w:cs="Arial"/>
                <w:spacing w:val="2"/>
                <w:w w:val="110"/>
                <w:sz w:val="18"/>
                <w:szCs w:val="18"/>
              </w:rPr>
              <w:t xml:space="preserve"> </w:t>
            </w:r>
            <w:r>
              <w:rPr>
                <w:rFonts w:ascii="Arial" w:hAnsi="Arial" w:cs="Arial"/>
                <w:w w:val="110"/>
                <w:sz w:val="18"/>
                <w:szCs w:val="18"/>
              </w:rPr>
              <w:t>2</w:t>
            </w:r>
            <w:r>
              <w:rPr>
                <w:rFonts w:ascii="Arial" w:hAnsi="Arial" w:cs="Arial"/>
                <w:spacing w:val="-1"/>
                <w:w w:val="110"/>
                <w:sz w:val="18"/>
                <w:szCs w:val="18"/>
              </w:rPr>
              <w:t xml:space="preserve"> </w:t>
            </w:r>
            <w:r>
              <w:rPr>
                <w:rFonts w:ascii="Arial" w:hAnsi="Arial" w:cs="Arial"/>
                <w:w w:val="110"/>
                <w:sz w:val="18"/>
                <w:szCs w:val="18"/>
              </w:rPr>
              <w:t>p</w:t>
            </w:r>
            <w:r>
              <w:rPr>
                <w:rFonts w:ascii="Arial" w:hAnsi="Arial" w:cs="Arial"/>
                <w:spacing w:val="3"/>
                <w:w w:val="110"/>
                <w:sz w:val="18"/>
                <w:szCs w:val="18"/>
              </w:rPr>
              <w:t xml:space="preserve"> </w:t>
            </w:r>
            <w:r>
              <w:rPr>
                <w:rFonts w:ascii="Arial" w:hAnsi="Arial" w:cs="Arial"/>
                <w:w w:val="110"/>
                <w:sz w:val="18"/>
                <w:szCs w:val="18"/>
              </w:rPr>
              <w:t>(pie</w:t>
            </w:r>
            <w:r>
              <w:rPr>
                <w:rFonts w:ascii="Arial" w:hAnsi="Arial" w:cs="Arial"/>
                <w:spacing w:val="4"/>
                <w:w w:val="110"/>
                <w:sz w:val="18"/>
                <w:szCs w:val="18"/>
              </w:rPr>
              <w:t xml:space="preserve"> </w:t>
            </w:r>
            <w:r>
              <w:rPr>
                <w:rFonts w:ascii="Arial" w:hAnsi="Arial" w:cs="Arial"/>
                <w:spacing w:val="-2"/>
                <w:w w:val="110"/>
                <w:sz w:val="18"/>
                <w:szCs w:val="18"/>
              </w:rPr>
              <w:t>decapitado)</w:t>
            </w:r>
          </w:p>
        </w:tc>
        <w:tc>
          <w:tcPr>
            <w:tcW w:w="697" w:type="dxa"/>
            <w:tcBorders>
              <w:top w:val="single" w:sz="4" w:space="0" w:color="000000"/>
              <w:left w:val="single" w:sz="4" w:space="0" w:color="000000"/>
              <w:bottom w:val="single" w:sz="4" w:space="0" w:color="000000"/>
              <w:right w:val="single" w:sz="4" w:space="0" w:color="000000"/>
            </w:tcBorders>
          </w:tcPr>
          <w:p w14:paraId="64E1F39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3.25</w:t>
            </w:r>
          </w:p>
        </w:tc>
        <w:tc>
          <w:tcPr>
            <w:tcW w:w="695" w:type="dxa"/>
            <w:tcBorders>
              <w:top w:val="single" w:sz="4" w:space="0" w:color="000000"/>
              <w:left w:val="single" w:sz="4" w:space="0" w:color="000000"/>
              <w:bottom w:val="single" w:sz="4" w:space="0" w:color="000000"/>
              <w:right w:val="single" w:sz="4" w:space="0" w:color="000000"/>
            </w:tcBorders>
          </w:tcPr>
          <w:p w14:paraId="4B4C1A4A"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41996891"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354D5AC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73A0E89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7F082107" w14:textId="77777777" w:rsidR="00D3344B" w:rsidRDefault="00D3344B">
            <w:pPr>
              <w:pStyle w:val="TableParagraph"/>
              <w:rPr>
                <w:rFonts w:ascii="Arial" w:hAnsi="Arial" w:cs="Arial"/>
                <w:sz w:val="18"/>
                <w:szCs w:val="18"/>
              </w:rPr>
            </w:pPr>
          </w:p>
        </w:tc>
      </w:tr>
      <w:tr w:rsidR="00D3344B" w14:paraId="2101C1FE"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EC858CB"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064</w:t>
            </w:r>
          </w:p>
        </w:tc>
        <w:tc>
          <w:tcPr>
            <w:tcW w:w="3038" w:type="dxa"/>
            <w:tcBorders>
              <w:top w:val="single" w:sz="4" w:space="0" w:color="000000"/>
              <w:left w:val="single" w:sz="4" w:space="0" w:color="000000"/>
              <w:bottom w:val="single" w:sz="4" w:space="0" w:color="000000"/>
              <w:right w:val="single" w:sz="4" w:space="0" w:color="000000"/>
            </w:tcBorders>
          </w:tcPr>
          <w:p w14:paraId="47033C16"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Pielografía</w:t>
            </w:r>
            <w:proofErr w:type="spellEnd"/>
            <w:r>
              <w:rPr>
                <w:rFonts w:ascii="Arial" w:hAnsi="Arial" w:cs="Arial"/>
                <w:spacing w:val="-4"/>
                <w:w w:val="110"/>
                <w:sz w:val="18"/>
                <w:szCs w:val="18"/>
              </w:rPr>
              <w:t xml:space="preserve"> </w:t>
            </w:r>
            <w:r>
              <w:rPr>
                <w:rFonts w:ascii="Arial" w:hAnsi="Arial" w:cs="Arial"/>
                <w:spacing w:val="-2"/>
                <w:w w:val="110"/>
                <w:sz w:val="18"/>
                <w:szCs w:val="18"/>
              </w:rPr>
              <w:t>ascendente</w:t>
            </w:r>
          </w:p>
        </w:tc>
        <w:tc>
          <w:tcPr>
            <w:tcW w:w="697" w:type="dxa"/>
            <w:tcBorders>
              <w:top w:val="single" w:sz="4" w:space="0" w:color="000000"/>
              <w:left w:val="single" w:sz="4" w:space="0" w:color="000000"/>
              <w:bottom w:val="single" w:sz="4" w:space="0" w:color="000000"/>
              <w:right w:val="single" w:sz="4" w:space="0" w:color="000000"/>
            </w:tcBorders>
          </w:tcPr>
          <w:p w14:paraId="6224F7C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20.25</w:t>
            </w:r>
          </w:p>
        </w:tc>
        <w:tc>
          <w:tcPr>
            <w:tcW w:w="695" w:type="dxa"/>
            <w:tcBorders>
              <w:top w:val="single" w:sz="4" w:space="0" w:color="000000"/>
              <w:left w:val="single" w:sz="4" w:space="0" w:color="000000"/>
              <w:bottom w:val="single" w:sz="4" w:space="0" w:color="000000"/>
              <w:right w:val="single" w:sz="4" w:space="0" w:color="000000"/>
            </w:tcBorders>
          </w:tcPr>
          <w:p w14:paraId="3F415FD6" w14:textId="77777777" w:rsidR="00D3344B" w:rsidRDefault="00143C25">
            <w:pPr>
              <w:pStyle w:val="TableParagraph"/>
              <w:rPr>
                <w:rFonts w:ascii="Arial" w:hAnsi="Arial" w:cs="Arial"/>
                <w:sz w:val="18"/>
                <w:szCs w:val="18"/>
              </w:rPr>
            </w:pPr>
            <w:r>
              <w:rPr>
                <w:rFonts w:ascii="Arial" w:hAnsi="Arial" w:cs="Arial"/>
                <w:spacing w:val="-4"/>
                <w:w w:val="115"/>
                <w:sz w:val="18"/>
                <w:szCs w:val="18"/>
              </w:rPr>
              <w:t>17.75</w:t>
            </w:r>
          </w:p>
        </w:tc>
        <w:tc>
          <w:tcPr>
            <w:tcW w:w="699" w:type="dxa"/>
            <w:tcBorders>
              <w:top w:val="single" w:sz="4" w:space="0" w:color="000000"/>
              <w:left w:val="single" w:sz="4" w:space="0" w:color="000000"/>
              <w:bottom w:val="single" w:sz="4" w:space="0" w:color="000000"/>
              <w:right w:val="single" w:sz="4" w:space="0" w:color="000000"/>
            </w:tcBorders>
          </w:tcPr>
          <w:p w14:paraId="4A065B79" w14:textId="77777777" w:rsidR="00D3344B" w:rsidRDefault="00143C25">
            <w:pPr>
              <w:pStyle w:val="TableParagraph"/>
              <w:rPr>
                <w:rFonts w:ascii="Arial" w:hAnsi="Arial" w:cs="Arial"/>
                <w:sz w:val="18"/>
                <w:szCs w:val="18"/>
              </w:rPr>
            </w:pPr>
            <w:r>
              <w:rPr>
                <w:rFonts w:ascii="Arial" w:hAnsi="Arial" w:cs="Arial"/>
                <w:spacing w:val="-4"/>
                <w:w w:val="115"/>
                <w:sz w:val="18"/>
                <w:szCs w:val="18"/>
              </w:rPr>
              <w:t>15.50</w:t>
            </w:r>
          </w:p>
        </w:tc>
        <w:tc>
          <w:tcPr>
            <w:tcW w:w="699" w:type="dxa"/>
            <w:tcBorders>
              <w:top w:val="single" w:sz="4" w:space="0" w:color="000000"/>
              <w:left w:val="single" w:sz="4" w:space="0" w:color="000000"/>
              <w:bottom w:val="single" w:sz="4" w:space="0" w:color="000000"/>
              <w:right w:val="single" w:sz="4" w:space="0" w:color="000000"/>
            </w:tcBorders>
          </w:tcPr>
          <w:p w14:paraId="70F01CC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13.25</w:t>
            </w:r>
          </w:p>
        </w:tc>
        <w:tc>
          <w:tcPr>
            <w:tcW w:w="696" w:type="dxa"/>
            <w:tcBorders>
              <w:top w:val="single" w:sz="4" w:space="0" w:color="000000"/>
              <w:left w:val="single" w:sz="4" w:space="0" w:color="000000"/>
              <w:bottom w:val="single" w:sz="4" w:space="0" w:color="000000"/>
              <w:right w:val="single" w:sz="4" w:space="0" w:color="000000"/>
            </w:tcBorders>
          </w:tcPr>
          <w:p w14:paraId="468CE6B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11.00</w:t>
            </w:r>
          </w:p>
        </w:tc>
        <w:tc>
          <w:tcPr>
            <w:tcW w:w="527" w:type="dxa"/>
            <w:tcBorders>
              <w:top w:val="single" w:sz="4" w:space="0" w:color="000000"/>
              <w:left w:val="single" w:sz="4" w:space="0" w:color="000000"/>
              <w:bottom w:val="single" w:sz="4" w:space="0" w:color="000000"/>
              <w:right w:val="single" w:sz="4" w:space="0" w:color="000000"/>
            </w:tcBorders>
          </w:tcPr>
          <w:p w14:paraId="267CE8F5" w14:textId="77777777" w:rsidR="00D3344B" w:rsidRDefault="00D3344B">
            <w:pPr>
              <w:pStyle w:val="TableParagraph"/>
              <w:rPr>
                <w:rFonts w:ascii="Arial" w:hAnsi="Arial" w:cs="Arial"/>
                <w:sz w:val="18"/>
                <w:szCs w:val="18"/>
              </w:rPr>
            </w:pPr>
          </w:p>
        </w:tc>
      </w:tr>
      <w:tr w:rsidR="00D3344B" w14:paraId="372ED925"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B7BEF95" w14:textId="77777777" w:rsidR="00D3344B" w:rsidRDefault="00143C25">
            <w:pPr>
              <w:pStyle w:val="TableParagraph"/>
              <w:spacing w:before="1"/>
              <w:rPr>
                <w:rFonts w:ascii="Arial" w:hAnsi="Arial" w:cs="Arial"/>
                <w:sz w:val="18"/>
                <w:szCs w:val="18"/>
              </w:rPr>
            </w:pPr>
            <w:r>
              <w:rPr>
                <w:rFonts w:ascii="Arial" w:hAnsi="Arial" w:cs="Arial"/>
                <w:w w:val="110"/>
                <w:sz w:val="18"/>
                <w:szCs w:val="18"/>
              </w:rPr>
              <w:lastRenderedPageBreak/>
              <w:t>02-RX-</w:t>
            </w:r>
            <w:r>
              <w:rPr>
                <w:rFonts w:ascii="Arial" w:hAnsi="Arial" w:cs="Arial"/>
                <w:spacing w:val="-5"/>
                <w:w w:val="110"/>
                <w:sz w:val="18"/>
                <w:szCs w:val="18"/>
              </w:rPr>
              <w:t>065</w:t>
            </w:r>
          </w:p>
        </w:tc>
        <w:tc>
          <w:tcPr>
            <w:tcW w:w="3038" w:type="dxa"/>
            <w:tcBorders>
              <w:top w:val="single" w:sz="4" w:space="0" w:color="000000"/>
              <w:left w:val="single" w:sz="4" w:space="0" w:color="000000"/>
              <w:bottom w:val="single" w:sz="4" w:space="0" w:color="000000"/>
              <w:right w:val="single" w:sz="4" w:space="0" w:color="000000"/>
            </w:tcBorders>
          </w:tcPr>
          <w:p w14:paraId="3CA31DD1"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Pierna</w:t>
            </w:r>
            <w:r>
              <w:rPr>
                <w:rFonts w:ascii="Arial" w:hAnsi="Arial" w:cs="Arial"/>
                <w:spacing w:val="80"/>
                <w:w w:val="110"/>
                <w:sz w:val="18"/>
                <w:szCs w:val="18"/>
              </w:rPr>
              <w:t xml:space="preserve"> </w:t>
            </w:r>
            <w:r>
              <w:rPr>
                <w:rFonts w:ascii="Arial" w:hAnsi="Arial" w:cs="Arial"/>
                <w:w w:val="110"/>
                <w:sz w:val="18"/>
                <w:szCs w:val="18"/>
              </w:rPr>
              <w:t>(tibia</w:t>
            </w:r>
            <w:r>
              <w:rPr>
                <w:rFonts w:ascii="Arial" w:hAnsi="Arial" w:cs="Arial"/>
                <w:spacing w:val="80"/>
                <w:w w:val="110"/>
                <w:sz w:val="18"/>
                <w:szCs w:val="18"/>
              </w:rPr>
              <w:t xml:space="preserve"> </w:t>
            </w:r>
            <w:r>
              <w:rPr>
                <w:rFonts w:ascii="Arial" w:hAnsi="Arial" w:cs="Arial"/>
                <w:w w:val="110"/>
                <w:sz w:val="18"/>
                <w:szCs w:val="18"/>
              </w:rPr>
              <w:t>y</w:t>
            </w:r>
            <w:r>
              <w:rPr>
                <w:rFonts w:ascii="Arial" w:hAnsi="Arial" w:cs="Arial"/>
                <w:spacing w:val="80"/>
                <w:w w:val="110"/>
                <w:sz w:val="18"/>
                <w:szCs w:val="18"/>
              </w:rPr>
              <w:t xml:space="preserve"> </w:t>
            </w:r>
            <w:r>
              <w:rPr>
                <w:rFonts w:ascii="Arial" w:hAnsi="Arial" w:cs="Arial"/>
                <w:w w:val="110"/>
                <w:sz w:val="18"/>
                <w:szCs w:val="18"/>
              </w:rPr>
              <w:t>peroné)</w:t>
            </w:r>
            <w:r>
              <w:rPr>
                <w:rFonts w:ascii="Arial" w:hAnsi="Arial" w:cs="Arial"/>
                <w:spacing w:val="80"/>
                <w:w w:val="110"/>
                <w:sz w:val="18"/>
                <w:szCs w:val="18"/>
              </w:rPr>
              <w:t xml:space="preserve"> </w:t>
            </w:r>
            <w:r>
              <w:rPr>
                <w:rFonts w:ascii="Arial" w:hAnsi="Arial" w:cs="Arial"/>
                <w:w w:val="110"/>
                <w:sz w:val="18"/>
                <w:szCs w:val="18"/>
              </w:rPr>
              <w:t>2</w:t>
            </w:r>
            <w:r>
              <w:rPr>
                <w:rFonts w:ascii="Arial" w:hAnsi="Arial" w:cs="Arial"/>
                <w:spacing w:val="80"/>
                <w:w w:val="110"/>
                <w:sz w:val="18"/>
                <w:szCs w:val="18"/>
              </w:rPr>
              <w:t xml:space="preserve"> </w:t>
            </w:r>
            <w:r>
              <w:rPr>
                <w:rFonts w:ascii="Arial" w:hAnsi="Arial" w:cs="Arial"/>
                <w:w w:val="110"/>
                <w:sz w:val="18"/>
                <w:szCs w:val="18"/>
              </w:rPr>
              <w:t xml:space="preserve">p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58BBA9F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3274A78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404A9E8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09AFC63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3754999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43949BEE" w14:textId="77777777" w:rsidR="00D3344B" w:rsidRDefault="00D3344B">
            <w:pPr>
              <w:pStyle w:val="TableParagraph"/>
              <w:rPr>
                <w:rFonts w:ascii="Arial" w:hAnsi="Arial" w:cs="Arial"/>
                <w:sz w:val="18"/>
                <w:szCs w:val="18"/>
              </w:rPr>
            </w:pPr>
          </w:p>
        </w:tc>
      </w:tr>
      <w:tr w:rsidR="00D3344B" w14:paraId="1E450C2C"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B4D388F"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066</w:t>
            </w:r>
          </w:p>
        </w:tc>
        <w:tc>
          <w:tcPr>
            <w:tcW w:w="3038" w:type="dxa"/>
            <w:tcBorders>
              <w:top w:val="single" w:sz="4" w:space="0" w:color="000000"/>
              <w:left w:val="single" w:sz="4" w:space="0" w:color="000000"/>
              <w:bottom w:val="single" w:sz="4" w:space="0" w:color="000000"/>
              <w:right w:val="single" w:sz="4" w:space="0" w:color="000000"/>
            </w:tcBorders>
          </w:tcPr>
          <w:p w14:paraId="7C7F90CD"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Pierna</w:t>
            </w:r>
            <w:r>
              <w:rPr>
                <w:rFonts w:ascii="Arial" w:hAnsi="Arial" w:cs="Arial"/>
                <w:spacing w:val="80"/>
                <w:w w:val="110"/>
                <w:sz w:val="18"/>
                <w:szCs w:val="18"/>
              </w:rPr>
              <w:t xml:space="preserve"> </w:t>
            </w:r>
            <w:r>
              <w:rPr>
                <w:rFonts w:ascii="Arial" w:hAnsi="Arial" w:cs="Arial"/>
                <w:w w:val="110"/>
                <w:sz w:val="18"/>
                <w:szCs w:val="18"/>
              </w:rPr>
              <w:t>(tibia</w:t>
            </w:r>
            <w:r>
              <w:rPr>
                <w:rFonts w:ascii="Arial" w:hAnsi="Arial" w:cs="Arial"/>
                <w:spacing w:val="80"/>
                <w:w w:val="110"/>
                <w:sz w:val="18"/>
                <w:szCs w:val="18"/>
              </w:rPr>
              <w:t xml:space="preserve"> </w:t>
            </w:r>
            <w:r>
              <w:rPr>
                <w:rFonts w:ascii="Arial" w:hAnsi="Arial" w:cs="Arial"/>
                <w:w w:val="110"/>
                <w:sz w:val="18"/>
                <w:szCs w:val="18"/>
              </w:rPr>
              <w:t>y</w:t>
            </w:r>
            <w:r>
              <w:rPr>
                <w:rFonts w:ascii="Arial" w:hAnsi="Arial" w:cs="Arial"/>
                <w:spacing w:val="80"/>
                <w:w w:val="110"/>
                <w:sz w:val="18"/>
                <w:szCs w:val="18"/>
              </w:rPr>
              <w:t xml:space="preserve"> </w:t>
            </w:r>
            <w:r>
              <w:rPr>
                <w:rFonts w:ascii="Arial" w:hAnsi="Arial" w:cs="Arial"/>
                <w:w w:val="110"/>
                <w:sz w:val="18"/>
                <w:szCs w:val="18"/>
              </w:rPr>
              <w:t>peroné)</w:t>
            </w:r>
            <w:r>
              <w:rPr>
                <w:rFonts w:ascii="Arial" w:hAnsi="Arial" w:cs="Arial"/>
                <w:spacing w:val="80"/>
                <w:w w:val="110"/>
                <w:sz w:val="18"/>
                <w:szCs w:val="18"/>
              </w:rPr>
              <w:t xml:space="preserve"> </w:t>
            </w:r>
            <w:r>
              <w:rPr>
                <w:rFonts w:ascii="Arial" w:hAnsi="Arial" w:cs="Arial"/>
                <w:w w:val="110"/>
                <w:sz w:val="18"/>
                <w:szCs w:val="18"/>
              </w:rPr>
              <w:t>2</w:t>
            </w:r>
            <w:r>
              <w:rPr>
                <w:rFonts w:ascii="Arial" w:hAnsi="Arial" w:cs="Arial"/>
                <w:spacing w:val="80"/>
                <w:w w:val="110"/>
                <w:sz w:val="18"/>
                <w:szCs w:val="18"/>
              </w:rPr>
              <w:t xml:space="preserve"> </w:t>
            </w:r>
            <w:r>
              <w:rPr>
                <w:rFonts w:ascii="Arial" w:hAnsi="Arial" w:cs="Arial"/>
                <w:w w:val="110"/>
                <w:sz w:val="18"/>
                <w:szCs w:val="18"/>
              </w:rPr>
              <w:t xml:space="preserve">p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44E2F3E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51B46A7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116641B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1AF49A99"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34DB962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671B52D1" w14:textId="77777777" w:rsidR="00D3344B" w:rsidRDefault="00D3344B">
            <w:pPr>
              <w:pStyle w:val="TableParagraph"/>
              <w:rPr>
                <w:rFonts w:ascii="Arial" w:hAnsi="Arial" w:cs="Arial"/>
                <w:sz w:val="18"/>
                <w:szCs w:val="18"/>
              </w:rPr>
            </w:pPr>
          </w:p>
        </w:tc>
      </w:tr>
      <w:tr w:rsidR="00D3344B" w14:paraId="45FB3F0F" w14:textId="77777777">
        <w:trPr>
          <w:trHeight w:val="301"/>
        </w:trPr>
        <w:tc>
          <w:tcPr>
            <w:tcW w:w="1776" w:type="dxa"/>
            <w:tcBorders>
              <w:top w:val="single" w:sz="4" w:space="0" w:color="000000"/>
              <w:left w:val="single" w:sz="4" w:space="0" w:color="000000"/>
              <w:bottom w:val="single" w:sz="4" w:space="0" w:color="000000"/>
              <w:right w:val="single" w:sz="4" w:space="0" w:color="000000"/>
            </w:tcBorders>
          </w:tcPr>
          <w:p w14:paraId="59F0AB35"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067</w:t>
            </w:r>
          </w:p>
        </w:tc>
        <w:tc>
          <w:tcPr>
            <w:tcW w:w="3038" w:type="dxa"/>
            <w:tcBorders>
              <w:top w:val="single" w:sz="4" w:space="0" w:color="000000"/>
              <w:left w:val="single" w:sz="4" w:space="0" w:color="000000"/>
              <w:bottom w:val="single" w:sz="4" w:space="0" w:color="000000"/>
              <w:right w:val="single" w:sz="4" w:space="0" w:color="000000"/>
            </w:tcBorders>
          </w:tcPr>
          <w:p w14:paraId="00E4E514" w14:textId="77777777" w:rsidR="00D3344B" w:rsidRDefault="00143C25">
            <w:pPr>
              <w:pStyle w:val="TableParagraph"/>
              <w:spacing w:before="1"/>
              <w:rPr>
                <w:rFonts w:ascii="Arial" w:hAnsi="Arial" w:cs="Arial"/>
                <w:sz w:val="18"/>
                <w:szCs w:val="18"/>
              </w:rPr>
            </w:pPr>
            <w:r>
              <w:rPr>
                <w:rFonts w:ascii="Arial" w:hAnsi="Arial" w:cs="Arial"/>
                <w:w w:val="110"/>
                <w:sz w:val="18"/>
                <w:szCs w:val="18"/>
              </w:rPr>
              <w:t>Rodilla</w:t>
            </w:r>
            <w:r>
              <w:rPr>
                <w:rFonts w:ascii="Arial" w:hAnsi="Arial" w:cs="Arial"/>
                <w:spacing w:val="10"/>
                <w:w w:val="110"/>
                <w:sz w:val="18"/>
                <w:szCs w:val="18"/>
              </w:rPr>
              <w:t xml:space="preserve"> </w:t>
            </w:r>
            <w:r>
              <w:rPr>
                <w:rFonts w:ascii="Arial" w:hAnsi="Arial" w:cs="Arial"/>
                <w:w w:val="110"/>
                <w:sz w:val="18"/>
                <w:szCs w:val="18"/>
              </w:rPr>
              <w:t>2</w:t>
            </w:r>
            <w:r>
              <w:rPr>
                <w:rFonts w:ascii="Arial" w:hAnsi="Arial" w:cs="Arial"/>
                <w:spacing w:val="14"/>
                <w:w w:val="110"/>
                <w:sz w:val="18"/>
                <w:szCs w:val="18"/>
              </w:rPr>
              <w:t xml:space="preserve"> </w:t>
            </w:r>
            <w:r>
              <w:rPr>
                <w:rFonts w:ascii="Arial" w:hAnsi="Arial" w:cs="Arial"/>
                <w:w w:val="110"/>
                <w:sz w:val="18"/>
                <w:szCs w:val="18"/>
              </w:rPr>
              <w:t>p</w:t>
            </w:r>
            <w:r>
              <w:rPr>
                <w:rFonts w:ascii="Arial" w:hAnsi="Arial" w:cs="Arial"/>
                <w:spacing w:val="10"/>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6834D50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4.25</w:t>
            </w:r>
          </w:p>
        </w:tc>
        <w:tc>
          <w:tcPr>
            <w:tcW w:w="695" w:type="dxa"/>
            <w:tcBorders>
              <w:top w:val="single" w:sz="4" w:space="0" w:color="000000"/>
              <w:left w:val="single" w:sz="4" w:space="0" w:color="000000"/>
              <w:bottom w:val="single" w:sz="4" w:space="0" w:color="000000"/>
              <w:right w:val="single" w:sz="4" w:space="0" w:color="000000"/>
            </w:tcBorders>
          </w:tcPr>
          <w:p w14:paraId="4DDE5B0B"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66579BF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4A0682C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76D413C3"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41070944" w14:textId="77777777" w:rsidR="00D3344B" w:rsidRDefault="00D3344B">
            <w:pPr>
              <w:pStyle w:val="TableParagraph"/>
              <w:rPr>
                <w:rFonts w:ascii="Arial" w:hAnsi="Arial" w:cs="Arial"/>
                <w:sz w:val="18"/>
                <w:szCs w:val="18"/>
              </w:rPr>
            </w:pPr>
          </w:p>
        </w:tc>
      </w:tr>
      <w:tr w:rsidR="00D3344B" w14:paraId="4CFC9B5D"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2AEF59E"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068</w:t>
            </w:r>
          </w:p>
        </w:tc>
        <w:tc>
          <w:tcPr>
            <w:tcW w:w="3038" w:type="dxa"/>
            <w:tcBorders>
              <w:top w:val="single" w:sz="4" w:space="0" w:color="000000"/>
              <w:left w:val="single" w:sz="4" w:space="0" w:color="000000"/>
              <w:bottom w:val="single" w:sz="4" w:space="0" w:color="000000"/>
              <w:right w:val="single" w:sz="4" w:space="0" w:color="000000"/>
            </w:tcBorders>
          </w:tcPr>
          <w:p w14:paraId="1D11A011" w14:textId="77777777" w:rsidR="00D3344B" w:rsidRDefault="00143C25">
            <w:pPr>
              <w:pStyle w:val="TableParagraph"/>
              <w:rPr>
                <w:rFonts w:ascii="Arial" w:hAnsi="Arial" w:cs="Arial"/>
                <w:sz w:val="18"/>
                <w:szCs w:val="18"/>
              </w:rPr>
            </w:pPr>
            <w:r>
              <w:rPr>
                <w:rFonts w:ascii="Arial" w:hAnsi="Arial" w:cs="Arial"/>
                <w:w w:val="110"/>
                <w:sz w:val="18"/>
                <w:szCs w:val="18"/>
              </w:rPr>
              <w:t>Rodilla</w:t>
            </w:r>
            <w:r>
              <w:rPr>
                <w:rFonts w:ascii="Arial" w:hAnsi="Arial" w:cs="Arial"/>
                <w:spacing w:val="10"/>
                <w:w w:val="110"/>
                <w:sz w:val="18"/>
                <w:szCs w:val="18"/>
              </w:rPr>
              <w:t xml:space="preserve"> </w:t>
            </w:r>
            <w:r>
              <w:rPr>
                <w:rFonts w:ascii="Arial" w:hAnsi="Arial" w:cs="Arial"/>
                <w:w w:val="110"/>
                <w:sz w:val="18"/>
                <w:szCs w:val="18"/>
              </w:rPr>
              <w:t>2</w:t>
            </w:r>
            <w:r>
              <w:rPr>
                <w:rFonts w:ascii="Arial" w:hAnsi="Arial" w:cs="Arial"/>
                <w:spacing w:val="14"/>
                <w:w w:val="110"/>
                <w:sz w:val="18"/>
                <w:szCs w:val="18"/>
              </w:rPr>
              <w:t xml:space="preserve"> </w:t>
            </w:r>
            <w:r>
              <w:rPr>
                <w:rFonts w:ascii="Arial" w:hAnsi="Arial" w:cs="Arial"/>
                <w:w w:val="110"/>
                <w:sz w:val="18"/>
                <w:szCs w:val="18"/>
              </w:rPr>
              <w:t>p</w:t>
            </w:r>
            <w:r>
              <w:rPr>
                <w:rFonts w:ascii="Arial" w:hAnsi="Arial" w:cs="Arial"/>
                <w:spacing w:val="10"/>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483674B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6C2816FF"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59072D45"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03609AF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2C26BD7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653F6B19" w14:textId="77777777" w:rsidR="00D3344B" w:rsidRDefault="00D3344B">
            <w:pPr>
              <w:pStyle w:val="TableParagraph"/>
              <w:rPr>
                <w:rFonts w:ascii="Arial" w:hAnsi="Arial" w:cs="Arial"/>
                <w:sz w:val="18"/>
                <w:szCs w:val="18"/>
              </w:rPr>
            </w:pPr>
          </w:p>
        </w:tc>
      </w:tr>
      <w:tr w:rsidR="00D3344B" w14:paraId="04BC1611"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11E10D3D"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069</w:t>
            </w:r>
          </w:p>
        </w:tc>
        <w:tc>
          <w:tcPr>
            <w:tcW w:w="3038" w:type="dxa"/>
            <w:tcBorders>
              <w:top w:val="single" w:sz="4" w:space="0" w:color="000000"/>
              <w:left w:val="single" w:sz="4" w:space="0" w:color="000000"/>
              <w:bottom w:val="single" w:sz="4" w:space="0" w:color="000000"/>
              <w:right w:val="single" w:sz="4" w:space="0" w:color="000000"/>
            </w:tcBorders>
          </w:tcPr>
          <w:p w14:paraId="01C59775" w14:textId="77777777" w:rsidR="00D3344B" w:rsidRDefault="00143C25">
            <w:pPr>
              <w:pStyle w:val="TableParagraph"/>
              <w:tabs>
                <w:tab w:val="left" w:pos="953"/>
                <w:tab w:val="left" w:pos="2433"/>
                <w:tab w:val="left" w:pos="2904"/>
              </w:tabs>
              <w:spacing w:line="252" w:lineRule="exact"/>
              <w:ind w:right="-15"/>
              <w:rPr>
                <w:rFonts w:ascii="Arial" w:hAnsi="Arial" w:cs="Arial"/>
                <w:sz w:val="18"/>
                <w:szCs w:val="18"/>
              </w:rPr>
            </w:pPr>
            <w:r>
              <w:rPr>
                <w:rFonts w:ascii="Arial" w:hAnsi="Arial" w:cs="Arial"/>
                <w:spacing w:val="-2"/>
                <w:w w:val="115"/>
                <w:sz w:val="18"/>
                <w:szCs w:val="18"/>
              </w:rPr>
              <w:t>Senos</w:t>
            </w:r>
            <w:r>
              <w:rPr>
                <w:rFonts w:ascii="Arial" w:hAnsi="Arial" w:cs="Arial"/>
                <w:sz w:val="18"/>
                <w:szCs w:val="18"/>
              </w:rPr>
              <w:tab/>
            </w:r>
            <w:r>
              <w:rPr>
                <w:rFonts w:ascii="Arial" w:hAnsi="Arial" w:cs="Arial"/>
                <w:spacing w:val="-2"/>
                <w:w w:val="115"/>
                <w:sz w:val="18"/>
                <w:szCs w:val="18"/>
              </w:rPr>
              <w:t>paranasales</w:t>
            </w:r>
            <w:r>
              <w:rPr>
                <w:rFonts w:ascii="Arial" w:hAnsi="Arial" w:cs="Arial"/>
                <w:sz w:val="18"/>
                <w:szCs w:val="18"/>
              </w:rPr>
              <w:tab/>
            </w:r>
            <w:r>
              <w:rPr>
                <w:rFonts w:ascii="Arial" w:hAnsi="Arial" w:cs="Arial"/>
                <w:spacing w:val="-10"/>
                <w:w w:val="115"/>
                <w:sz w:val="18"/>
                <w:szCs w:val="18"/>
              </w:rPr>
              <w:t>1</w:t>
            </w:r>
            <w:r>
              <w:rPr>
                <w:rFonts w:ascii="Arial" w:hAnsi="Arial" w:cs="Arial"/>
                <w:sz w:val="18"/>
                <w:szCs w:val="18"/>
              </w:rPr>
              <w:tab/>
            </w:r>
            <w:r>
              <w:rPr>
                <w:rFonts w:ascii="Arial" w:hAnsi="Arial" w:cs="Arial"/>
                <w:spacing w:val="-10"/>
                <w:w w:val="115"/>
                <w:sz w:val="18"/>
                <w:szCs w:val="18"/>
              </w:rPr>
              <w:t xml:space="preserve">p </w:t>
            </w:r>
            <w:r>
              <w:rPr>
                <w:rFonts w:ascii="Arial" w:hAnsi="Arial" w:cs="Arial"/>
                <w:spacing w:val="-2"/>
                <w:w w:val="115"/>
                <w:sz w:val="18"/>
                <w:szCs w:val="18"/>
              </w:rPr>
              <w:t>(</w:t>
            </w:r>
            <w:proofErr w:type="spellStart"/>
            <w:r>
              <w:rPr>
                <w:rFonts w:ascii="Arial" w:hAnsi="Arial" w:cs="Arial"/>
                <w:spacing w:val="-2"/>
                <w:w w:val="115"/>
                <w:sz w:val="18"/>
                <w:szCs w:val="18"/>
              </w:rPr>
              <w:t>waters</w:t>
            </w:r>
            <w:proofErr w:type="spellEnd"/>
            <w:r>
              <w:rPr>
                <w:rFonts w:ascii="Arial" w:hAnsi="Arial" w:cs="Arial"/>
                <w:spacing w:val="-2"/>
                <w:w w:val="115"/>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1450231F"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616017E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3E82003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1C4FFFA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440F54D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1B361479" w14:textId="77777777" w:rsidR="00D3344B" w:rsidRDefault="00D3344B">
            <w:pPr>
              <w:pStyle w:val="TableParagraph"/>
              <w:rPr>
                <w:rFonts w:ascii="Arial" w:hAnsi="Arial" w:cs="Arial"/>
                <w:sz w:val="18"/>
                <w:szCs w:val="18"/>
              </w:rPr>
            </w:pPr>
          </w:p>
        </w:tc>
      </w:tr>
      <w:tr w:rsidR="00D3344B" w14:paraId="4EB7452A"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EA72ED1"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070</w:t>
            </w:r>
          </w:p>
        </w:tc>
        <w:tc>
          <w:tcPr>
            <w:tcW w:w="3038" w:type="dxa"/>
            <w:tcBorders>
              <w:top w:val="single" w:sz="4" w:space="0" w:color="000000"/>
              <w:left w:val="single" w:sz="4" w:space="0" w:color="000000"/>
              <w:bottom w:val="single" w:sz="4" w:space="0" w:color="000000"/>
              <w:right w:val="single" w:sz="4" w:space="0" w:color="000000"/>
            </w:tcBorders>
          </w:tcPr>
          <w:p w14:paraId="2EBBDAF3" w14:textId="77777777" w:rsidR="00D3344B" w:rsidRDefault="00143C25">
            <w:pPr>
              <w:pStyle w:val="TableParagraph"/>
              <w:tabs>
                <w:tab w:val="left" w:pos="953"/>
                <w:tab w:val="left" w:pos="2433"/>
                <w:tab w:val="left" w:pos="2904"/>
              </w:tabs>
              <w:spacing w:line="254" w:lineRule="exact"/>
              <w:ind w:right="-15"/>
              <w:rPr>
                <w:rFonts w:ascii="Arial" w:hAnsi="Arial" w:cs="Arial"/>
                <w:sz w:val="18"/>
                <w:szCs w:val="18"/>
              </w:rPr>
            </w:pPr>
            <w:r>
              <w:rPr>
                <w:rFonts w:ascii="Arial" w:hAnsi="Arial" w:cs="Arial"/>
                <w:spacing w:val="-2"/>
                <w:w w:val="115"/>
                <w:sz w:val="18"/>
                <w:szCs w:val="18"/>
              </w:rPr>
              <w:t>Senos</w:t>
            </w:r>
            <w:r>
              <w:rPr>
                <w:rFonts w:ascii="Arial" w:hAnsi="Arial" w:cs="Arial"/>
                <w:sz w:val="18"/>
                <w:szCs w:val="18"/>
              </w:rPr>
              <w:tab/>
            </w:r>
            <w:r>
              <w:rPr>
                <w:rFonts w:ascii="Arial" w:hAnsi="Arial" w:cs="Arial"/>
                <w:spacing w:val="-2"/>
                <w:w w:val="115"/>
                <w:sz w:val="18"/>
                <w:szCs w:val="18"/>
              </w:rPr>
              <w:t>paranasales</w:t>
            </w:r>
            <w:r>
              <w:rPr>
                <w:rFonts w:ascii="Arial" w:hAnsi="Arial" w:cs="Arial"/>
                <w:sz w:val="18"/>
                <w:szCs w:val="18"/>
              </w:rPr>
              <w:tab/>
            </w:r>
            <w:r>
              <w:rPr>
                <w:rFonts w:ascii="Arial" w:hAnsi="Arial" w:cs="Arial"/>
                <w:spacing w:val="-10"/>
                <w:w w:val="115"/>
                <w:sz w:val="18"/>
                <w:szCs w:val="18"/>
              </w:rPr>
              <w:t>2</w:t>
            </w:r>
            <w:r>
              <w:rPr>
                <w:rFonts w:ascii="Arial" w:hAnsi="Arial" w:cs="Arial"/>
                <w:sz w:val="18"/>
                <w:szCs w:val="18"/>
              </w:rPr>
              <w:tab/>
            </w:r>
            <w:r>
              <w:rPr>
                <w:rFonts w:ascii="Arial" w:hAnsi="Arial" w:cs="Arial"/>
                <w:spacing w:val="-10"/>
                <w:w w:val="115"/>
                <w:sz w:val="18"/>
                <w:szCs w:val="18"/>
              </w:rPr>
              <w:t xml:space="preserve">p </w:t>
            </w:r>
            <w:r>
              <w:rPr>
                <w:rFonts w:ascii="Arial" w:hAnsi="Arial" w:cs="Arial"/>
                <w:w w:val="115"/>
                <w:sz w:val="18"/>
                <w:szCs w:val="18"/>
              </w:rPr>
              <w:t>(</w:t>
            </w:r>
            <w:proofErr w:type="spellStart"/>
            <w:r>
              <w:rPr>
                <w:rFonts w:ascii="Arial" w:hAnsi="Arial" w:cs="Arial"/>
                <w:w w:val="115"/>
                <w:sz w:val="18"/>
                <w:szCs w:val="18"/>
              </w:rPr>
              <w:t>waters</w:t>
            </w:r>
            <w:proofErr w:type="spellEnd"/>
            <w:r>
              <w:rPr>
                <w:rFonts w:ascii="Arial" w:hAnsi="Arial" w:cs="Arial"/>
                <w:w w:val="115"/>
                <w:sz w:val="18"/>
                <w:szCs w:val="18"/>
              </w:rPr>
              <w:t xml:space="preserve"> y </w:t>
            </w:r>
            <w:proofErr w:type="spellStart"/>
            <w:r>
              <w:rPr>
                <w:rFonts w:ascii="Arial" w:hAnsi="Arial" w:cs="Arial"/>
                <w:w w:val="115"/>
                <w:sz w:val="18"/>
                <w:szCs w:val="18"/>
              </w:rPr>
              <w:t>cadwell</w:t>
            </w:r>
            <w:proofErr w:type="spellEnd"/>
            <w:r>
              <w:rPr>
                <w:rFonts w:ascii="Arial" w:hAnsi="Arial" w:cs="Arial"/>
                <w:w w:val="115"/>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77CB59A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4F3ADFB7"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20A54221"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EE6ACD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7282F2C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24A7A6D0" w14:textId="77777777" w:rsidR="00D3344B" w:rsidRDefault="00D3344B">
            <w:pPr>
              <w:pStyle w:val="TableParagraph"/>
              <w:rPr>
                <w:rFonts w:ascii="Arial" w:hAnsi="Arial" w:cs="Arial"/>
                <w:sz w:val="18"/>
                <w:szCs w:val="18"/>
              </w:rPr>
            </w:pPr>
          </w:p>
        </w:tc>
      </w:tr>
      <w:tr w:rsidR="00D3344B" w14:paraId="3B57861F"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67E540A9"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071</w:t>
            </w:r>
          </w:p>
        </w:tc>
        <w:tc>
          <w:tcPr>
            <w:tcW w:w="3038" w:type="dxa"/>
            <w:tcBorders>
              <w:top w:val="single" w:sz="4" w:space="0" w:color="000000"/>
              <w:left w:val="single" w:sz="4" w:space="0" w:color="000000"/>
              <w:bottom w:val="single" w:sz="4" w:space="0" w:color="000000"/>
              <w:right w:val="single" w:sz="4" w:space="0" w:color="000000"/>
            </w:tcBorders>
          </w:tcPr>
          <w:p w14:paraId="60EE7C84" w14:textId="77777777" w:rsidR="00D3344B" w:rsidRDefault="00143C25">
            <w:pPr>
              <w:pStyle w:val="TableParagraph"/>
              <w:tabs>
                <w:tab w:val="left" w:pos="953"/>
                <w:tab w:val="left" w:pos="2433"/>
                <w:tab w:val="left" w:pos="2904"/>
              </w:tabs>
              <w:spacing w:line="250" w:lineRule="exact"/>
              <w:ind w:right="-15"/>
              <w:rPr>
                <w:rFonts w:ascii="Arial" w:hAnsi="Arial" w:cs="Arial"/>
                <w:sz w:val="18"/>
                <w:szCs w:val="18"/>
              </w:rPr>
            </w:pPr>
            <w:r>
              <w:rPr>
                <w:rFonts w:ascii="Arial" w:hAnsi="Arial" w:cs="Arial"/>
                <w:spacing w:val="-2"/>
                <w:w w:val="115"/>
                <w:sz w:val="18"/>
                <w:szCs w:val="18"/>
              </w:rPr>
              <w:t>Senos</w:t>
            </w:r>
            <w:r>
              <w:rPr>
                <w:rFonts w:ascii="Arial" w:hAnsi="Arial" w:cs="Arial"/>
                <w:sz w:val="18"/>
                <w:szCs w:val="18"/>
              </w:rPr>
              <w:tab/>
            </w:r>
            <w:r>
              <w:rPr>
                <w:rFonts w:ascii="Arial" w:hAnsi="Arial" w:cs="Arial"/>
                <w:spacing w:val="-2"/>
                <w:w w:val="115"/>
                <w:sz w:val="18"/>
                <w:szCs w:val="18"/>
              </w:rPr>
              <w:t>paranasales</w:t>
            </w:r>
            <w:r>
              <w:rPr>
                <w:rFonts w:ascii="Arial" w:hAnsi="Arial" w:cs="Arial"/>
                <w:sz w:val="18"/>
                <w:szCs w:val="18"/>
              </w:rPr>
              <w:tab/>
            </w:r>
            <w:r>
              <w:rPr>
                <w:rFonts w:ascii="Arial" w:hAnsi="Arial" w:cs="Arial"/>
                <w:spacing w:val="-10"/>
                <w:w w:val="115"/>
                <w:sz w:val="18"/>
                <w:szCs w:val="18"/>
              </w:rPr>
              <w:t>3</w:t>
            </w:r>
            <w:r>
              <w:rPr>
                <w:rFonts w:ascii="Arial" w:hAnsi="Arial" w:cs="Arial"/>
                <w:sz w:val="18"/>
                <w:szCs w:val="18"/>
              </w:rPr>
              <w:tab/>
            </w:r>
            <w:r>
              <w:rPr>
                <w:rFonts w:ascii="Arial" w:hAnsi="Arial" w:cs="Arial"/>
                <w:spacing w:val="-10"/>
                <w:w w:val="115"/>
                <w:sz w:val="18"/>
                <w:szCs w:val="18"/>
              </w:rPr>
              <w:t>p</w:t>
            </w:r>
          </w:p>
          <w:p w14:paraId="382BCE16" w14:textId="77777777" w:rsidR="00D3344B" w:rsidRDefault="00143C25">
            <w:pPr>
              <w:pStyle w:val="TableParagraph"/>
              <w:spacing w:before="1" w:line="233" w:lineRule="exact"/>
              <w:rPr>
                <w:rFonts w:ascii="Arial" w:hAnsi="Arial" w:cs="Arial"/>
                <w:sz w:val="18"/>
                <w:szCs w:val="18"/>
              </w:rPr>
            </w:pPr>
            <w:r>
              <w:rPr>
                <w:rFonts w:ascii="Arial" w:hAnsi="Arial" w:cs="Arial"/>
                <w:w w:val="115"/>
                <w:sz w:val="18"/>
                <w:szCs w:val="18"/>
              </w:rPr>
              <w:t>(</w:t>
            </w:r>
            <w:proofErr w:type="spellStart"/>
            <w:r>
              <w:rPr>
                <w:rFonts w:ascii="Arial" w:hAnsi="Arial" w:cs="Arial"/>
                <w:w w:val="115"/>
                <w:sz w:val="18"/>
                <w:szCs w:val="18"/>
              </w:rPr>
              <w:t>waters</w:t>
            </w:r>
            <w:proofErr w:type="spellEnd"/>
            <w:r>
              <w:rPr>
                <w:rFonts w:ascii="Arial" w:hAnsi="Arial" w:cs="Arial"/>
                <w:w w:val="115"/>
                <w:sz w:val="18"/>
                <w:szCs w:val="18"/>
              </w:rPr>
              <w:t>,</w:t>
            </w:r>
            <w:r>
              <w:rPr>
                <w:rFonts w:ascii="Arial" w:hAnsi="Arial" w:cs="Arial"/>
                <w:spacing w:val="-9"/>
                <w:w w:val="115"/>
                <w:sz w:val="18"/>
                <w:szCs w:val="18"/>
              </w:rPr>
              <w:t xml:space="preserve"> </w:t>
            </w:r>
            <w:proofErr w:type="spellStart"/>
            <w:r>
              <w:rPr>
                <w:rFonts w:ascii="Arial" w:hAnsi="Arial" w:cs="Arial"/>
                <w:w w:val="115"/>
                <w:sz w:val="18"/>
                <w:szCs w:val="18"/>
              </w:rPr>
              <w:t>cadwell</w:t>
            </w:r>
            <w:proofErr w:type="spellEnd"/>
            <w:r>
              <w:rPr>
                <w:rFonts w:ascii="Arial" w:hAnsi="Arial" w:cs="Arial"/>
                <w:spacing w:val="-7"/>
                <w:w w:val="115"/>
                <w:sz w:val="18"/>
                <w:szCs w:val="18"/>
              </w:rPr>
              <w:t xml:space="preserve"> </w:t>
            </w:r>
            <w:r>
              <w:rPr>
                <w:rFonts w:ascii="Arial" w:hAnsi="Arial" w:cs="Arial"/>
                <w:w w:val="115"/>
                <w:sz w:val="18"/>
                <w:szCs w:val="18"/>
              </w:rPr>
              <w:t>y</w:t>
            </w:r>
            <w:r>
              <w:rPr>
                <w:rFonts w:ascii="Arial" w:hAnsi="Arial" w:cs="Arial"/>
                <w:spacing w:val="-9"/>
                <w:w w:val="115"/>
                <w:sz w:val="18"/>
                <w:szCs w:val="18"/>
              </w:rPr>
              <w:t xml:space="preserve"> </w:t>
            </w:r>
            <w:r>
              <w:rPr>
                <w:rFonts w:ascii="Arial" w:hAnsi="Arial" w:cs="Arial"/>
                <w:spacing w:val="-2"/>
                <w:w w:val="115"/>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038DFEAF"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79702722"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5E9A3FF5"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5E94768A"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0094727D"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59F8DD88" w14:textId="77777777" w:rsidR="00D3344B" w:rsidRDefault="00D3344B">
            <w:pPr>
              <w:pStyle w:val="TableParagraph"/>
              <w:rPr>
                <w:rFonts w:ascii="Arial" w:hAnsi="Arial" w:cs="Arial"/>
                <w:sz w:val="18"/>
                <w:szCs w:val="18"/>
              </w:rPr>
            </w:pPr>
          </w:p>
        </w:tc>
      </w:tr>
      <w:tr w:rsidR="00D3344B" w14:paraId="0197084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7C11ECB"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072</w:t>
            </w:r>
          </w:p>
        </w:tc>
        <w:tc>
          <w:tcPr>
            <w:tcW w:w="3038" w:type="dxa"/>
            <w:tcBorders>
              <w:top w:val="single" w:sz="4" w:space="0" w:color="000000"/>
              <w:left w:val="single" w:sz="4" w:space="0" w:color="000000"/>
              <w:bottom w:val="single" w:sz="4" w:space="0" w:color="000000"/>
              <w:right w:val="single" w:sz="4" w:space="0" w:color="000000"/>
            </w:tcBorders>
          </w:tcPr>
          <w:p w14:paraId="36C708D2" w14:textId="77777777" w:rsidR="00D3344B" w:rsidRDefault="00143C25">
            <w:pPr>
              <w:pStyle w:val="TableParagraph"/>
              <w:tabs>
                <w:tab w:val="left" w:pos="1039"/>
              </w:tabs>
              <w:spacing w:line="254" w:lineRule="exact"/>
              <w:ind w:right="497"/>
              <w:rPr>
                <w:rFonts w:ascii="Arial" w:hAnsi="Arial" w:cs="Arial"/>
                <w:sz w:val="18"/>
                <w:szCs w:val="18"/>
              </w:rPr>
            </w:pPr>
            <w:r>
              <w:rPr>
                <w:rFonts w:ascii="Arial" w:hAnsi="Arial" w:cs="Arial"/>
                <w:spacing w:val="-4"/>
                <w:w w:val="115"/>
                <w:sz w:val="18"/>
                <w:szCs w:val="18"/>
              </w:rPr>
              <w:t>Serie</w:t>
            </w:r>
            <w:r>
              <w:rPr>
                <w:rFonts w:ascii="Arial" w:hAnsi="Arial" w:cs="Arial"/>
                <w:sz w:val="18"/>
                <w:szCs w:val="18"/>
              </w:rPr>
              <w:tab/>
            </w:r>
            <w:r>
              <w:rPr>
                <w:rFonts w:ascii="Arial" w:hAnsi="Arial" w:cs="Arial"/>
                <w:spacing w:val="-6"/>
                <w:w w:val="115"/>
                <w:sz w:val="18"/>
                <w:szCs w:val="18"/>
              </w:rPr>
              <w:t xml:space="preserve">gastroduodenal </w:t>
            </w:r>
            <w:r>
              <w:rPr>
                <w:rFonts w:ascii="Arial" w:hAnsi="Arial" w:cs="Arial"/>
                <w:w w:val="115"/>
                <w:sz w:val="18"/>
                <w:szCs w:val="18"/>
              </w:rPr>
              <w:t>pediátrica con Bario</w:t>
            </w:r>
          </w:p>
        </w:tc>
        <w:tc>
          <w:tcPr>
            <w:tcW w:w="697" w:type="dxa"/>
            <w:tcBorders>
              <w:top w:val="single" w:sz="4" w:space="0" w:color="000000"/>
              <w:left w:val="single" w:sz="4" w:space="0" w:color="000000"/>
              <w:bottom w:val="single" w:sz="4" w:space="0" w:color="000000"/>
              <w:right w:val="single" w:sz="4" w:space="0" w:color="000000"/>
            </w:tcBorders>
          </w:tcPr>
          <w:p w14:paraId="0CAA272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9.75</w:t>
            </w:r>
          </w:p>
        </w:tc>
        <w:tc>
          <w:tcPr>
            <w:tcW w:w="695" w:type="dxa"/>
            <w:tcBorders>
              <w:top w:val="single" w:sz="4" w:space="0" w:color="000000"/>
              <w:left w:val="single" w:sz="4" w:space="0" w:color="000000"/>
              <w:bottom w:val="single" w:sz="4" w:space="0" w:color="000000"/>
              <w:right w:val="single" w:sz="4" w:space="0" w:color="000000"/>
            </w:tcBorders>
          </w:tcPr>
          <w:p w14:paraId="76AD9660" w14:textId="77777777" w:rsidR="00D3344B" w:rsidRDefault="00143C25">
            <w:pPr>
              <w:pStyle w:val="TableParagraph"/>
              <w:rPr>
                <w:rFonts w:ascii="Arial" w:hAnsi="Arial" w:cs="Arial"/>
                <w:sz w:val="18"/>
                <w:szCs w:val="18"/>
              </w:rPr>
            </w:pPr>
            <w:r>
              <w:rPr>
                <w:rFonts w:ascii="Arial" w:hAnsi="Arial" w:cs="Arial"/>
                <w:spacing w:val="-4"/>
                <w:w w:val="115"/>
                <w:sz w:val="18"/>
                <w:szCs w:val="18"/>
              </w:rPr>
              <w:t>9.00</w:t>
            </w:r>
          </w:p>
        </w:tc>
        <w:tc>
          <w:tcPr>
            <w:tcW w:w="699" w:type="dxa"/>
            <w:tcBorders>
              <w:top w:val="single" w:sz="4" w:space="0" w:color="000000"/>
              <w:left w:val="single" w:sz="4" w:space="0" w:color="000000"/>
              <w:bottom w:val="single" w:sz="4" w:space="0" w:color="000000"/>
              <w:right w:val="single" w:sz="4" w:space="0" w:color="000000"/>
            </w:tcBorders>
          </w:tcPr>
          <w:p w14:paraId="7C6EE771"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45B1E2F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545C325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7004C218" w14:textId="77777777" w:rsidR="00D3344B" w:rsidRDefault="00D3344B">
            <w:pPr>
              <w:pStyle w:val="TableParagraph"/>
              <w:rPr>
                <w:rFonts w:ascii="Arial" w:hAnsi="Arial" w:cs="Arial"/>
                <w:sz w:val="18"/>
                <w:szCs w:val="18"/>
              </w:rPr>
            </w:pPr>
          </w:p>
        </w:tc>
      </w:tr>
      <w:tr w:rsidR="00D3344B" w14:paraId="44E37875"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1A258BD9" w14:textId="77777777" w:rsidR="00D3344B" w:rsidRDefault="00D3344B">
            <w:pPr>
              <w:pStyle w:val="TableParagraph"/>
              <w:spacing w:before="9"/>
              <w:rPr>
                <w:rFonts w:ascii="Arial" w:hAnsi="Arial" w:cs="Arial"/>
                <w:sz w:val="18"/>
                <w:szCs w:val="18"/>
              </w:rPr>
            </w:pPr>
          </w:p>
          <w:p w14:paraId="2D72C792"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073</w:t>
            </w:r>
          </w:p>
        </w:tc>
        <w:tc>
          <w:tcPr>
            <w:tcW w:w="3038" w:type="dxa"/>
            <w:tcBorders>
              <w:top w:val="single" w:sz="4" w:space="0" w:color="000000"/>
              <w:left w:val="single" w:sz="4" w:space="0" w:color="000000"/>
              <w:bottom w:val="single" w:sz="4" w:space="0" w:color="000000"/>
              <w:right w:val="single" w:sz="4" w:space="0" w:color="000000"/>
            </w:tcBorders>
          </w:tcPr>
          <w:p w14:paraId="275EF2D0" w14:textId="77777777" w:rsidR="00D3344B" w:rsidRDefault="00143C25">
            <w:pPr>
              <w:pStyle w:val="TableParagraph"/>
              <w:tabs>
                <w:tab w:val="left" w:pos="1039"/>
              </w:tabs>
              <w:spacing w:line="249" w:lineRule="exact"/>
              <w:rPr>
                <w:rFonts w:ascii="Arial" w:hAnsi="Arial" w:cs="Arial"/>
                <w:sz w:val="18"/>
                <w:szCs w:val="18"/>
              </w:rPr>
            </w:pPr>
            <w:r>
              <w:rPr>
                <w:rFonts w:ascii="Arial" w:hAnsi="Arial" w:cs="Arial"/>
                <w:spacing w:val="-4"/>
                <w:w w:val="115"/>
                <w:sz w:val="18"/>
                <w:szCs w:val="18"/>
              </w:rPr>
              <w:t>Serie</w:t>
            </w:r>
            <w:r>
              <w:rPr>
                <w:rFonts w:ascii="Arial" w:hAnsi="Arial" w:cs="Arial"/>
                <w:sz w:val="18"/>
                <w:szCs w:val="18"/>
              </w:rPr>
              <w:tab/>
            </w:r>
            <w:r>
              <w:rPr>
                <w:rFonts w:ascii="Arial" w:hAnsi="Arial" w:cs="Arial"/>
                <w:spacing w:val="-2"/>
                <w:w w:val="115"/>
                <w:sz w:val="18"/>
                <w:szCs w:val="18"/>
              </w:rPr>
              <w:t>gastroduodenal</w:t>
            </w:r>
          </w:p>
          <w:p w14:paraId="0095CB54" w14:textId="77777777" w:rsidR="00D3344B" w:rsidRDefault="00143C25">
            <w:pPr>
              <w:pStyle w:val="TableParagraph"/>
              <w:tabs>
                <w:tab w:val="left" w:pos="1317"/>
                <w:tab w:val="left" w:pos="2000"/>
              </w:tabs>
              <w:spacing w:line="252" w:lineRule="exact"/>
              <w:ind w:right="57"/>
              <w:rPr>
                <w:rFonts w:ascii="Arial" w:hAnsi="Arial" w:cs="Arial"/>
                <w:sz w:val="18"/>
                <w:szCs w:val="18"/>
              </w:rPr>
            </w:pPr>
            <w:r>
              <w:rPr>
                <w:rFonts w:ascii="Arial" w:hAnsi="Arial" w:cs="Arial"/>
                <w:spacing w:val="-2"/>
                <w:w w:val="115"/>
                <w:sz w:val="18"/>
                <w:szCs w:val="18"/>
              </w:rPr>
              <w:t>pediátrica</w:t>
            </w:r>
            <w:r>
              <w:rPr>
                <w:rFonts w:ascii="Arial" w:hAnsi="Arial" w:cs="Arial"/>
                <w:sz w:val="18"/>
                <w:szCs w:val="18"/>
              </w:rPr>
              <w:tab/>
            </w:r>
            <w:r>
              <w:rPr>
                <w:rFonts w:ascii="Arial" w:hAnsi="Arial" w:cs="Arial"/>
                <w:spacing w:val="-4"/>
                <w:w w:val="115"/>
                <w:sz w:val="18"/>
                <w:szCs w:val="18"/>
              </w:rPr>
              <w:t>con</w:t>
            </w:r>
            <w:r>
              <w:rPr>
                <w:rFonts w:ascii="Arial" w:hAnsi="Arial" w:cs="Arial"/>
                <w:sz w:val="18"/>
                <w:szCs w:val="18"/>
              </w:rPr>
              <w:tab/>
            </w:r>
            <w:r>
              <w:rPr>
                <w:rFonts w:ascii="Arial" w:hAnsi="Arial" w:cs="Arial"/>
                <w:spacing w:val="-2"/>
                <w:w w:val="115"/>
                <w:sz w:val="18"/>
                <w:szCs w:val="18"/>
              </w:rPr>
              <w:t>Contraste Hidrosoluble</w:t>
            </w:r>
          </w:p>
        </w:tc>
        <w:tc>
          <w:tcPr>
            <w:tcW w:w="697" w:type="dxa"/>
            <w:tcBorders>
              <w:top w:val="single" w:sz="4" w:space="0" w:color="000000"/>
              <w:left w:val="single" w:sz="4" w:space="0" w:color="000000"/>
              <w:bottom w:val="single" w:sz="4" w:space="0" w:color="000000"/>
              <w:right w:val="single" w:sz="4" w:space="0" w:color="000000"/>
            </w:tcBorders>
          </w:tcPr>
          <w:p w14:paraId="0DA6025D" w14:textId="77777777" w:rsidR="00D3344B" w:rsidRDefault="00D3344B">
            <w:pPr>
              <w:pStyle w:val="TableParagraph"/>
              <w:spacing w:before="9"/>
              <w:rPr>
                <w:rFonts w:ascii="Arial" w:hAnsi="Arial" w:cs="Arial"/>
                <w:sz w:val="18"/>
                <w:szCs w:val="18"/>
              </w:rPr>
            </w:pPr>
          </w:p>
          <w:p w14:paraId="34B5656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2DFF927C" w14:textId="77777777" w:rsidR="00D3344B" w:rsidRDefault="00D3344B">
            <w:pPr>
              <w:pStyle w:val="TableParagraph"/>
              <w:spacing w:before="9"/>
              <w:rPr>
                <w:rFonts w:ascii="Arial" w:hAnsi="Arial" w:cs="Arial"/>
                <w:sz w:val="18"/>
                <w:szCs w:val="18"/>
              </w:rPr>
            </w:pPr>
          </w:p>
          <w:p w14:paraId="40A35AC4" w14:textId="77777777" w:rsidR="00D3344B" w:rsidRDefault="00143C25">
            <w:pPr>
              <w:pStyle w:val="TableParagraph"/>
              <w:rPr>
                <w:rFonts w:ascii="Arial" w:hAnsi="Arial" w:cs="Arial"/>
                <w:sz w:val="18"/>
                <w:szCs w:val="18"/>
              </w:rPr>
            </w:pPr>
            <w:r>
              <w:rPr>
                <w:rFonts w:ascii="Arial" w:hAnsi="Arial" w:cs="Arial"/>
                <w:spacing w:val="-4"/>
                <w:w w:val="115"/>
                <w:sz w:val="18"/>
                <w:szCs w:val="18"/>
              </w:rPr>
              <w:t>14.75</w:t>
            </w:r>
          </w:p>
        </w:tc>
        <w:tc>
          <w:tcPr>
            <w:tcW w:w="699" w:type="dxa"/>
            <w:tcBorders>
              <w:top w:val="single" w:sz="4" w:space="0" w:color="000000"/>
              <w:left w:val="single" w:sz="4" w:space="0" w:color="000000"/>
              <w:bottom w:val="single" w:sz="4" w:space="0" w:color="000000"/>
              <w:right w:val="single" w:sz="4" w:space="0" w:color="000000"/>
            </w:tcBorders>
          </w:tcPr>
          <w:p w14:paraId="55DDE220" w14:textId="77777777" w:rsidR="00D3344B" w:rsidRDefault="00D3344B">
            <w:pPr>
              <w:pStyle w:val="TableParagraph"/>
              <w:spacing w:before="9"/>
              <w:rPr>
                <w:rFonts w:ascii="Arial" w:hAnsi="Arial" w:cs="Arial"/>
                <w:sz w:val="18"/>
                <w:szCs w:val="18"/>
              </w:rPr>
            </w:pPr>
          </w:p>
          <w:p w14:paraId="3C38C60F" w14:textId="77777777" w:rsidR="00D3344B" w:rsidRDefault="00143C25">
            <w:pPr>
              <w:pStyle w:val="TableParagraph"/>
              <w:rPr>
                <w:rFonts w:ascii="Arial" w:hAnsi="Arial" w:cs="Arial"/>
                <w:sz w:val="18"/>
                <w:szCs w:val="18"/>
              </w:rPr>
            </w:pPr>
            <w:r>
              <w:rPr>
                <w:rFonts w:ascii="Arial" w:hAnsi="Arial" w:cs="Arial"/>
                <w:spacing w:val="-4"/>
                <w:w w:val="115"/>
                <w:sz w:val="18"/>
                <w:szCs w:val="18"/>
              </w:rPr>
              <w:t>14.00</w:t>
            </w:r>
          </w:p>
        </w:tc>
        <w:tc>
          <w:tcPr>
            <w:tcW w:w="699" w:type="dxa"/>
            <w:tcBorders>
              <w:top w:val="single" w:sz="4" w:space="0" w:color="000000"/>
              <w:left w:val="single" w:sz="4" w:space="0" w:color="000000"/>
              <w:bottom w:val="single" w:sz="4" w:space="0" w:color="000000"/>
              <w:right w:val="single" w:sz="4" w:space="0" w:color="000000"/>
            </w:tcBorders>
          </w:tcPr>
          <w:p w14:paraId="6912FE85" w14:textId="77777777" w:rsidR="00D3344B" w:rsidRDefault="00D3344B">
            <w:pPr>
              <w:pStyle w:val="TableParagraph"/>
              <w:spacing w:before="9"/>
              <w:rPr>
                <w:rFonts w:ascii="Arial" w:hAnsi="Arial" w:cs="Arial"/>
                <w:sz w:val="18"/>
                <w:szCs w:val="18"/>
              </w:rPr>
            </w:pPr>
          </w:p>
          <w:p w14:paraId="18BB22B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13.50</w:t>
            </w:r>
          </w:p>
        </w:tc>
        <w:tc>
          <w:tcPr>
            <w:tcW w:w="696" w:type="dxa"/>
            <w:tcBorders>
              <w:top w:val="single" w:sz="4" w:space="0" w:color="000000"/>
              <w:left w:val="single" w:sz="4" w:space="0" w:color="000000"/>
              <w:bottom w:val="single" w:sz="4" w:space="0" w:color="000000"/>
              <w:right w:val="single" w:sz="4" w:space="0" w:color="000000"/>
            </w:tcBorders>
          </w:tcPr>
          <w:p w14:paraId="5E2E82C4" w14:textId="77777777" w:rsidR="00D3344B" w:rsidRDefault="00D3344B">
            <w:pPr>
              <w:pStyle w:val="TableParagraph"/>
              <w:spacing w:before="9"/>
              <w:rPr>
                <w:rFonts w:ascii="Arial" w:hAnsi="Arial" w:cs="Arial"/>
                <w:sz w:val="18"/>
                <w:szCs w:val="18"/>
              </w:rPr>
            </w:pPr>
          </w:p>
          <w:p w14:paraId="395B885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12.50</w:t>
            </w:r>
          </w:p>
        </w:tc>
        <w:tc>
          <w:tcPr>
            <w:tcW w:w="527" w:type="dxa"/>
            <w:tcBorders>
              <w:top w:val="single" w:sz="4" w:space="0" w:color="000000"/>
              <w:left w:val="single" w:sz="4" w:space="0" w:color="000000"/>
              <w:bottom w:val="single" w:sz="4" w:space="0" w:color="000000"/>
              <w:right w:val="single" w:sz="4" w:space="0" w:color="000000"/>
            </w:tcBorders>
          </w:tcPr>
          <w:p w14:paraId="078999F1" w14:textId="77777777" w:rsidR="00D3344B" w:rsidRDefault="00D3344B">
            <w:pPr>
              <w:pStyle w:val="TableParagraph"/>
              <w:rPr>
                <w:rFonts w:ascii="Arial" w:hAnsi="Arial" w:cs="Arial"/>
                <w:sz w:val="18"/>
                <w:szCs w:val="18"/>
              </w:rPr>
            </w:pPr>
          </w:p>
        </w:tc>
      </w:tr>
      <w:tr w:rsidR="00D3344B" w14:paraId="481FA26A"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5910C66"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074</w:t>
            </w:r>
          </w:p>
        </w:tc>
        <w:tc>
          <w:tcPr>
            <w:tcW w:w="3038" w:type="dxa"/>
            <w:tcBorders>
              <w:top w:val="single" w:sz="4" w:space="0" w:color="000000"/>
              <w:left w:val="single" w:sz="4" w:space="0" w:color="000000"/>
              <w:bottom w:val="single" w:sz="4" w:space="0" w:color="000000"/>
              <w:right w:val="single" w:sz="4" w:space="0" w:color="000000"/>
            </w:tcBorders>
          </w:tcPr>
          <w:p w14:paraId="0895947A" w14:textId="77777777" w:rsidR="00D3344B" w:rsidRDefault="00143C25">
            <w:pPr>
              <w:pStyle w:val="TableParagraph"/>
              <w:tabs>
                <w:tab w:val="left" w:pos="1039"/>
              </w:tabs>
              <w:spacing w:line="252" w:lineRule="exact"/>
              <w:ind w:right="497"/>
              <w:rPr>
                <w:rFonts w:ascii="Arial" w:hAnsi="Arial" w:cs="Arial"/>
                <w:sz w:val="18"/>
                <w:szCs w:val="18"/>
              </w:rPr>
            </w:pPr>
            <w:r>
              <w:rPr>
                <w:rFonts w:ascii="Arial" w:hAnsi="Arial" w:cs="Arial"/>
                <w:spacing w:val="-4"/>
                <w:w w:val="115"/>
                <w:sz w:val="18"/>
                <w:szCs w:val="18"/>
              </w:rPr>
              <w:t>Serie</w:t>
            </w:r>
            <w:r>
              <w:rPr>
                <w:rFonts w:ascii="Arial" w:hAnsi="Arial" w:cs="Arial"/>
                <w:sz w:val="18"/>
                <w:szCs w:val="18"/>
              </w:rPr>
              <w:tab/>
            </w:r>
            <w:r>
              <w:rPr>
                <w:rFonts w:ascii="Arial" w:hAnsi="Arial" w:cs="Arial"/>
                <w:spacing w:val="-6"/>
                <w:w w:val="115"/>
                <w:sz w:val="18"/>
                <w:szCs w:val="18"/>
              </w:rPr>
              <w:t xml:space="preserve">gastroduodenal </w:t>
            </w:r>
            <w:r>
              <w:rPr>
                <w:rFonts w:ascii="Arial" w:hAnsi="Arial" w:cs="Arial"/>
                <w:w w:val="115"/>
                <w:sz w:val="18"/>
                <w:szCs w:val="18"/>
              </w:rPr>
              <w:t>adulto con Bario</w:t>
            </w:r>
          </w:p>
        </w:tc>
        <w:tc>
          <w:tcPr>
            <w:tcW w:w="697" w:type="dxa"/>
            <w:tcBorders>
              <w:top w:val="single" w:sz="4" w:space="0" w:color="000000"/>
              <w:left w:val="single" w:sz="4" w:space="0" w:color="000000"/>
              <w:bottom w:val="single" w:sz="4" w:space="0" w:color="000000"/>
              <w:right w:val="single" w:sz="4" w:space="0" w:color="000000"/>
            </w:tcBorders>
          </w:tcPr>
          <w:p w14:paraId="6D6DC39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10.00</w:t>
            </w:r>
          </w:p>
        </w:tc>
        <w:tc>
          <w:tcPr>
            <w:tcW w:w="695" w:type="dxa"/>
            <w:tcBorders>
              <w:top w:val="single" w:sz="4" w:space="0" w:color="000000"/>
              <w:left w:val="single" w:sz="4" w:space="0" w:color="000000"/>
              <w:bottom w:val="single" w:sz="4" w:space="0" w:color="000000"/>
              <w:right w:val="single" w:sz="4" w:space="0" w:color="000000"/>
            </w:tcBorders>
          </w:tcPr>
          <w:p w14:paraId="26F66030" w14:textId="77777777" w:rsidR="00D3344B" w:rsidRDefault="00143C25">
            <w:pPr>
              <w:pStyle w:val="TableParagraph"/>
              <w:rPr>
                <w:rFonts w:ascii="Arial" w:hAnsi="Arial" w:cs="Arial"/>
                <w:sz w:val="18"/>
                <w:szCs w:val="18"/>
              </w:rPr>
            </w:pPr>
            <w:r>
              <w:rPr>
                <w:rFonts w:ascii="Arial" w:hAnsi="Arial" w:cs="Arial"/>
                <w:spacing w:val="-4"/>
                <w:w w:val="115"/>
                <w:sz w:val="18"/>
                <w:szCs w:val="18"/>
              </w:rPr>
              <w:t>8.75</w:t>
            </w:r>
          </w:p>
        </w:tc>
        <w:tc>
          <w:tcPr>
            <w:tcW w:w="699" w:type="dxa"/>
            <w:tcBorders>
              <w:top w:val="single" w:sz="4" w:space="0" w:color="000000"/>
              <w:left w:val="single" w:sz="4" w:space="0" w:color="000000"/>
              <w:bottom w:val="single" w:sz="4" w:space="0" w:color="000000"/>
              <w:right w:val="single" w:sz="4" w:space="0" w:color="000000"/>
            </w:tcBorders>
          </w:tcPr>
          <w:p w14:paraId="54D4D88B"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048434C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5EEA49F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5D23F94B" w14:textId="77777777" w:rsidR="00D3344B" w:rsidRDefault="00D3344B">
            <w:pPr>
              <w:pStyle w:val="TableParagraph"/>
              <w:rPr>
                <w:rFonts w:ascii="Arial" w:hAnsi="Arial" w:cs="Arial"/>
                <w:sz w:val="18"/>
                <w:szCs w:val="18"/>
              </w:rPr>
            </w:pPr>
          </w:p>
        </w:tc>
      </w:tr>
      <w:tr w:rsidR="00D3344B" w14:paraId="1FA99D3C" w14:textId="77777777">
        <w:trPr>
          <w:trHeight w:val="757"/>
        </w:trPr>
        <w:tc>
          <w:tcPr>
            <w:tcW w:w="1776" w:type="dxa"/>
            <w:tcBorders>
              <w:top w:val="single" w:sz="4" w:space="0" w:color="000000"/>
              <w:left w:val="single" w:sz="4" w:space="0" w:color="000000"/>
              <w:bottom w:val="single" w:sz="4" w:space="0" w:color="000000"/>
              <w:right w:val="single" w:sz="4" w:space="0" w:color="000000"/>
            </w:tcBorders>
          </w:tcPr>
          <w:p w14:paraId="00A69321" w14:textId="77777777" w:rsidR="00D3344B" w:rsidRDefault="00D3344B">
            <w:pPr>
              <w:pStyle w:val="TableParagraph"/>
              <w:spacing w:before="8"/>
              <w:rPr>
                <w:rFonts w:ascii="Arial" w:hAnsi="Arial" w:cs="Arial"/>
                <w:sz w:val="18"/>
                <w:szCs w:val="18"/>
              </w:rPr>
            </w:pPr>
          </w:p>
          <w:p w14:paraId="11670B91"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075</w:t>
            </w:r>
          </w:p>
        </w:tc>
        <w:tc>
          <w:tcPr>
            <w:tcW w:w="3038" w:type="dxa"/>
            <w:tcBorders>
              <w:top w:val="single" w:sz="4" w:space="0" w:color="000000"/>
              <w:left w:val="single" w:sz="4" w:space="0" w:color="000000"/>
              <w:bottom w:val="single" w:sz="4" w:space="0" w:color="000000"/>
              <w:right w:val="single" w:sz="4" w:space="0" w:color="000000"/>
            </w:tcBorders>
          </w:tcPr>
          <w:p w14:paraId="39338475" w14:textId="77777777" w:rsidR="00D3344B" w:rsidRDefault="00143C25">
            <w:pPr>
              <w:pStyle w:val="TableParagraph"/>
              <w:tabs>
                <w:tab w:val="left" w:pos="888"/>
                <w:tab w:val="left" w:pos="1039"/>
                <w:tab w:val="left" w:pos="1483"/>
              </w:tabs>
              <w:ind w:right="497"/>
              <w:rPr>
                <w:rFonts w:ascii="Arial" w:hAnsi="Arial" w:cs="Arial"/>
                <w:sz w:val="18"/>
                <w:szCs w:val="18"/>
              </w:rPr>
            </w:pPr>
            <w:r>
              <w:rPr>
                <w:rFonts w:ascii="Arial" w:hAnsi="Arial" w:cs="Arial"/>
                <w:spacing w:val="-4"/>
                <w:w w:val="115"/>
                <w:sz w:val="18"/>
                <w:szCs w:val="18"/>
              </w:rPr>
              <w:t>Serie</w:t>
            </w:r>
            <w:r>
              <w:rPr>
                <w:rFonts w:ascii="Arial" w:hAnsi="Arial" w:cs="Arial"/>
                <w:sz w:val="18"/>
                <w:szCs w:val="18"/>
              </w:rPr>
              <w:tab/>
            </w:r>
            <w:r>
              <w:rPr>
                <w:rFonts w:ascii="Arial" w:hAnsi="Arial" w:cs="Arial"/>
                <w:sz w:val="18"/>
                <w:szCs w:val="18"/>
              </w:rPr>
              <w:tab/>
            </w:r>
            <w:r>
              <w:rPr>
                <w:rFonts w:ascii="Arial" w:hAnsi="Arial" w:cs="Arial"/>
                <w:spacing w:val="-6"/>
                <w:w w:val="115"/>
                <w:sz w:val="18"/>
                <w:szCs w:val="18"/>
              </w:rPr>
              <w:t xml:space="preserve">gastroduodenal </w:t>
            </w:r>
            <w:r>
              <w:rPr>
                <w:rFonts w:ascii="Arial" w:hAnsi="Arial" w:cs="Arial"/>
                <w:spacing w:val="-2"/>
                <w:w w:val="115"/>
                <w:sz w:val="18"/>
                <w:szCs w:val="18"/>
              </w:rPr>
              <w:t>adulto</w:t>
            </w:r>
            <w:r>
              <w:rPr>
                <w:rFonts w:ascii="Arial" w:hAnsi="Arial" w:cs="Arial"/>
                <w:sz w:val="18"/>
                <w:szCs w:val="18"/>
              </w:rPr>
              <w:tab/>
            </w:r>
            <w:r>
              <w:rPr>
                <w:rFonts w:ascii="Arial" w:hAnsi="Arial" w:cs="Arial"/>
                <w:spacing w:val="-4"/>
                <w:w w:val="115"/>
                <w:sz w:val="18"/>
                <w:szCs w:val="18"/>
              </w:rPr>
              <w:t>con</w:t>
            </w:r>
            <w:r>
              <w:rPr>
                <w:rFonts w:ascii="Arial" w:hAnsi="Arial" w:cs="Arial"/>
                <w:sz w:val="18"/>
                <w:szCs w:val="18"/>
              </w:rPr>
              <w:tab/>
            </w:r>
            <w:r>
              <w:rPr>
                <w:rFonts w:ascii="Arial" w:hAnsi="Arial" w:cs="Arial"/>
                <w:spacing w:val="-2"/>
                <w:w w:val="115"/>
                <w:sz w:val="18"/>
                <w:szCs w:val="18"/>
              </w:rPr>
              <w:t>Contraste</w:t>
            </w:r>
          </w:p>
          <w:p w14:paraId="086D4620" w14:textId="77777777" w:rsidR="00D3344B" w:rsidRDefault="00143C25">
            <w:pPr>
              <w:pStyle w:val="TableParagraph"/>
              <w:spacing w:line="233" w:lineRule="exact"/>
              <w:rPr>
                <w:rFonts w:ascii="Arial" w:hAnsi="Arial" w:cs="Arial"/>
                <w:sz w:val="18"/>
                <w:szCs w:val="18"/>
              </w:rPr>
            </w:pPr>
            <w:r>
              <w:rPr>
                <w:rFonts w:ascii="Arial" w:hAnsi="Arial" w:cs="Arial"/>
                <w:spacing w:val="-2"/>
                <w:w w:val="110"/>
                <w:sz w:val="18"/>
                <w:szCs w:val="18"/>
              </w:rPr>
              <w:t>Hidrosoluble</w:t>
            </w:r>
          </w:p>
        </w:tc>
        <w:tc>
          <w:tcPr>
            <w:tcW w:w="697" w:type="dxa"/>
            <w:tcBorders>
              <w:top w:val="single" w:sz="4" w:space="0" w:color="000000"/>
              <w:left w:val="single" w:sz="4" w:space="0" w:color="000000"/>
              <w:bottom w:val="single" w:sz="4" w:space="0" w:color="000000"/>
              <w:right w:val="single" w:sz="4" w:space="0" w:color="000000"/>
            </w:tcBorders>
          </w:tcPr>
          <w:p w14:paraId="6327EBAD" w14:textId="77777777" w:rsidR="00D3344B" w:rsidRDefault="00D3344B">
            <w:pPr>
              <w:pStyle w:val="TableParagraph"/>
              <w:spacing w:before="8"/>
              <w:rPr>
                <w:rFonts w:ascii="Arial" w:hAnsi="Arial" w:cs="Arial"/>
                <w:sz w:val="18"/>
                <w:szCs w:val="18"/>
              </w:rPr>
            </w:pPr>
          </w:p>
          <w:p w14:paraId="0D893294"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31.00</w:t>
            </w:r>
          </w:p>
        </w:tc>
        <w:tc>
          <w:tcPr>
            <w:tcW w:w="695" w:type="dxa"/>
            <w:tcBorders>
              <w:top w:val="single" w:sz="4" w:space="0" w:color="000000"/>
              <w:left w:val="single" w:sz="4" w:space="0" w:color="000000"/>
              <w:bottom w:val="single" w:sz="4" w:space="0" w:color="000000"/>
              <w:right w:val="single" w:sz="4" w:space="0" w:color="000000"/>
            </w:tcBorders>
          </w:tcPr>
          <w:p w14:paraId="63660C5D" w14:textId="77777777" w:rsidR="00D3344B" w:rsidRDefault="00D3344B">
            <w:pPr>
              <w:pStyle w:val="TableParagraph"/>
              <w:spacing w:before="8"/>
              <w:rPr>
                <w:rFonts w:ascii="Arial" w:hAnsi="Arial" w:cs="Arial"/>
                <w:sz w:val="18"/>
                <w:szCs w:val="18"/>
              </w:rPr>
            </w:pPr>
          </w:p>
          <w:p w14:paraId="5CF5394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27.75</w:t>
            </w:r>
          </w:p>
        </w:tc>
        <w:tc>
          <w:tcPr>
            <w:tcW w:w="699" w:type="dxa"/>
            <w:tcBorders>
              <w:top w:val="single" w:sz="4" w:space="0" w:color="000000"/>
              <w:left w:val="single" w:sz="4" w:space="0" w:color="000000"/>
              <w:bottom w:val="single" w:sz="4" w:space="0" w:color="000000"/>
              <w:right w:val="single" w:sz="4" w:space="0" w:color="000000"/>
            </w:tcBorders>
          </w:tcPr>
          <w:p w14:paraId="46A25AEA" w14:textId="77777777" w:rsidR="00D3344B" w:rsidRDefault="00D3344B">
            <w:pPr>
              <w:pStyle w:val="TableParagraph"/>
              <w:spacing w:before="8"/>
              <w:rPr>
                <w:rFonts w:ascii="Arial" w:hAnsi="Arial" w:cs="Arial"/>
                <w:sz w:val="18"/>
                <w:szCs w:val="18"/>
              </w:rPr>
            </w:pPr>
          </w:p>
          <w:p w14:paraId="5D8696DA"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24.75</w:t>
            </w:r>
          </w:p>
        </w:tc>
        <w:tc>
          <w:tcPr>
            <w:tcW w:w="699" w:type="dxa"/>
            <w:tcBorders>
              <w:top w:val="single" w:sz="4" w:space="0" w:color="000000"/>
              <w:left w:val="single" w:sz="4" w:space="0" w:color="000000"/>
              <w:bottom w:val="single" w:sz="4" w:space="0" w:color="000000"/>
              <w:right w:val="single" w:sz="4" w:space="0" w:color="000000"/>
            </w:tcBorders>
          </w:tcPr>
          <w:p w14:paraId="0F560CDA" w14:textId="77777777" w:rsidR="00D3344B" w:rsidRDefault="00D3344B">
            <w:pPr>
              <w:pStyle w:val="TableParagraph"/>
              <w:spacing w:before="8"/>
              <w:rPr>
                <w:rFonts w:ascii="Arial" w:hAnsi="Arial" w:cs="Arial"/>
                <w:sz w:val="18"/>
                <w:szCs w:val="18"/>
              </w:rPr>
            </w:pPr>
          </w:p>
          <w:p w14:paraId="7337D0F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21.75</w:t>
            </w:r>
          </w:p>
        </w:tc>
        <w:tc>
          <w:tcPr>
            <w:tcW w:w="696" w:type="dxa"/>
            <w:tcBorders>
              <w:top w:val="single" w:sz="4" w:space="0" w:color="000000"/>
              <w:left w:val="single" w:sz="4" w:space="0" w:color="000000"/>
              <w:bottom w:val="single" w:sz="4" w:space="0" w:color="000000"/>
              <w:right w:val="single" w:sz="4" w:space="0" w:color="000000"/>
            </w:tcBorders>
          </w:tcPr>
          <w:p w14:paraId="3F59C39E" w14:textId="77777777" w:rsidR="00D3344B" w:rsidRDefault="00D3344B">
            <w:pPr>
              <w:pStyle w:val="TableParagraph"/>
              <w:spacing w:before="8"/>
              <w:rPr>
                <w:rFonts w:ascii="Arial" w:hAnsi="Arial" w:cs="Arial"/>
                <w:sz w:val="18"/>
                <w:szCs w:val="18"/>
              </w:rPr>
            </w:pPr>
          </w:p>
          <w:p w14:paraId="71B25D5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20.00</w:t>
            </w:r>
          </w:p>
        </w:tc>
        <w:tc>
          <w:tcPr>
            <w:tcW w:w="527" w:type="dxa"/>
            <w:tcBorders>
              <w:top w:val="single" w:sz="4" w:space="0" w:color="000000"/>
              <w:left w:val="single" w:sz="4" w:space="0" w:color="000000"/>
              <w:bottom w:val="single" w:sz="4" w:space="0" w:color="000000"/>
              <w:right w:val="single" w:sz="4" w:space="0" w:color="000000"/>
            </w:tcBorders>
          </w:tcPr>
          <w:p w14:paraId="62B39D62" w14:textId="77777777" w:rsidR="00D3344B" w:rsidRDefault="00D3344B">
            <w:pPr>
              <w:pStyle w:val="TableParagraph"/>
              <w:rPr>
                <w:rFonts w:ascii="Arial" w:hAnsi="Arial" w:cs="Arial"/>
                <w:sz w:val="18"/>
                <w:szCs w:val="18"/>
              </w:rPr>
            </w:pPr>
          </w:p>
        </w:tc>
      </w:tr>
      <w:tr w:rsidR="00D3344B" w14:paraId="471BF250"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4901B819"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076</w:t>
            </w:r>
          </w:p>
        </w:tc>
        <w:tc>
          <w:tcPr>
            <w:tcW w:w="3038" w:type="dxa"/>
            <w:tcBorders>
              <w:top w:val="single" w:sz="4" w:space="0" w:color="000000"/>
              <w:left w:val="single" w:sz="4" w:space="0" w:color="000000"/>
              <w:bottom w:val="single" w:sz="4" w:space="0" w:color="000000"/>
              <w:right w:val="single" w:sz="4" w:space="0" w:color="000000"/>
            </w:tcBorders>
          </w:tcPr>
          <w:p w14:paraId="620084DA" w14:textId="77777777" w:rsidR="00D3344B" w:rsidRDefault="00143C25">
            <w:pPr>
              <w:pStyle w:val="TableParagraph"/>
              <w:spacing w:line="252" w:lineRule="exact"/>
              <w:rPr>
                <w:rFonts w:ascii="Arial" w:hAnsi="Arial" w:cs="Arial"/>
                <w:sz w:val="18"/>
                <w:szCs w:val="18"/>
              </w:rPr>
            </w:pPr>
            <w:r>
              <w:rPr>
                <w:rFonts w:ascii="Arial" w:hAnsi="Arial" w:cs="Arial"/>
                <w:spacing w:val="-2"/>
                <w:w w:val="115"/>
                <w:sz w:val="18"/>
                <w:szCs w:val="18"/>
              </w:rPr>
              <w:t>Tránsito</w:t>
            </w:r>
            <w:r>
              <w:rPr>
                <w:rFonts w:ascii="Arial" w:hAnsi="Arial" w:cs="Arial"/>
                <w:spacing w:val="-3"/>
                <w:w w:val="115"/>
                <w:sz w:val="18"/>
                <w:szCs w:val="18"/>
              </w:rPr>
              <w:t xml:space="preserve"> </w:t>
            </w:r>
            <w:r>
              <w:rPr>
                <w:rFonts w:ascii="Arial" w:hAnsi="Arial" w:cs="Arial"/>
                <w:spacing w:val="-2"/>
                <w:w w:val="115"/>
                <w:sz w:val="18"/>
                <w:szCs w:val="18"/>
              </w:rPr>
              <w:t>Intestinal</w:t>
            </w:r>
          </w:p>
        </w:tc>
        <w:tc>
          <w:tcPr>
            <w:tcW w:w="697" w:type="dxa"/>
            <w:tcBorders>
              <w:top w:val="single" w:sz="4" w:space="0" w:color="000000"/>
              <w:left w:val="single" w:sz="4" w:space="0" w:color="000000"/>
              <w:bottom w:val="single" w:sz="4" w:space="0" w:color="000000"/>
              <w:right w:val="single" w:sz="4" w:space="0" w:color="000000"/>
            </w:tcBorders>
          </w:tcPr>
          <w:p w14:paraId="48F57D01"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31.75</w:t>
            </w:r>
          </w:p>
        </w:tc>
        <w:tc>
          <w:tcPr>
            <w:tcW w:w="695" w:type="dxa"/>
            <w:tcBorders>
              <w:top w:val="single" w:sz="4" w:space="0" w:color="000000"/>
              <w:left w:val="single" w:sz="4" w:space="0" w:color="000000"/>
              <w:bottom w:val="single" w:sz="4" w:space="0" w:color="000000"/>
              <w:right w:val="single" w:sz="4" w:space="0" w:color="000000"/>
            </w:tcBorders>
          </w:tcPr>
          <w:p w14:paraId="0CC97917"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28.75</w:t>
            </w:r>
          </w:p>
        </w:tc>
        <w:tc>
          <w:tcPr>
            <w:tcW w:w="699" w:type="dxa"/>
            <w:tcBorders>
              <w:top w:val="single" w:sz="4" w:space="0" w:color="000000"/>
              <w:left w:val="single" w:sz="4" w:space="0" w:color="000000"/>
              <w:bottom w:val="single" w:sz="4" w:space="0" w:color="000000"/>
              <w:right w:val="single" w:sz="4" w:space="0" w:color="000000"/>
            </w:tcBorders>
          </w:tcPr>
          <w:p w14:paraId="28372626"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25.75</w:t>
            </w:r>
          </w:p>
        </w:tc>
        <w:tc>
          <w:tcPr>
            <w:tcW w:w="699" w:type="dxa"/>
            <w:tcBorders>
              <w:top w:val="single" w:sz="4" w:space="0" w:color="000000"/>
              <w:left w:val="single" w:sz="4" w:space="0" w:color="000000"/>
              <w:bottom w:val="single" w:sz="4" w:space="0" w:color="000000"/>
              <w:right w:val="single" w:sz="4" w:space="0" w:color="000000"/>
            </w:tcBorders>
          </w:tcPr>
          <w:p w14:paraId="66BF3B85"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22.50</w:t>
            </w:r>
          </w:p>
        </w:tc>
        <w:tc>
          <w:tcPr>
            <w:tcW w:w="696" w:type="dxa"/>
            <w:tcBorders>
              <w:top w:val="single" w:sz="4" w:space="0" w:color="000000"/>
              <w:left w:val="single" w:sz="4" w:space="0" w:color="000000"/>
              <w:bottom w:val="single" w:sz="4" w:space="0" w:color="000000"/>
              <w:right w:val="single" w:sz="4" w:space="0" w:color="000000"/>
            </w:tcBorders>
          </w:tcPr>
          <w:p w14:paraId="515B549A"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19.50</w:t>
            </w:r>
          </w:p>
        </w:tc>
        <w:tc>
          <w:tcPr>
            <w:tcW w:w="527" w:type="dxa"/>
            <w:tcBorders>
              <w:top w:val="single" w:sz="4" w:space="0" w:color="000000"/>
              <w:left w:val="single" w:sz="4" w:space="0" w:color="000000"/>
              <w:bottom w:val="single" w:sz="4" w:space="0" w:color="000000"/>
              <w:right w:val="single" w:sz="4" w:space="0" w:color="000000"/>
            </w:tcBorders>
          </w:tcPr>
          <w:p w14:paraId="37C97861" w14:textId="77777777" w:rsidR="00D3344B" w:rsidRDefault="00D3344B">
            <w:pPr>
              <w:pStyle w:val="TableParagraph"/>
              <w:rPr>
                <w:rFonts w:ascii="Arial" w:hAnsi="Arial" w:cs="Arial"/>
                <w:sz w:val="18"/>
                <w:szCs w:val="18"/>
              </w:rPr>
            </w:pPr>
          </w:p>
        </w:tc>
      </w:tr>
      <w:tr w:rsidR="00D3344B" w14:paraId="3A87E86D"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62BAF12"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077</w:t>
            </w:r>
          </w:p>
        </w:tc>
        <w:tc>
          <w:tcPr>
            <w:tcW w:w="3038" w:type="dxa"/>
            <w:tcBorders>
              <w:top w:val="single" w:sz="4" w:space="0" w:color="000000"/>
              <w:left w:val="single" w:sz="4" w:space="0" w:color="000000"/>
              <w:bottom w:val="single" w:sz="4" w:space="0" w:color="000000"/>
              <w:right w:val="single" w:sz="4" w:space="0" w:color="000000"/>
            </w:tcBorders>
          </w:tcPr>
          <w:p w14:paraId="24E80E5F" w14:textId="77777777" w:rsidR="00D3344B" w:rsidRDefault="00143C25">
            <w:pPr>
              <w:pStyle w:val="TableParagraph"/>
              <w:rPr>
                <w:rFonts w:ascii="Arial" w:hAnsi="Arial" w:cs="Arial"/>
                <w:sz w:val="18"/>
                <w:szCs w:val="18"/>
              </w:rPr>
            </w:pPr>
            <w:r>
              <w:rPr>
                <w:rFonts w:ascii="Arial" w:hAnsi="Arial" w:cs="Arial"/>
                <w:spacing w:val="-2"/>
                <w:w w:val="115"/>
                <w:sz w:val="18"/>
                <w:szCs w:val="18"/>
              </w:rPr>
              <w:t>Sialografía</w:t>
            </w:r>
          </w:p>
        </w:tc>
        <w:tc>
          <w:tcPr>
            <w:tcW w:w="697" w:type="dxa"/>
            <w:tcBorders>
              <w:top w:val="single" w:sz="4" w:space="0" w:color="000000"/>
              <w:left w:val="single" w:sz="4" w:space="0" w:color="000000"/>
              <w:bottom w:val="single" w:sz="4" w:space="0" w:color="000000"/>
              <w:right w:val="single" w:sz="4" w:space="0" w:color="000000"/>
            </w:tcBorders>
          </w:tcPr>
          <w:p w14:paraId="757C1B4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7.75</w:t>
            </w:r>
          </w:p>
        </w:tc>
        <w:tc>
          <w:tcPr>
            <w:tcW w:w="695" w:type="dxa"/>
            <w:tcBorders>
              <w:top w:val="single" w:sz="4" w:space="0" w:color="000000"/>
              <w:left w:val="single" w:sz="4" w:space="0" w:color="000000"/>
              <w:bottom w:val="single" w:sz="4" w:space="0" w:color="000000"/>
              <w:right w:val="single" w:sz="4" w:space="0" w:color="000000"/>
            </w:tcBorders>
          </w:tcPr>
          <w:p w14:paraId="352EE7DB" w14:textId="77777777" w:rsidR="00D3344B" w:rsidRDefault="00143C25">
            <w:pPr>
              <w:pStyle w:val="TableParagraph"/>
              <w:rPr>
                <w:rFonts w:ascii="Arial" w:hAnsi="Arial" w:cs="Arial"/>
                <w:sz w:val="18"/>
                <w:szCs w:val="18"/>
              </w:rPr>
            </w:pPr>
            <w:r>
              <w:rPr>
                <w:rFonts w:ascii="Arial" w:hAnsi="Arial" w:cs="Arial"/>
                <w:spacing w:val="-4"/>
                <w:w w:val="115"/>
                <w:sz w:val="18"/>
                <w:szCs w:val="18"/>
              </w:rPr>
              <w:t>7.00</w:t>
            </w:r>
          </w:p>
        </w:tc>
        <w:tc>
          <w:tcPr>
            <w:tcW w:w="699" w:type="dxa"/>
            <w:tcBorders>
              <w:top w:val="single" w:sz="4" w:space="0" w:color="000000"/>
              <w:left w:val="single" w:sz="4" w:space="0" w:color="000000"/>
              <w:bottom w:val="single" w:sz="4" w:space="0" w:color="000000"/>
              <w:right w:val="single" w:sz="4" w:space="0" w:color="000000"/>
            </w:tcBorders>
          </w:tcPr>
          <w:p w14:paraId="6381829D" w14:textId="77777777" w:rsidR="00D3344B" w:rsidRDefault="00143C25">
            <w:pPr>
              <w:pStyle w:val="TableParagraph"/>
              <w:rPr>
                <w:rFonts w:ascii="Arial" w:hAnsi="Arial" w:cs="Arial"/>
                <w:sz w:val="18"/>
                <w:szCs w:val="18"/>
              </w:rPr>
            </w:pPr>
            <w:r>
              <w:rPr>
                <w:rFonts w:ascii="Arial" w:hAnsi="Arial" w:cs="Arial"/>
                <w:spacing w:val="-4"/>
                <w:w w:val="115"/>
                <w:sz w:val="18"/>
                <w:szCs w:val="18"/>
              </w:rPr>
              <w:t>6.25</w:t>
            </w:r>
          </w:p>
        </w:tc>
        <w:tc>
          <w:tcPr>
            <w:tcW w:w="699" w:type="dxa"/>
            <w:tcBorders>
              <w:top w:val="single" w:sz="4" w:space="0" w:color="000000"/>
              <w:left w:val="single" w:sz="4" w:space="0" w:color="000000"/>
              <w:bottom w:val="single" w:sz="4" w:space="0" w:color="000000"/>
              <w:right w:val="single" w:sz="4" w:space="0" w:color="000000"/>
            </w:tcBorders>
          </w:tcPr>
          <w:p w14:paraId="7A7CBAD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5.25</w:t>
            </w:r>
          </w:p>
        </w:tc>
        <w:tc>
          <w:tcPr>
            <w:tcW w:w="696" w:type="dxa"/>
            <w:tcBorders>
              <w:top w:val="single" w:sz="4" w:space="0" w:color="000000"/>
              <w:left w:val="single" w:sz="4" w:space="0" w:color="000000"/>
              <w:bottom w:val="single" w:sz="4" w:space="0" w:color="000000"/>
              <w:right w:val="single" w:sz="4" w:space="0" w:color="000000"/>
            </w:tcBorders>
          </w:tcPr>
          <w:p w14:paraId="1E19BDD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527" w:type="dxa"/>
            <w:tcBorders>
              <w:top w:val="single" w:sz="4" w:space="0" w:color="000000"/>
              <w:left w:val="single" w:sz="4" w:space="0" w:color="000000"/>
              <w:bottom w:val="single" w:sz="4" w:space="0" w:color="000000"/>
              <w:right w:val="single" w:sz="4" w:space="0" w:color="000000"/>
            </w:tcBorders>
          </w:tcPr>
          <w:p w14:paraId="5C942623" w14:textId="77777777" w:rsidR="00D3344B" w:rsidRDefault="00D3344B">
            <w:pPr>
              <w:pStyle w:val="TableParagraph"/>
              <w:rPr>
                <w:rFonts w:ascii="Arial" w:hAnsi="Arial" w:cs="Arial"/>
                <w:sz w:val="18"/>
                <w:szCs w:val="18"/>
              </w:rPr>
            </w:pPr>
          </w:p>
        </w:tc>
      </w:tr>
      <w:tr w:rsidR="00D3344B" w14:paraId="646F2FE5"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AEC8407"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078</w:t>
            </w:r>
          </w:p>
        </w:tc>
        <w:tc>
          <w:tcPr>
            <w:tcW w:w="3038" w:type="dxa"/>
            <w:tcBorders>
              <w:top w:val="single" w:sz="4" w:space="0" w:color="000000"/>
              <w:left w:val="single" w:sz="4" w:space="0" w:color="000000"/>
              <w:bottom w:val="single" w:sz="4" w:space="0" w:color="000000"/>
              <w:right w:val="single" w:sz="4" w:space="0" w:color="000000"/>
            </w:tcBorders>
          </w:tcPr>
          <w:p w14:paraId="2E91BFA2" w14:textId="77777777" w:rsidR="00D3344B" w:rsidRDefault="00143C25">
            <w:pPr>
              <w:pStyle w:val="TableParagraph"/>
              <w:rPr>
                <w:rFonts w:ascii="Arial" w:hAnsi="Arial" w:cs="Arial"/>
                <w:sz w:val="18"/>
                <w:szCs w:val="18"/>
              </w:rPr>
            </w:pPr>
            <w:r>
              <w:rPr>
                <w:rFonts w:ascii="Arial" w:hAnsi="Arial" w:cs="Arial"/>
                <w:w w:val="110"/>
                <w:sz w:val="18"/>
                <w:szCs w:val="18"/>
              </w:rPr>
              <w:t>Tobillo</w:t>
            </w:r>
            <w:r>
              <w:rPr>
                <w:rFonts w:ascii="Arial" w:hAnsi="Arial" w:cs="Arial"/>
                <w:spacing w:val="5"/>
                <w:w w:val="110"/>
                <w:sz w:val="18"/>
                <w:szCs w:val="18"/>
              </w:rPr>
              <w:t xml:space="preserve"> </w:t>
            </w:r>
            <w:r>
              <w:rPr>
                <w:rFonts w:ascii="Arial" w:hAnsi="Arial" w:cs="Arial"/>
                <w:w w:val="110"/>
                <w:sz w:val="18"/>
                <w:szCs w:val="18"/>
              </w:rPr>
              <w:t>2</w:t>
            </w:r>
            <w:r>
              <w:rPr>
                <w:rFonts w:ascii="Arial" w:hAnsi="Arial" w:cs="Arial"/>
                <w:spacing w:val="5"/>
                <w:w w:val="110"/>
                <w:sz w:val="18"/>
                <w:szCs w:val="18"/>
              </w:rPr>
              <w:t xml:space="preserve"> </w:t>
            </w:r>
            <w:r>
              <w:rPr>
                <w:rFonts w:ascii="Arial" w:hAnsi="Arial" w:cs="Arial"/>
                <w:w w:val="110"/>
                <w:sz w:val="18"/>
                <w:szCs w:val="18"/>
              </w:rPr>
              <w:t>p</w:t>
            </w:r>
            <w:r>
              <w:rPr>
                <w:rFonts w:ascii="Arial" w:hAnsi="Arial" w:cs="Arial"/>
                <w:spacing w:val="3"/>
                <w:w w:val="110"/>
                <w:sz w:val="18"/>
                <w:szCs w:val="18"/>
              </w:rPr>
              <w:t xml:space="preserve">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2871817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4.75</w:t>
            </w:r>
          </w:p>
        </w:tc>
        <w:tc>
          <w:tcPr>
            <w:tcW w:w="695" w:type="dxa"/>
            <w:tcBorders>
              <w:top w:val="single" w:sz="4" w:space="0" w:color="000000"/>
              <w:left w:val="single" w:sz="4" w:space="0" w:color="000000"/>
              <w:bottom w:val="single" w:sz="4" w:space="0" w:color="000000"/>
              <w:right w:val="single" w:sz="4" w:space="0" w:color="000000"/>
            </w:tcBorders>
          </w:tcPr>
          <w:p w14:paraId="257FB2DB" w14:textId="77777777" w:rsidR="00D3344B" w:rsidRDefault="00143C25">
            <w:pPr>
              <w:pStyle w:val="TableParagraph"/>
              <w:rPr>
                <w:rFonts w:ascii="Arial" w:hAnsi="Arial" w:cs="Arial"/>
                <w:sz w:val="18"/>
                <w:szCs w:val="18"/>
              </w:rPr>
            </w:pPr>
            <w:r>
              <w:rPr>
                <w:rFonts w:ascii="Arial" w:hAnsi="Arial" w:cs="Arial"/>
                <w:spacing w:val="-4"/>
                <w:w w:val="115"/>
                <w:sz w:val="18"/>
                <w:szCs w:val="18"/>
              </w:rPr>
              <w:t>4.25</w:t>
            </w:r>
          </w:p>
        </w:tc>
        <w:tc>
          <w:tcPr>
            <w:tcW w:w="699" w:type="dxa"/>
            <w:tcBorders>
              <w:top w:val="single" w:sz="4" w:space="0" w:color="000000"/>
              <w:left w:val="single" w:sz="4" w:space="0" w:color="000000"/>
              <w:bottom w:val="single" w:sz="4" w:space="0" w:color="000000"/>
              <w:right w:val="single" w:sz="4" w:space="0" w:color="000000"/>
            </w:tcBorders>
          </w:tcPr>
          <w:p w14:paraId="2EFD3721" w14:textId="77777777" w:rsidR="00D3344B" w:rsidRDefault="00143C25">
            <w:pPr>
              <w:pStyle w:val="TableParagraph"/>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4338AFF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3.50</w:t>
            </w:r>
          </w:p>
        </w:tc>
        <w:tc>
          <w:tcPr>
            <w:tcW w:w="696" w:type="dxa"/>
            <w:tcBorders>
              <w:top w:val="single" w:sz="4" w:space="0" w:color="000000"/>
              <w:left w:val="single" w:sz="4" w:space="0" w:color="000000"/>
              <w:bottom w:val="single" w:sz="4" w:space="0" w:color="000000"/>
              <w:right w:val="single" w:sz="4" w:space="0" w:color="000000"/>
            </w:tcBorders>
          </w:tcPr>
          <w:p w14:paraId="70C3CC2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227B04AD" w14:textId="77777777" w:rsidR="00D3344B" w:rsidRDefault="00D3344B">
            <w:pPr>
              <w:pStyle w:val="TableParagraph"/>
              <w:rPr>
                <w:rFonts w:ascii="Arial" w:hAnsi="Arial" w:cs="Arial"/>
                <w:sz w:val="18"/>
                <w:szCs w:val="18"/>
              </w:rPr>
            </w:pPr>
          </w:p>
        </w:tc>
      </w:tr>
      <w:tr w:rsidR="00D3344B" w14:paraId="5495DE7F" w14:textId="77777777">
        <w:trPr>
          <w:trHeight w:val="301"/>
        </w:trPr>
        <w:tc>
          <w:tcPr>
            <w:tcW w:w="1776" w:type="dxa"/>
            <w:tcBorders>
              <w:top w:val="single" w:sz="4" w:space="0" w:color="000000"/>
              <w:left w:val="single" w:sz="4" w:space="0" w:color="000000"/>
              <w:bottom w:val="single" w:sz="4" w:space="0" w:color="000000"/>
              <w:right w:val="single" w:sz="4" w:space="0" w:color="000000"/>
            </w:tcBorders>
          </w:tcPr>
          <w:p w14:paraId="188D563C"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079</w:t>
            </w:r>
          </w:p>
        </w:tc>
        <w:tc>
          <w:tcPr>
            <w:tcW w:w="3038" w:type="dxa"/>
            <w:tcBorders>
              <w:top w:val="single" w:sz="4" w:space="0" w:color="000000"/>
              <w:left w:val="single" w:sz="4" w:space="0" w:color="000000"/>
              <w:bottom w:val="single" w:sz="4" w:space="0" w:color="000000"/>
              <w:right w:val="single" w:sz="4" w:space="0" w:color="000000"/>
            </w:tcBorders>
          </w:tcPr>
          <w:p w14:paraId="013200CF" w14:textId="77777777" w:rsidR="00D3344B" w:rsidRDefault="00143C25">
            <w:pPr>
              <w:pStyle w:val="TableParagraph"/>
              <w:rPr>
                <w:rFonts w:ascii="Arial" w:hAnsi="Arial" w:cs="Arial"/>
                <w:sz w:val="18"/>
                <w:szCs w:val="18"/>
              </w:rPr>
            </w:pPr>
            <w:r>
              <w:rPr>
                <w:rFonts w:ascii="Arial" w:hAnsi="Arial" w:cs="Arial"/>
                <w:w w:val="110"/>
                <w:sz w:val="18"/>
                <w:szCs w:val="18"/>
              </w:rPr>
              <w:t>Tobillo</w:t>
            </w:r>
            <w:r>
              <w:rPr>
                <w:rFonts w:ascii="Arial" w:hAnsi="Arial" w:cs="Arial"/>
                <w:spacing w:val="5"/>
                <w:w w:val="110"/>
                <w:sz w:val="18"/>
                <w:szCs w:val="18"/>
              </w:rPr>
              <w:t xml:space="preserve"> </w:t>
            </w:r>
            <w:r>
              <w:rPr>
                <w:rFonts w:ascii="Arial" w:hAnsi="Arial" w:cs="Arial"/>
                <w:w w:val="110"/>
                <w:sz w:val="18"/>
                <w:szCs w:val="18"/>
              </w:rPr>
              <w:t>2</w:t>
            </w:r>
            <w:r>
              <w:rPr>
                <w:rFonts w:ascii="Arial" w:hAnsi="Arial" w:cs="Arial"/>
                <w:spacing w:val="5"/>
                <w:w w:val="110"/>
                <w:sz w:val="18"/>
                <w:szCs w:val="18"/>
              </w:rPr>
              <w:t xml:space="preserve"> </w:t>
            </w:r>
            <w:r>
              <w:rPr>
                <w:rFonts w:ascii="Arial" w:hAnsi="Arial" w:cs="Arial"/>
                <w:w w:val="110"/>
                <w:sz w:val="18"/>
                <w:szCs w:val="18"/>
              </w:rPr>
              <w:t>p</w:t>
            </w:r>
            <w:r>
              <w:rPr>
                <w:rFonts w:ascii="Arial" w:hAnsi="Arial" w:cs="Arial"/>
                <w:spacing w:val="3"/>
                <w:w w:val="110"/>
                <w:sz w:val="18"/>
                <w:szCs w:val="18"/>
              </w:rPr>
              <w:t xml:space="preserve"> </w:t>
            </w:r>
            <w:r>
              <w:rPr>
                <w:rFonts w:ascii="Arial" w:hAnsi="Arial" w:cs="Arial"/>
                <w:spacing w:val="-2"/>
                <w:w w:val="110"/>
                <w:sz w:val="18"/>
                <w:szCs w:val="18"/>
              </w:rPr>
              <w:t>unilateral</w:t>
            </w:r>
          </w:p>
        </w:tc>
        <w:tc>
          <w:tcPr>
            <w:tcW w:w="697" w:type="dxa"/>
            <w:tcBorders>
              <w:top w:val="single" w:sz="4" w:space="0" w:color="000000"/>
              <w:left w:val="single" w:sz="4" w:space="0" w:color="000000"/>
              <w:bottom w:val="single" w:sz="4" w:space="0" w:color="000000"/>
              <w:right w:val="single" w:sz="4" w:space="0" w:color="000000"/>
            </w:tcBorders>
          </w:tcPr>
          <w:p w14:paraId="7655C3D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5346E340"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6188F307"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5DE0392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7DFD25F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73A679A7" w14:textId="77777777" w:rsidR="00D3344B" w:rsidRDefault="00D3344B">
            <w:pPr>
              <w:pStyle w:val="TableParagraph"/>
              <w:rPr>
                <w:rFonts w:ascii="Arial" w:hAnsi="Arial" w:cs="Arial"/>
                <w:sz w:val="18"/>
                <w:szCs w:val="18"/>
              </w:rPr>
            </w:pPr>
          </w:p>
        </w:tc>
      </w:tr>
      <w:tr w:rsidR="00D3344B" w14:paraId="19878401"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14859E75"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080</w:t>
            </w:r>
          </w:p>
        </w:tc>
        <w:tc>
          <w:tcPr>
            <w:tcW w:w="3038" w:type="dxa"/>
            <w:tcBorders>
              <w:top w:val="single" w:sz="4" w:space="0" w:color="000000"/>
              <w:left w:val="single" w:sz="4" w:space="0" w:color="000000"/>
              <w:bottom w:val="single" w:sz="4" w:space="0" w:color="000000"/>
              <w:right w:val="single" w:sz="4" w:space="0" w:color="000000"/>
            </w:tcBorders>
          </w:tcPr>
          <w:p w14:paraId="651CACB1" w14:textId="77777777" w:rsidR="00D3344B" w:rsidRDefault="00143C25">
            <w:pPr>
              <w:pStyle w:val="TableParagraph"/>
              <w:rPr>
                <w:rFonts w:ascii="Arial" w:hAnsi="Arial" w:cs="Arial"/>
                <w:sz w:val="18"/>
                <w:szCs w:val="18"/>
              </w:rPr>
            </w:pPr>
            <w:r>
              <w:rPr>
                <w:rFonts w:ascii="Arial" w:hAnsi="Arial" w:cs="Arial"/>
                <w:w w:val="110"/>
                <w:sz w:val="18"/>
                <w:szCs w:val="18"/>
              </w:rPr>
              <w:t xml:space="preserve">Tórax </w:t>
            </w:r>
            <w:r>
              <w:rPr>
                <w:rFonts w:ascii="Arial" w:hAnsi="Arial" w:cs="Arial"/>
                <w:spacing w:val="-4"/>
                <w:w w:val="110"/>
                <w:sz w:val="18"/>
                <w:szCs w:val="18"/>
              </w:rPr>
              <w:t>óseo</w:t>
            </w:r>
          </w:p>
        </w:tc>
        <w:tc>
          <w:tcPr>
            <w:tcW w:w="697" w:type="dxa"/>
            <w:tcBorders>
              <w:top w:val="single" w:sz="4" w:space="0" w:color="000000"/>
              <w:left w:val="single" w:sz="4" w:space="0" w:color="000000"/>
              <w:bottom w:val="single" w:sz="4" w:space="0" w:color="000000"/>
              <w:right w:val="single" w:sz="4" w:space="0" w:color="000000"/>
            </w:tcBorders>
          </w:tcPr>
          <w:p w14:paraId="1819F95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37803050"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4BCA4A7F"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2A98D76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448B9DF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3B391FD8" w14:textId="77777777" w:rsidR="00D3344B" w:rsidRDefault="00D3344B">
            <w:pPr>
              <w:pStyle w:val="TableParagraph"/>
              <w:rPr>
                <w:rFonts w:ascii="Arial" w:hAnsi="Arial" w:cs="Arial"/>
                <w:sz w:val="18"/>
                <w:szCs w:val="18"/>
              </w:rPr>
            </w:pPr>
          </w:p>
        </w:tc>
      </w:tr>
      <w:tr w:rsidR="00D3344B" w14:paraId="245307CE"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EDFC85E"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081</w:t>
            </w:r>
          </w:p>
        </w:tc>
        <w:tc>
          <w:tcPr>
            <w:tcW w:w="3038" w:type="dxa"/>
            <w:tcBorders>
              <w:top w:val="single" w:sz="4" w:space="0" w:color="000000"/>
              <w:left w:val="single" w:sz="4" w:space="0" w:color="000000"/>
              <w:bottom w:val="single" w:sz="4" w:space="0" w:color="000000"/>
              <w:right w:val="single" w:sz="4" w:space="0" w:color="000000"/>
            </w:tcBorders>
          </w:tcPr>
          <w:p w14:paraId="6A16AC37" w14:textId="77777777" w:rsidR="00D3344B" w:rsidRDefault="00143C25">
            <w:pPr>
              <w:pStyle w:val="TableParagraph"/>
              <w:spacing w:before="1"/>
              <w:rPr>
                <w:rFonts w:ascii="Arial" w:hAnsi="Arial" w:cs="Arial"/>
                <w:sz w:val="18"/>
                <w:szCs w:val="18"/>
              </w:rPr>
            </w:pPr>
            <w:r>
              <w:rPr>
                <w:rFonts w:ascii="Arial" w:hAnsi="Arial" w:cs="Arial"/>
                <w:w w:val="110"/>
                <w:sz w:val="18"/>
                <w:szCs w:val="18"/>
              </w:rPr>
              <w:t>Tórax óseo</w:t>
            </w:r>
            <w:r>
              <w:rPr>
                <w:rFonts w:ascii="Arial" w:hAnsi="Arial" w:cs="Arial"/>
                <w:spacing w:val="-3"/>
                <w:w w:val="110"/>
                <w:sz w:val="18"/>
                <w:szCs w:val="18"/>
              </w:rPr>
              <w:t xml:space="preserve"> </w:t>
            </w:r>
            <w:r>
              <w:rPr>
                <w:rFonts w:ascii="Arial" w:hAnsi="Arial" w:cs="Arial"/>
                <w:w w:val="110"/>
                <w:sz w:val="18"/>
                <w:szCs w:val="18"/>
              </w:rPr>
              <w:t>(AP</w:t>
            </w:r>
            <w:r>
              <w:rPr>
                <w:rFonts w:ascii="Arial" w:hAnsi="Arial" w:cs="Arial"/>
                <w:spacing w:val="2"/>
                <w:w w:val="110"/>
                <w:sz w:val="18"/>
                <w:szCs w:val="18"/>
              </w:rPr>
              <w:t xml:space="preserve"> </w:t>
            </w:r>
            <w:r>
              <w:rPr>
                <w:rFonts w:ascii="Arial" w:hAnsi="Arial" w:cs="Arial"/>
                <w:w w:val="110"/>
                <w:sz w:val="18"/>
                <w:szCs w:val="18"/>
              </w:rPr>
              <w:t xml:space="preserve">y </w:t>
            </w:r>
            <w:r>
              <w:rPr>
                <w:rFonts w:ascii="Arial" w:hAnsi="Arial" w:cs="Arial"/>
                <w:spacing w:val="-2"/>
                <w:w w:val="110"/>
                <w:sz w:val="18"/>
                <w:szCs w:val="18"/>
              </w:rPr>
              <w:t>Oblicua)</w:t>
            </w:r>
          </w:p>
        </w:tc>
        <w:tc>
          <w:tcPr>
            <w:tcW w:w="697" w:type="dxa"/>
            <w:tcBorders>
              <w:top w:val="single" w:sz="4" w:space="0" w:color="000000"/>
              <w:left w:val="single" w:sz="4" w:space="0" w:color="000000"/>
              <w:bottom w:val="single" w:sz="4" w:space="0" w:color="000000"/>
              <w:right w:val="single" w:sz="4" w:space="0" w:color="000000"/>
            </w:tcBorders>
          </w:tcPr>
          <w:p w14:paraId="02D9B3B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74D139D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19A5DC2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0AFCBC1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1CC856A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4CB058FF" w14:textId="77777777" w:rsidR="00D3344B" w:rsidRDefault="00D3344B">
            <w:pPr>
              <w:pStyle w:val="TableParagraph"/>
              <w:rPr>
                <w:rFonts w:ascii="Arial" w:hAnsi="Arial" w:cs="Arial"/>
                <w:sz w:val="18"/>
                <w:szCs w:val="18"/>
              </w:rPr>
            </w:pPr>
          </w:p>
        </w:tc>
      </w:tr>
      <w:tr w:rsidR="00D3344B" w14:paraId="5A5CA210"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05F232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082</w:t>
            </w:r>
          </w:p>
        </w:tc>
        <w:tc>
          <w:tcPr>
            <w:tcW w:w="3038" w:type="dxa"/>
            <w:tcBorders>
              <w:top w:val="single" w:sz="4" w:space="0" w:color="000000"/>
              <w:left w:val="single" w:sz="4" w:space="0" w:color="000000"/>
              <w:bottom w:val="single" w:sz="4" w:space="0" w:color="000000"/>
              <w:right w:val="single" w:sz="4" w:space="0" w:color="000000"/>
            </w:tcBorders>
          </w:tcPr>
          <w:p w14:paraId="7CD48DA5" w14:textId="77777777" w:rsidR="00D3344B" w:rsidRDefault="00143C25">
            <w:pPr>
              <w:pStyle w:val="TableParagraph"/>
              <w:rPr>
                <w:rFonts w:ascii="Arial" w:hAnsi="Arial" w:cs="Arial"/>
                <w:sz w:val="18"/>
                <w:szCs w:val="18"/>
              </w:rPr>
            </w:pPr>
            <w:r>
              <w:rPr>
                <w:rFonts w:ascii="Arial" w:hAnsi="Arial" w:cs="Arial"/>
                <w:w w:val="110"/>
                <w:sz w:val="18"/>
                <w:szCs w:val="18"/>
              </w:rPr>
              <w:t>Tele</w:t>
            </w:r>
            <w:r>
              <w:rPr>
                <w:rFonts w:ascii="Arial" w:hAnsi="Arial" w:cs="Arial"/>
                <w:spacing w:val="1"/>
                <w:w w:val="110"/>
                <w:sz w:val="18"/>
                <w:szCs w:val="18"/>
              </w:rPr>
              <w:t xml:space="preserve"> </w:t>
            </w:r>
            <w:r>
              <w:rPr>
                <w:rFonts w:ascii="Arial" w:hAnsi="Arial" w:cs="Arial"/>
                <w:w w:val="110"/>
                <w:sz w:val="18"/>
                <w:szCs w:val="18"/>
              </w:rPr>
              <w:t>de</w:t>
            </w:r>
            <w:r>
              <w:rPr>
                <w:rFonts w:ascii="Arial" w:hAnsi="Arial" w:cs="Arial"/>
                <w:spacing w:val="3"/>
                <w:w w:val="110"/>
                <w:sz w:val="18"/>
                <w:szCs w:val="18"/>
              </w:rPr>
              <w:t xml:space="preserve"> </w:t>
            </w:r>
            <w:r>
              <w:rPr>
                <w:rFonts w:ascii="Arial" w:hAnsi="Arial" w:cs="Arial"/>
                <w:spacing w:val="-2"/>
                <w:w w:val="110"/>
                <w:sz w:val="18"/>
                <w:szCs w:val="18"/>
              </w:rPr>
              <w:t>Tórax</w:t>
            </w:r>
          </w:p>
        </w:tc>
        <w:tc>
          <w:tcPr>
            <w:tcW w:w="697" w:type="dxa"/>
            <w:tcBorders>
              <w:top w:val="single" w:sz="4" w:space="0" w:color="000000"/>
              <w:left w:val="single" w:sz="4" w:space="0" w:color="000000"/>
              <w:bottom w:val="single" w:sz="4" w:space="0" w:color="000000"/>
              <w:right w:val="single" w:sz="4" w:space="0" w:color="000000"/>
            </w:tcBorders>
          </w:tcPr>
          <w:p w14:paraId="014AE42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311FBE0E"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29CAEBAA"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68BFB02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1CD5FD7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58694A84" w14:textId="77777777" w:rsidR="00D3344B" w:rsidRDefault="00D3344B">
            <w:pPr>
              <w:pStyle w:val="TableParagraph"/>
              <w:rPr>
                <w:rFonts w:ascii="Arial" w:hAnsi="Arial" w:cs="Arial"/>
                <w:sz w:val="18"/>
                <w:szCs w:val="18"/>
              </w:rPr>
            </w:pPr>
          </w:p>
        </w:tc>
      </w:tr>
      <w:tr w:rsidR="00D3344B" w14:paraId="0DFB8746"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EC2202C"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083</w:t>
            </w:r>
          </w:p>
        </w:tc>
        <w:tc>
          <w:tcPr>
            <w:tcW w:w="3038" w:type="dxa"/>
            <w:tcBorders>
              <w:top w:val="single" w:sz="4" w:space="0" w:color="000000"/>
              <w:left w:val="single" w:sz="4" w:space="0" w:color="000000"/>
              <w:bottom w:val="single" w:sz="4" w:space="0" w:color="000000"/>
              <w:right w:val="single" w:sz="4" w:space="0" w:color="000000"/>
            </w:tcBorders>
          </w:tcPr>
          <w:p w14:paraId="68590216" w14:textId="77777777" w:rsidR="00D3344B" w:rsidRDefault="00143C25">
            <w:pPr>
              <w:pStyle w:val="TableParagraph"/>
              <w:rPr>
                <w:rFonts w:ascii="Arial" w:hAnsi="Arial" w:cs="Arial"/>
                <w:sz w:val="18"/>
                <w:szCs w:val="18"/>
              </w:rPr>
            </w:pPr>
            <w:r>
              <w:rPr>
                <w:rFonts w:ascii="Arial" w:hAnsi="Arial" w:cs="Arial"/>
                <w:w w:val="110"/>
                <w:sz w:val="18"/>
                <w:szCs w:val="18"/>
              </w:rPr>
              <w:t>Tele</w:t>
            </w:r>
            <w:r>
              <w:rPr>
                <w:rFonts w:ascii="Arial" w:hAnsi="Arial" w:cs="Arial"/>
                <w:spacing w:val="2"/>
                <w:w w:val="110"/>
                <w:sz w:val="18"/>
                <w:szCs w:val="18"/>
              </w:rPr>
              <w:t xml:space="preserve"> </w:t>
            </w:r>
            <w:r>
              <w:rPr>
                <w:rFonts w:ascii="Arial" w:hAnsi="Arial" w:cs="Arial"/>
                <w:w w:val="110"/>
                <w:sz w:val="18"/>
                <w:szCs w:val="18"/>
              </w:rPr>
              <w:t>de</w:t>
            </w:r>
            <w:r>
              <w:rPr>
                <w:rFonts w:ascii="Arial" w:hAnsi="Arial" w:cs="Arial"/>
                <w:spacing w:val="4"/>
                <w:w w:val="110"/>
                <w:sz w:val="18"/>
                <w:szCs w:val="18"/>
              </w:rPr>
              <w:t xml:space="preserve"> </w:t>
            </w:r>
            <w:r>
              <w:rPr>
                <w:rFonts w:ascii="Arial" w:hAnsi="Arial" w:cs="Arial"/>
                <w:w w:val="110"/>
                <w:sz w:val="18"/>
                <w:szCs w:val="18"/>
              </w:rPr>
              <w:t>Tórax</w:t>
            </w:r>
            <w:r>
              <w:rPr>
                <w:rFonts w:ascii="Arial" w:hAnsi="Arial" w:cs="Arial"/>
                <w:spacing w:val="6"/>
                <w:w w:val="110"/>
                <w:sz w:val="18"/>
                <w:szCs w:val="18"/>
              </w:rPr>
              <w:t xml:space="preserve"> </w:t>
            </w:r>
            <w:r>
              <w:rPr>
                <w:rFonts w:ascii="Arial" w:hAnsi="Arial" w:cs="Arial"/>
                <w:w w:val="110"/>
                <w:sz w:val="18"/>
                <w:szCs w:val="18"/>
              </w:rPr>
              <w:t>PA</w:t>
            </w:r>
            <w:r>
              <w:rPr>
                <w:rFonts w:ascii="Arial" w:hAnsi="Arial" w:cs="Arial"/>
                <w:spacing w:val="2"/>
                <w:w w:val="110"/>
                <w:sz w:val="18"/>
                <w:szCs w:val="18"/>
              </w:rPr>
              <w:t xml:space="preserve"> </w:t>
            </w:r>
            <w:r>
              <w:rPr>
                <w:rFonts w:ascii="Arial" w:hAnsi="Arial" w:cs="Arial"/>
                <w:w w:val="110"/>
                <w:sz w:val="18"/>
                <w:szCs w:val="18"/>
              </w:rPr>
              <w:t>y</w:t>
            </w:r>
            <w:r>
              <w:rPr>
                <w:rFonts w:ascii="Arial" w:hAnsi="Arial" w:cs="Arial"/>
                <w:spacing w:val="3"/>
                <w:w w:val="110"/>
                <w:sz w:val="18"/>
                <w:szCs w:val="18"/>
              </w:rPr>
              <w:t xml:space="preserve"> </w:t>
            </w:r>
            <w:r>
              <w:rPr>
                <w:rFonts w:ascii="Arial" w:hAnsi="Arial" w:cs="Arial"/>
                <w:spacing w:val="-2"/>
                <w:w w:val="110"/>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39B1F87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7B967580"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5626A224"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2327159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2D7546B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07276933" w14:textId="77777777" w:rsidR="00D3344B" w:rsidRDefault="00D3344B">
            <w:pPr>
              <w:pStyle w:val="TableParagraph"/>
              <w:rPr>
                <w:rFonts w:ascii="Arial" w:hAnsi="Arial" w:cs="Arial"/>
                <w:sz w:val="18"/>
                <w:szCs w:val="18"/>
              </w:rPr>
            </w:pPr>
          </w:p>
        </w:tc>
      </w:tr>
      <w:tr w:rsidR="00D3344B" w14:paraId="4F23FD55"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05812F52"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084</w:t>
            </w:r>
          </w:p>
        </w:tc>
        <w:tc>
          <w:tcPr>
            <w:tcW w:w="3038" w:type="dxa"/>
            <w:tcBorders>
              <w:top w:val="single" w:sz="4" w:space="0" w:color="000000"/>
              <w:left w:val="single" w:sz="4" w:space="0" w:color="000000"/>
              <w:bottom w:val="single" w:sz="4" w:space="0" w:color="000000"/>
              <w:right w:val="single" w:sz="4" w:space="0" w:color="000000"/>
            </w:tcBorders>
          </w:tcPr>
          <w:p w14:paraId="48011AAE" w14:textId="77777777" w:rsidR="00D3344B" w:rsidRDefault="00143C25">
            <w:pPr>
              <w:pStyle w:val="TableParagraph"/>
              <w:spacing w:before="1"/>
              <w:rPr>
                <w:rFonts w:ascii="Arial" w:hAnsi="Arial" w:cs="Arial"/>
                <w:sz w:val="18"/>
                <w:szCs w:val="18"/>
              </w:rPr>
            </w:pPr>
            <w:r>
              <w:rPr>
                <w:rFonts w:ascii="Arial" w:hAnsi="Arial" w:cs="Arial"/>
                <w:w w:val="110"/>
                <w:sz w:val="18"/>
                <w:szCs w:val="18"/>
              </w:rPr>
              <w:t>Tórax</w:t>
            </w:r>
            <w:r>
              <w:rPr>
                <w:rFonts w:ascii="Arial" w:hAnsi="Arial" w:cs="Arial"/>
                <w:spacing w:val="8"/>
                <w:w w:val="110"/>
                <w:sz w:val="18"/>
                <w:szCs w:val="18"/>
              </w:rPr>
              <w:t xml:space="preserve"> </w:t>
            </w:r>
            <w:r>
              <w:rPr>
                <w:rFonts w:ascii="Arial" w:hAnsi="Arial" w:cs="Arial"/>
                <w:w w:val="110"/>
                <w:sz w:val="18"/>
                <w:szCs w:val="18"/>
              </w:rPr>
              <w:t>3</w:t>
            </w:r>
            <w:r>
              <w:rPr>
                <w:rFonts w:ascii="Arial" w:hAnsi="Arial" w:cs="Arial"/>
                <w:spacing w:val="4"/>
                <w:w w:val="110"/>
                <w:sz w:val="18"/>
                <w:szCs w:val="18"/>
              </w:rPr>
              <w:t xml:space="preserve"> </w:t>
            </w:r>
            <w:r>
              <w:rPr>
                <w:rFonts w:ascii="Arial" w:hAnsi="Arial" w:cs="Arial"/>
                <w:spacing w:val="-10"/>
                <w:w w:val="110"/>
                <w:sz w:val="18"/>
                <w:szCs w:val="18"/>
              </w:rPr>
              <w:t>p</w:t>
            </w:r>
          </w:p>
        </w:tc>
        <w:tc>
          <w:tcPr>
            <w:tcW w:w="697" w:type="dxa"/>
            <w:tcBorders>
              <w:top w:val="single" w:sz="4" w:space="0" w:color="000000"/>
              <w:left w:val="single" w:sz="4" w:space="0" w:color="000000"/>
              <w:bottom w:val="single" w:sz="4" w:space="0" w:color="000000"/>
              <w:right w:val="single" w:sz="4" w:space="0" w:color="000000"/>
            </w:tcBorders>
          </w:tcPr>
          <w:p w14:paraId="6D696065"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4.75</w:t>
            </w:r>
          </w:p>
        </w:tc>
        <w:tc>
          <w:tcPr>
            <w:tcW w:w="695" w:type="dxa"/>
            <w:tcBorders>
              <w:top w:val="single" w:sz="4" w:space="0" w:color="000000"/>
              <w:left w:val="single" w:sz="4" w:space="0" w:color="000000"/>
              <w:bottom w:val="single" w:sz="4" w:space="0" w:color="000000"/>
              <w:right w:val="single" w:sz="4" w:space="0" w:color="000000"/>
            </w:tcBorders>
          </w:tcPr>
          <w:p w14:paraId="7EA4051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4.50</w:t>
            </w:r>
          </w:p>
        </w:tc>
        <w:tc>
          <w:tcPr>
            <w:tcW w:w="699" w:type="dxa"/>
            <w:tcBorders>
              <w:top w:val="single" w:sz="4" w:space="0" w:color="000000"/>
              <w:left w:val="single" w:sz="4" w:space="0" w:color="000000"/>
              <w:bottom w:val="single" w:sz="4" w:space="0" w:color="000000"/>
              <w:right w:val="single" w:sz="4" w:space="0" w:color="000000"/>
            </w:tcBorders>
          </w:tcPr>
          <w:p w14:paraId="7563391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7A92E293"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700B27E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2.75</w:t>
            </w:r>
          </w:p>
        </w:tc>
        <w:tc>
          <w:tcPr>
            <w:tcW w:w="527" w:type="dxa"/>
            <w:tcBorders>
              <w:top w:val="single" w:sz="4" w:space="0" w:color="000000"/>
              <w:left w:val="single" w:sz="4" w:space="0" w:color="000000"/>
              <w:bottom w:val="single" w:sz="4" w:space="0" w:color="000000"/>
              <w:right w:val="single" w:sz="4" w:space="0" w:color="000000"/>
            </w:tcBorders>
          </w:tcPr>
          <w:p w14:paraId="77067E30" w14:textId="77777777" w:rsidR="00D3344B" w:rsidRDefault="00D3344B">
            <w:pPr>
              <w:pStyle w:val="TableParagraph"/>
              <w:rPr>
                <w:rFonts w:ascii="Arial" w:hAnsi="Arial" w:cs="Arial"/>
                <w:sz w:val="18"/>
                <w:szCs w:val="18"/>
              </w:rPr>
            </w:pPr>
          </w:p>
        </w:tc>
      </w:tr>
      <w:tr w:rsidR="00D3344B" w14:paraId="4E6139AF"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32BA967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085</w:t>
            </w:r>
          </w:p>
        </w:tc>
        <w:tc>
          <w:tcPr>
            <w:tcW w:w="3038" w:type="dxa"/>
            <w:tcBorders>
              <w:top w:val="single" w:sz="4" w:space="0" w:color="000000"/>
              <w:left w:val="single" w:sz="4" w:space="0" w:color="000000"/>
              <w:bottom w:val="single" w:sz="4" w:space="0" w:color="000000"/>
              <w:right w:val="single" w:sz="4" w:space="0" w:color="000000"/>
            </w:tcBorders>
          </w:tcPr>
          <w:p w14:paraId="3B2C6033" w14:textId="77777777" w:rsidR="00D3344B" w:rsidRDefault="00143C25">
            <w:pPr>
              <w:pStyle w:val="TableParagraph"/>
              <w:rPr>
                <w:rFonts w:ascii="Arial" w:hAnsi="Arial" w:cs="Arial"/>
                <w:sz w:val="18"/>
                <w:szCs w:val="18"/>
              </w:rPr>
            </w:pPr>
            <w:r>
              <w:rPr>
                <w:rFonts w:ascii="Arial" w:hAnsi="Arial" w:cs="Arial"/>
                <w:w w:val="110"/>
                <w:sz w:val="18"/>
                <w:szCs w:val="18"/>
              </w:rPr>
              <w:t xml:space="preserve">Tórax </w:t>
            </w:r>
            <w:r>
              <w:rPr>
                <w:rFonts w:ascii="Arial" w:hAnsi="Arial" w:cs="Arial"/>
                <w:spacing w:val="-5"/>
                <w:w w:val="110"/>
                <w:sz w:val="18"/>
                <w:szCs w:val="18"/>
              </w:rPr>
              <w:t>4p</w:t>
            </w:r>
          </w:p>
        </w:tc>
        <w:tc>
          <w:tcPr>
            <w:tcW w:w="697" w:type="dxa"/>
            <w:tcBorders>
              <w:top w:val="single" w:sz="4" w:space="0" w:color="000000"/>
              <w:left w:val="single" w:sz="4" w:space="0" w:color="000000"/>
              <w:bottom w:val="single" w:sz="4" w:space="0" w:color="000000"/>
              <w:right w:val="single" w:sz="4" w:space="0" w:color="000000"/>
            </w:tcBorders>
          </w:tcPr>
          <w:p w14:paraId="30736B1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6.50</w:t>
            </w:r>
          </w:p>
        </w:tc>
        <w:tc>
          <w:tcPr>
            <w:tcW w:w="695" w:type="dxa"/>
            <w:tcBorders>
              <w:top w:val="single" w:sz="4" w:space="0" w:color="000000"/>
              <w:left w:val="single" w:sz="4" w:space="0" w:color="000000"/>
              <w:bottom w:val="single" w:sz="4" w:space="0" w:color="000000"/>
              <w:right w:val="single" w:sz="4" w:space="0" w:color="000000"/>
            </w:tcBorders>
          </w:tcPr>
          <w:p w14:paraId="56E0B7D5" w14:textId="77777777" w:rsidR="00D3344B" w:rsidRDefault="00143C25">
            <w:pPr>
              <w:pStyle w:val="TableParagraph"/>
              <w:rPr>
                <w:rFonts w:ascii="Arial" w:hAnsi="Arial" w:cs="Arial"/>
                <w:sz w:val="18"/>
                <w:szCs w:val="18"/>
              </w:rPr>
            </w:pPr>
            <w:r>
              <w:rPr>
                <w:rFonts w:ascii="Arial" w:hAnsi="Arial" w:cs="Arial"/>
                <w:spacing w:val="-4"/>
                <w:w w:val="115"/>
                <w:sz w:val="18"/>
                <w:szCs w:val="18"/>
              </w:rPr>
              <w:t>5.75</w:t>
            </w:r>
          </w:p>
        </w:tc>
        <w:tc>
          <w:tcPr>
            <w:tcW w:w="699" w:type="dxa"/>
            <w:tcBorders>
              <w:top w:val="single" w:sz="4" w:space="0" w:color="000000"/>
              <w:left w:val="single" w:sz="4" w:space="0" w:color="000000"/>
              <w:bottom w:val="single" w:sz="4" w:space="0" w:color="000000"/>
              <w:right w:val="single" w:sz="4" w:space="0" w:color="000000"/>
            </w:tcBorders>
          </w:tcPr>
          <w:p w14:paraId="05F95C18" w14:textId="77777777" w:rsidR="00D3344B" w:rsidRDefault="00143C25">
            <w:pPr>
              <w:pStyle w:val="TableParagraph"/>
              <w:rPr>
                <w:rFonts w:ascii="Arial" w:hAnsi="Arial" w:cs="Arial"/>
                <w:sz w:val="18"/>
                <w:szCs w:val="18"/>
              </w:rPr>
            </w:pPr>
            <w:r>
              <w:rPr>
                <w:rFonts w:ascii="Arial" w:hAnsi="Arial" w:cs="Arial"/>
                <w:spacing w:val="-4"/>
                <w:w w:val="115"/>
                <w:sz w:val="18"/>
                <w:szCs w:val="18"/>
              </w:rPr>
              <w:t>5.00</w:t>
            </w:r>
          </w:p>
        </w:tc>
        <w:tc>
          <w:tcPr>
            <w:tcW w:w="699" w:type="dxa"/>
            <w:tcBorders>
              <w:top w:val="single" w:sz="4" w:space="0" w:color="000000"/>
              <w:left w:val="single" w:sz="4" w:space="0" w:color="000000"/>
              <w:bottom w:val="single" w:sz="4" w:space="0" w:color="000000"/>
              <w:right w:val="single" w:sz="4" w:space="0" w:color="000000"/>
            </w:tcBorders>
          </w:tcPr>
          <w:p w14:paraId="4A4EC5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4B0B302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0743C820" w14:textId="77777777" w:rsidR="00D3344B" w:rsidRDefault="00D3344B">
            <w:pPr>
              <w:pStyle w:val="TableParagraph"/>
              <w:rPr>
                <w:rFonts w:ascii="Arial" w:hAnsi="Arial" w:cs="Arial"/>
                <w:sz w:val="18"/>
                <w:szCs w:val="18"/>
              </w:rPr>
            </w:pPr>
          </w:p>
        </w:tc>
      </w:tr>
      <w:tr w:rsidR="00D3344B" w14:paraId="1D2E1CB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2EEC20C"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086</w:t>
            </w:r>
          </w:p>
        </w:tc>
        <w:tc>
          <w:tcPr>
            <w:tcW w:w="3038" w:type="dxa"/>
            <w:tcBorders>
              <w:top w:val="single" w:sz="4" w:space="0" w:color="000000"/>
              <w:left w:val="single" w:sz="4" w:space="0" w:color="000000"/>
              <w:bottom w:val="single" w:sz="4" w:space="0" w:color="000000"/>
              <w:right w:val="single" w:sz="4" w:space="0" w:color="000000"/>
            </w:tcBorders>
          </w:tcPr>
          <w:p w14:paraId="1C97072D" w14:textId="77777777" w:rsidR="00D3344B" w:rsidRDefault="00143C25">
            <w:pPr>
              <w:pStyle w:val="TableParagraph"/>
              <w:rPr>
                <w:rFonts w:ascii="Arial" w:hAnsi="Arial" w:cs="Arial"/>
                <w:sz w:val="18"/>
                <w:szCs w:val="18"/>
              </w:rPr>
            </w:pPr>
            <w:r>
              <w:rPr>
                <w:rFonts w:ascii="Arial" w:hAnsi="Arial" w:cs="Arial"/>
                <w:w w:val="110"/>
                <w:sz w:val="18"/>
                <w:szCs w:val="18"/>
              </w:rPr>
              <w:t>Tórax</w:t>
            </w:r>
            <w:r>
              <w:rPr>
                <w:rFonts w:ascii="Arial" w:hAnsi="Arial" w:cs="Arial"/>
                <w:spacing w:val="-2"/>
                <w:w w:val="110"/>
                <w:sz w:val="18"/>
                <w:szCs w:val="18"/>
              </w:rPr>
              <w:t xml:space="preserve"> fluoroscopia</w:t>
            </w:r>
          </w:p>
        </w:tc>
        <w:tc>
          <w:tcPr>
            <w:tcW w:w="697" w:type="dxa"/>
            <w:tcBorders>
              <w:top w:val="single" w:sz="4" w:space="0" w:color="000000"/>
              <w:left w:val="single" w:sz="4" w:space="0" w:color="000000"/>
              <w:bottom w:val="single" w:sz="4" w:space="0" w:color="000000"/>
              <w:right w:val="single" w:sz="4" w:space="0" w:color="000000"/>
            </w:tcBorders>
          </w:tcPr>
          <w:p w14:paraId="68FB016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6.50</w:t>
            </w:r>
          </w:p>
        </w:tc>
        <w:tc>
          <w:tcPr>
            <w:tcW w:w="695" w:type="dxa"/>
            <w:tcBorders>
              <w:top w:val="single" w:sz="4" w:space="0" w:color="000000"/>
              <w:left w:val="single" w:sz="4" w:space="0" w:color="000000"/>
              <w:bottom w:val="single" w:sz="4" w:space="0" w:color="000000"/>
              <w:right w:val="single" w:sz="4" w:space="0" w:color="000000"/>
            </w:tcBorders>
          </w:tcPr>
          <w:p w14:paraId="00716B71"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1A33892C" w14:textId="77777777" w:rsidR="00D3344B" w:rsidRDefault="00143C25">
            <w:pPr>
              <w:pStyle w:val="TableParagraph"/>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46221C8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25AD273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4.25</w:t>
            </w:r>
          </w:p>
        </w:tc>
        <w:tc>
          <w:tcPr>
            <w:tcW w:w="527" w:type="dxa"/>
            <w:tcBorders>
              <w:top w:val="single" w:sz="4" w:space="0" w:color="000000"/>
              <w:left w:val="single" w:sz="4" w:space="0" w:color="000000"/>
              <w:bottom w:val="single" w:sz="4" w:space="0" w:color="000000"/>
              <w:right w:val="single" w:sz="4" w:space="0" w:color="000000"/>
            </w:tcBorders>
          </w:tcPr>
          <w:p w14:paraId="7EC66C1A" w14:textId="77777777" w:rsidR="00D3344B" w:rsidRDefault="00D3344B">
            <w:pPr>
              <w:pStyle w:val="TableParagraph"/>
              <w:rPr>
                <w:rFonts w:ascii="Arial" w:hAnsi="Arial" w:cs="Arial"/>
                <w:sz w:val="18"/>
                <w:szCs w:val="18"/>
              </w:rPr>
            </w:pPr>
          </w:p>
        </w:tc>
      </w:tr>
      <w:tr w:rsidR="00D3344B" w14:paraId="4FF3812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D0FF797"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088</w:t>
            </w:r>
          </w:p>
        </w:tc>
        <w:tc>
          <w:tcPr>
            <w:tcW w:w="3038" w:type="dxa"/>
            <w:tcBorders>
              <w:top w:val="single" w:sz="4" w:space="0" w:color="000000"/>
              <w:left w:val="single" w:sz="4" w:space="0" w:color="000000"/>
              <w:bottom w:val="single" w:sz="4" w:space="0" w:color="000000"/>
              <w:right w:val="single" w:sz="4" w:space="0" w:color="000000"/>
            </w:tcBorders>
          </w:tcPr>
          <w:p w14:paraId="389A194C" w14:textId="77777777" w:rsidR="00D3344B" w:rsidRDefault="00143C25">
            <w:pPr>
              <w:pStyle w:val="TableParagraph"/>
              <w:rPr>
                <w:rFonts w:ascii="Arial" w:hAnsi="Arial" w:cs="Arial"/>
                <w:sz w:val="18"/>
                <w:szCs w:val="18"/>
              </w:rPr>
            </w:pPr>
            <w:r>
              <w:rPr>
                <w:rFonts w:ascii="Arial" w:hAnsi="Arial" w:cs="Arial"/>
                <w:w w:val="110"/>
                <w:sz w:val="18"/>
                <w:szCs w:val="18"/>
              </w:rPr>
              <w:t>Urografía</w:t>
            </w:r>
            <w:r>
              <w:rPr>
                <w:rFonts w:ascii="Arial" w:hAnsi="Arial" w:cs="Arial"/>
                <w:spacing w:val="9"/>
                <w:w w:val="110"/>
                <w:sz w:val="18"/>
                <w:szCs w:val="18"/>
              </w:rPr>
              <w:t xml:space="preserve"> </w:t>
            </w:r>
            <w:r>
              <w:rPr>
                <w:rFonts w:ascii="Arial" w:hAnsi="Arial" w:cs="Arial"/>
                <w:spacing w:val="-2"/>
                <w:w w:val="110"/>
                <w:sz w:val="18"/>
                <w:szCs w:val="18"/>
              </w:rPr>
              <w:t>excretora</w:t>
            </w:r>
          </w:p>
        </w:tc>
        <w:tc>
          <w:tcPr>
            <w:tcW w:w="697" w:type="dxa"/>
            <w:tcBorders>
              <w:top w:val="single" w:sz="4" w:space="0" w:color="000000"/>
              <w:left w:val="single" w:sz="4" w:space="0" w:color="000000"/>
              <w:bottom w:val="single" w:sz="4" w:space="0" w:color="000000"/>
              <w:right w:val="single" w:sz="4" w:space="0" w:color="000000"/>
            </w:tcBorders>
          </w:tcPr>
          <w:p w14:paraId="0AC9505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681C5B11" w14:textId="77777777" w:rsidR="00D3344B" w:rsidRDefault="00143C25">
            <w:pPr>
              <w:pStyle w:val="TableParagraph"/>
              <w:rPr>
                <w:rFonts w:ascii="Arial" w:hAnsi="Arial" w:cs="Arial"/>
                <w:sz w:val="18"/>
                <w:szCs w:val="18"/>
              </w:rPr>
            </w:pPr>
            <w:r>
              <w:rPr>
                <w:rFonts w:ascii="Arial" w:hAnsi="Arial" w:cs="Arial"/>
                <w:spacing w:val="-4"/>
                <w:w w:val="115"/>
                <w:sz w:val="18"/>
                <w:szCs w:val="18"/>
              </w:rPr>
              <w:t>13.75</w:t>
            </w:r>
          </w:p>
        </w:tc>
        <w:tc>
          <w:tcPr>
            <w:tcW w:w="699" w:type="dxa"/>
            <w:tcBorders>
              <w:top w:val="single" w:sz="4" w:space="0" w:color="000000"/>
              <w:left w:val="single" w:sz="4" w:space="0" w:color="000000"/>
              <w:bottom w:val="single" w:sz="4" w:space="0" w:color="000000"/>
              <w:right w:val="single" w:sz="4" w:space="0" w:color="000000"/>
            </w:tcBorders>
          </w:tcPr>
          <w:p w14:paraId="22DE9B3B" w14:textId="77777777" w:rsidR="00D3344B" w:rsidRDefault="00143C25">
            <w:pPr>
              <w:pStyle w:val="TableParagraph"/>
              <w:rPr>
                <w:rFonts w:ascii="Arial" w:hAnsi="Arial" w:cs="Arial"/>
                <w:sz w:val="18"/>
                <w:szCs w:val="18"/>
              </w:rPr>
            </w:pPr>
            <w:r>
              <w:rPr>
                <w:rFonts w:ascii="Arial" w:hAnsi="Arial" w:cs="Arial"/>
                <w:spacing w:val="-4"/>
                <w:w w:val="115"/>
                <w:sz w:val="18"/>
                <w:szCs w:val="18"/>
              </w:rPr>
              <w:t>11.50</w:t>
            </w:r>
          </w:p>
        </w:tc>
        <w:tc>
          <w:tcPr>
            <w:tcW w:w="699" w:type="dxa"/>
            <w:tcBorders>
              <w:top w:val="single" w:sz="4" w:space="0" w:color="000000"/>
              <w:left w:val="single" w:sz="4" w:space="0" w:color="000000"/>
              <w:bottom w:val="single" w:sz="4" w:space="0" w:color="000000"/>
              <w:right w:val="single" w:sz="4" w:space="0" w:color="000000"/>
            </w:tcBorders>
          </w:tcPr>
          <w:p w14:paraId="50F5EA2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9.75</w:t>
            </w:r>
          </w:p>
        </w:tc>
        <w:tc>
          <w:tcPr>
            <w:tcW w:w="696" w:type="dxa"/>
            <w:tcBorders>
              <w:top w:val="single" w:sz="4" w:space="0" w:color="000000"/>
              <w:left w:val="single" w:sz="4" w:space="0" w:color="000000"/>
              <w:bottom w:val="single" w:sz="4" w:space="0" w:color="000000"/>
              <w:right w:val="single" w:sz="4" w:space="0" w:color="000000"/>
            </w:tcBorders>
          </w:tcPr>
          <w:p w14:paraId="0525554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7.75</w:t>
            </w:r>
          </w:p>
        </w:tc>
        <w:tc>
          <w:tcPr>
            <w:tcW w:w="527" w:type="dxa"/>
            <w:tcBorders>
              <w:top w:val="single" w:sz="4" w:space="0" w:color="000000"/>
              <w:left w:val="single" w:sz="4" w:space="0" w:color="000000"/>
              <w:bottom w:val="single" w:sz="4" w:space="0" w:color="000000"/>
              <w:right w:val="single" w:sz="4" w:space="0" w:color="000000"/>
            </w:tcBorders>
          </w:tcPr>
          <w:p w14:paraId="04446C18" w14:textId="77777777" w:rsidR="00D3344B" w:rsidRDefault="00D3344B">
            <w:pPr>
              <w:pStyle w:val="TableParagraph"/>
              <w:rPr>
                <w:rFonts w:ascii="Arial" w:hAnsi="Arial" w:cs="Arial"/>
                <w:sz w:val="18"/>
                <w:szCs w:val="18"/>
              </w:rPr>
            </w:pPr>
          </w:p>
        </w:tc>
      </w:tr>
      <w:tr w:rsidR="00D3344B" w14:paraId="7FA16B70"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BAE83FE"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089</w:t>
            </w:r>
          </w:p>
        </w:tc>
        <w:tc>
          <w:tcPr>
            <w:tcW w:w="3038" w:type="dxa"/>
            <w:tcBorders>
              <w:top w:val="single" w:sz="4" w:space="0" w:color="000000"/>
              <w:left w:val="single" w:sz="4" w:space="0" w:color="000000"/>
              <w:bottom w:val="single" w:sz="4" w:space="0" w:color="000000"/>
              <w:right w:val="single" w:sz="4" w:space="0" w:color="000000"/>
            </w:tcBorders>
          </w:tcPr>
          <w:p w14:paraId="010A846A" w14:textId="77777777" w:rsidR="00D3344B" w:rsidRDefault="00143C25">
            <w:pPr>
              <w:pStyle w:val="TableParagraph"/>
              <w:spacing w:line="252" w:lineRule="exact"/>
              <w:rPr>
                <w:rFonts w:ascii="Arial" w:hAnsi="Arial" w:cs="Arial"/>
                <w:sz w:val="18"/>
                <w:szCs w:val="18"/>
              </w:rPr>
            </w:pPr>
            <w:proofErr w:type="spellStart"/>
            <w:r>
              <w:rPr>
                <w:rFonts w:ascii="Arial" w:hAnsi="Arial" w:cs="Arial"/>
                <w:w w:val="110"/>
                <w:sz w:val="18"/>
                <w:szCs w:val="18"/>
              </w:rPr>
              <w:t>Venografía</w:t>
            </w:r>
            <w:proofErr w:type="spellEnd"/>
            <w:r>
              <w:rPr>
                <w:rFonts w:ascii="Arial" w:hAnsi="Arial" w:cs="Arial"/>
                <w:spacing w:val="-16"/>
                <w:w w:val="110"/>
                <w:sz w:val="18"/>
                <w:szCs w:val="18"/>
              </w:rPr>
              <w:t xml:space="preserve"> </w:t>
            </w:r>
            <w:r>
              <w:rPr>
                <w:rFonts w:ascii="Arial" w:hAnsi="Arial" w:cs="Arial"/>
                <w:w w:val="110"/>
                <w:sz w:val="18"/>
                <w:szCs w:val="18"/>
              </w:rPr>
              <w:t>o</w:t>
            </w:r>
            <w:r>
              <w:rPr>
                <w:rFonts w:ascii="Arial" w:hAnsi="Arial" w:cs="Arial"/>
                <w:spacing w:val="61"/>
                <w:w w:val="110"/>
                <w:sz w:val="18"/>
                <w:szCs w:val="18"/>
              </w:rPr>
              <w:t xml:space="preserve"> </w:t>
            </w:r>
            <w:r>
              <w:rPr>
                <w:rFonts w:ascii="Arial" w:hAnsi="Arial" w:cs="Arial"/>
                <w:w w:val="110"/>
                <w:sz w:val="18"/>
                <w:szCs w:val="18"/>
              </w:rPr>
              <w:t xml:space="preserve">flebografía </w:t>
            </w:r>
            <w:r>
              <w:rPr>
                <w:rFonts w:ascii="Arial" w:hAnsi="Arial" w:cs="Arial"/>
                <w:spacing w:val="-2"/>
                <w:w w:val="110"/>
                <w:sz w:val="18"/>
                <w:szCs w:val="18"/>
              </w:rPr>
              <w:t>extremidades</w:t>
            </w:r>
          </w:p>
        </w:tc>
        <w:tc>
          <w:tcPr>
            <w:tcW w:w="697" w:type="dxa"/>
            <w:tcBorders>
              <w:top w:val="single" w:sz="4" w:space="0" w:color="000000"/>
              <w:left w:val="single" w:sz="4" w:space="0" w:color="000000"/>
              <w:bottom w:val="single" w:sz="4" w:space="0" w:color="000000"/>
              <w:right w:val="single" w:sz="4" w:space="0" w:color="000000"/>
            </w:tcBorders>
          </w:tcPr>
          <w:p w14:paraId="0B86818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18.25</w:t>
            </w:r>
          </w:p>
        </w:tc>
        <w:tc>
          <w:tcPr>
            <w:tcW w:w="695" w:type="dxa"/>
            <w:tcBorders>
              <w:top w:val="single" w:sz="4" w:space="0" w:color="000000"/>
              <w:left w:val="single" w:sz="4" w:space="0" w:color="000000"/>
              <w:bottom w:val="single" w:sz="4" w:space="0" w:color="000000"/>
              <w:right w:val="single" w:sz="4" w:space="0" w:color="000000"/>
            </w:tcBorders>
          </w:tcPr>
          <w:p w14:paraId="422388D5" w14:textId="77777777" w:rsidR="00D3344B" w:rsidRDefault="00143C25">
            <w:pPr>
              <w:pStyle w:val="TableParagraph"/>
              <w:rPr>
                <w:rFonts w:ascii="Arial" w:hAnsi="Arial" w:cs="Arial"/>
                <w:sz w:val="18"/>
                <w:szCs w:val="18"/>
              </w:rPr>
            </w:pPr>
            <w:r>
              <w:rPr>
                <w:rFonts w:ascii="Arial" w:hAnsi="Arial" w:cs="Arial"/>
                <w:spacing w:val="-4"/>
                <w:w w:val="115"/>
                <w:sz w:val="18"/>
                <w:szCs w:val="18"/>
              </w:rPr>
              <w:t>16.50</w:t>
            </w:r>
          </w:p>
        </w:tc>
        <w:tc>
          <w:tcPr>
            <w:tcW w:w="699" w:type="dxa"/>
            <w:tcBorders>
              <w:top w:val="single" w:sz="4" w:space="0" w:color="000000"/>
              <w:left w:val="single" w:sz="4" w:space="0" w:color="000000"/>
              <w:bottom w:val="single" w:sz="4" w:space="0" w:color="000000"/>
              <w:right w:val="single" w:sz="4" w:space="0" w:color="000000"/>
            </w:tcBorders>
          </w:tcPr>
          <w:p w14:paraId="68453D96" w14:textId="77777777" w:rsidR="00D3344B" w:rsidRDefault="00143C25">
            <w:pPr>
              <w:pStyle w:val="TableParagraph"/>
              <w:rPr>
                <w:rFonts w:ascii="Arial" w:hAnsi="Arial" w:cs="Arial"/>
                <w:sz w:val="18"/>
                <w:szCs w:val="18"/>
              </w:rPr>
            </w:pPr>
            <w:r>
              <w:rPr>
                <w:rFonts w:ascii="Arial" w:hAnsi="Arial" w:cs="Arial"/>
                <w:spacing w:val="-4"/>
                <w:w w:val="115"/>
                <w:sz w:val="18"/>
                <w:szCs w:val="18"/>
              </w:rPr>
              <w:t>14.25</w:t>
            </w:r>
          </w:p>
        </w:tc>
        <w:tc>
          <w:tcPr>
            <w:tcW w:w="699" w:type="dxa"/>
            <w:tcBorders>
              <w:top w:val="single" w:sz="4" w:space="0" w:color="000000"/>
              <w:left w:val="single" w:sz="4" w:space="0" w:color="000000"/>
              <w:bottom w:val="single" w:sz="4" w:space="0" w:color="000000"/>
              <w:right w:val="single" w:sz="4" w:space="0" w:color="000000"/>
            </w:tcBorders>
          </w:tcPr>
          <w:p w14:paraId="4358A2B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12.25</w:t>
            </w:r>
          </w:p>
        </w:tc>
        <w:tc>
          <w:tcPr>
            <w:tcW w:w="696" w:type="dxa"/>
            <w:tcBorders>
              <w:top w:val="single" w:sz="4" w:space="0" w:color="000000"/>
              <w:left w:val="single" w:sz="4" w:space="0" w:color="000000"/>
              <w:bottom w:val="single" w:sz="4" w:space="0" w:color="000000"/>
              <w:right w:val="single" w:sz="4" w:space="0" w:color="000000"/>
            </w:tcBorders>
          </w:tcPr>
          <w:p w14:paraId="3A67570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10.25</w:t>
            </w:r>
          </w:p>
        </w:tc>
        <w:tc>
          <w:tcPr>
            <w:tcW w:w="527" w:type="dxa"/>
            <w:tcBorders>
              <w:top w:val="single" w:sz="4" w:space="0" w:color="000000"/>
              <w:left w:val="single" w:sz="4" w:space="0" w:color="000000"/>
              <w:bottom w:val="single" w:sz="4" w:space="0" w:color="000000"/>
              <w:right w:val="single" w:sz="4" w:space="0" w:color="000000"/>
            </w:tcBorders>
          </w:tcPr>
          <w:p w14:paraId="29821D0E" w14:textId="77777777" w:rsidR="00D3344B" w:rsidRDefault="00D3344B">
            <w:pPr>
              <w:pStyle w:val="TableParagraph"/>
              <w:rPr>
                <w:rFonts w:ascii="Arial" w:hAnsi="Arial" w:cs="Arial"/>
                <w:sz w:val="18"/>
                <w:szCs w:val="18"/>
              </w:rPr>
            </w:pPr>
          </w:p>
        </w:tc>
      </w:tr>
      <w:tr w:rsidR="00D3344B" w14:paraId="2BCBF0CF"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EA3A138"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090</w:t>
            </w:r>
          </w:p>
        </w:tc>
        <w:tc>
          <w:tcPr>
            <w:tcW w:w="3038" w:type="dxa"/>
            <w:tcBorders>
              <w:top w:val="single" w:sz="4" w:space="0" w:color="000000"/>
              <w:left w:val="single" w:sz="4" w:space="0" w:color="000000"/>
              <w:bottom w:val="single" w:sz="4" w:space="0" w:color="000000"/>
              <w:right w:val="single" w:sz="4" w:space="0" w:color="000000"/>
            </w:tcBorders>
          </w:tcPr>
          <w:p w14:paraId="166CD32A" w14:textId="77777777" w:rsidR="00D3344B" w:rsidRDefault="00143C25">
            <w:pPr>
              <w:pStyle w:val="TableParagraph"/>
              <w:spacing w:line="252" w:lineRule="exact"/>
              <w:ind w:right="530"/>
              <w:rPr>
                <w:rFonts w:ascii="Arial" w:hAnsi="Arial" w:cs="Arial"/>
                <w:sz w:val="18"/>
                <w:szCs w:val="18"/>
              </w:rPr>
            </w:pPr>
            <w:r>
              <w:rPr>
                <w:rFonts w:ascii="Arial" w:hAnsi="Arial" w:cs="Arial"/>
                <w:w w:val="110"/>
                <w:sz w:val="18"/>
                <w:szCs w:val="18"/>
              </w:rPr>
              <w:t>Articulación</w:t>
            </w:r>
            <w:r>
              <w:rPr>
                <w:rFonts w:ascii="Arial" w:hAnsi="Arial" w:cs="Arial"/>
                <w:spacing w:val="40"/>
                <w:w w:val="110"/>
                <w:sz w:val="18"/>
                <w:szCs w:val="18"/>
              </w:rPr>
              <w:t xml:space="preserve"> </w:t>
            </w:r>
            <w:r>
              <w:rPr>
                <w:rFonts w:ascii="Arial" w:hAnsi="Arial" w:cs="Arial"/>
                <w:w w:val="110"/>
                <w:sz w:val="18"/>
                <w:szCs w:val="18"/>
              </w:rPr>
              <w:t xml:space="preserve">sacro-iliaca </w:t>
            </w:r>
            <w:r>
              <w:rPr>
                <w:rFonts w:ascii="Arial" w:hAnsi="Arial" w:cs="Arial"/>
                <w:spacing w:val="-4"/>
                <w:w w:val="110"/>
                <w:sz w:val="18"/>
                <w:szCs w:val="18"/>
              </w:rPr>
              <w:t>(1p)</w:t>
            </w:r>
          </w:p>
        </w:tc>
        <w:tc>
          <w:tcPr>
            <w:tcW w:w="697" w:type="dxa"/>
            <w:tcBorders>
              <w:top w:val="single" w:sz="4" w:space="0" w:color="000000"/>
              <w:left w:val="single" w:sz="4" w:space="0" w:color="000000"/>
              <w:bottom w:val="single" w:sz="4" w:space="0" w:color="000000"/>
              <w:right w:val="single" w:sz="4" w:space="0" w:color="000000"/>
            </w:tcBorders>
          </w:tcPr>
          <w:p w14:paraId="67EDA26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227D74A9"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41F1464B"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60228F5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28E23C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0A48F42C" w14:textId="77777777" w:rsidR="00D3344B" w:rsidRDefault="00D3344B">
            <w:pPr>
              <w:pStyle w:val="TableParagraph"/>
              <w:rPr>
                <w:rFonts w:ascii="Arial" w:hAnsi="Arial" w:cs="Arial"/>
                <w:sz w:val="18"/>
                <w:szCs w:val="18"/>
              </w:rPr>
            </w:pPr>
          </w:p>
        </w:tc>
      </w:tr>
      <w:tr w:rsidR="00D3344B" w14:paraId="73C173D3" w14:textId="77777777">
        <w:trPr>
          <w:trHeight w:val="373"/>
        </w:trPr>
        <w:tc>
          <w:tcPr>
            <w:tcW w:w="1776" w:type="dxa"/>
            <w:tcBorders>
              <w:top w:val="single" w:sz="4" w:space="0" w:color="000000"/>
              <w:left w:val="single" w:sz="4" w:space="0" w:color="000000"/>
              <w:bottom w:val="single" w:sz="4" w:space="0" w:color="000000"/>
              <w:right w:val="single" w:sz="4" w:space="0" w:color="000000"/>
            </w:tcBorders>
          </w:tcPr>
          <w:p w14:paraId="49E21136"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091</w:t>
            </w:r>
          </w:p>
        </w:tc>
        <w:tc>
          <w:tcPr>
            <w:tcW w:w="3038" w:type="dxa"/>
            <w:tcBorders>
              <w:top w:val="single" w:sz="4" w:space="0" w:color="000000"/>
              <w:left w:val="single" w:sz="4" w:space="0" w:color="000000"/>
              <w:bottom w:val="single" w:sz="4" w:space="0" w:color="000000"/>
              <w:right w:val="single" w:sz="4" w:space="0" w:color="000000"/>
            </w:tcBorders>
          </w:tcPr>
          <w:p w14:paraId="00BB208F" w14:textId="77777777" w:rsidR="00D3344B" w:rsidRDefault="00143C25">
            <w:pPr>
              <w:pStyle w:val="TableParagraph"/>
              <w:rPr>
                <w:rFonts w:ascii="Arial" w:hAnsi="Arial" w:cs="Arial"/>
                <w:sz w:val="18"/>
                <w:szCs w:val="18"/>
              </w:rPr>
            </w:pPr>
            <w:r>
              <w:rPr>
                <w:rFonts w:ascii="Arial" w:hAnsi="Arial" w:cs="Arial"/>
                <w:w w:val="110"/>
                <w:sz w:val="18"/>
                <w:szCs w:val="18"/>
              </w:rPr>
              <w:t>Articulación</w:t>
            </w:r>
            <w:r>
              <w:rPr>
                <w:rFonts w:ascii="Arial" w:hAnsi="Arial" w:cs="Arial"/>
                <w:spacing w:val="79"/>
                <w:w w:val="110"/>
                <w:sz w:val="18"/>
                <w:szCs w:val="18"/>
              </w:rPr>
              <w:t xml:space="preserve"> </w:t>
            </w:r>
            <w:r>
              <w:rPr>
                <w:rFonts w:ascii="Arial" w:hAnsi="Arial" w:cs="Arial"/>
                <w:w w:val="110"/>
                <w:sz w:val="18"/>
                <w:szCs w:val="18"/>
              </w:rPr>
              <w:t>sacro-coxis</w:t>
            </w:r>
            <w:r>
              <w:rPr>
                <w:rFonts w:ascii="Arial" w:hAnsi="Arial" w:cs="Arial"/>
                <w:spacing w:val="15"/>
                <w:w w:val="110"/>
                <w:sz w:val="18"/>
                <w:szCs w:val="18"/>
              </w:rPr>
              <w:t xml:space="preserve"> </w:t>
            </w:r>
            <w:r>
              <w:rPr>
                <w:rFonts w:ascii="Arial" w:hAnsi="Arial" w:cs="Arial"/>
                <w:spacing w:val="-4"/>
                <w:w w:val="110"/>
                <w:sz w:val="18"/>
                <w:szCs w:val="18"/>
              </w:rPr>
              <w:t>(1p)</w:t>
            </w:r>
          </w:p>
        </w:tc>
        <w:tc>
          <w:tcPr>
            <w:tcW w:w="697" w:type="dxa"/>
            <w:tcBorders>
              <w:top w:val="single" w:sz="4" w:space="0" w:color="000000"/>
              <w:left w:val="single" w:sz="4" w:space="0" w:color="000000"/>
              <w:bottom w:val="single" w:sz="4" w:space="0" w:color="000000"/>
              <w:right w:val="single" w:sz="4" w:space="0" w:color="000000"/>
            </w:tcBorders>
          </w:tcPr>
          <w:p w14:paraId="25DCBC8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203A6CAE"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7C680D10"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3ECA09B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67E2E30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062C7CEE" w14:textId="77777777" w:rsidR="00D3344B" w:rsidRDefault="00D3344B">
            <w:pPr>
              <w:pStyle w:val="TableParagraph"/>
              <w:rPr>
                <w:rFonts w:ascii="Arial" w:hAnsi="Arial" w:cs="Arial"/>
                <w:sz w:val="18"/>
                <w:szCs w:val="18"/>
              </w:rPr>
            </w:pPr>
          </w:p>
        </w:tc>
      </w:tr>
      <w:tr w:rsidR="00D3344B" w14:paraId="19277F0A" w14:textId="77777777">
        <w:trPr>
          <w:trHeight w:val="373"/>
        </w:trPr>
        <w:tc>
          <w:tcPr>
            <w:tcW w:w="1776" w:type="dxa"/>
            <w:tcBorders>
              <w:top w:val="single" w:sz="4" w:space="0" w:color="000000"/>
              <w:left w:val="single" w:sz="4" w:space="0" w:color="000000"/>
              <w:bottom w:val="single" w:sz="4" w:space="0" w:color="000000"/>
              <w:right w:val="single" w:sz="4" w:space="0" w:color="000000"/>
            </w:tcBorders>
          </w:tcPr>
          <w:p w14:paraId="5F855CC9"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092</w:t>
            </w:r>
          </w:p>
        </w:tc>
        <w:tc>
          <w:tcPr>
            <w:tcW w:w="3038" w:type="dxa"/>
            <w:tcBorders>
              <w:top w:val="single" w:sz="4" w:space="0" w:color="000000"/>
              <w:left w:val="single" w:sz="4" w:space="0" w:color="000000"/>
              <w:bottom w:val="single" w:sz="4" w:space="0" w:color="000000"/>
              <w:right w:val="single" w:sz="4" w:space="0" w:color="000000"/>
            </w:tcBorders>
          </w:tcPr>
          <w:p w14:paraId="1A458408" w14:textId="77777777" w:rsidR="00D3344B" w:rsidRDefault="00143C25">
            <w:pPr>
              <w:pStyle w:val="TableParagraph"/>
              <w:spacing w:before="1"/>
              <w:rPr>
                <w:rFonts w:ascii="Arial" w:hAnsi="Arial" w:cs="Arial"/>
                <w:sz w:val="18"/>
                <w:szCs w:val="18"/>
              </w:rPr>
            </w:pPr>
            <w:r>
              <w:rPr>
                <w:rFonts w:ascii="Arial" w:hAnsi="Arial" w:cs="Arial"/>
                <w:w w:val="110"/>
                <w:sz w:val="18"/>
                <w:szCs w:val="18"/>
              </w:rPr>
              <w:t>Articulación</w:t>
            </w:r>
            <w:r>
              <w:rPr>
                <w:rFonts w:ascii="Arial" w:hAnsi="Arial" w:cs="Arial"/>
                <w:spacing w:val="79"/>
                <w:w w:val="110"/>
                <w:sz w:val="18"/>
                <w:szCs w:val="18"/>
              </w:rPr>
              <w:t xml:space="preserve"> </w:t>
            </w:r>
            <w:r>
              <w:rPr>
                <w:rFonts w:ascii="Arial" w:hAnsi="Arial" w:cs="Arial"/>
                <w:w w:val="110"/>
                <w:sz w:val="18"/>
                <w:szCs w:val="18"/>
              </w:rPr>
              <w:t>sacro-coxis</w:t>
            </w:r>
            <w:r>
              <w:rPr>
                <w:rFonts w:ascii="Arial" w:hAnsi="Arial" w:cs="Arial"/>
                <w:spacing w:val="15"/>
                <w:w w:val="110"/>
                <w:sz w:val="18"/>
                <w:szCs w:val="18"/>
              </w:rPr>
              <w:t xml:space="preserve"> </w:t>
            </w:r>
            <w:r>
              <w:rPr>
                <w:rFonts w:ascii="Arial" w:hAnsi="Arial" w:cs="Arial"/>
                <w:spacing w:val="-4"/>
                <w:w w:val="110"/>
                <w:sz w:val="18"/>
                <w:szCs w:val="18"/>
              </w:rPr>
              <w:t>(2p)</w:t>
            </w:r>
          </w:p>
        </w:tc>
        <w:tc>
          <w:tcPr>
            <w:tcW w:w="697" w:type="dxa"/>
            <w:tcBorders>
              <w:top w:val="single" w:sz="4" w:space="0" w:color="000000"/>
              <w:left w:val="single" w:sz="4" w:space="0" w:color="000000"/>
              <w:bottom w:val="single" w:sz="4" w:space="0" w:color="000000"/>
              <w:right w:val="single" w:sz="4" w:space="0" w:color="000000"/>
            </w:tcBorders>
          </w:tcPr>
          <w:p w14:paraId="77E6E7C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4.25</w:t>
            </w:r>
          </w:p>
        </w:tc>
        <w:tc>
          <w:tcPr>
            <w:tcW w:w="695" w:type="dxa"/>
            <w:tcBorders>
              <w:top w:val="single" w:sz="4" w:space="0" w:color="000000"/>
              <w:left w:val="single" w:sz="4" w:space="0" w:color="000000"/>
              <w:bottom w:val="single" w:sz="4" w:space="0" w:color="000000"/>
              <w:right w:val="single" w:sz="4" w:space="0" w:color="000000"/>
            </w:tcBorders>
          </w:tcPr>
          <w:p w14:paraId="70573C1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5DAA685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6D7103C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23A9E78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2.75</w:t>
            </w:r>
          </w:p>
        </w:tc>
        <w:tc>
          <w:tcPr>
            <w:tcW w:w="527" w:type="dxa"/>
            <w:tcBorders>
              <w:top w:val="single" w:sz="4" w:space="0" w:color="000000"/>
              <w:left w:val="single" w:sz="4" w:space="0" w:color="000000"/>
              <w:bottom w:val="single" w:sz="4" w:space="0" w:color="000000"/>
              <w:right w:val="single" w:sz="4" w:space="0" w:color="000000"/>
            </w:tcBorders>
          </w:tcPr>
          <w:p w14:paraId="48239C14" w14:textId="77777777" w:rsidR="00D3344B" w:rsidRDefault="00D3344B">
            <w:pPr>
              <w:pStyle w:val="TableParagraph"/>
              <w:rPr>
                <w:rFonts w:ascii="Arial" w:hAnsi="Arial" w:cs="Arial"/>
                <w:sz w:val="18"/>
                <w:szCs w:val="18"/>
              </w:rPr>
            </w:pPr>
          </w:p>
        </w:tc>
      </w:tr>
      <w:tr w:rsidR="00D3344B" w14:paraId="2452883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B4158F5"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093</w:t>
            </w:r>
          </w:p>
        </w:tc>
        <w:tc>
          <w:tcPr>
            <w:tcW w:w="3038" w:type="dxa"/>
            <w:tcBorders>
              <w:top w:val="single" w:sz="4" w:space="0" w:color="000000"/>
              <w:left w:val="single" w:sz="4" w:space="0" w:color="000000"/>
              <w:bottom w:val="single" w:sz="4" w:space="0" w:color="000000"/>
              <w:right w:val="single" w:sz="4" w:space="0" w:color="000000"/>
            </w:tcBorders>
          </w:tcPr>
          <w:p w14:paraId="34FE7CEE" w14:textId="77777777" w:rsidR="00D3344B" w:rsidRDefault="00143C25">
            <w:pPr>
              <w:pStyle w:val="TableParagraph"/>
              <w:spacing w:before="1"/>
              <w:rPr>
                <w:rFonts w:ascii="Arial" w:hAnsi="Arial" w:cs="Arial"/>
                <w:sz w:val="18"/>
                <w:szCs w:val="18"/>
              </w:rPr>
            </w:pPr>
            <w:r>
              <w:rPr>
                <w:rFonts w:ascii="Arial" w:hAnsi="Arial" w:cs="Arial"/>
                <w:w w:val="110"/>
                <w:sz w:val="18"/>
                <w:szCs w:val="18"/>
              </w:rPr>
              <w:t>Pelvis</w:t>
            </w:r>
            <w:r>
              <w:rPr>
                <w:rFonts w:ascii="Arial" w:hAnsi="Arial" w:cs="Arial"/>
                <w:spacing w:val="10"/>
                <w:w w:val="110"/>
                <w:sz w:val="18"/>
                <w:szCs w:val="18"/>
              </w:rPr>
              <w:t xml:space="preserve"> </w:t>
            </w:r>
            <w:r>
              <w:rPr>
                <w:rFonts w:ascii="Arial" w:hAnsi="Arial" w:cs="Arial"/>
                <w:w w:val="110"/>
                <w:sz w:val="18"/>
                <w:szCs w:val="18"/>
              </w:rPr>
              <w:t>alar</w:t>
            </w:r>
            <w:r>
              <w:rPr>
                <w:rFonts w:ascii="Arial" w:hAnsi="Arial" w:cs="Arial"/>
                <w:spacing w:val="8"/>
                <w:w w:val="110"/>
                <w:sz w:val="18"/>
                <w:szCs w:val="18"/>
              </w:rPr>
              <w:t xml:space="preserve"> </w:t>
            </w:r>
            <w:r>
              <w:rPr>
                <w:rFonts w:ascii="Arial" w:hAnsi="Arial" w:cs="Arial"/>
                <w:w w:val="110"/>
                <w:sz w:val="18"/>
                <w:szCs w:val="18"/>
              </w:rPr>
              <w:t>y</w:t>
            </w:r>
            <w:r>
              <w:rPr>
                <w:rFonts w:ascii="Arial" w:hAnsi="Arial" w:cs="Arial"/>
                <w:spacing w:val="9"/>
                <w:w w:val="110"/>
                <w:sz w:val="18"/>
                <w:szCs w:val="18"/>
              </w:rPr>
              <w:t xml:space="preserve"> </w:t>
            </w:r>
            <w:r>
              <w:rPr>
                <w:rFonts w:ascii="Arial" w:hAnsi="Arial" w:cs="Arial"/>
                <w:spacing w:val="-2"/>
                <w:w w:val="110"/>
                <w:sz w:val="18"/>
                <w:szCs w:val="18"/>
              </w:rPr>
              <w:t>obturatriz</w:t>
            </w:r>
          </w:p>
        </w:tc>
        <w:tc>
          <w:tcPr>
            <w:tcW w:w="697" w:type="dxa"/>
            <w:tcBorders>
              <w:top w:val="single" w:sz="4" w:space="0" w:color="000000"/>
              <w:left w:val="single" w:sz="4" w:space="0" w:color="000000"/>
              <w:bottom w:val="single" w:sz="4" w:space="0" w:color="000000"/>
              <w:right w:val="single" w:sz="4" w:space="0" w:color="000000"/>
            </w:tcBorders>
          </w:tcPr>
          <w:p w14:paraId="220B8CB5"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3021B1DA"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17B0D79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64B2B5E"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3CCBB6D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6E328CDA" w14:textId="77777777" w:rsidR="00D3344B" w:rsidRDefault="00D3344B">
            <w:pPr>
              <w:pStyle w:val="TableParagraph"/>
              <w:rPr>
                <w:rFonts w:ascii="Arial" w:hAnsi="Arial" w:cs="Arial"/>
                <w:sz w:val="18"/>
                <w:szCs w:val="18"/>
              </w:rPr>
            </w:pPr>
          </w:p>
        </w:tc>
      </w:tr>
      <w:tr w:rsidR="00D3344B" w14:paraId="3D28E682"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D40C475"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094</w:t>
            </w:r>
          </w:p>
        </w:tc>
        <w:tc>
          <w:tcPr>
            <w:tcW w:w="3038" w:type="dxa"/>
            <w:tcBorders>
              <w:top w:val="single" w:sz="4" w:space="0" w:color="000000"/>
              <w:left w:val="single" w:sz="4" w:space="0" w:color="000000"/>
              <w:bottom w:val="single" w:sz="4" w:space="0" w:color="000000"/>
              <w:right w:val="single" w:sz="4" w:space="0" w:color="000000"/>
            </w:tcBorders>
          </w:tcPr>
          <w:p w14:paraId="08BD7681" w14:textId="77777777" w:rsidR="00D3344B" w:rsidRDefault="00143C25">
            <w:pPr>
              <w:pStyle w:val="TableParagraph"/>
              <w:rPr>
                <w:rFonts w:ascii="Arial" w:hAnsi="Arial" w:cs="Arial"/>
                <w:sz w:val="18"/>
                <w:szCs w:val="18"/>
              </w:rPr>
            </w:pPr>
            <w:r>
              <w:rPr>
                <w:rFonts w:ascii="Arial" w:hAnsi="Arial" w:cs="Arial"/>
                <w:w w:val="105"/>
                <w:sz w:val="18"/>
                <w:szCs w:val="18"/>
              </w:rPr>
              <w:t>Pelvis</w:t>
            </w:r>
            <w:r>
              <w:rPr>
                <w:rFonts w:ascii="Arial" w:hAnsi="Arial" w:cs="Arial"/>
                <w:spacing w:val="23"/>
                <w:w w:val="105"/>
                <w:sz w:val="18"/>
                <w:szCs w:val="18"/>
              </w:rPr>
              <w:t xml:space="preserve"> </w:t>
            </w:r>
            <w:r>
              <w:rPr>
                <w:rFonts w:ascii="Arial" w:hAnsi="Arial" w:cs="Arial"/>
                <w:spacing w:val="-4"/>
                <w:w w:val="105"/>
                <w:sz w:val="18"/>
                <w:szCs w:val="18"/>
              </w:rPr>
              <w:t>(1p)</w:t>
            </w:r>
          </w:p>
        </w:tc>
        <w:tc>
          <w:tcPr>
            <w:tcW w:w="697" w:type="dxa"/>
            <w:tcBorders>
              <w:top w:val="single" w:sz="4" w:space="0" w:color="000000"/>
              <w:left w:val="single" w:sz="4" w:space="0" w:color="000000"/>
              <w:bottom w:val="single" w:sz="4" w:space="0" w:color="000000"/>
              <w:right w:val="single" w:sz="4" w:space="0" w:color="000000"/>
            </w:tcBorders>
          </w:tcPr>
          <w:p w14:paraId="6777D69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3.75</w:t>
            </w:r>
          </w:p>
        </w:tc>
        <w:tc>
          <w:tcPr>
            <w:tcW w:w="695" w:type="dxa"/>
            <w:tcBorders>
              <w:top w:val="single" w:sz="4" w:space="0" w:color="000000"/>
              <w:left w:val="single" w:sz="4" w:space="0" w:color="000000"/>
              <w:bottom w:val="single" w:sz="4" w:space="0" w:color="000000"/>
              <w:right w:val="single" w:sz="4" w:space="0" w:color="000000"/>
            </w:tcBorders>
          </w:tcPr>
          <w:p w14:paraId="7B70C46F"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302CC525"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4093E8C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0556911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65099F15" w14:textId="77777777" w:rsidR="00D3344B" w:rsidRDefault="00D3344B">
            <w:pPr>
              <w:pStyle w:val="TableParagraph"/>
              <w:rPr>
                <w:rFonts w:ascii="Arial" w:hAnsi="Arial" w:cs="Arial"/>
                <w:sz w:val="18"/>
                <w:szCs w:val="18"/>
              </w:rPr>
            </w:pPr>
          </w:p>
        </w:tc>
      </w:tr>
      <w:tr w:rsidR="00D3344B" w14:paraId="0B9FB9F2"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51FE90F"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095</w:t>
            </w:r>
          </w:p>
        </w:tc>
        <w:tc>
          <w:tcPr>
            <w:tcW w:w="3038" w:type="dxa"/>
            <w:tcBorders>
              <w:top w:val="single" w:sz="4" w:space="0" w:color="000000"/>
              <w:left w:val="single" w:sz="4" w:space="0" w:color="000000"/>
              <w:bottom w:val="single" w:sz="4" w:space="0" w:color="000000"/>
              <w:right w:val="single" w:sz="4" w:space="0" w:color="000000"/>
            </w:tcBorders>
          </w:tcPr>
          <w:p w14:paraId="143CCA81" w14:textId="77777777" w:rsidR="00D3344B" w:rsidRDefault="00143C25">
            <w:pPr>
              <w:pStyle w:val="TableParagraph"/>
              <w:spacing w:before="1"/>
              <w:rPr>
                <w:rFonts w:ascii="Arial" w:hAnsi="Arial" w:cs="Arial"/>
                <w:sz w:val="18"/>
                <w:szCs w:val="18"/>
              </w:rPr>
            </w:pPr>
            <w:r>
              <w:rPr>
                <w:rFonts w:ascii="Arial" w:hAnsi="Arial" w:cs="Arial"/>
                <w:w w:val="105"/>
                <w:sz w:val="18"/>
                <w:szCs w:val="18"/>
              </w:rPr>
              <w:t>Pelvis</w:t>
            </w:r>
            <w:r>
              <w:rPr>
                <w:rFonts w:ascii="Arial" w:hAnsi="Arial" w:cs="Arial"/>
                <w:spacing w:val="23"/>
                <w:w w:val="105"/>
                <w:sz w:val="18"/>
                <w:szCs w:val="18"/>
              </w:rPr>
              <w:t xml:space="preserve"> </w:t>
            </w:r>
            <w:r>
              <w:rPr>
                <w:rFonts w:ascii="Arial" w:hAnsi="Arial" w:cs="Arial"/>
                <w:spacing w:val="-4"/>
                <w:w w:val="105"/>
                <w:sz w:val="18"/>
                <w:szCs w:val="18"/>
              </w:rPr>
              <w:t>(2p)</w:t>
            </w:r>
          </w:p>
        </w:tc>
        <w:tc>
          <w:tcPr>
            <w:tcW w:w="697" w:type="dxa"/>
            <w:tcBorders>
              <w:top w:val="single" w:sz="4" w:space="0" w:color="000000"/>
              <w:left w:val="single" w:sz="4" w:space="0" w:color="000000"/>
              <w:bottom w:val="single" w:sz="4" w:space="0" w:color="000000"/>
              <w:right w:val="single" w:sz="4" w:space="0" w:color="000000"/>
            </w:tcBorders>
          </w:tcPr>
          <w:p w14:paraId="7B31797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340E032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189BD41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2D24904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6EBF114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527" w:type="dxa"/>
            <w:tcBorders>
              <w:top w:val="single" w:sz="4" w:space="0" w:color="000000"/>
              <w:left w:val="single" w:sz="4" w:space="0" w:color="000000"/>
              <w:bottom w:val="single" w:sz="4" w:space="0" w:color="000000"/>
              <w:right w:val="single" w:sz="4" w:space="0" w:color="000000"/>
            </w:tcBorders>
          </w:tcPr>
          <w:p w14:paraId="330616A6" w14:textId="77777777" w:rsidR="00D3344B" w:rsidRDefault="00D3344B">
            <w:pPr>
              <w:pStyle w:val="TableParagraph"/>
              <w:rPr>
                <w:rFonts w:ascii="Arial" w:hAnsi="Arial" w:cs="Arial"/>
                <w:sz w:val="18"/>
                <w:szCs w:val="18"/>
              </w:rPr>
            </w:pPr>
          </w:p>
        </w:tc>
      </w:tr>
      <w:tr w:rsidR="00D3344B" w14:paraId="4F63622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9AD320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096</w:t>
            </w:r>
          </w:p>
        </w:tc>
        <w:tc>
          <w:tcPr>
            <w:tcW w:w="3038" w:type="dxa"/>
            <w:tcBorders>
              <w:top w:val="single" w:sz="4" w:space="0" w:color="000000"/>
              <w:left w:val="single" w:sz="4" w:space="0" w:color="000000"/>
              <w:bottom w:val="single" w:sz="4" w:space="0" w:color="000000"/>
              <w:right w:val="single" w:sz="4" w:space="0" w:color="000000"/>
            </w:tcBorders>
          </w:tcPr>
          <w:p w14:paraId="5464604D" w14:textId="77777777" w:rsidR="00D3344B" w:rsidRDefault="00143C25">
            <w:pPr>
              <w:pStyle w:val="TableParagraph"/>
              <w:rPr>
                <w:rFonts w:ascii="Arial" w:hAnsi="Arial" w:cs="Arial"/>
                <w:sz w:val="18"/>
                <w:szCs w:val="18"/>
              </w:rPr>
            </w:pPr>
            <w:r>
              <w:rPr>
                <w:rFonts w:ascii="Arial" w:hAnsi="Arial" w:cs="Arial"/>
                <w:w w:val="115"/>
                <w:sz w:val="18"/>
                <w:szCs w:val="18"/>
              </w:rPr>
              <w:t>Serie</w:t>
            </w:r>
            <w:r>
              <w:rPr>
                <w:rFonts w:ascii="Arial" w:hAnsi="Arial" w:cs="Arial"/>
                <w:spacing w:val="-5"/>
                <w:w w:val="115"/>
                <w:sz w:val="18"/>
                <w:szCs w:val="18"/>
              </w:rPr>
              <w:t xml:space="preserve"> </w:t>
            </w:r>
            <w:r>
              <w:rPr>
                <w:rFonts w:ascii="Arial" w:hAnsi="Arial" w:cs="Arial"/>
                <w:spacing w:val="-2"/>
                <w:w w:val="115"/>
                <w:sz w:val="18"/>
                <w:szCs w:val="18"/>
              </w:rPr>
              <w:t>cardiaca</w:t>
            </w:r>
          </w:p>
        </w:tc>
        <w:tc>
          <w:tcPr>
            <w:tcW w:w="697" w:type="dxa"/>
            <w:tcBorders>
              <w:top w:val="single" w:sz="4" w:space="0" w:color="000000"/>
              <w:left w:val="single" w:sz="4" w:space="0" w:color="000000"/>
              <w:bottom w:val="single" w:sz="4" w:space="0" w:color="000000"/>
              <w:right w:val="single" w:sz="4" w:space="0" w:color="000000"/>
            </w:tcBorders>
          </w:tcPr>
          <w:p w14:paraId="29CF413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8.00</w:t>
            </w:r>
          </w:p>
        </w:tc>
        <w:tc>
          <w:tcPr>
            <w:tcW w:w="695" w:type="dxa"/>
            <w:tcBorders>
              <w:top w:val="single" w:sz="4" w:space="0" w:color="000000"/>
              <w:left w:val="single" w:sz="4" w:space="0" w:color="000000"/>
              <w:bottom w:val="single" w:sz="4" w:space="0" w:color="000000"/>
              <w:right w:val="single" w:sz="4" w:space="0" w:color="000000"/>
            </w:tcBorders>
          </w:tcPr>
          <w:p w14:paraId="0F04B8C4"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4330E103" w14:textId="77777777" w:rsidR="00D3344B" w:rsidRDefault="00143C25">
            <w:pPr>
              <w:pStyle w:val="TableParagraph"/>
              <w:rPr>
                <w:rFonts w:ascii="Arial" w:hAnsi="Arial" w:cs="Arial"/>
                <w:sz w:val="18"/>
                <w:szCs w:val="18"/>
              </w:rPr>
            </w:pPr>
            <w:r>
              <w:rPr>
                <w:rFonts w:ascii="Arial" w:hAnsi="Arial" w:cs="Arial"/>
                <w:spacing w:val="-4"/>
                <w:w w:val="115"/>
                <w:sz w:val="18"/>
                <w:szCs w:val="18"/>
              </w:rPr>
              <w:t>7.00</w:t>
            </w:r>
          </w:p>
        </w:tc>
        <w:tc>
          <w:tcPr>
            <w:tcW w:w="699" w:type="dxa"/>
            <w:tcBorders>
              <w:top w:val="single" w:sz="4" w:space="0" w:color="000000"/>
              <w:left w:val="single" w:sz="4" w:space="0" w:color="000000"/>
              <w:bottom w:val="single" w:sz="4" w:space="0" w:color="000000"/>
              <w:right w:val="single" w:sz="4" w:space="0" w:color="000000"/>
            </w:tcBorders>
          </w:tcPr>
          <w:p w14:paraId="4535179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20D5E99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527" w:type="dxa"/>
            <w:tcBorders>
              <w:top w:val="single" w:sz="4" w:space="0" w:color="000000"/>
              <w:left w:val="single" w:sz="4" w:space="0" w:color="000000"/>
              <w:bottom w:val="single" w:sz="4" w:space="0" w:color="000000"/>
              <w:right w:val="single" w:sz="4" w:space="0" w:color="000000"/>
            </w:tcBorders>
          </w:tcPr>
          <w:p w14:paraId="496F56D7" w14:textId="77777777" w:rsidR="00D3344B" w:rsidRDefault="00D3344B">
            <w:pPr>
              <w:pStyle w:val="TableParagraph"/>
              <w:rPr>
                <w:rFonts w:ascii="Arial" w:hAnsi="Arial" w:cs="Arial"/>
                <w:sz w:val="18"/>
                <w:szCs w:val="18"/>
              </w:rPr>
            </w:pPr>
          </w:p>
        </w:tc>
      </w:tr>
      <w:tr w:rsidR="00D3344B" w14:paraId="399D258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32B9492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097</w:t>
            </w:r>
          </w:p>
        </w:tc>
        <w:tc>
          <w:tcPr>
            <w:tcW w:w="3038" w:type="dxa"/>
            <w:tcBorders>
              <w:top w:val="single" w:sz="4" w:space="0" w:color="000000"/>
              <w:left w:val="single" w:sz="4" w:space="0" w:color="000000"/>
              <w:bottom w:val="single" w:sz="4" w:space="0" w:color="000000"/>
              <w:right w:val="single" w:sz="4" w:space="0" w:color="000000"/>
            </w:tcBorders>
          </w:tcPr>
          <w:p w14:paraId="09387F51" w14:textId="77777777" w:rsidR="00D3344B" w:rsidRDefault="00143C25">
            <w:pPr>
              <w:pStyle w:val="TableParagraph"/>
              <w:rPr>
                <w:rFonts w:ascii="Arial" w:hAnsi="Arial" w:cs="Arial"/>
                <w:sz w:val="18"/>
                <w:szCs w:val="18"/>
              </w:rPr>
            </w:pPr>
            <w:r>
              <w:rPr>
                <w:rFonts w:ascii="Arial" w:hAnsi="Arial" w:cs="Arial"/>
                <w:spacing w:val="-2"/>
                <w:w w:val="110"/>
                <w:sz w:val="18"/>
                <w:szCs w:val="18"/>
              </w:rPr>
              <w:t>Radiometría</w:t>
            </w:r>
          </w:p>
        </w:tc>
        <w:tc>
          <w:tcPr>
            <w:tcW w:w="697" w:type="dxa"/>
            <w:tcBorders>
              <w:top w:val="single" w:sz="4" w:space="0" w:color="000000"/>
              <w:left w:val="single" w:sz="4" w:space="0" w:color="000000"/>
              <w:bottom w:val="single" w:sz="4" w:space="0" w:color="000000"/>
              <w:right w:val="single" w:sz="4" w:space="0" w:color="000000"/>
            </w:tcBorders>
          </w:tcPr>
          <w:p w14:paraId="5778FC9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577F5FEF" w14:textId="77777777" w:rsidR="00D3344B" w:rsidRDefault="00143C25">
            <w:pPr>
              <w:pStyle w:val="TableParagraph"/>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4C90324F"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52E6DC6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7DA28E9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60445C7E" w14:textId="77777777" w:rsidR="00D3344B" w:rsidRDefault="00D3344B">
            <w:pPr>
              <w:pStyle w:val="TableParagraph"/>
              <w:rPr>
                <w:rFonts w:ascii="Arial" w:hAnsi="Arial" w:cs="Arial"/>
                <w:sz w:val="18"/>
                <w:szCs w:val="18"/>
              </w:rPr>
            </w:pPr>
          </w:p>
        </w:tc>
      </w:tr>
      <w:tr w:rsidR="00D3344B" w14:paraId="001AF0EB"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CB50754" w14:textId="77777777" w:rsidR="00D3344B" w:rsidRDefault="00143C25">
            <w:pPr>
              <w:pStyle w:val="TableParagraph"/>
              <w:rPr>
                <w:rFonts w:ascii="Arial" w:hAnsi="Arial" w:cs="Arial"/>
                <w:sz w:val="18"/>
                <w:szCs w:val="18"/>
              </w:rPr>
            </w:pPr>
            <w:r>
              <w:rPr>
                <w:rFonts w:ascii="Arial" w:hAnsi="Arial" w:cs="Arial"/>
                <w:w w:val="110"/>
                <w:sz w:val="18"/>
                <w:szCs w:val="18"/>
              </w:rPr>
              <w:lastRenderedPageBreak/>
              <w:t>02-RX-</w:t>
            </w:r>
            <w:r>
              <w:rPr>
                <w:rFonts w:ascii="Arial" w:hAnsi="Arial" w:cs="Arial"/>
                <w:spacing w:val="-5"/>
                <w:w w:val="110"/>
                <w:sz w:val="18"/>
                <w:szCs w:val="18"/>
              </w:rPr>
              <w:t>098</w:t>
            </w:r>
          </w:p>
        </w:tc>
        <w:tc>
          <w:tcPr>
            <w:tcW w:w="3038" w:type="dxa"/>
            <w:tcBorders>
              <w:top w:val="single" w:sz="4" w:space="0" w:color="000000"/>
              <w:left w:val="single" w:sz="4" w:space="0" w:color="000000"/>
              <w:bottom w:val="single" w:sz="4" w:space="0" w:color="000000"/>
              <w:right w:val="single" w:sz="4" w:space="0" w:color="000000"/>
            </w:tcBorders>
          </w:tcPr>
          <w:p w14:paraId="27E6FB35" w14:textId="77777777" w:rsidR="00D3344B" w:rsidRDefault="00143C25">
            <w:pPr>
              <w:pStyle w:val="TableParagraph"/>
              <w:rPr>
                <w:rFonts w:ascii="Arial" w:hAnsi="Arial" w:cs="Arial"/>
                <w:sz w:val="18"/>
                <w:szCs w:val="18"/>
              </w:rPr>
            </w:pPr>
            <w:proofErr w:type="spellStart"/>
            <w:r>
              <w:rPr>
                <w:rFonts w:ascii="Arial" w:hAnsi="Arial" w:cs="Arial"/>
                <w:spacing w:val="-2"/>
                <w:w w:val="110"/>
                <w:sz w:val="18"/>
                <w:szCs w:val="18"/>
              </w:rPr>
              <w:t>Perfilograma</w:t>
            </w:r>
            <w:proofErr w:type="spellEnd"/>
            <w:r>
              <w:rPr>
                <w:rFonts w:ascii="Arial" w:hAnsi="Arial" w:cs="Arial"/>
                <w:spacing w:val="-2"/>
                <w:w w:val="110"/>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633FE3F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251A428B"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7B779BF8"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36A7724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50D6F68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61BBE3B1" w14:textId="77777777" w:rsidR="00D3344B" w:rsidRDefault="00D3344B">
            <w:pPr>
              <w:pStyle w:val="TableParagraph"/>
              <w:rPr>
                <w:rFonts w:ascii="Arial" w:hAnsi="Arial" w:cs="Arial"/>
                <w:sz w:val="18"/>
                <w:szCs w:val="18"/>
              </w:rPr>
            </w:pPr>
          </w:p>
        </w:tc>
      </w:tr>
      <w:tr w:rsidR="00D3344B" w14:paraId="476DA27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4992544"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099</w:t>
            </w:r>
          </w:p>
        </w:tc>
        <w:tc>
          <w:tcPr>
            <w:tcW w:w="3038" w:type="dxa"/>
            <w:tcBorders>
              <w:top w:val="single" w:sz="4" w:space="0" w:color="000000"/>
              <w:left w:val="single" w:sz="4" w:space="0" w:color="000000"/>
              <w:bottom w:val="single" w:sz="4" w:space="0" w:color="000000"/>
              <w:right w:val="single" w:sz="4" w:space="0" w:color="000000"/>
            </w:tcBorders>
          </w:tcPr>
          <w:p w14:paraId="22375688" w14:textId="77777777" w:rsidR="00D3344B" w:rsidRDefault="00143C25">
            <w:pPr>
              <w:pStyle w:val="TableParagraph"/>
              <w:spacing w:before="1"/>
              <w:rPr>
                <w:rFonts w:ascii="Arial" w:hAnsi="Arial" w:cs="Arial"/>
                <w:sz w:val="18"/>
                <w:szCs w:val="18"/>
              </w:rPr>
            </w:pPr>
            <w:r>
              <w:rPr>
                <w:rFonts w:ascii="Arial" w:hAnsi="Arial" w:cs="Arial"/>
                <w:w w:val="110"/>
                <w:sz w:val="18"/>
                <w:szCs w:val="18"/>
              </w:rPr>
              <w:t>Waters</w:t>
            </w:r>
            <w:r>
              <w:rPr>
                <w:rFonts w:ascii="Arial" w:hAnsi="Arial" w:cs="Arial"/>
                <w:spacing w:val="5"/>
                <w:w w:val="110"/>
                <w:sz w:val="18"/>
                <w:szCs w:val="18"/>
              </w:rPr>
              <w:t xml:space="preserve"> </w:t>
            </w:r>
            <w:r>
              <w:rPr>
                <w:rFonts w:ascii="Arial" w:hAnsi="Arial" w:cs="Arial"/>
                <w:w w:val="110"/>
                <w:sz w:val="18"/>
                <w:szCs w:val="18"/>
              </w:rPr>
              <w:t>y</w:t>
            </w:r>
            <w:r>
              <w:rPr>
                <w:rFonts w:ascii="Arial" w:hAnsi="Arial" w:cs="Arial"/>
                <w:spacing w:val="7"/>
                <w:w w:val="110"/>
                <w:sz w:val="18"/>
                <w:szCs w:val="18"/>
              </w:rPr>
              <w:t xml:space="preserve"> </w:t>
            </w:r>
            <w:proofErr w:type="spellStart"/>
            <w:r>
              <w:rPr>
                <w:rFonts w:ascii="Arial" w:hAnsi="Arial" w:cs="Arial"/>
                <w:spacing w:val="-2"/>
                <w:w w:val="110"/>
                <w:sz w:val="18"/>
                <w:szCs w:val="18"/>
              </w:rPr>
              <w:t>perfilograma</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3FFF637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4.00</w:t>
            </w:r>
          </w:p>
        </w:tc>
        <w:tc>
          <w:tcPr>
            <w:tcW w:w="695" w:type="dxa"/>
            <w:tcBorders>
              <w:top w:val="single" w:sz="4" w:space="0" w:color="000000"/>
              <w:left w:val="single" w:sz="4" w:space="0" w:color="000000"/>
              <w:bottom w:val="single" w:sz="4" w:space="0" w:color="000000"/>
              <w:right w:val="single" w:sz="4" w:space="0" w:color="000000"/>
            </w:tcBorders>
          </w:tcPr>
          <w:p w14:paraId="4396BD3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08E4E42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5011A6D3"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5039D3C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557D6A8E" w14:textId="77777777" w:rsidR="00D3344B" w:rsidRDefault="00D3344B">
            <w:pPr>
              <w:pStyle w:val="TableParagraph"/>
              <w:rPr>
                <w:rFonts w:ascii="Arial" w:hAnsi="Arial" w:cs="Arial"/>
                <w:sz w:val="18"/>
                <w:szCs w:val="18"/>
              </w:rPr>
            </w:pPr>
          </w:p>
        </w:tc>
      </w:tr>
      <w:tr w:rsidR="00D3344B" w14:paraId="01C8BFB8"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53FDFFF3" w14:textId="77777777" w:rsidR="00D3344B" w:rsidRDefault="00143C25">
            <w:pPr>
              <w:pStyle w:val="TableParagraph"/>
              <w:spacing w:before="183"/>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100</w:t>
            </w:r>
          </w:p>
        </w:tc>
        <w:tc>
          <w:tcPr>
            <w:tcW w:w="3038" w:type="dxa"/>
            <w:tcBorders>
              <w:top w:val="single" w:sz="4" w:space="0" w:color="000000"/>
              <w:left w:val="single" w:sz="4" w:space="0" w:color="000000"/>
              <w:bottom w:val="single" w:sz="4" w:space="0" w:color="000000"/>
              <w:right w:val="single" w:sz="4" w:space="0" w:color="000000"/>
            </w:tcBorders>
          </w:tcPr>
          <w:p w14:paraId="5250F5E0" w14:textId="77777777" w:rsidR="00D3344B" w:rsidRDefault="00143C25">
            <w:pPr>
              <w:pStyle w:val="TableParagraph"/>
              <w:rPr>
                <w:rFonts w:ascii="Arial" w:hAnsi="Arial" w:cs="Arial"/>
                <w:sz w:val="18"/>
                <w:szCs w:val="18"/>
              </w:rPr>
            </w:pPr>
            <w:r>
              <w:rPr>
                <w:rFonts w:ascii="Arial" w:hAnsi="Arial" w:cs="Arial"/>
                <w:w w:val="110"/>
                <w:sz w:val="18"/>
                <w:szCs w:val="18"/>
              </w:rPr>
              <w:t>Mecanismo</w:t>
            </w:r>
            <w:r>
              <w:rPr>
                <w:rFonts w:ascii="Arial" w:hAnsi="Arial" w:cs="Arial"/>
                <w:spacing w:val="74"/>
                <w:w w:val="150"/>
                <w:sz w:val="18"/>
                <w:szCs w:val="18"/>
              </w:rPr>
              <w:t xml:space="preserve"> </w:t>
            </w:r>
            <w:r>
              <w:rPr>
                <w:rFonts w:ascii="Arial" w:hAnsi="Arial" w:cs="Arial"/>
                <w:w w:val="110"/>
                <w:sz w:val="18"/>
                <w:szCs w:val="18"/>
              </w:rPr>
              <w:t>de</w:t>
            </w:r>
            <w:r>
              <w:rPr>
                <w:rFonts w:ascii="Arial" w:hAnsi="Arial" w:cs="Arial"/>
                <w:spacing w:val="72"/>
                <w:w w:val="150"/>
                <w:sz w:val="18"/>
                <w:szCs w:val="18"/>
              </w:rPr>
              <w:t xml:space="preserve"> </w:t>
            </w:r>
            <w:r>
              <w:rPr>
                <w:rFonts w:ascii="Arial" w:hAnsi="Arial" w:cs="Arial"/>
                <w:w w:val="110"/>
                <w:sz w:val="18"/>
                <w:szCs w:val="18"/>
              </w:rPr>
              <w:t>la</w:t>
            </w:r>
            <w:r>
              <w:rPr>
                <w:rFonts w:ascii="Arial" w:hAnsi="Arial" w:cs="Arial"/>
                <w:spacing w:val="71"/>
                <w:w w:val="150"/>
                <w:sz w:val="18"/>
                <w:szCs w:val="18"/>
              </w:rPr>
              <w:t xml:space="preserve"> </w:t>
            </w:r>
            <w:r>
              <w:rPr>
                <w:rFonts w:ascii="Arial" w:hAnsi="Arial" w:cs="Arial"/>
                <w:spacing w:val="-2"/>
                <w:w w:val="110"/>
                <w:sz w:val="18"/>
                <w:szCs w:val="18"/>
              </w:rPr>
              <w:t>deglución</w:t>
            </w:r>
          </w:p>
          <w:p w14:paraId="06F58219" w14:textId="77777777" w:rsidR="00D3344B" w:rsidRDefault="00143C25">
            <w:pPr>
              <w:pStyle w:val="TableParagraph"/>
              <w:tabs>
                <w:tab w:val="left" w:pos="1989"/>
              </w:tabs>
              <w:spacing w:line="252" w:lineRule="exact"/>
              <w:ind w:right="60"/>
              <w:rPr>
                <w:rFonts w:ascii="Arial" w:hAnsi="Arial" w:cs="Arial"/>
                <w:sz w:val="18"/>
                <w:szCs w:val="18"/>
              </w:rPr>
            </w:pPr>
            <w:r>
              <w:rPr>
                <w:rFonts w:ascii="Arial" w:hAnsi="Arial" w:cs="Arial"/>
                <w:spacing w:val="-2"/>
                <w:w w:val="110"/>
                <w:sz w:val="18"/>
                <w:szCs w:val="18"/>
              </w:rPr>
              <w:t>(Esofagograma)</w:t>
            </w:r>
            <w:r>
              <w:rPr>
                <w:rFonts w:ascii="Arial" w:hAnsi="Arial" w:cs="Arial"/>
                <w:sz w:val="18"/>
                <w:szCs w:val="18"/>
              </w:rPr>
              <w:tab/>
            </w:r>
            <w:r>
              <w:rPr>
                <w:rFonts w:ascii="Arial" w:hAnsi="Arial" w:cs="Arial"/>
                <w:spacing w:val="-2"/>
                <w:w w:val="110"/>
                <w:sz w:val="18"/>
                <w:szCs w:val="18"/>
              </w:rPr>
              <w:t xml:space="preserve">Pediátrico </w:t>
            </w:r>
            <w:r>
              <w:rPr>
                <w:rFonts w:ascii="Arial" w:hAnsi="Arial" w:cs="Arial"/>
                <w:w w:val="110"/>
                <w:sz w:val="18"/>
                <w:szCs w:val="18"/>
              </w:rPr>
              <w:t>con Bario</w:t>
            </w:r>
          </w:p>
        </w:tc>
        <w:tc>
          <w:tcPr>
            <w:tcW w:w="697" w:type="dxa"/>
            <w:tcBorders>
              <w:top w:val="single" w:sz="4" w:space="0" w:color="000000"/>
              <w:left w:val="single" w:sz="4" w:space="0" w:color="000000"/>
              <w:bottom w:val="single" w:sz="4" w:space="0" w:color="000000"/>
              <w:right w:val="single" w:sz="4" w:space="0" w:color="000000"/>
            </w:tcBorders>
          </w:tcPr>
          <w:p w14:paraId="138CA5E4" w14:textId="77777777" w:rsidR="00D3344B" w:rsidRDefault="00D3344B">
            <w:pPr>
              <w:pStyle w:val="TableParagraph"/>
              <w:spacing w:before="11"/>
              <w:rPr>
                <w:rFonts w:ascii="Arial" w:hAnsi="Arial" w:cs="Arial"/>
                <w:sz w:val="18"/>
                <w:szCs w:val="18"/>
              </w:rPr>
            </w:pPr>
          </w:p>
          <w:p w14:paraId="15C4E72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9.75</w:t>
            </w:r>
          </w:p>
        </w:tc>
        <w:tc>
          <w:tcPr>
            <w:tcW w:w="695" w:type="dxa"/>
            <w:tcBorders>
              <w:top w:val="single" w:sz="4" w:space="0" w:color="000000"/>
              <w:left w:val="single" w:sz="4" w:space="0" w:color="000000"/>
              <w:bottom w:val="single" w:sz="4" w:space="0" w:color="000000"/>
              <w:right w:val="single" w:sz="4" w:space="0" w:color="000000"/>
            </w:tcBorders>
          </w:tcPr>
          <w:p w14:paraId="3DE3CBE2" w14:textId="77777777" w:rsidR="00D3344B" w:rsidRDefault="00D3344B">
            <w:pPr>
              <w:pStyle w:val="TableParagraph"/>
              <w:spacing w:before="11"/>
              <w:rPr>
                <w:rFonts w:ascii="Arial" w:hAnsi="Arial" w:cs="Arial"/>
                <w:sz w:val="18"/>
                <w:szCs w:val="18"/>
              </w:rPr>
            </w:pPr>
          </w:p>
          <w:p w14:paraId="67117058" w14:textId="77777777" w:rsidR="00D3344B" w:rsidRDefault="00143C25">
            <w:pPr>
              <w:pStyle w:val="TableParagraph"/>
              <w:rPr>
                <w:rFonts w:ascii="Arial" w:hAnsi="Arial" w:cs="Arial"/>
                <w:sz w:val="18"/>
                <w:szCs w:val="18"/>
              </w:rPr>
            </w:pPr>
            <w:r>
              <w:rPr>
                <w:rFonts w:ascii="Arial" w:hAnsi="Arial" w:cs="Arial"/>
                <w:spacing w:val="-4"/>
                <w:w w:val="115"/>
                <w:sz w:val="18"/>
                <w:szCs w:val="18"/>
              </w:rPr>
              <w:t>8.75</w:t>
            </w:r>
          </w:p>
        </w:tc>
        <w:tc>
          <w:tcPr>
            <w:tcW w:w="699" w:type="dxa"/>
            <w:tcBorders>
              <w:top w:val="single" w:sz="4" w:space="0" w:color="000000"/>
              <w:left w:val="single" w:sz="4" w:space="0" w:color="000000"/>
              <w:bottom w:val="single" w:sz="4" w:space="0" w:color="000000"/>
              <w:right w:val="single" w:sz="4" w:space="0" w:color="000000"/>
            </w:tcBorders>
          </w:tcPr>
          <w:p w14:paraId="230FD89B" w14:textId="77777777" w:rsidR="00D3344B" w:rsidRDefault="00D3344B">
            <w:pPr>
              <w:pStyle w:val="TableParagraph"/>
              <w:spacing w:before="11"/>
              <w:rPr>
                <w:rFonts w:ascii="Arial" w:hAnsi="Arial" w:cs="Arial"/>
                <w:sz w:val="18"/>
                <w:szCs w:val="18"/>
              </w:rPr>
            </w:pPr>
          </w:p>
          <w:p w14:paraId="31F576B8"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30D84477" w14:textId="77777777" w:rsidR="00D3344B" w:rsidRDefault="00D3344B">
            <w:pPr>
              <w:pStyle w:val="TableParagraph"/>
              <w:spacing w:before="11"/>
              <w:rPr>
                <w:rFonts w:ascii="Arial" w:hAnsi="Arial" w:cs="Arial"/>
                <w:sz w:val="18"/>
                <w:szCs w:val="18"/>
              </w:rPr>
            </w:pPr>
          </w:p>
          <w:p w14:paraId="73C757F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41870E5A" w14:textId="77777777" w:rsidR="00D3344B" w:rsidRDefault="00D3344B">
            <w:pPr>
              <w:pStyle w:val="TableParagraph"/>
              <w:spacing w:before="11"/>
              <w:rPr>
                <w:rFonts w:ascii="Arial" w:hAnsi="Arial" w:cs="Arial"/>
                <w:sz w:val="18"/>
                <w:szCs w:val="18"/>
              </w:rPr>
            </w:pPr>
          </w:p>
          <w:p w14:paraId="753E685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76359CAE" w14:textId="77777777" w:rsidR="00D3344B" w:rsidRDefault="00D3344B">
            <w:pPr>
              <w:pStyle w:val="TableParagraph"/>
              <w:rPr>
                <w:rFonts w:ascii="Arial" w:hAnsi="Arial" w:cs="Arial"/>
                <w:sz w:val="18"/>
                <w:szCs w:val="18"/>
              </w:rPr>
            </w:pPr>
          </w:p>
        </w:tc>
      </w:tr>
      <w:tr w:rsidR="00D3344B" w14:paraId="3CB17ED5" w14:textId="77777777">
        <w:trPr>
          <w:trHeight w:val="1010"/>
        </w:trPr>
        <w:tc>
          <w:tcPr>
            <w:tcW w:w="1776" w:type="dxa"/>
            <w:tcBorders>
              <w:top w:val="single" w:sz="4" w:space="0" w:color="000000"/>
              <w:left w:val="single" w:sz="4" w:space="0" w:color="000000"/>
              <w:bottom w:val="single" w:sz="4" w:space="0" w:color="000000"/>
              <w:right w:val="single" w:sz="4" w:space="0" w:color="000000"/>
            </w:tcBorders>
          </w:tcPr>
          <w:p w14:paraId="0D6F96BE" w14:textId="77777777" w:rsidR="00D3344B" w:rsidRDefault="00D3344B">
            <w:pPr>
              <w:pStyle w:val="TableParagraph"/>
              <w:spacing w:before="8"/>
              <w:rPr>
                <w:rFonts w:ascii="Arial" w:hAnsi="Arial" w:cs="Arial"/>
                <w:sz w:val="18"/>
                <w:szCs w:val="18"/>
              </w:rPr>
            </w:pPr>
          </w:p>
          <w:p w14:paraId="0CF6A08A"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101</w:t>
            </w:r>
          </w:p>
        </w:tc>
        <w:tc>
          <w:tcPr>
            <w:tcW w:w="3038" w:type="dxa"/>
            <w:tcBorders>
              <w:top w:val="single" w:sz="4" w:space="0" w:color="000000"/>
              <w:left w:val="single" w:sz="4" w:space="0" w:color="000000"/>
              <w:bottom w:val="single" w:sz="4" w:space="0" w:color="000000"/>
              <w:right w:val="single" w:sz="4" w:space="0" w:color="000000"/>
            </w:tcBorders>
          </w:tcPr>
          <w:p w14:paraId="6C798A5F" w14:textId="77777777" w:rsidR="00D3344B" w:rsidRDefault="00143C25">
            <w:pPr>
              <w:pStyle w:val="TableParagraph"/>
              <w:rPr>
                <w:rFonts w:ascii="Arial" w:hAnsi="Arial" w:cs="Arial"/>
                <w:sz w:val="18"/>
                <w:szCs w:val="18"/>
              </w:rPr>
            </w:pPr>
            <w:r>
              <w:rPr>
                <w:rFonts w:ascii="Arial" w:hAnsi="Arial" w:cs="Arial"/>
                <w:w w:val="110"/>
                <w:sz w:val="18"/>
                <w:szCs w:val="18"/>
              </w:rPr>
              <w:t xml:space="preserve">Mecanismo de la deglución </w:t>
            </w:r>
            <w:r>
              <w:rPr>
                <w:rFonts w:ascii="Arial" w:hAnsi="Arial" w:cs="Arial"/>
                <w:spacing w:val="-2"/>
                <w:w w:val="110"/>
                <w:sz w:val="18"/>
                <w:szCs w:val="18"/>
              </w:rPr>
              <w:t>(Esofagograma)</w:t>
            </w:r>
          </w:p>
          <w:p w14:paraId="0DBE6037" w14:textId="77777777" w:rsidR="00D3344B" w:rsidRDefault="00143C25">
            <w:pPr>
              <w:pStyle w:val="TableParagraph"/>
              <w:spacing w:line="252" w:lineRule="exact"/>
              <w:ind w:firstLine="1469"/>
              <w:rPr>
                <w:rFonts w:ascii="Arial" w:hAnsi="Arial" w:cs="Arial"/>
                <w:sz w:val="18"/>
                <w:szCs w:val="18"/>
              </w:rPr>
            </w:pPr>
            <w:r>
              <w:rPr>
                <w:rFonts w:ascii="Arial" w:hAnsi="Arial" w:cs="Arial"/>
                <w:w w:val="110"/>
                <w:sz w:val="18"/>
                <w:szCs w:val="18"/>
              </w:rPr>
              <w:t>Pediátrico</w:t>
            </w:r>
            <w:r>
              <w:rPr>
                <w:rFonts w:ascii="Arial" w:hAnsi="Arial" w:cs="Arial"/>
                <w:spacing w:val="66"/>
                <w:w w:val="110"/>
                <w:sz w:val="18"/>
                <w:szCs w:val="18"/>
              </w:rPr>
              <w:t xml:space="preserve"> </w:t>
            </w:r>
            <w:r>
              <w:rPr>
                <w:rFonts w:ascii="Arial" w:hAnsi="Arial" w:cs="Arial"/>
                <w:w w:val="110"/>
                <w:sz w:val="18"/>
                <w:szCs w:val="18"/>
              </w:rPr>
              <w:t>con Contaste Hidrosoluble</w:t>
            </w:r>
          </w:p>
        </w:tc>
        <w:tc>
          <w:tcPr>
            <w:tcW w:w="697" w:type="dxa"/>
            <w:tcBorders>
              <w:top w:val="single" w:sz="4" w:space="0" w:color="000000"/>
              <w:left w:val="single" w:sz="4" w:space="0" w:color="000000"/>
              <w:bottom w:val="single" w:sz="4" w:space="0" w:color="000000"/>
              <w:right w:val="single" w:sz="4" w:space="0" w:color="000000"/>
            </w:tcBorders>
          </w:tcPr>
          <w:p w14:paraId="5B7DE1A4" w14:textId="77777777" w:rsidR="00D3344B" w:rsidRDefault="00D3344B">
            <w:pPr>
              <w:pStyle w:val="TableParagraph"/>
              <w:spacing w:before="8"/>
              <w:rPr>
                <w:rFonts w:ascii="Arial" w:hAnsi="Arial" w:cs="Arial"/>
                <w:sz w:val="18"/>
                <w:szCs w:val="18"/>
              </w:rPr>
            </w:pPr>
          </w:p>
          <w:p w14:paraId="07462B3F"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29F5BB1F" w14:textId="77777777" w:rsidR="00D3344B" w:rsidRDefault="00D3344B">
            <w:pPr>
              <w:pStyle w:val="TableParagraph"/>
              <w:spacing w:before="8"/>
              <w:rPr>
                <w:rFonts w:ascii="Arial" w:hAnsi="Arial" w:cs="Arial"/>
                <w:sz w:val="18"/>
                <w:szCs w:val="18"/>
              </w:rPr>
            </w:pPr>
          </w:p>
          <w:p w14:paraId="531866A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14.75</w:t>
            </w:r>
          </w:p>
        </w:tc>
        <w:tc>
          <w:tcPr>
            <w:tcW w:w="699" w:type="dxa"/>
            <w:tcBorders>
              <w:top w:val="single" w:sz="4" w:space="0" w:color="000000"/>
              <w:left w:val="single" w:sz="4" w:space="0" w:color="000000"/>
              <w:bottom w:val="single" w:sz="4" w:space="0" w:color="000000"/>
              <w:right w:val="single" w:sz="4" w:space="0" w:color="000000"/>
            </w:tcBorders>
          </w:tcPr>
          <w:p w14:paraId="6A2819EB" w14:textId="77777777" w:rsidR="00D3344B" w:rsidRDefault="00D3344B">
            <w:pPr>
              <w:pStyle w:val="TableParagraph"/>
              <w:spacing w:before="8"/>
              <w:rPr>
                <w:rFonts w:ascii="Arial" w:hAnsi="Arial" w:cs="Arial"/>
                <w:sz w:val="18"/>
                <w:szCs w:val="18"/>
              </w:rPr>
            </w:pPr>
          </w:p>
          <w:p w14:paraId="1F773E1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14.00</w:t>
            </w:r>
          </w:p>
        </w:tc>
        <w:tc>
          <w:tcPr>
            <w:tcW w:w="699" w:type="dxa"/>
            <w:tcBorders>
              <w:top w:val="single" w:sz="4" w:space="0" w:color="000000"/>
              <w:left w:val="single" w:sz="4" w:space="0" w:color="000000"/>
              <w:bottom w:val="single" w:sz="4" w:space="0" w:color="000000"/>
              <w:right w:val="single" w:sz="4" w:space="0" w:color="000000"/>
            </w:tcBorders>
          </w:tcPr>
          <w:p w14:paraId="3C96AE09" w14:textId="77777777" w:rsidR="00D3344B" w:rsidRDefault="00D3344B">
            <w:pPr>
              <w:pStyle w:val="TableParagraph"/>
              <w:spacing w:before="8"/>
              <w:rPr>
                <w:rFonts w:ascii="Arial" w:hAnsi="Arial" w:cs="Arial"/>
                <w:sz w:val="18"/>
                <w:szCs w:val="18"/>
              </w:rPr>
            </w:pPr>
          </w:p>
          <w:p w14:paraId="7B9F5E6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13.25</w:t>
            </w:r>
          </w:p>
        </w:tc>
        <w:tc>
          <w:tcPr>
            <w:tcW w:w="696" w:type="dxa"/>
            <w:tcBorders>
              <w:top w:val="single" w:sz="4" w:space="0" w:color="000000"/>
              <w:left w:val="single" w:sz="4" w:space="0" w:color="000000"/>
              <w:bottom w:val="single" w:sz="4" w:space="0" w:color="000000"/>
              <w:right w:val="single" w:sz="4" w:space="0" w:color="000000"/>
            </w:tcBorders>
          </w:tcPr>
          <w:p w14:paraId="2BF51B57" w14:textId="77777777" w:rsidR="00D3344B" w:rsidRDefault="00D3344B">
            <w:pPr>
              <w:pStyle w:val="TableParagraph"/>
              <w:spacing w:before="8"/>
              <w:rPr>
                <w:rFonts w:ascii="Arial" w:hAnsi="Arial" w:cs="Arial"/>
                <w:sz w:val="18"/>
                <w:szCs w:val="18"/>
              </w:rPr>
            </w:pPr>
          </w:p>
          <w:p w14:paraId="7526999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12.50</w:t>
            </w:r>
          </w:p>
        </w:tc>
        <w:tc>
          <w:tcPr>
            <w:tcW w:w="527" w:type="dxa"/>
            <w:tcBorders>
              <w:top w:val="single" w:sz="4" w:space="0" w:color="000000"/>
              <w:left w:val="single" w:sz="4" w:space="0" w:color="000000"/>
              <w:bottom w:val="single" w:sz="4" w:space="0" w:color="000000"/>
              <w:right w:val="single" w:sz="4" w:space="0" w:color="000000"/>
            </w:tcBorders>
          </w:tcPr>
          <w:p w14:paraId="64DE3C05" w14:textId="77777777" w:rsidR="00D3344B" w:rsidRDefault="00D3344B">
            <w:pPr>
              <w:pStyle w:val="TableParagraph"/>
              <w:rPr>
                <w:rFonts w:ascii="Arial" w:hAnsi="Arial" w:cs="Arial"/>
                <w:sz w:val="18"/>
                <w:szCs w:val="18"/>
              </w:rPr>
            </w:pPr>
          </w:p>
        </w:tc>
      </w:tr>
      <w:tr w:rsidR="00D3344B" w14:paraId="32FD3CE2"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005B8441" w14:textId="77777777" w:rsidR="00D3344B" w:rsidRDefault="00D3344B">
            <w:pPr>
              <w:pStyle w:val="TableParagraph"/>
              <w:rPr>
                <w:rFonts w:ascii="Arial" w:hAnsi="Arial" w:cs="Arial"/>
                <w:sz w:val="18"/>
                <w:szCs w:val="18"/>
              </w:rPr>
            </w:pPr>
          </w:p>
          <w:p w14:paraId="51ED610B"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102</w:t>
            </w:r>
          </w:p>
        </w:tc>
        <w:tc>
          <w:tcPr>
            <w:tcW w:w="3038" w:type="dxa"/>
            <w:tcBorders>
              <w:top w:val="single" w:sz="4" w:space="0" w:color="000000"/>
              <w:left w:val="single" w:sz="4" w:space="0" w:color="000000"/>
              <w:bottom w:val="single" w:sz="4" w:space="0" w:color="000000"/>
              <w:right w:val="single" w:sz="4" w:space="0" w:color="000000"/>
            </w:tcBorders>
          </w:tcPr>
          <w:p w14:paraId="1AB0BC04" w14:textId="77777777" w:rsidR="00D3344B" w:rsidRDefault="00143C25">
            <w:pPr>
              <w:pStyle w:val="TableParagraph"/>
              <w:spacing w:line="252" w:lineRule="exact"/>
              <w:ind w:right="-15"/>
              <w:rPr>
                <w:rFonts w:ascii="Arial" w:hAnsi="Arial" w:cs="Arial"/>
                <w:sz w:val="18"/>
                <w:szCs w:val="18"/>
              </w:rPr>
            </w:pPr>
            <w:r>
              <w:rPr>
                <w:rFonts w:ascii="Arial" w:hAnsi="Arial" w:cs="Arial"/>
                <w:w w:val="115"/>
                <w:sz w:val="18"/>
                <w:szCs w:val="18"/>
              </w:rPr>
              <w:t>Mecanismo</w:t>
            </w:r>
            <w:r>
              <w:rPr>
                <w:rFonts w:ascii="Arial" w:hAnsi="Arial" w:cs="Arial"/>
                <w:spacing w:val="14"/>
                <w:w w:val="115"/>
                <w:sz w:val="18"/>
                <w:szCs w:val="18"/>
              </w:rPr>
              <w:t xml:space="preserve"> </w:t>
            </w:r>
            <w:r>
              <w:rPr>
                <w:rFonts w:ascii="Arial" w:hAnsi="Arial" w:cs="Arial"/>
                <w:w w:val="115"/>
                <w:sz w:val="18"/>
                <w:szCs w:val="18"/>
              </w:rPr>
              <w:t>de</w:t>
            </w:r>
            <w:r>
              <w:rPr>
                <w:rFonts w:ascii="Arial" w:hAnsi="Arial" w:cs="Arial"/>
                <w:spacing w:val="16"/>
                <w:w w:val="115"/>
                <w:sz w:val="18"/>
                <w:szCs w:val="18"/>
              </w:rPr>
              <w:t xml:space="preserve"> </w:t>
            </w:r>
            <w:r>
              <w:rPr>
                <w:rFonts w:ascii="Arial" w:hAnsi="Arial" w:cs="Arial"/>
                <w:w w:val="115"/>
                <w:sz w:val="18"/>
                <w:szCs w:val="18"/>
              </w:rPr>
              <w:t>la</w:t>
            </w:r>
            <w:r>
              <w:rPr>
                <w:rFonts w:ascii="Arial" w:hAnsi="Arial" w:cs="Arial"/>
                <w:spacing w:val="13"/>
                <w:w w:val="115"/>
                <w:sz w:val="18"/>
                <w:szCs w:val="18"/>
              </w:rPr>
              <w:t xml:space="preserve"> </w:t>
            </w:r>
            <w:r>
              <w:rPr>
                <w:rFonts w:ascii="Arial" w:hAnsi="Arial" w:cs="Arial"/>
                <w:spacing w:val="-2"/>
                <w:w w:val="115"/>
                <w:sz w:val="18"/>
                <w:szCs w:val="18"/>
              </w:rPr>
              <w:t>deglución</w:t>
            </w:r>
          </w:p>
          <w:p w14:paraId="09299F3A" w14:textId="77777777" w:rsidR="00D3344B" w:rsidRDefault="00143C25">
            <w:pPr>
              <w:pStyle w:val="TableParagraph"/>
              <w:tabs>
                <w:tab w:val="left" w:pos="1819"/>
                <w:tab w:val="left" w:pos="2683"/>
              </w:tabs>
              <w:spacing w:line="252" w:lineRule="exact"/>
              <w:ind w:right="-15"/>
              <w:rPr>
                <w:rFonts w:ascii="Arial" w:hAnsi="Arial" w:cs="Arial"/>
                <w:sz w:val="18"/>
                <w:szCs w:val="18"/>
              </w:rPr>
            </w:pPr>
            <w:r>
              <w:rPr>
                <w:rFonts w:ascii="Arial" w:hAnsi="Arial" w:cs="Arial"/>
                <w:spacing w:val="-2"/>
                <w:w w:val="110"/>
                <w:sz w:val="18"/>
                <w:szCs w:val="18"/>
              </w:rPr>
              <w:t>(Esofagograma)</w:t>
            </w:r>
            <w:r>
              <w:rPr>
                <w:rFonts w:ascii="Arial" w:hAnsi="Arial" w:cs="Arial"/>
                <w:sz w:val="18"/>
                <w:szCs w:val="18"/>
              </w:rPr>
              <w:tab/>
            </w:r>
            <w:r>
              <w:rPr>
                <w:rFonts w:ascii="Arial" w:hAnsi="Arial" w:cs="Arial"/>
                <w:spacing w:val="-2"/>
                <w:w w:val="110"/>
                <w:sz w:val="18"/>
                <w:szCs w:val="18"/>
              </w:rPr>
              <w:t>adulto</w:t>
            </w:r>
            <w:r>
              <w:rPr>
                <w:rFonts w:ascii="Arial" w:hAnsi="Arial" w:cs="Arial"/>
                <w:sz w:val="18"/>
                <w:szCs w:val="18"/>
              </w:rPr>
              <w:tab/>
            </w:r>
            <w:r>
              <w:rPr>
                <w:rFonts w:ascii="Arial" w:hAnsi="Arial" w:cs="Arial"/>
                <w:spacing w:val="-4"/>
                <w:w w:val="110"/>
                <w:sz w:val="18"/>
                <w:szCs w:val="18"/>
              </w:rPr>
              <w:t xml:space="preserve">con </w:t>
            </w:r>
            <w:r>
              <w:rPr>
                <w:rFonts w:ascii="Arial" w:hAnsi="Arial" w:cs="Arial"/>
                <w:spacing w:val="-2"/>
                <w:w w:val="110"/>
                <w:sz w:val="18"/>
                <w:szCs w:val="18"/>
              </w:rPr>
              <w:t>Bario</w:t>
            </w:r>
          </w:p>
        </w:tc>
        <w:tc>
          <w:tcPr>
            <w:tcW w:w="697" w:type="dxa"/>
            <w:tcBorders>
              <w:top w:val="single" w:sz="4" w:space="0" w:color="000000"/>
              <w:left w:val="single" w:sz="4" w:space="0" w:color="000000"/>
              <w:bottom w:val="single" w:sz="4" w:space="0" w:color="000000"/>
              <w:right w:val="single" w:sz="4" w:space="0" w:color="000000"/>
            </w:tcBorders>
          </w:tcPr>
          <w:p w14:paraId="1CCE2946" w14:textId="77777777" w:rsidR="00D3344B" w:rsidRDefault="00D3344B">
            <w:pPr>
              <w:pStyle w:val="TableParagraph"/>
              <w:rPr>
                <w:rFonts w:ascii="Arial" w:hAnsi="Arial" w:cs="Arial"/>
                <w:sz w:val="18"/>
                <w:szCs w:val="18"/>
              </w:rPr>
            </w:pPr>
          </w:p>
          <w:p w14:paraId="2C12148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9.75</w:t>
            </w:r>
          </w:p>
        </w:tc>
        <w:tc>
          <w:tcPr>
            <w:tcW w:w="695" w:type="dxa"/>
            <w:tcBorders>
              <w:top w:val="single" w:sz="4" w:space="0" w:color="000000"/>
              <w:left w:val="single" w:sz="4" w:space="0" w:color="000000"/>
              <w:bottom w:val="single" w:sz="4" w:space="0" w:color="000000"/>
              <w:right w:val="single" w:sz="4" w:space="0" w:color="000000"/>
            </w:tcBorders>
          </w:tcPr>
          <w:p w14:paraId="4CAB7948" w14:textId="77777777" w:rsidR="00D3344B" w:rsidRDefault="00D3344B">
            <w:pPr>
              <w:pStyle w:val="TableParagraph"/>
              <w:rPr>
                <w:rFonts w:ascii="Arial" w:hAnsi="Arial" w:cs="Arial"/>
                <w:sz w:val="18"/>
                <w:szCs w:val="18"/>
              </w:rPr>
            </w:pPr>
          </w:p>
          <w:p w14:paraId="695895FF" w14:textId="77777777" w:rsidR="00D3344B" w:rsidRDefault="00143C25">
            <w:pPr>
              <w:pStyle w:val="TableParagraph"/>
              <w:rPr>
                <w:rFonts w:ascii="Arial" w:hAnsi="Arial" w:cs="Arial"/>
                <w:sz w:val="18"/>
                <w:szCs w:val="18"/>
              </w:rPr>
            </w:pPr>
            <w:r>
              <w:rPr>
                <w:rFonts w:ascii="Arial" w:hAnsi="Arial" w:cs="Arial"/>
                <w:spacing w:val="-4"/>
                <w:w w:val="115"/>
                <w:sz w:val="18"/>
                <w:szCs w:val="18"/>
              </w:rPr>
              <w:t>8.75</w:t>
            </w:r>
          </w:p>
        </w:tc>
        <w:tc>
          <w:tcPr>
            <w:tcW w:w="699" w:type="dxa"/>
            <w:tcBorders>
              <w:top w:val="single" w:sz="4" w:space="0" w:color="000000"/>
              <w:left w:val="single" w:sz="4" w:space="0" w:color="000000"/>
              <w:bottom w:val="single" w:sz="4" w:space="0" w:color="000000"/>
              <w:right w:val="single" w:sz="4" w:space="0" w:color="000000"/>
            </w:tcBorders>
          </w:tcPr>
          <w:p w14:paraId="067F457C" w14:textId="77777777" w:rsidR="00D3344B" w:rsidRDefault="00D3344B">
            <w:pPr>
              <w:pStyle w:val="TableParagraph"/>
              <w:rPr>
                <w:rFonts w:ascii="Arial" w:hAnsi="Arial" w:cs="Arial"/>
                <w:sz w:val="18"/>
                <w:szCs w:val="18"/>
              </w:rPr>
            </w:pPr>
          </w:p>
          <w:p w14:paraId="5B996476"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26AFE879" w14:textId="77777777" w:rsidR="00D3344B" w:rsidRDefault="00D3344B">
            <w:pPr>
              <w:pStyle w:val="TableParagraph"/>
              <w:rPr>
                <w:rFonts w:ascii="Arial" w:hAnsi="Arial" w:cs="Arial"/>
                <w:sz w:val="18"/>
                <w:szCs w:val="18"/>
              </w:rPr>
            </w:pPr>
          </w:p>
          <w:p w14:paraId="4576291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611468D2" w14:textId="77777777" w:rsidR="00D3344B" w:rsidRDefault="00D3344B">
            <w:pPr>
              <w:pStyle w:val="TableParagraph"/>
              <w:rPr>
                <w:rFonts w:ascii="Arial" w:hAnsi="Arial" w:cs="Arial"/>
                <w:sz w:val="18"/>
                <w:szCs w:val="18"/>
              </w:rPr>
            </w:pPr>
          </w:p>
          <w:p w14:paraId="670622F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71786666" w14:textId="77777777" w:rsidR="00D3344B" w:rsidRDefault="00D3344B">
            <w:pPr>
              <w:pStyle w:val="TableParagraph"/>
              <w:rPr>
                <w:rFonts w:ascii="Arial" w:hAnsi="Arial" w:cs="Arial"/>
                <w:sz w:val="18"/>
                <w:szCs w:val="18"/>
              </w:rPr>
            </w:pPr>
          </w:p>
        </w:tc>
      </w:tr>
      <w:tr w:rsidR="00D3344B" w14:paraId="7FF87B4A" w14:textId="77777777">
        <w:trPr>
          <w:trHeight w:val="757"/>
        </w:trPr>
        <w:tc>
          <w:tcPr>
            <w:tcW w:w="1776" w:type="dxa"/>
            <w:tcBorders>
              <w:top w:val="single" w:sz="4" w:space="0" w:color="000000"/>
              <w:left w:val="single" w:sz="4" w:space="0" w:color="000000"/>
              <w:bottom w:val="single" w:sz="4" w:space="0" w:color="000000"/>
              <w:right w:val="single" w:sz="4" w:space="0" w:color="000000"/>
            </w:tcBorders>
          </w:tcPr>
          <w:p w14:paraId="38157E3F" w14:textId="77777777" w:rsidR="00D3344B" w:rsidRDefault="00D3344B">
            <w:pPr>
              <w:pStyle w:val="TableParagraph"/>
              <w:spacing w:before="8"/>
              <w:rPr>
                <w:rFonts w:ascii="Arial" w:hAnsi="Arial" w:cs="Arial"/>
                <w:sz w:val="18"/>
                <w:szCs w:val="18"/>
              </w:rPr>
            </w:pPr>
          </w:p>
          <w:p w14:paraId="2B99100E"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103</w:t>
            </w:r>
          </w:p>
        </w:tc>
        <w:tc>
          <w:tcPr>
            <w:tcW w:w="3038" w:type="dxa"/>
            <w:tcBorders>
              <w:top w:val="single" w:sz="4" w:space="0" w:color="000000"/>
              <w:left w:val="single" w:sz="4" w:space="0" w:color="000000"/>
              <w:bottom w:val="single" w:sz="4" w:space="0" w:color="000000"/>
              <w:right w:val="single" w:sz="4" w:space="0" w:color="000000"/>
            </w:tcBorders>
          </w:tcPr>
          <w:p w14:paraId="2A09A268" w14:textId="77777777" w:rsidR="00D3344B" w:rsidRDefault="00143C25">
            <w:pPr>
              <w:pStyle w:val="TableParagraph"/>
              <w:tabs>
                <w:tab w:val="left" w:pos="1819"/>
                <w:tab w:val="left" w:pos="2683"/>
              </w:tabs>
              <w:ind w:right="-15"/>
              <w:rPr>
                <w:rFonts w:ascii="Arial" w:hAnsi="Arial" w:cs="Arial"/>
                <w:sz w:val="18"/>
                <w:szCs w:val="18"/>
              </w:rPr>
            </w:pPr>
            <w:r>
              <w:rPr>
                <w:rFonts w:ascii="Arial" w:hAnsi="Arial" w:cs="Arial"/>
                <w:w w:val="110"/>
                <w:sz w:val="18"/>
                <w:szCs w:val="18"/>
              </w:rPr>
              <w:t xml:space="preserve">Mecanismo de la deglución </w:t>
            </w:r>
            <w:r>
              <w:rPr>
                <w:rFonts w:ascii="Arial" w:hAnsi="Arial" w:cs="Arial"/>
                <w:spacing w:val="-2"/>
                <w:w w:val="110"/>
                <w:sz w:val="18"/>
                <w:szCs w:val="18"/>
              </w:rPr>
              <w:t>(Esofagograma)</w:t>
            </w:r>
            <w:r>
              <w:rPr>
                <w:rFonts w:ascii="Arial" w:hAnsi="Arial" w:cs="Arial"/>
                <w:sz w:val="18"/>
                <w:szCs w:val="18"/>
              </w:rPr>
              <w:tab/>
            </w:r>
            <w:r>
              <w:rPr>
                <w:rFonts w:ascii="Arial" w:hAnsi="Arial" w:cs="Arial"/>
                <w:spacing w:val="-2"/>
                <w:w w:val="110"/>
                <w:sz w:val="18"/>
                <w:szCs w:val="18"/>
              </w:rPr>
              <w:t>adulto</w:t>
            </w:r>
            <w:r>
              <w:rPr>
                <w:rFonts w:ascii="Arial" w:hAnsi="Arial" w:cs="Arial"/>
                <w:sz w:val="18"/>
                <w:szCs w:val="18"/>
              </w:rPr>
              <w:tab/>
            </w:r>
            <w:r>
              <w:rPr>
                <w:rFonts w:ascii="Arial" w:hAnsi="Arial" w:cs="Arial"/>
                <w:spacing w:val="-4"/>
                <w:w w:val="110"/>
                <w:sz w:val="18"/>
                <w:szCs w:val="18"/>
              </w:rPr>
              <w:t>con</w:t>
            </w:r>
          </w:p>
          <w:p w14:paraId="4EA847E5" w14:textId="77777777" w:rsidR="00D3344B" w:rsidRDefault="00143C25">
            <w:pPr>
              <w:pStyle w:val="TableParagraph"/>
              <w:spacing w:line="233" w:lineRule="exact"/>
              <w:rPr>
                <w:rFonts w:ascii="Arial" w:hAnsi="Arial" w:cs="Arial"/>
                <w:sz w:val="18"/>
                <w:szCs w:val="18"/>
              </w:rPr>
            </w:pPr>
            <w:r>
              <w:rPr>
                <w:rFonts w:ascii="Arial" w:hAnsi="Arial" w:cs="Arial"/>
                <w:w w:val="110"/>
                <w:sz w:val="18"/>
                <w:szCs w:val="18"/>
              </w:rPr>
              <w:t>Contaste</w:t>
            </w:r>
            <w:r>
              <w:rPr>
                <w:rFonts w:ascii="Arial" w:hAnsi="Arial" w:cs="Arial"/>
                <w:spacing w:val="-8"/>
                <w:w w:val="110"/>
                <w:sz w:val="18"/>
                <w:szCs w:val="18"/>
              </w:rPr>
              <w:t xml:space="preserve"> </w:t>
            </w:r>
            <w:r>
              <w:rPr>
                <w:rFonts w:ascii="Arial" w:hAnsi="Arial" w:cs="Arial"/>
                <w:spacing w:val="-2"/>
                <w:w w:val="110"/>
                <w:sz w:val="18"/>
                <w:szCs w:val="18"/>
              </w:rPr>
              <w:t>Hidrosoluble</w:t>
            </w:r>
          </w:p>
        </w:tc>
        <w:tc>
          <w:tcPr>
            <w:tcW w:w="697" w:type="dxa"/>
            <w:tcBorders>
              <w:top w:val="single" w:sz="4" w:space="0" w:color="000000"/>
              <w:left w:val="single" w:sz="4" w:space="0" w:color="000000"/>
              <w:bottom w:val="single" w:sz="4" w:space="0" w:color="000000"/>
              <w:right w:val="single" w:sz="4" w:space="0" w:color="000000"/>
            </w:tcBorders>
          </w:tcPr>
          <w:p w14:paraId="28DB0D69" w14:textId="77777777" w:rsidR="00D3344B" w:rsidRDefault="00D3344B">
            <w:pPr>
              <w:pStyle w:val="TableParagraph"/>
              <w:spacing w:before="8"/>
              <w:rPr>
                <w:rFonts w:ascii="Arial" w:hAnsi="Arial" w:cs="Arial"/>
                <w:sz w:val="18"/>
                <w:szCs w:val="18"/>
              </w:rPr>
            </w:pPr>
          </w:p>
          <w:p w14:paraId="769E3A3A"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31.00</w:t>
            </w:r>
          </w:p>
        </w:tc>
        <w:tc>
          <w:tcPr>
            <w:tcW w:w="695" w:type="dxa"/>
            <w:tcBorders>
              <w:top w:val="single" w:sz="4" w:space="0" w:color="000000"/>
              <w:left w:val="single" w:sz="4" w:space="0" w:color="000000"/>
              <w:bottom w:val="single" w:sz="4" w:space="0" w:color="000000"/>
              <w:right w:val="single" w:sz="4" w:space="0" w:color="000000"/>
            </w:tcBorders>
          </w:tcPr>
          <w:p w14:paraId="2F2CAF0B" w14:textId="77777777" w:rsidR="00D3344B" w:rsidRDefault="00D3344B">
            <w:pPr>
              <w:pStyle w:val="TableParagraph"/>
              <w:spacing w:before="8"/>
              <w:rPr>
                <w:rFonts w:ascii="Arial" w:hAnsi="Arial" w:cs="Arial"/>
                <w:sz w:val="18"/>
                <w:szCs w:val="18"/>
              </w:rPr>
            </w:pPr>
          </w:p>
          <w:p w14:paraId="6044091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27.75</w:t>
            </w:r>
          </w:p>
        </w:tc>
        <w:tc>
          <w:tcPr>
            <w:tcW w:w="699" w:type="dxa"/>
            <w:tcBorders>
              <w:top w:val="single" w:sz="4" w:space="0" w:color="000000"/>
              <w:left w:val="single" w:sz="4" w:space="0" w:color="000000"/>
              <w:bottom w:val="single" w:sz="4" w:space="0" w:color="000000"/>
              <w:right w:val="single" w:sz="4" w:space="0" w:color="000000"/>
            </w:tcBorders>
          </w:tcPr>
          <w:p w14:paraId="2D1DBE3A" w14:textId="77777777" w:rsidR="00D3344B" w:rsidRDefault="00D3344B">
            <w:pPr>
              <w:pStyle w:val="TableParagraph"/>
              <w:spacing w:before="8"/>
              <w:rPr>
                <w:rFonts w:ascii="Arial" w:hAnsi="Arial" w:cs="Arial"/>
                <w:sz w:val="18"/>
                <w:szCs w:val="18"/>
              </w:rPr>
            </w:pPr>
          </w:p>
          <w:p w14:paraId="69178F1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24.75</w:t>
            </w:r>
          </w:p>
        </w:tc>
        <w:tc>
          <w:tcPr>
            <w:tcW w:w="699" w:type="dxa"/>
            <w:tcBorders>
              <w:top w:val="single" w:sz="4" w:space="0" w:color="000000"/>
              <w:left w:val="single" w:sz="4" w:space="0" w:color="000000"/>
              <w:bottom w:val="single" w:sz="4" w:space="0" w:color="000000"/>
              <w:right w:val="single" w:sz="4" w:space="0" w:color="000000"/>
            </w:tcBorders>
          </w:tcPr>
          <w:p w14:paraId="47DA0F6C" w14:textId="77777777" w:rsidR="00D3344B" w:rsidRDefault="00D3344B">
            <w:pPr>
              <w:pStyle w:val="TableParagraph"/>
              <w:spacing w:before="8"/>
              <w:rPr>
                <w:rFonts w:ascii="Arial" w:hAnsi="Arial" w:cs="Arial"/>
                <w:sz w:val="18"/>
                <w:szCs w:val="18"/>
              </w:rPr>
            </w:pPr>
          </w:p>
          <w:p w14:paraId="138E6B7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21.25</w:t>
            </w:r>
          </w:p>
        </w:tc>
        <w:tc>
          <w:tcPr>
            <w:tcW w:w="696" w:type="dxa"/>
            <w:tcBorders>
              <w:top w:val="single" w:sz="4" w:space="0" w:color="000000"/>
              <w:left w:val="single" w:sz="4" w:space="0" w:color="000000"/>
              <w:bottom w:val="single" w:sz="4" w:space="0" w:color="000000"/>
              <w:right w:val="single" w:sz="4" w:space="0" w:color="000000"/>
            </w:tcBorders>
          </w:tcPr>
          <w:p w14:paraId="59BC9349" w14:textId="77777777" w:rsidR="00D3344B" w:rsidRDefault="00D3344B">
            <w:pPr>
              <w:pStyle w:val="TableParagraph"/>
              <w:spacing w:before="8"/>
              <w:rPr>
                <w:rFonts w:ascii="Arial" w:hAnsi="Arial" w:cs="Arial"/>
                <w:sz w:val="18"/>
                <w:szCs w:val="18"/>
              </w:rPr>
            </w:pPr>
          </w:p>
          <w:p w14:paraId="326B2B1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18.75</w:t>
            </w:r>
          </w:p>
        </w:tc>
        <w:tc>
          <w:tcPr>
            <w:tcW w:w="527" w:type="dxa"/>
            <w:tcBorders>
              <w:top w:val="single" w:sz="4" w:space="0" w:color="000000"/>
              <w:left w:val="single" w:sz="4" w:space="0" w:color="000000"/>
              <w:bottom w:val="single" w:sz="4" w:space="0" w:color="000000"/>
              <w:right w:val="single" w:sz="4" w:space="0" w:color="000000"/>
            </w:tcBorders>
          </w:tcPr>
          <w:p w14:paraId="545FF2F5" w14:textId="77777777" w:rsidR="00D3344B" w:rsidRDefault="00D3344B">
            <w:pPr>
              <w:pStyle w:val="TableParagraph"/>
              <w:rPr>
                <w:rFonts w:ascii="Arial" w:hAnsi="Arial" w:cs="Arial"/>
                <w:sz w:val="18"/>
                <w:szCs w:val="18"/>
              </w:rPr>
            </w:pPr>
          </w:p>
        </w:tc>
      </w:tr>
      <w:tr w:rsidR="00D3344B" w14:paraId="06E61B28"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A9EC15D"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104</w:t>
            </w:r>
          </w:p>
        </w:tc>
        <w:tc>
          <w:tcPr>
            <w:tcW w:w="3038" w:type="dxa"/>
            <w:tcBorders>
              <w:top w:val="single" w:sz="4" w:space="0" w:color="000000"/>
              <w:left w:val="single" w:sz="4" w:space="0" w:color="000000"/>
              <w:bottom w:val="single" w:sz="4" w:space="0" w:color="000000"/>
              <w:right w:val="single" w:sz="4" w:space="0" w:color="000000"/>
            </w:tcBorders>
          </w:tcPr>
          <w:p w14:paraId="376CF3D0" w14:textId="77777777" w:rsidR="00D3344B" w:rsidRDefault="00143C25">
            <w:pPr>
              <w:pStyle w:val="TableParagraph"/>
              <w:rPr>
                <w:rFonts w:ascii="Arial" w:hAnsi="Arial" w:cs="Arial"/>
                <w:sz w:val="18"/>
                <w:szCs w:val="18"/>
              </w:rPr>
            </w:pPr>
            <w:r>
              <w:rPr>
                <w:rFonts w:ascii="Arial" w:hAnsi="Arial" w:cs="Arial"/>
                <w:w w:val="110"/>
                <w:sz w:val="18"/>
                <w:szCs w:val="18"/>
              </w:rPr>
              <w:t>Pies</w:t>
            </w:r>
            <w:r>
              <w:rPr>
                <w:rFonts w:ascii="Arial" w:hAnsi="Arial" w:cs="Arial"/>
                <w:spacing w:val="8"/>
                <w:w w:val="110"/>
                <w:sz w:val="18"/>
                <w:szCs w:val="18"/>
              </w:rPr>
              <w:t xml:space="preserve"> </w:t>
            </w:r>
            <w:r>
              <w:rPr>
                <w:rFonts w:ascii="Arial" w:hAnsi="Arial" w:cs="Arial"/>
                <w:w w:val="110"/>
                <w:sz w:val="18"/>
                <w:szCs w:val="18"/>
              </w:rPr>
              <w:t>con</w:t>
            </w:r>
            <w:r>
              <w:rPr>
                <w:rFonts w:ascii="Arial" w:hAnsi="Arial" w:cs="Arial"/>
                <w:spacing w:val="7"/>
                <w:w w:val="110"/>
                <w:sz w:val="18"/>
                <w:szCs w:val="18"/>
              </w:rPr>
              <w:t xml:space="preserve"> </w:t>
            </w:r>
            <w:r>
              <w:rPr>
                <w:rFonts w:ascii="Arial" w:hAnsi="Arial" w:cs="Arial"/>
                <w:w w:val="110"/>
                <w:sz w:val="18"/>
                <w:szCs w:val="18"/>
              </w:rPr>
              <w:t>apoyo</w:t>
            </w:r>
            <w:r>
              <w:rPr>
                <w:rFonts w:ascii="Arial" w:hAnsi="Arial" w:cs="Arial"/>
                <w:spacing w:val="10"/>
                <w:w w:val="110"/>
                <w:sz w:val="18"/>
                <w:szCs w:val="18"/>
              </w:rPr>
              <w:t xml:space="preserve"> </w:t>
            </w:r>
            <w:r>
              <w:rPr>
                <w:rFonts w:ascii="Arial" w:hAnsi="Arial" w:cs="Arial"/>
                <w:spacing w:val="-2"/>
                <w:w w:val="110"/>
                <w:sz w:val="18"/>
                <w:szCs w:val="18"/>
              </w:rPr>
              <w:t>(Lateral)</w:t>
            </w:r>
          </w:p>
        </w:tc>
        <w:tc>
          <w:tcPr>
            <w:tcW w:w="697" w:type="dxa"/>
            <w:tcBorders>
              <w:top w:val="single" w:sz="4" w:space="0" w:color="000000"/>
              <w:left w:val="single" w:sz="4" w:space="0" w:color="000000"/>
              <w:bottom w:val="single" w:sz="4" w:space="0" w:color="000000"/>
              <w:right w:val="single" w:sz="4" w:space="0" w:color="000000"/>
            </w:tcBorders>
          </w:tcPr>
          <w:p w14:paraId="69D2431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4.25</w:t>
            </w:r>
          </w:p>
        </w:tc>
        <w:tc>
          <w:tcPr>
            <w:tcW w:w="695" w:type="dxa"/>
            <w:tcBorders>
              <w:top w:val="single" w:sz="4" w:space="0" w:color="000000"/>
              <w:left w:val="single" w:sz="4" w:space="0" w:color="000000"/>
              <w:bottom w:val="single" w:sz="4" w:space="0" w:color="000000"/>
              <w:right w:val="single" w:sz="4" w:space="0" w:color="000000"/>
            </w:tcBorders>
          </w:tcPr>
          <w:p w14:paraId="42656D20" w14:textId="77777777" w:rsidR="00D3344B" w:rsidRDefault="00143C25">
            <w:pPr>
              <w:pStyle w:val="TableParagraph"/>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48184A4D"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66E7587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5439CE0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527" w:type="dxa"/>
            <w:tcBorders>
              <w:top w:val="single" w:sz="4" w:space="0" w:color="000000"/>
              <w:left w:val="single" w:sz="4" w:space="0" w:color="000000"/>
              <w:bottom w:val="single" w:sz="4" w:space="0" w:color="000000"/>
              <w:right w:val="single" w:sz="4" w:space="0" w:color="000000"/>
            </w:tcBorders>
          </w:tcPr>
          <w:p w14:paraId="48A1EBF6" w14:textId="77777777" w:rsidR="00D3344B" w:rsidRDefault="00D3344B">
            <w:pPr>
              <w:pStyle w:val="TableParagraph"/>
              <w:rPr>
                <w:rFonts w:ascii="Arial" w:hAnsi="Arial" w:cs="Arial"/>
                <w:sz w:val="18"/>
                <w:szCs w:val="18"/>
              </w:rPr>
            </w:pPr>
          </w:p>
        </w:tc>
      </w:tr>
      <w:tr w:rsidR="00D3344B" w14:paraId="3F9EC5D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4AC7864"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105</w:t>
            </w:r>
          </w:p>
        </w:tc>
        <w:tc>
          <w:tcPr>
            <w:tcW w:w="3038" w:type="dxa"/>
            <w:tcBorders>
              <w:top w:val="single" w:sz="4" w:space="0" w:color="000000"/>
              <w:left w:val="single" w:sz="4" w:space="0" w:color="000000"/>
              <w:bottom w:val="single" w:sz="4" w:space="0" w:color="000000"/>
              <w:right w:val="single" w:sz="4" w:space="0" w:color="000000"/>
            </w:tcBorders>
          </w:tcPr>
          <w:p w14:paraId="27936A46" w14:textId="77777777" w:rsidR="00D3344B" w:rsidRDefault="00143C25">
            <w:pPr>
              <w:pStyle w:val="TableParagraph"/>
              <w:spacing w:line="252" w:lineRule="exact"/>
              <w:ind w:right="272"/>
              <w:rPr>
                <w:rFonts w:ascii="Arial" w:hAnsi="Arial" w:cs="Arial"/>
                <w:sz w:val="18"/>
                <w:szCs w:val="18"/>
              </w:rPr>
            </w:pPr>
            <w:r>
              <w:rPr>
                <w:rFonts w:ascii="Arial" w:hAnsi="Arial" w:cs="Arial"/>
                <w:w w:val="110"/>
                <w:sz w:val="18"/>
                <w:szCs w:val="18"/>
              </w:rPr>
              <w:t>Tangenciales de rotula 30°, 60° y 90°</w:t>
            </w:r>
          </w:p>
        </w:tc>
        <w:tc>
          <w:tcPr>
            <w:tcW w:w="697" w:type="dxa"/>
            <w:tcBorders>
              <w:top w:val="single" w:sz="4" w:space="0" w:color="000000"/>
              <w:left w:val="single" w:sz="4" w:space="0" w:color="000000"/>
              <w:bottom w:val="single" w:sz="4" w:space="0" w:color="000000"/>
              <w:right w:val="single" w:sz="4" w:space="0" w:color="000000"/>
            </w:tcBorders>
          </w:tcPr>
          <w:p w14:paraId="5D60C00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4.25</w:t>
            </w:r>
          </w:p>
        </w:tc>
        <w:tc>
          <w:tcPr>
            <w:tcW w:w="695" w:type="dxa"/>
            <w:tcBorders>
              <w:top w:val="single" w:sz="4" w:space="0" w:color="000000"/>
              <w:left w:val="single" w:sz="4" w:space="0" w:color="000000"/>
              <w:bottom w:val="single" w:sz="4" w:space="0" w:color="000000"/>
              <w:right w:val="single" w:sz="4" w:space="0" w:color="000000"/>
            </w:tcBorders>
          </w:tcPr>
          <w:p w14:paraId="63B34952" w14:textId="77777777" w:rsidR="00D3344B" w:rsidRDefault="00143C25">
            <w:pPr>
              <w:pStyle w:val="TableParagraph"/>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7010AFE5"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4B38CD9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5D34EFC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52DE9248" w14:textId="77777777" w:rsidR="00D3344B" w:rsidRDefault="00D3344B">
            <w:pPr>
              <w:pStyle w:val="TableParagraph"/>
              <w:rPr>
                <w:rFonts w:ascii="Arial" w:hAnsi="Arial" w:cs="Arial"/>
                <w:sz w:val="18"/>
                <w:szCs w:val="18"/>
              </w:rPr>
            </w:pPr>
          </w:p>
        </w:tc>
      </w:tr>
      <w:tr w:rsidR="00D3344B" w14:paraId="35A9DF9E"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4917F82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106</w:t>
            </w:r>
          </w:p>
        </w:tc>
        <w:tc>
          <w:tcPr>
            <w:tcW w:w="3038" w:type="dxa"/>
            <w:tcBorders>
              <w:top w:val="single" w:sz="4" w:space="0" w:color="000000"/>
              <w:left w:val="single" w:sz="4" w:space="0" w:color="000000"/>
              <w:bottom w:val="single" w:sz="4" w:space="0" w:color="000000"/>
              <w:right w:val="single" w:sz="4" w:space="0" w:color="000000"/>
            </w:tcBorders>
          </w:tcPr>
          <w:p w14:paraId="3798F652" w14:textId="77777777" w:rsidR="00D3344B" w:rsidRDefault="00143C25">
            <w:pPr>
              <w:pStyle w:val="TableParagraph"/>
              <w:spacing w:line="252" w:lineRule="exact"/>
              <w:rPr>
                <w:rFonts w:ascii="Arial" w:hAnsi="Arial" w:cs="Arial"/>
                <w:sz w:val="18"/>
                <w:szCs w:val="18"/>
              </w:rPr>
            </w:pPr>
            <w:proofErr w:type="spellStart"/>
            <w:r>
              <w:rPr>
                <w:rFonts w:ascii="Arial" w:hAnsi="Arial" w:cs="Arial"/>
                <w:w w:val="110"/>
                <w:sz w:val="18"/>
                <w:szCs w:val="18"/>
              </w:rPr>
              <w:t>Shuller</w:t>
            </w:r>
            <w:proofErr w:type="spellEnd"/>
            <w:r>
              <w:rPr>
                <w:rFonts w:ascii="Arial" w:hAnsi="Arial" w:cs="Arial"/>
                <w:spacing w:val="80"/>
                <w:w w:val="110"/>
                <w:sz w:val="18"/>
                <w:szCs w:val="18"/>
              </w:rPr>
              <w:t xml:space="preserve"> </w:t>
            </w:r>
            <w:r>
              <w:rPr>
                <w:rFonts w:ascii="Arial" w:hAnsi="Arial" w:cs="Arial"/>
                <w:w w:val="110"/>
                <w:sz w:val="18"/>
                <w:szCs w:val="18"/>
              </w:rPr>
              <w:t>boca</w:t>
            </w:r>
            <w:r>
              <w:rPr>
                <w:rFonts w:ascii="Arial" w:hAnsi="Arial" w:cs="Arial"/>
                <w:spacing w:val="80"/>
                <w:w w:val="110"/>
                <w:sz w:val="18"/>
                <w:szCs w:val="18"/>
              </w:rPr>
              <w:t xml:space="preserve"> </w:t>
            </w:r>
            <w:r>
              <w:rPr>
                <w:rFonts w:ascii="Arial" w:hAnsi="Arial" w:cs="Arial"/>
                <w:w w:val="110"/>
                <w:sz w:val="18"/>
                <w:szCs w:val="18"/>
              </w:rPr>
              <w:t>abierta</w:t>
            </w:r>
            <w:r>
              <w:rPr>
                <w:rFonts w:ascii="Arial" w:hAnsi="Arial" w:cs="Arial"/>
                <w:spacing w:val="80"/>
                <w:w w:val="110"/>
                <w:sz w:val="18"/>
                <w:szCs w:val="18"/>
              </w:rPr>
              <w:t xml:space="preserve"> </w:t>
            </w:r>
            <w:r>
              <w:rPr>
                <w:rFonts w:ascii="Arial" w:hAnsi="Arial" w:cs="Arial"/>
                <w:w w:val="110"/>
                <w:sz w:val="18"/>
                <w:szCs w:val="18"/>
              </w:rPr>
              <w:t>y</w:t>
            </w:r>
            <w:r>
              <w:rPr>
                <w:rFonts w:ascii="Arial" w:hAnsi="Arial" w:cs="Arial"/>
                <w:spacing w:val="80"/>
                <w:w w:val="110"/>
                <w:sz w:val="18"/>
                <w:szCs w:val="18"/>
              </w:rPr>
              <w:t xml:space="preserve"> </w:t>
            </w:r>
            <w:r>
              <w:rPr>
                <w:rFonts w:ascii="Arial" w:hAnsi="Arial" w:cs="Arial"/>
                <w:w w:val="110"/>
                <w:sz w:val="18"/>
                <w:szCs w:val="18"/>
              </w:rPr>
              <w:t>boca cerrada (comparativa)</w:t>
            </w:r>
          </w:p>
        </w:tc>
        <w:tc>
          <w:tcPr>
            <w:tcW w:w="697" w:type="dxa"/>
            <w:tcBorders>
              <w:top w:val="single" w:sz="4" w:space="0" w:color="000000"/>
              <w:left w:val="single" w:sz="4" w:space="0" w:color="000000"/>
              <w:bottom w:val="single" w:sz="4" w:space="0" w:color="000000"/>
              <w:right w:val="single" w:sz="4" w:space="0" w:color="000000"/>
            </w:tcBorders>
          </w:tcPr>
          <w:p w14:paraId="022E7A1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5.50</w:t>
            </w:r>
          </w:p>
        </w:tc>
        <w:tc>
          <w:tcPr>
            <w:tcW w:w="695" w:type="dxa"/>
            <w:tcBorders>
              <w:top w:val="single" w:sz="4" w:space="0" w:color="000000"/>
              <w:left w:val="single" w:sz="4" w:space="0" w:color="000000"/>
              <w:bottom w:val="single" w:sz="4" w:space="0" w:color="000000"/>
              <w:right w:val="single" w:sz="4" w:space="0" w:color="000000"/>
            </w:tcBorders>
          </w:tcPr>
          <w:p w14:paraId="4C0D7C39" w14:textId="77777777" w:rsidR="00D3344B" w:rsidRDefault="00143C25">
            <w:pPr>
              <w:pStyle w:val="TableParagraph"/>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3C636A54" w14:textId="77777777" w:rsidR="00D3344B" w:rsidRDefault="00143C25">
            <w:pPr>
              <w:pStyle w:val="TableParagraph"/>
              <w:rPr>
                <w:rFonts w:ascii="Arial" w:hAnsi="Arial" w:cs="Arial"/>
                <w:sz w:val="18"/>
                <w:szCs w:val="18"/>
              </w:rPr>
            </w:pPr>
            <w:r>
              <w:rPr>
                <w:rFonts w:ascii="Arial" w:hAnsi="Arial" w:cs="Arial"/>
                <w:spacing w:val="-4"/>
                <w:w w:val="115"/>
                <w:sz w:val="18"/>
                <w:szCs w:val="18"/>
              </w:rPr>
              <w:t>4.25</w:t>
            </w:r>
          </w:p>
        </w:tc>
        <w:tc>
          <w:tcPr>
            <w:tcW w:w="699" w:type="dxa"/>
            <w:tcBorders>
              <w:top w:val="single" w:sz="4" w:space="0" w:color="000000"/>
              <w:left w:val="single" w:sz="4" w:space="0" w:color="000000"/>
              <w:bottom w:val="single" w:sz="4" w:space="0" w:color="000000"/>
              <w:right w:val="single" w:sz="4" w:space="0" w:color="000000"/>
            </w:tcBorders>
          </w:tcPr>
          <w:p w14:paraId="4CF2FE4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3.50</w:t>
            </w:r>
          </w:p>
        </w:tc>
        <w:tc>
          <w:tcPr>
            <w:tcW w:w="696" w:type="dxa"/>
            <w:tcBorders>
              <w:top w:val="single" w:sz="4" w:space="0" w:color="000000"/>
              <w:left w:val="single" w:sz="4" w:space="0" w:color="000000"/>
              <w:bottom w:val="single" w:sz="4" w:space="0" w:color="000000"/>
              <w:right w:val="single" w:sz="4" w:space="0" w:color="000000"/>
            </w:tcBorders>
          </w:tcPr>
          <w:p w14:paraId="21116A2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3.00</w:t>
            </w:r>
          </w:p>
        </w:tc>
        <w:tc>
          <w:tcPr>
            <w:tcW w:w="527" w:type="dxa"/>
            <w:tcBorders>
              <w:top w:val="single" w:sz="4" w:space="0" w:color="000000"/>
              <w:left w:val="single" w:sz="4" w:space="0" w:color="000000"/>
              <w:bottom w:val="single" w:sz="4" w:space="0" w:color="000000"/>
              <w:right w:val="single" w:sz="4" w:space="0" w:color="000000"/>
            </w:tcBorders>
          </w:tcPr>
          <w:p w14:paraId="3422C9F1" w14:textId="77777777" w:rsidR="00D3344B" w:rsidRDefault="00D3344B">
            <w:pPr>
              <w:pStyle w:val="TableParagraph"/>
              <w:rPr>
                <w:rFonts w:ascii="Arial" w:hAnsi="Arial" w:cs="Arial"/>
                <w:sz w:val="18"/>
                <w:szCs w:val="18"/>
              </w:rPr>
            </w:pPr>
          </w:p>
        </w:tc>
      </w:tr>
      <w:tr w:rsidR="00D3344B" w14:paraId="35CD4CC6"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50F48BA9" w14:textId="77777777" w:rsidR="00D3344B" w:rsidRDefault="00D3344B">
            <w:pPr>
              <w:pStyle w:val="TableParagraph"/>
              <w:spacing w:before="8"/>
              <w:rPr>
                <w:rFonts w:ascii="Arial" w:hAnsi="Arial" w:cs="Arial"/>
                <w:sz w:val="18"/>
                <w:szCs w:val="18"/>
              </w:rPr>
            </w:pPr>
          </w:p>
          <w:p w14:paraId="509EB560"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108</w:t>
            </w:r>
          </w:p>
        </w:tc>
        <w:tc>
          <w:tcPr>
            <w:tcW w:w="3038" w:type="dxa"/>
            <w:tcBorders>
              <w:top w:val="single" w:sz="4" w:space="0" w:color="000000"/>
              <w:left w:val="single" w:sz="4" w:space="0" w:color="000000"/>
              <w:bottom w:val="single" w:sz="4" w:space="0" w:color="000000"/>
              <w:right w:val="single" w:sz="4" w:space="0" w:color="000000"/>
            </w:tcBorders>
          </w:tcPr>
          <w:p w14:paraId="73A0FBB0" w14:textId="77777777" w:rsidR="00D3344B" w:rsidRDefault="00143C25">
            <w:pPr>
              <w:pStyle w:val="TableParagraph"/>
              <w:tabs>
                <w:tab w:val="left" w:pos="1505"/>
                <w:tab w:val="left" w:pos="1672"/>
                <w:tab w:val="left" w:pos="2741"/>
              </w:tabs>
              <w:ind w:right="59"/>
              <w:rPr>
                <w:rFonts w:ascii="Arial" w:hAnsi="Arial" w:cs="Arial"/>
                <w:sz w:val="18"/>
                <w:szCs w:val="18"/>
              </w:rPr>
            </w:pPr>
            <w:r>
              <w:rPr>
                <w:rFonts w:ascii="Arial" w:hAnsi="Arial" w:cs="Arial"/>
                <w:spacing w:val="-2"/>
                <w:w w:val="110"/>
                <w:sz w:val="18"/>
                <w:szCs w:val="18"/>
              </w:rPr>
              <w:t>Tomografía</w:t>
            </w:r>
            <w:r>
              <w:rPr>
                <w:rFonts w:ascii="Arial" w:hAnsi="Arial" w:cs="Arial"/>
                <w:sz w:val="18"/>
                <w:szCs w:val="18"/>
              </w:rPr>
              <w:tab/>
            </w:r>
            <w:r>
              <w:rPr>
                <w:rFonts w:ascii="Arial" w:hAnsi="Arial" w:cs="Arial"/>
                <w:sz w:val="18"/>
                <w:szCs w:val="18"/>
              </w:rPr>
              <w:tab/>
            </w:r>
            <w:r>
              <w:rPr>
                <w:rFonts w:ascii="Arial" w:hAnsi="Arial" w:cs="Arial"/>
                <w:spacing w:val="-2"/>
                <w:w w:val="110"/>
                <w:sz w:val="18"/>
                <w:szCs w:val="18"/>
              </w:rPr>
              <w:t>lineal</w:t>
            </w:r>
            <w:r>
              <w:rPr>
                <w:rFonts w:ascii="Arial" w:hAnsi="Arial" w:cs="Arial"/>
                <w:sz w:val="18"/>
                <w:szCs w:val="18"/>
              </w:rPr>
              <w:tab/>
            </w:r>
            <w:r>
              <w:rPr>
                <w:rFonts w:ascii="Arial" w:hAnsi="Arial" w:cs="Arial"/>
                <w:spacing w:val="-6"/>
                <w:w w:val="110"/>
                <w:sz w:val="18"/>
                <w:szCs w:val="18"/>
              </w:rPr>
              <w:t xml:space="preserve">de </w:t>
            </w:r>
            <w:r>
              <w:rPr>
                <w:rFonts w:ascii="Arial" w:hAnsi="Arial" w:cs="Arial"/>
                <w:spacing w:val="-2"/>
                <w:w w:val="110"/>
                <w:sz w:val="18"/>
                <w:szCs w:val="18"/>
              </w:rPr>
              <w:t>articulación</w:t>
            </w:r>
            <w:r>
              <w:rPr>
                <w:rFonts w:ascii="Arial" w:hAnsi="Arial" w:cs="Arial"/>
                <w:sz w:val="18"/>
                <w:szCs w:val="18"/>
              </w:rPr>
              <w:tab/>
            </w:r>
            <w:proofErr w:type="spellStart"/>
            <w:r>
              <w:rPr>
                <w:rFonts w:ascii="Arial" w:hAnsi="Arial" w:cs="Arial"/>
                <w:spacing w:val="-2"/>
                <w:w w:val="110"/>
                <w:sz w:val="18"/>
                <w:szCs w:val="18"/>
              </w:rPr>
              <w:t>Temporo</w:t>
            </w:r>
            <w:proofErr w:type="spellEnd"/>
            <w:r>
              <w:rPr>
                <w:rFonts w:ascii="Arial" w:hAnsi="Arial" w:cs="Arial"/>
                <w:spacing w:val="-2"/>
                <w:w w:val="110"/>
                <w:sz w:val="18"/>
                <w:szCs w:val="18"/>
              </w:rPr>
              <w:t>-</w:t>
            </w:r>
          </w:p>
          <w:p w14:paraId="01E48AA6" w14:textId="77777777" w:rsidR="00D3344B" w:rsidRDefault="00143C25">
            <w:pPr>
              <w:pStyle w:val="TableParagraph"/>
              <w:spacing w:line="233" w:lineRule="exact"/>
              <w:rPr>
                <w:rFonts w:ascii="Arial" w:hAnsi="Arial" w:cs="Arial"/>
                <w:sz w:val="18"/>
                <w:szCs w:val="18"/>
              </w:rPr>
            </w:pPr>
            <w:r>
              <w:rPr>
                <w:rFonts w:ascii="Arial" w:hAnsi="Arial" w:cs="Arial"/>
                <w:spacing w:val="-2"/>
                <w:w w:val="110"/>
                <w:sz w:val="18"/>
                <w:szCs w:val="18"/>
              </w:rPr>
              <w:t>mandibular</w:t>
            </w:r>
          </w:p>
        </w:tc>
        <w:tc>
          <w:tcPr>
            <w:tcW w:w="697" w:type="dxa"/>
            <w:tcBorders>
              <w:top w:val="single" w:sz="4" w:space="0" w:color="000000"/>
              <w:left w:val="single" w:sz="4" w:space="0" w:color="000000"/>
              <w:bottom w:val="single" w:sz="4" w:space="0" w:color="000000"/>
              <w:right w:val="single" w:sz="4" w:space="0" w:color="000000"/>
            </w:tcBorders>
          </w:tcPr>
          <w:p w14:paraId="37A7B196" w14:textId="77777777" w:rsidR="00D3344B" w:rsidRDefault="00D3344B">
            <w:pPr>
              <w:pStyle w:val="TableParagraph"/>
              <w:spacing w:before="8"/>
              <w:rPr>
                <w:rFonts w:ascii="Arial" w:hAnsi="Arial" w:cs="Arial"/>
                <w:sz w:val="18"/>
                <w:szCs w:val="18"/>
              </w:rPr>
            </w:pPr>
          </w:p>
          <w:p w14:paraId="37549293"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4287DC08" w14:textId="77777777" w:rsidR="00D3344B" w:rsidRDefault="00D3344B">
            <w:pPr>
              <w:pStyle w:val="TableParagraph"/>
              <w:spacing w:before="8"/>
              <w:rPr>
                <w:rFonts w:ascii="Arial" w:hAnsi="Arial" w:cs="Arial"/>
                <w:sz w:val="18"/>
                <w:szCs w:val="18"/>
              </w:rPr>
            </w:pPr>
          </w:p>
          <w:p w14:paraId="7110F57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32A50EC0" w14:textId="77777777" w:rsidR="00D3344B" w:rsidRDefault="00D3344B">
            <w:pPr>
              <w:pStyle w:val="TableParagraph"/>
              <w:spacing w:before="8"/>
              <w:rPr>
                <w:rFonts w:ascii="Arial" w:hAnsi="Arial" w:cs="Arial"/>
                <w:sz w:val="18"/>
                <w:szCs w:val="18"/>
              </w:rPr>
            </w:pPr>
          </w:p>
          <w:p w14:paraId="0133AAC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13.75</w:t>
            </w:r>
          </w:p>
        </w:tc>
        <w:tc>
          <w:tcPr>
            <w:tcW w:w="699" w:type="dxa"/>
            <w:tcBorders>
              <w:top w:val="single" w:sz="4" w:space="0" w:color="000000"/>
              <w:left w:val="single" w:sz="4" w:space="0" w:color="000000"/>
              <w:bottom w:val="single" w:sz="4" w:space="0" w:color="000000"/>
              <w:right w:val="single" w:sz="4" w:space="0" w:color="000000"/>
            </w:tcBorders>
          </w:tcPr>
          <w:p w14:paraId="362C4627" w14:textId="77777777" w:rsidR="00D3344B" w:rsidRDefault="00D3344B">
            <w:pPr>
              <w:pStyle w:val="TableParagraph"/>
              <w:spacing w:before="8"/>
              <w:rPr>
                <w:rFonts w:ascii="Arial" w:hAnsi="Arial" w:cs="Arial"/>
                <w:sz w:val="18"/>
                <w:szCs w:val="18"/>
              </w:rPr>
            </w:pPr>
          </w:p>
          <w:p w14:paraId="5B8C0B2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12.75</w:t>
            </w:r>
          </w:p>
        </w:tc>
        <w:tc>
          <w:tcPr>
            <w:tcW w:w="696" w:type="dxa"/>
            <w:tcBorders>
              <w:top w:val="single" w:sz="4" w:space="0" w:color="000000"/>
              <w:left w:val="single" w:sz="4" w:space="0" w:color="000000"/>
              <w:bottom w:val="single" w:sz="4" w:space="0" w:color="000000"/>
              <w:right w:val="single" w:sz="4" w:space="0" w:color="000000"/>
            </w:tcBorders>
          </w:tcPr>
          <w:p w14:paraId="2695ADD1" w14:textId="77777777" w:rsidR="00D3344B" w:rsidRDefault="00D3344B">
            <w:pPr>
              <w:pStyle w:val="TableParagraph"/>
              <w:spacing w:before="8"/>
              <w:rPr>
                <w:rFonts w:ascii="Arial" w:hAnsi="Arial" w:cs="Arial"/>
                <w:sz w:val="18"/>
                <w:szCs w:val="18"/>
              </w:rPr>
            </w:pPr>
          </w:p>
          <w:p w14:paraId="5739F70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11.75</w:t>
            </w:r>
          </w:p>
        </w:tc>
        <w:tc>
          <w:tcPr>
            <w:tcW w:w="527" w:type="dxa"/>
            <w:tcBorders>
              <w:top w:val="single" w:sz="4" w:space="0" w:color="000000"/>
              <w:left w:val="single" w:sz="4" w:space="0" w:color="000000"/>
              <w:bottom w:val="single" w:sz="4" w:space="0" w:color="000000"/>
              <w:right w:val="single" w:sz="4" w:space="0" w:color="000000"/>
            </w:tcBorders>
          </w:tcPr>
          <w:p w14:paraId="65C79C8A" w14:textId="77777777" w:rsidR="00D3344B" w:rsidRDefault="00D3344B">
            <w:pPr>
              <w:pStyle w:val="TableParagraph"/>
              <w:rPr>
                <w:rFonts w:ascii="Arial" w:hAnsi="Arial" w:cs="Arial"/>
                <w:sz w:val="18"/>
                <w:szCs w:val="18"/>
              </w:rPr>
            </w:pPr>
          </w:p>
        </w:tc>
      </w:tr>
      <w:tr w:rsidR="00D3344B" w14:paraId="0CB9B89B"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0071E5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109</w:t>
            </w:r>
          </w:p>
        </w:tc>
        <w:tc>
          <w:tcPr>
            <w:tcW w:w="3038" w:type="dxa"/>
            <w:tcBorders>
              <w:top w:val="single" w:sz="4" w:space="0" w:color="000000"/>
              <w:left w:val="single" w:sz="4" w:space="0" w:color="000000"/>
              <w:bottom w:val="single" w:sz="4" w:space="0" w:color="000000"/>
              <w:right w:val="single" w:sz="4" w:space="0" w:color="000000"/>
            </w:tcBorders>
          </w:tcPr>
          <w:p w14:paraId="4C231A30" w14:textId="77777777" w:rsidR="00D3344B" w:rsidRDefault="00143C25">
            <w:pPr>
              <w:pStyle w:val="TableParagraph"/>
              <w:rPr>
                <w:rFonts w:ascii="Arial" w:hAnsi="Arial" w:cs="Arial"/>
                <w:sz w:val="18"/>
                <w:szCs w:val="18"/>
              </w:rPr>
            </w:pPr>
            <w:r>
              <w:rPr>
                <w:rFonts w:ascii="Arial" w:hAnsi="Arial" w:cs="Arial"/>
                <w:w w:val="110"/>
                <w:sz w:val="18"/>
                <w:szCs w:val="18"/>
              </w:rPr>
              <w:t>AP</w:t>
            </w:r>
            <w:r>
              <w:rPr>
                <w:rFonts w:ascii="Arial" w:hAnsi="Arial" w:cs="Arial"/>
                <w:spacing w:val="2"/>
                <w:w w:val="110"/>
                <w:sz w:val="18"/>
                <w:szCs w:val="18"/>
              </w:rPr>
              <w:t xml:space="preserve"> </w:t>
            </w:r>
            <w:r>
              <w:rPr>
                <w:rFonts w:ascii="Arial" w:hAnsi="Arial" w:cs="Arial"/>
                <w:w w:val="110"/>
                <w:sz w:val="18"/>
                <w:szCs w:val="18"/>
              </w:rPr>
              <w:t>de</w:t>
            </w:r>
            <w:r>
              <w:rPr>
                <w:rFonts w:ascii="Arial" w:hAnsi="Arial" w:cs="Arial"/>
                <w:spacing w:val="10"/>
                <w:w w:val="110"/>
                <w:sz w:val="18"/>
                <w:szCs w:val="18"/>
              </w:rPr>
              <w:t xml:space="preserve"> </w:t>
            </w:r>
            <w:r>
              <w:rPr>
                <w:rFonts w:ascii="Arial" w:hAnsi="Arial" w:cs="Arial"/>
                <w:w w:val="110"/>
                <w:sz w:val="18"/>
                <w:szCs w:val="18"/>
              </w:rPr>
              <w:t>Apófisis</w:t>
            </w:r>
            <w:r>
              <w:rPr>
                <w:rFonts w:ascii="Arial" w:hAnsi="Arial" w:cs="Arial"/>
                <w:spacing w:val="7"/>
                <w:w w:val="110"/>
                <w:sz w:val="18"/>
                <w:szCs w:val="18"/>
              </w:rPr>
              <w:t xml:space="preserve"> </w:t>
            </w:r>
            <w:r>
              <w:rPr>
                <w:rFonts w:ascii="Arial" w:hAnsi="Arial" w:cs="Arial"/>
                <w:spacing w:val="-2"/>
                <w:w w:val="110"/>
                <w:sz w:val="18"/>
                <w:szCs w:val="18"/>
              </w:rPr>
              <w:t>odontoides</w:t>
            </w:r>
          </w:p>
        </w:tc>
        <w:tc>
          <w:tcPr>
            <w:tcW w:w="697" w:type="dxa"/>
            <w:tcBorders>
              <w:top w:val="single" w:sz="4" w:space="0" w:color="000000"/>
              <w:left w:val="single" w:sz="4" w:space="0" w:color="000000"/>
              <w:bottom w:val="single" w:sz="4" w:space="0" w:color="000000"/>
              <w:right w:val="single" w:sz="4" w:space="0" w:color="000000"/>
            </w:tcBorders>
          </w:tcPr>
          <w:p w14:paraId="79B07A9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025B6320"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06F670B6"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374E9E6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5E20C82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2AAB67CC" w14:textId="77777777" w:rsidR="00D3344B" w:rsidRDefault="00D3344B">
            <w:pPr>
              <w:pStyle w:val="TableParagraph"/>
              <w:rPr>
                <w:rFonts w:ascii="Arial" w:hAnsi="Arial" w:cs="Arial"/>
                <w:sz w:val="18"/>
                <w:szCs w:val="18"/>
              </w:rPr>
            </w:pPr>
          </w:p>
        </w:tc>
      </w:tr>
      <w:tr w:rsidR="00D3344B" w14:paraId="12BF7075"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BEBCE53"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110</w:t>
            </w:r>
          </w:p>
        </w:tc>
        <w:tc>
          <w:tcPr>
            <w:tcW w:w="3038" w:type="dxa"/>
            <w:tcBorders>
              <w:top w:val="single" w:sz="4" w:space="0" w:color="000000"/>
              <w:left w:val="single" w:sz="4" w:space="0" w:color="000000"/>
              <w:bottom w:val="single" w:sz="4" w:space="0" w:color="000000"/>
              <w:right w:val="single" w:sz="4" w:space="0" w:color="000000"/>
            </w:tcBorders>
          </w:tcPr>
          <w:p w14:paraId="305732F3" w14:textId="77777777" w:rsidR="00D3344B" w:rsidRDefault="00143C25">
            <w:pPr>
              <w:pStyle w:val="TableParagraph"/>
              <w:rPr>
                <w:rFonts w:ascii="Arial" w:hAnsi="Arial" w:cs="Arial"/>
                <w:sz w:val="18"/>
                <w:szCs w:val="18"/>
              </w:rPr>
            </w:pPr>
            <w:r>
              <w:rPr>
                <w:rFonts w:ascii="Arial" w:hAnsi="Arial" w:cs="Arial"/>
                <w:w w:val="110"/>
                <w:sz w:val="18"/>
                <w:szCs w:val="18"/>
              </w:rPr>
              <w:t>Lateral</w:t>
            </w:r>
            <w:r>
              <w:rPr>
                <w:rFonts w:ascii="Arial" w:hAnsi="Arial" w:cs="Arial"/>
                <w:spacing w:val="10"/>
                <w:w w:val="110"/>
                <w:sz w:val="18"/>
                <w:szCs w:val="18"/>
              </w:rPr>
              <w:t xml:space="preserve"> </w:t>
            </w:r>
            <w:r>
              <w:rPr>
                <w:rFonts w:ascii="Arial" w:hAnsi="Arial" w:cs="Arial"/>
                <w:w w:val="110"/>
                <w:sz w:val="18"/>
                <w:szCs w:val="18"/>
              </w:rPr>
              <w:t>de</w:t>
            </w:r>
            <w:r>
              <w:rPr>
                <w:rFonts w:ascii="Arial" w:hAnsi="Arial" w:cs="Arial"/>
                <w:spacing w:val="13"/>
                <w:w w:val="110"/>
                <w:sz w:val="18"/>
                <w:szCs w:val="18"/>
              </w:rPr>
              <w:t xml:space="preserve"> </w:t>
            </w:r>
            <w:r>
              <w:rPr>
                <w:rFonts w:ascii="Arial" w:hAnsi="Arial" w:cs="Arial"/>
                <w:spacing w:val="-2"/>
                <w:w w:val="110"/>
                <w:sz w:val="18"/>
                <w:szCs w:val="18"/>
              </w:rPr>
              <w:t>esternón</w:t>
            </w:r>
          </w:p>
        </w:tc>
        <w:tc>
          <w:tcPr>
            <w:tcW w:w="697" w:type="dxa"/>
            <w:tcBorders>
              <w:top w:val="single" w:sz="4" w:space="0" w:color="000000"/>
              <w:left w:val="single" w:sz="4" w:space="0" w:color="000000"/>
              <w:bottom w:val="single" w:sz="4" w:space="0" w:color="000000"/>
              <w:right w:val="single" w:sz="4" w:space="0" w:color="000000"/>
            </w:tcBorders>
          </w:tcPr>
          <w:p w14:paraId="1C4A643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6CF3D7A4"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61A48EDC"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0109778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633A1A5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4711D905" w14:textId="77777777" w:rsidR="00D3344B" w:rsidRDefault="00D3344B">
            <w:pPr>
              <w:pStyle w:val="TableParagraph"/>
              <w:rPr>
                <w:rFonts w:ascii="Arial" w:hAnsi="Arial" w:cs="Arial"/>
                <w:sz w:val="18"/>
                <w:szCs w:val="18"/>
              </w:rPr>
            </w:pPr>
          </w:p>
        </w:tc>
      </w:tr>
      <w:tr w:rsidR="00D3344B" w14:paraId="78003248"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5549F19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111</w:t>
            </w:r>
          </w:p>
        </w:tc>
        <w:tc>
          <w:tcPr>
            <w:tcW w:w="3038" w:type="dxa"/>
            <w:tcBorders>
              <w:top w:val="single" w:sz="4" w:space="0" w:color="000000"/>
              <w:left w:val="single" w:sz="4" w:space="0" w:color="000000"/>
              <w:bottom w:val="single" w:sz="4" w:space="0" w:color="000000"/>
              <w:right w:val="single" w:sz="4" w:space="0" w:color="000000"/>
            </w:tcBorders>
          </w:tcPr>
          <w:p w14:paraId="10C66429" w14:textId="77777777" w:rsidR="00D3344B" w:rsidRDefault="00143C25">
            <w:pPr>
              <w:pStyle w:val="TableParagraph"/>
              <w:rPr>
                <w:rFonts w:ascii="Arial" w:hAnsi="Arial" w:cs="Arial"/>
                <w:sz w:val="18"/>
                <w:szCs w:val="18"/>
              </w:rPr>
            </w:pPr>
            <w:r>
              <w:rPr>
                <w:rFonts w:ascii="Arial" w:hAnsi="Arial" w:cs="Arial"/>
                <w:w w:val="110"/>
                <w:sz w:val="18"/>
                <w:szCs w:val="18"/>
              </w:rPr>
              <w:t>Oblicua</w:t>
            </w:r>
            <w:r>
              <w:rPr>
                <w:rFonts w:ascii="Arial" w:hAnsi="Arial" w:cs="Arial"/>
                <w:spacing w:val="23"/>
                <w:w w:val="110"/>
                <w:sz w:val="18"/>
                <w:szCs w:val="18"/>
              </w:rPr>
              <w:t xml:space="preserve"> </w:t>
            </w:r>
            <w:r>
              <w:rPr>
                <w:rFonts w:ascii="Arial" w:hAnsi="Arial" w:cs="Arial"/>
                <w:w w:val="110"/>
                <w:sz w:val="18"/>
                <w:szCs w:val="18"/>
              </w:rPr>
              <w:t>de</w:t>
            </w:r>
            <w:r>
              <w:rPr>
                <w:rFonts w:ascii="Arial" w:hAnsi="Arial" w:cs="Arial"/>
                <w:spacing w:val="24"/>
                <w:w w:val="110"/>
                <w:sz w:val="18"/>
                <w:szCs w:val="18"/>
              </w:rPr>
              <w:t xml:space="preserve"> </w:t>
            </w:r>
            <w:r>
              <w:rPr>
                <w:rFonts w:ascii="Arial" w:hAnsi="Arial" w:cs="Arial"/>
                <w:spacing w:val="-2"/>
                <w:w w:val="110"/>
                <w:sz w:val="18"/>
                <w:szCs w:val="18"/>
              </w:rPr>
              <w:t>esternón</w:t>
            </w:r>
          </w:p>
        </w:tc>
        <w:tc>
          <w:tcPr>
            <w:tcW w:w="697" w:type="dxa"/>
            <w:tcBorders>
              <w:top w:val="single" w:sz="4" w:space="0" w:color="000000"/>
              <w:left w:val="single" w:sz="4" w:space="0" w:color="000000"/>
              <w:bottom w:val="single" w:sz="4" w:space="0" w:color="000000"/>
              <w:right w:val="single" w:sz="4" w:space="0" w:color="000000"/>
            </w:tcBorders>
          </w:tcPr>
          <w:p w14:paraId="25FD29C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7C376EB5"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59F0C4A"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71A75A8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3C480F2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337A5AF5" w14:textId="77777777" w:rsidR="00D3344B" w:rsidRDefault="00D3344B">
            <w:pPr>
              <w:pStyle w:val="TableParagraph"/>
              <w:rPr>
                <w:rFonts w:ascii="Arial" w:hAnsi="Arial" w:cs="Arial"/>
                <w:sz w:val="18"/>
                <w:szCs w:val="18"/>
              </w:rPr>
            </w:pPr>
          </w:p>
        </w:tc>
      </w:tr>
      <w:tr w:rsidR="00D3344B" w14:paraId="52666A4C"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A95E6B9"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112</w:t>
            </w:r>
          </w:p>
        </w:tc>
        <w:tc>
          <w:tcPr>
            <w:tcW w:w="3038" w:type="dxa"/>
            <w:tcBorders>
              <w:top w:val="single" w:sz="4" w:space="0" w:color="000000"/>
              <w:left w:val="single" w:sz="4" w:space="0" w:color="000000"/>
              <w:bottom w:val="single" w:sz="4" w:space="0" w:color="000000"/>
              <w:right w:val="single" w:sz="4" w:space="0" w:color="000000"/>
            </w:tcBorders>
          </w:tcPr>
          <w:p w14:paraId="23C116B5"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Tangencial de</w:t>
            </w:r>
            <w:r>
              <w:rPr>
                <w:rFonts w:ascii="Arial" w:hAnsi="Arial" w:cs="Arial"/>
                <w:spacing w:val="80"/>
                <w:w w:val="110"/>
                <w:sz w:val="18"/>
                <w:szCs w:val="18"/>
              </w:rPr>
              <w:t xml:space="preserve"> </w:t>
            </w:r>
            <w:r>
              <w:rPr>
                <w:rFonts w:ascii="Arial" w:hAnsi="Arial" w:cs="Arial"/>
                <w:w w:val="110"/>
                <w:sz w:val="18"/>
                <w:szCs w:val="18"/>
              </w:rPr>
              <w:t xml:space="preserve">calcáneo </w:t>
            </w:r>
            <w:r>
              <w:rPr>
                <w:rFonts w:ascii="Arial" w:hAnsi="Arial" w:cs="Arial"/>
                <w:spacing w:val="-2"/>
                <w:w w:val="110"/>
                <w:sz w:val="18"/>
                <w:szCs w:val="18"/>
              </w:rPr>
              <w:t>(Bilateral)</w:t>
            </w:r>
          </w:p>
        </w:tc>
        <w:tc>
          <w:tcPr>
            <w:tcW w:w="697" w:type="dxa"/>
            <w:tcBorders>
              <w:top w:val="single" w:sz="4" w:space="0" w:color="000000"/>
              <w:left w:val="single" w:sz="4" w:space="0" w:color="000000"/>
              <w:bottom w:val="single" w:sz="4" w:space="0" w:color="000000"/>
              <w:right w:val="single" w:sz="4" w:space="0" w:color="000000"/>
            </w:tcBorders>
          </w:tcPr>
          <w:p w14:paraId="4190ECE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3.50</w:t>
            </w:r>
          </w:p>
        </w:tc>
        <w:tc>
          <w:tcPr>
            <w:tcW w:w="695" w:type="dxa"/>
            <w:tcBorders>
              <w:top w:val="single" w:sz="4" w:space="0" w:color="000000"/>
              <w:left w:val="single" w:sz="4" w:space="0" w:color="000000"/>
              <w:bottom w:val="single" w:sz="4" w:space="0" w:color="000000"/>
              <w:right w:val="single" w:sz="4" w:space="0" w:color="000000"/>
            </w:tcBorders>
          </w:tcPr>
          <w:p w14:paraId="6FDC4662"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708504DA" w14:textId="77777777" w:rsidR="00D3344B" w:rsidRDefault="00143C25">
            <w:pPr>
              <w:pStyle w:val="TableParagraph"/>
              <w:rPr>
                <w:rFonts w:ascii="Arial" w:hAnsi="Arial" w:cs="Arial"/>
                <w:sz w:val="18"/>
                <w:szCs w:val="18"/>
              </w:rPr>
            </w:pPr>
            <w:r>
              <w:rPr>
                <w:rFonts w:ascii="Arial" w:hAnsi="Arial" w:cs="Arial"/>
                <w:spacing w:val="-4"/>
                <w:w w:val="115"/>
                <w:sz w:val="18"/>
                <w:szCs w:val="18"/>
              </w:rPr>
              <w:t>2.75</w:t>
            </w:r>
          </w:p>
        </w:tc>
        <w:tc>
          <w:tcPr>
            <w:tcW w:w="699" w:type="dxa"/>
            <w:tcBorders>
              <w:top w:val="single" w:sz="4" w:space="0" w:color="000000"/>
              <w:left w:val="single" w:sz="4" w:space="0" w:color="000000"/>
              <w:bottom w:val="single" w:sz="4" w:space="0" w:color="000000"/>
              <w:right w:val="single" w:sz="4" w:space="0" w:color="000000"/>
            </w:tcBorders>
          </w:tcPr>
          <w:p w14:paraId="3A1804B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696" w:type="dxa"/>
            <w:tcBorders>
              <w:top w:val="single" w:sz="4" w:space="0" w:color="000000"/>
              <w:left w:val="single" w:sz="4" w:space="0" w:color="000000"/>
              <w:bottom w:val="single" w:sz="4" w:space="0" w:color="000000"/>
              <w:right w:val="single" w:sz="4" w:space="0" w:color="000000"/>
            </w:tcBorders>
          </w:tcPr>
          <w:p w14:paraId="467A0BD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527" w:type="dxa"/>
            <w:tcBorders>
              <w:top w:val="single" w:sz="4" w:space="0" w:color="000000"/>
              <w:left w:val="single" w:sz="4" w:space="0" w:color="000000"/>
              <w:bottom w:val="single" w:sz="4" w:space="0" w:color="000000"/>
              <w:right w:val="single" w:sz="4" w:space="0" w:color="000000"/>
            </w:tcBorders>
          </w:tcPr>
          <w:p w14:paraId="532520C1" w14:textId="77777777" w:rsidR="00D3344B" w:rsidRDefault="00D3344B">
            <w:pPr>
              <w:pStyle w:val="TableParagraph"/>
              <w:rPr>
                <w:rFonts w:ascii="Arial" w:hAnsi="Arial" w:cs="Arial"/>
                <w:sz w:val="18"/>
                <w:szCs w:val="18"/>
              </w:rPr>
            </w:pPr>
          </w:p>
        </w:tc>
      </w:tr>
      <w:tr w:rsidR="00D3344B" w14:paraId="15C7B69E"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E08CBD0"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113</w:t>
            </w:r>
          </w:p>
        </w:tc>
        <w:tc>
          <w:tcPr>
            <w:tcW w:w="3038" w:type="dxa"/>
            <w:tcBorders>
              <w:top w:val="single" w:sz="4" w:space="0" w:color="000000"/>
              <w:left w:val="single" w:sz="4" w:space="0" w:color="000000"/>
              <w:bottom w:val="single" w:sz="4" w:space="0" w:color="000000"/>
              <w:right w:val="single" w:sz="4" w:space="0" w:color="000000"/>
            </w:tcBorders>
          </w:tcPr>
          <w:p w14:paraId="727FBB1C" w14:textId="77777777" w:rsidR="00D3344B" w:rsidRDefault="00143C25">
            <w:pPr>
              <w:pStyle w:val="TableParagraph"/>
              <w:spacing w:line="252" w:lineRule="exact"/>
              <w:ind w:right="-15"/>
              <w:rPr>
                <w:rFonts w:ascii="Arial" w:hAnsi="Arial" w:cs="Arial"/>
                <w:sz w:val="18"/>
                <w:szCs w:val="18"/>
              </w:rPr>
            </w:pPr>
            <w:r>
              <w:rPr>
                <w:rFonts w:ascii="Arial" w:hAnsi="Arial" w:cs="Arial"/>
                <w:w w:val="110"/>
                <w:sz w:val="18"/>
                <w:szCs w:val="18"/>
              </w:rPr>
              <w:t>Proyección</w:t>
            </w:r>
            <w:r>
              <w:rPr>
                <w:rFonts w:ascii="Arial" w:hAnsi="Arial" w:cs="Arial"/>
                <w:spacing w:val="40"/>
                <w:w w:val="110"/>
                <w:sz w:val="18"/>
                <w:szCs w:val="18"/>
              </w:rPr>
              <w:t xml:space="preserve"> </w:t>
            </w:r>
            <w:r>
              <w:rPr>
                <w:rFonts w:ascii="Arial" w:hAnsi="Arial" w:cs="Arial"/>
                <w:w w:val="110"/>
                <w:sz w:val="18"/>
                <w:szCs w:val="18"/>
              </w:rPr>
              <w:t>de</w:t>
            </w:r>
            <w:r>
              <w:rPr>
                <w:rFonts w:ascii="Arial" w:hAnsi="Arial" w:cs="Arial"/>
                <w:spacing w:val="40"/>
                <w:w w:val="110"/>
                <w:sz w:val="18"/>
                <w:szCs w:val="18"/>
              </w:rPr>
              <w:t xml:space="preserve"> </w:t>
            </w:r>
            <w:proofErr w:type="spellStart"/>
            <w:r>
              <w:rPr>
                <w:rFonts w:ascii="Arial" w:hAnsi="Arial" w:cs="Arial"/>
                <w:w w:val="110"/>
                <w:sz w:val="18"/>
                <w:szCs w:val="18"/>
              </w:rPr>
              <w:t>Hirtz</w:t>
            </w:r>
            <w:proofErr w:type="spellEnd"/>
            <w:r>
              <w:rPr>
                <w:rFonts w:ascii="Arial" w:hAnsi="Arial" w:cs="Arial"/>
                <w:spacing w:val="40"/>
                <w:w w:val="110"/>
                <w:sz w:val="18"/>
                <w:szCs w:val="18"/>
              </w:rPr>
              <w:t xml:space="preserve"> </w:t>
            </w:r>
            <w:r>
              <w:rPr>
                <w:rFonts w:ascii="Arial" w:hAnsi="Arial" w:cs="Arial"/>
                <w:w w:val="110"/>
                <w:sz w:val="18"/>
                <w:szCs w:val="18"/>
              </w:rPr>
              <w:t>(Base</w:t>
            </w:r>
            <w:r>
              <w:rPr>
                <w:rFonts w:ascii="Arial" w:hAnsi="Arial" w:cs="Arial"/>
                <w:spacing w:val="40"/>
                <w:w w:val="110"/>
                <w:sz w:val="18"/>
                <w:szCs w:val="18"/>
              </w:rPr>
              <w:t xml:space="preserve"> </w:t>
            </w:r>
            <w:r>
              <w:rPr>
                <w:rFonts w:ascii="Arial" w:hAnsi="Arial" w:cs="Arial"/>
                <w:w w:val="110"/>
                <w:sz w:val="18"/>
                <w:szCs w:val="18"/>
              </w:rPr>
              <w:t xml:space="preserve">de </w:t>
            </w:r>
            <w:r>
              <w:rPr>
                <w:rFonts w:ascii="Arial" w:hAnsi="Arial" w:cs="Arial"/>
                <w:spacing w:val="-2"/>
                <w:w w:val="110"/>
                <w:sz w:val="18"/>
                <w:szCs w:val="18"/>
              </w:rPr>
              <w:t>cráneo)</w:t>
            </w:r>
          </w:p>
        </w:tc>
        <w:tc>
          <w:tcPr>
            <w:tcW w:w="697" w:type="dxa"/>
            <w:tcBorders>
              <w:top w:val="single" w:sz="4" w:space="0" w:color="000000"/>
              <w:left w:val="single" w:sz="4" w:space="0" w:color="000000"/>
              <w:bottom w:val="single" w:sz="4" w:space="0" w:color="000000"/>
              <w:right w:val="single" w:sz="4" w:space="0" w:color="000000"/>
            </w:tcBorders>
          </w:tcPr>
          <w:p w14:paraId="293A052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3.00</w:t>
            </w:r>
          </w:p>
        </w:tc>
        <w:tc>
          <w:tcPr>
            <w:tcW w:w="695" w:type="dxa"/>
            <w:tcBorders>
              <w:top w:val="single" w:sz="4" w:space="0" w:color="000000"/>
              <w:left w:val="single" w:sz="4" w:space="0" w:color="000000"/>
              <w:bottom w:val="single" w:sz="4" w:space="0" w:color="000000"/>
              <w:right w:val="single" w:sz="4" w:space="0" w:color="000000"/>
            </w:tcBorders>
          </w:tcPr>
          <w:p w14:paraId="31E38274"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00107037"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11AD99D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4BF2A45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36988F8C" w14:textId="77777777" w:rsidR="00D3344B" w:rsidRDefault="00D3344B">
            <w:pPr>
              <w:pStyle w:val="TableParagraph"/>
              <w:rPr>
                <w:rFonts w:ascii="Arial" w:hAnsi="Arial" w:cs="Arial"/>
                <w:sz w:val="18"/>
                <w:szCs w:val="18"/>
              </w:rPr>
            </w:pPr>
          </w:p>
        </w:tc>
      </w:tr>
      <w:tr w:rsidR="00D3344B" w14:paraId="2A4B0D22" w14:textId="77777777">
        <w:trPr>
          <w:trHeight w:val="374"/>
        </w:trPr>
        <w:tc>
          <w:tcPr>
            <w:tcW w:w="1776" w:type="dxa"/>
            <w:tcBorders>
              <w:top w:val="single" w:sz="4" w:space="0" w:color="000000"/>
              <w:left w:val="single" w:sz="4" w:space="0" w:color="000000"/>
              <w:bottom w:val="single" w:sz="4" w:space="0" w:color="000000"/>
              <w:right w:val="single" w:sz="4" w:space="0" w:color="000000"/>
            </w:tcBorders>
          </w:tcPr>
          <w:p w14:paraId="29B58D30"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114</w:t>
            </w:r>
          </w:p>
        </w:tc>
        <w:tc>
          <w:tcPr>
            <w:tcW w:w="3038" w:type="dxa"/>
            <w:tcBorders>
              <w:top w:val="single" w:sz="4" w:space="0" w:color="000000"/>
              <w:left w:val="single" w:sz="4" w:space="0" w:color="000000"/>
              <w:bottom w:val="single" w:sz="4" w:space="0" w:color="000000"/>
              <w:right w:val="single" w:sz="4" w:space="0" w:color="000000"/>
            </w:tcBorders>
          </w:tcPr>
          <w:p w14:paraId="34F63059" w14:textId="77777777" w:rsidR="00D3344B" w:rsidRDefault="00143C25">
            <w:pPr>
              <w:pStyle w:val="TableParagraph"/>
              <w:spacing w:line="182" w:lineRule="exact"/>
              <w:ind w:right="53"/>
              <w:rPr>
                <w:rFonts w:ascii="Arial" w:hAnsi="Arial" w:cs="Arial"/>
                <w:sz w:val="18"/>
                <w:szCs w:val="18"/>
              </w:rPr>
            </w:pPr>
            <w:r>
              <w:rPr>
                <w:rFonts w:ascii="Arial" w:hAnsi="Arial" w:cs="Arial"/>
                <w:w w:val="115"/>
                <w:sz w:val="18"/>
                <w:szCs w:val="18"/>
              </w:rPr>
              <w:t>Duplicado</w:t>
            </w:r>
            <w:r>
              <w:rPr>
                <w:rFonts w:ascii="Arial" w:hAnsi="Arial" w:cs="Arial"/>
                <w:spacing w:val="-12"/>
                <w:w w:val="115"/>
                <w:sz w:val="18"/>
                <w:szCs w:val="18"/>
              </w:rPr>
              <w:t xml:space="preserve"> </w:t>
            </w:r>
            <w:r>
              <w:rPr>
                <w:rFonts w:ascii="Arial" w:hAnsi="Arial" w:cs="Arial"/>
                <w:w w:val="115"/>
                <w:sz w:val="18"/>
                <w:szCs w:val="18"/>
              </w:rPr>
              <w:t>de</w:t>
            </w:r>
            <w:r>
              <w:rPr>
                <w:rFonts w:ascii="Arial" w:hAnsi="Arial" w:cs="Arial"/>
                <w:spacing w:val="-11"/>
                <w:w w:val="115"/>
                <w:sz w:val="18"/>
                <w:szCs w:val="18"/>
              </w:rPr>
              <w:t xml:space="preserve"> </w:t>
            </w:r>
            <w:r>
              <w:rPr>
                <w:rFonts w:ascii="Arial" w:hAnsi="Arial" w:cs="Arial"/>
                <w:w w:val="115"/>
                <w:sz w:val="18"/>
                <w:szCs w:val="18"/>
              </w:rPr>
              <w:t>Placa</w:t>
            </w:r>
            <w:r>
              <w:rPr>
                <w:rFonts w:ascii="Arial" w:hAnsi="Arial" w:cs="Arial"/>
                <w:spacing w:val="-12"/>
                <w:w w:val="115"/>
                <w:sz w:val="18"/>
                <w:szCs w:val="18"/>
              </w:rPr>
              <w:t xml:space="preserve"> </w:t>
            </w:r>
            <w:r>
              <w:rPr>
                <w:rFonts w:ascii="Arial" w:hAnsi="Arial" w:cs="Arial"/>
                <w:w w:val="115"/>
                <w:sz w:val="18"/>
                <w:szCs w:val="18"/>
              </w:rPr>
              <w:t>Radiográfica</w:t>
            </w:r>
            <w:r>
              <w:rPr>
                <w:rFonts w:ascii="Arial" w:hAnsi="Arial" w:cs="Arial"/>
                <w:spacing w:val="-11"/>
                <w:w w:val="115"/>
                <w:sz w:val="18"/>
                <w:szCs w:val="18"/>
              </w:rPr>
              <w:t xml:space="preserve"> </w:t>
            </w:r>
            <w:r>
              <w:rPr>
                <w:rFonts w:ascii="Arial" w:hAnsi="Arial" w:cs="Arial"/>
                <w:w w:val="115"/>
                <w:sz w:val="18"/>
                <w:szCs w:val="18"/>
              </w:rPr>
              <w:t>o</w:t>
            </w:r>
            <w:r>
              <w:rPr>
                <w:rFonts w:ascii="Arial" w:hAnsi="Arial" w:cs="Arial"/>
                <w:spacing w:val="-12"/>
                <w:w w:val="115"/>
                <w:sz w:val="18"/>
                <w:szCs w:val="18"/>
              </w:rPr>
              <w:t xml:space="preserve"> </w:t>
            </w:r>
            <w:r>
              <w:rPr>
                <w:rFonts w:ascii="Arial" w:hAnsi="Arial" w:cs="Arial"/>
                <w:w w:val="115"/>
                <w:sz w:val="18"/>
                <w:szCs w:val="18"/>
              </w:rPr>
              <w:t xml:space="preserve">Placa </w:t>
            </w:r>
            <w:r>
              <w:rPr>
                <w:rFonts w:ascii="Arial" w:hAnsi="Arial" w:cs="Arial"/>
                <w:spacing w:val="-2"/>
                <w:w w:val="115"/>
                <w:sz w:val="18"/>
                <w:szCs w:val="18"/>
              </w:rPr>
              <w:t>Extra</w:t>
            </w:r>
          </w:p>
        </w:tc>
        <w:tc>
          <w:tcPr>
            <w:tcW w:w="697" w:type="dxa"/>
            <w:tcBorders>
              <w:top w:val="single" w:sz="4" w:space="0" w:color="000000"/>
              <w:left w:val="single" w:sz="4" w:space="0" w:color="000000"/>
              <w:bottom w:val="single" w:sz="4" w:space="0" w:color="000000"/>
              <w:right w:val="single" w:sz="4" w:space="0" w:color="000000"/>
            </w:tcBorders>
          </w:tcPr>
          <w:p w14:paraId="63A98BD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2.25</w:t>
            </w:r>
          </w:p>
        </w:tc>
        <w:tc>
          <w:tcPr>
            <w:tcW w:w="695" w:type="dxa"/>
            <w:tcBorders>
              <w:top w:val="single" w:sz="4" w:space="0" w:color="000000"/>
              <w:left w:val="single" w:sz="4" w:space="0" w:color="000000"/>
              <w:bottom w:val="single" w:sz="4" w:space="0" w:color="000000"/>
              <w:right w:val="single" w:sz="4" w:space="0" w:color="000000"/>
            </w:tcBorders>
          </w:tcPr>
          <w:p w14:paraId="7A678CB3" w14:textId="77777777" w:rsidR="00D3344B" w:rsidRDefault="00143C25">
            <w:pPr>
              <w:pStyle w:val="TableParagraph"/>
              <w:rPr>
                <w:rFonts w:ascii="Arial" w:hAnsi="Arial" w:cs="Arial"/>
                <w:sz w:val="18"/>
                <w:szCs w:val="18"/>
              </w:rPr>
            </w:pPr>
            <w:r>
              <w:rPr>
                <w:rFonts w:ascii="Arial" w:hAnsi="Arial" w:cs="Arial"/>
                <w:spacing w:val="-4"/>
                <w:w w:val="115"/>
                <w:sz w:val="18"/>
                <w:szCs w:val="18"/>
              </w:rPr>
              <w:t>2.00</w:t>
            </w:r>
          </w:p>
        </w:tc>
        <w:tc>
          <w:tcPr>
            <w:tcW w:w="699" w:type="dxa"/>
            <w:tcBorders>
              <w:top w:val="single" w:sz="4" w:space="0" w:color="000000"/>
              <w:left w:val="single" w:sz="4" w:space="0" w:color="000000"/>
              <w:bottom w:val="single" w:sz="4" w:space="0" w:color="000000"/>
              <w:right w:val="single" w:sz="4" w:space="0" w:color="000000"/>
            </w:tcBorders>
          </w:tcPr>
          <w:p w14:paraId="718DB30C" w14:textId="77777777" w:rsidR="00D3344B" w:rsidRDefault="00143C25">
            <w:pPr>
              <w:pStyle w:val="TableParagraph"/>
              <w:rPr>
                <w:rFonts w:ascii="Arial" w:hAnsi="Arial" w:cs="Arial"/>
                <w:sz w:val="18"/>
                <w:szCs w:val="18"/>
              </w:rPr>
            </w:pPr>
            <w:r>
              <w:rPr>
                <w:rFonts w:ascii="Arial" w:hAnsi="Arial" w:cs="Arial"/>
                <w:spacing w:val="-4"/>
                <w:w w:val="115"/>
                <w:sz w:val="18"/>
                <w:szCs w:val="18"/>
              </w:rPr>
              <w:t>1.50</w:t>
            </w:r>
          </w:p>
        </w:tc>
        <w:tc>
          <w:tcPr>
            <w:tcW w:w="699" w:type="dxa"/>
            <w:tcBorders>
              <w:top w:val="single" w:sz="4" w:space="0" w:color="000000"/>
              <w:left w:val="single" w:sz="4" w:space="0" w:color="000000"/>
              <w:bottom w:val="single" w:sz="4" w:space="0" w:color="000000"/>
              <w:right w:val="single" w:sz="4" w:space="0" w:color="000000"/>
            </w:tcBorders>
          </w:tcPr>
          <w:p w14:paraId="641AD5A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696" w:type="dxa"/>
            <w:tcBorders>
              <w:top w:val="single" w:sz="4" w:space="0" w:color="000000"/>
              <w:left w:val="single" w:sz="4" w:space="0" w:color="000000"/>
              <w:bottom w:val="single" w:sz="4" w:space="0" w:color="000000"/>
              <w:right w:val="single" w:sz="4" w:space="0" w:color="000000"/>
            </w:tcBorders>
          </w:tcPr>
          <w:p w14:paraId="7483896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1.00</w:t>
            </w:r>
          </w:p>
        </w:tc>
        <w:tc>
          <w:tcPr>
            <w:tcW w:w="527" w:type="dxa"/>
            <w:tcBorders>
              <w:top w:val="single" w:sz="4" w:space="0" w:color="000000"/>
              <w:left w:val="single" w:sz="4" w:space="0" w:color="000000"/>
              <w:bottom w:val="single" w:sz="4" w:space="0" w:color="000000"/>
              <w:right w:val="single" w:sz="4" w:space="0" w:color="000000"/>
            </w:tcBorders>
          </w:tcPr>
          <w:p w14:paraId="753C6DBE" w14:textId="77777777" w:rsidR="00D3344B" w:rsidRDefault="00D3344B">
            <w:pPr>
              <w:pStyle w:val="TableParagraph"/>
              <w:rPr>
                <w:rFonts w:ascii="Arial" w:hAnsi="Arial" w:cs="Arial"/>
                <w:sz w:val="18"/>
                <w:szCs w:val="18"/>
              </w:rPr>
            </w:pPr>
          </w:p>
        </w:tc>
      </w:tr>
      <w:tr w:rsidR="00D3344B" w14:paraId="5ADD90BE"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C43959D"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115</w:t>
            </w:r>
          </w:p>
        </w:tc>
        <w:tc>
          <w:tcPr>
            <w:tcW w:w="3038" w:type="dxa"/>
            <w:tcBorders>
              <w:top w:val="single" w:sz="4" w:space="0" w:color="000000"/>
              <w:left w:val="single" w:sz="4" w:space="0" w:color="000000"/>
              <w:bottom w:val="single" w:sz="4" w:space="0" w:color="000000"/>
              <w:right w:val="single" w:sz="4" w:space="0" w:color="000000"/>
            </w:tcBorders>
          </w:tcPr>
          <w:p w14:paraId="67CF6DB7" w14:textId="77777777" w:rsidR="00D3344B" w:rsidRDefault="00143C25">
            <w:pPr>
              <w:pStyle w:val="TableParagraph"/>
              <w:spacing w:line="252" w:lineRule="exact"/>
              <w:ind w:right="725"/>
              <w:rPr>
                <w:rFonts w:ascii="Arial" w:hAnsi="Arial" w:cs="Arial"/>
                <w:sz w:val="18"/>
                <w:szCs w:val="18"/>
              </w:rPr>
            </w:pPr>
            <w:r>
              <w:rPr>
                <w:rFonts w:ascii="Arial" w:hAnsi="Arial" w:cs="Arial"/>
                <w:w w:val="110"/>
                <w:sz w:val="18"/>
                <w:szCs w:val="18"/>
              </w:rPr>
              <w:t>Urografía Pediátrica (Menores</w:t>
            </w:r>
            <w:r>
              <w:rPr>
                <w:rFonts w:ascii="Arial" w:hAnsi="Arial" w:cs="Arial"/>
                <w:spacing w:val="-10"/>
                <w:w w:val="110"/>
                <w:sz w:val="18"/>
                <w:szCs w:val="18"/>
              </w:rPr>
              <w:t xml:space="preserve"> </w:t>
            </w:r>
            <w:r>
              <w:rPr>
                <w:rFonts w:ascii="Arial" w:hAnsi="Arial" w:cs="Arial"/>
                <w:w w:val="110"/>
                <w:sz w:val="18"/>
                <w:szCs w:val="18"/>
              </w:rPr>
              <w:t>de</w:t>
            </w:r>
            <w:r>
              <w:rPr>
                <w:rFonts w:ascii="Arial" w:hAnsi="Arial" w:cs="Arial"/>
                <w:spacing w:val="-12"/>
                <w:w w:val="110"/>
                <w:sz w:val="18"/>
                <w:szCs w:val="18"/>
              </w:rPr>
              <w:t xml:space="preserve"> </w:t>
            </w:r>
            <w:r>
              <w:rPr>
                <w:rFonts w:ascii="Arial" w:hAnsi="Arial" w:cs="Arial"/>
                <w:w w:val="110"/>
                <w:sz w:val="18"/>
                <w:szCs w:val="18"/>
              </w:rPr>
              <w:t>10</w:t>
            </w:r>
            <w:r>
              <w:rPr>
                <w:rFonts w:ascii="Arial" w:hAnsi="Arial" w:cs="Arial"/>
                <w:spacing w:val="-9"/>
                <w:w w:val="110"/>
                <w:sz w:val="18"/>
                <w:szCs w:val="18"/>
              </w:rPr>
              <w:t xml:space="preserve"> </w:t>
            </w:r>
            <w:r>
              <w:rPr>
                <w:rFonts w:ascii="Arial" w:hAnsi="Arial" w:cs="Arial"/>
                <w:w w:val="110"/>
                <w:sz w:val="18"/>
                <w:szCs w:val="18"/>
              </w:rPr>
              <w:t>años)</w:t>
            </w:r>
          </w:p>
        </w:tc>
        <w:tc>
          <w:tcPr>
            <w:tcW w:w="697" w:type="dxa"/>
            <w:tcBorders>
              <w:top w:val="single" w:sz="4" w:space="0" w:color="000000"/>
              <w:left w:val="single" w:sz="4" w:space="0" w:color="000000"/>
              <w:bottom w:val="single" w:sz="4" w:space="0" w:color="000000"/>
              <w:right w:val="single" w:sz="4" w:space="0" w:color="000000"/>
            </w:tcBorders>
          </w:tcPr>
          <w:p w14:paraId="1BB102D7"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14.00</w:t>
            </w:r>
          </w:p>
        </w:tc>
        <w:tc>
          <w:tcPr>
            <w:tcW w:w="695" w:type="dxa"/>
            <w:tcBorders>
              <w:top w:val="single" w:sz="4" w:space="0" w:color="000000"/>
              <w:left w:val="single" w:sz="4" w:space="0" w:color="000000"/>
              <w:bottom w:val="single" w:sz="4" w:space="0" w:color="000000"/>
              <w:right w:val="single" w:sz="4" w:space="0" w:color="000000"/>
            </w:tcBorders>
          </w:tcPr>
          <w:p w14:paraId="70C6A12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12.50</w:t>
            </w:r>
          </w:p>
        </w:tc>
        <w:tc>
          <w:tcPr>
            <w:tcW w:w="699" w:type="dxa"/>
            <w:tcBorders>
              <w:top w:val="single" w:sz="4" w:space="0" w:color="000000"/>
              <w:left w:val="single" w:sz="4" w:space="0" w:color="000000"/>
              <w:bottom w:val="single" w:sz="4" w:space="0" w:color="000000"/>
              <w:right w:val="single" w:sz="4" w:space="0" w:color="000000"/>
            </w:tcBorders>
          </w:tcPr>
          <w:p w14:paraId="0F217E6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11.00</w:t>
            </w:r>
          </w:p>
        </w:tc>
        <w:tc>
          <w:tcPr>
            <w:tcW w:w="699" w:type="dxa"/>
            <w:tcBorders>
              <w:top w:val="single" w:sz="4" w:space="0" w:color="000000"/>
              <w:left w:val="single" w:sz="4" w:space="0" w:color="000000"/>
              <w:bottom w:val="single" w:sz="4" w:space="0" w:color="000000"/>
              <w:right w:val="single" w:sz="4" w:space="0" w:color="000000"/>
            </w:tcBorders>
          </w:tcPr>
          <w:p w14:paraId="12FC286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9.25</w:t>
            </w:r>
          </w:p>
        </w:tc>
        <w:tc>
          <w:tcPr>
            <w:tcW w:w="696" w:type="dxa"/>
            <w:tcBorders>
              <w:top w:val="single" w:sz="4" w:space="0" w:color="000000"/>
              <w:left w:val="single" w:sz="4" w:space="0" w:color="000000"/>
              <w:bottom w:val="single" w:sz="4" w:space="0" w:color="000000"/>
              <w:right w:val="single" w:sz="4" w:space="0" w:color="000000"/>
            </w:tcBorders>
          </w:tcPr>
          <w:p w14:paraId="6EA6436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7.75</w:t>
            </w:r>
          </w:p>
        </w:tc>
        <w:tc>
          <w:tcPr>
            <w:tcW w:w="527" w:type="dxa"/>
            <w:tcBorders>
              <w:top w:val="single" w:sz="4" w:space="0" w:color="000000"/>
              <w:left w:val="single" w:sz="4" w:space="0" w:color="000000"/>
              <w:bottom w:val="single" w:sz="4" w:space="0" w:color="000000"/>
              <w:right w:val="single" w:sz="4" w:space="0" w:color="000000"/>
            </w:tcBorders>
          </w:tcPr>
          <w:p w14:paraId="7B753775" w14:textId="77777777" w:rsidR="00D3344B" w:rsidRDefault="00D3344B">
            <w:pPr>
              <w:pStyle w:val="TableParagraph"/>
              <w:rPr>
                <w:rFonts w:ascii="Arial" w:hAnsi="Arial" w:cs="Arial"/>
                <w:sz w:val="18"/>
                <w:szCs w:val="18"/>
              </w:rPr>
            </w:pPr>
          </w:p>
        </w:tc>
      </w:tr>
      <w:tr w:rsidR="00D3344B" w14:paraId="1DAE7F1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106B201"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116</w:t>
            </w:r>
          </w:p>
        </w:tc>
        <w:tc>
          <w:tcPr>
            <w:tcW w:w="3038" w:type="dxa"/>
            <w:tcBorders>
              <w:top w:val="single" w:sz="4" w:space="0" w:color="000000"/>
              <w:left w:val="single" w:sz="4" w:space="0" w:color="000000"/>
              <w:bottom w:val="single" w:sz="4" w:space="0" w:color="000000"/>
              <w:right w:val="single" w:sz="4" w:space="0" w:color="000000"/>
            </w:tcBorders>
          </w:tcPr>
          <w:p w14:paraId="78E76FD4" w14:textId="77777777" w:rsidR="00D3344B" w:rsidRDefault="00143C25">
            <w:pPr>
              <w:pStyle w:val="TableParagraph"/>
              <w:tabs>
                <w:tab w:val="left" w:pos="2064"/>
              </w:tabs>
              <w:spacing w:line="252" w:lineRule="exact"/>
              <w:ind w:right="1"/>
              <w:rPr>
                <w:rFonts w:ascii="Arial" w:hAnsi="Arial" w:cs="Arial"/>
                <w:sz w:val="18"/>
                <w:szCs w:val="18"/>
              </w:rPr>
            </w:pPr>
            <w:proofErr w:type="spellStart"/>
            <w:r>
              <w:rPr>
                <w:rFonts w:ascii="Arial" w:hAnsi="Arial" w:cs="Arial"/>
                <w:spacing w:val="-2"/>
                <w:w w:val="110"/>
                <w:sz w:val="18"/>
                <w:szCs w:val="18"/>
              </w:rPr>
              <w:t>Cistouretografía</w:t>
            </w:r>
            <w:proofErr w:type="spellEnd"/>
            <w:r>
              <w:rPr>
                <w:rFonts w:ascii="Arial" w:hAnsi="Arial" w:cs="Arial"/>
                <w:sz w:val="18"/>
                <w:szCs w:val="18"/>
              </w:rPr>
              <w:tab/>
            </w:r>
            <w:r>
              <w:rPr>
                <w:rFonts w:ascii="Arial" w:hAnsi="Arial" w:cs="Arial"/>
                <w:spacing w:val="-2"/>
                <w:w w:val="110"/>
                <w:sz w:val="18"/>
                <w:szCs w:val="18"/>
              </w:rPr>
              <w:t xml:space="preserve">Pediátrica </w:t>
            </w:r>
            <w:r>
              <w:rPr>
                <w:rFonts w:ascii="Arial" w:hAnsi="Arial" w:cs="Arial"/>
                <w:w w:val="110"/>
                <w:sz w:val="18"/>
                <w:szCs w:val="18"/>
              </w:rPr>
              <w:t>(Menores de 8 años)</w:t>
            </w:r>
          </w:p>
        </w:tc>
        <w:tc>
          <w:tcPr>
            <w:tcW w:w="697" w:type="dxa"/>
            <w:tcBorders>
              <w:top w:val="single" w:sz="4" w:space="0" w:color="000000"/>
              <w:left w:val="single" w:sz="4" w:space="0" w:color="000000"/>
              <w:bottom w:val="single" w:sz="4" w:space="0" w:color="000000"/>
              <w:right w:val="single" w:sz="4" w:space="0" w:color="000000"/>
            </w:tcBorders>
          </w:tcPr>
          <w:p w14:paraId="61BA234F"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9.50</w:t>
            </w:r>
          </w:p>
        </w:tc>
        <w:tc>
          <w:tcPr>
            <w:tcW w:w="695" w:type="dxa"/>
            <w:tcBorders>
              <w:top w:val="single" w:sz="4" w:space="0" w:color="000000"/>
              <w:left w:val="single" w:sz="4" w:space="0" w:color="000000"/>
              <w:bottom w:val="single" w:sz="4" w:space="0" w:color="000000"/>
              <w:right w:val="single" w:sz="4" w:space="0" w:color="000000"/>
            </w:tcBorders>
          </w:tcPr>
          <w:p w14:paraId="3CE9667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610DAC9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64A3EFC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6.50</w:t>
            </w:r>
          </w:p>
        </w:tc>
        <w:tc>
          <w:tcPr>
            <w:tcW w:w="696" w:type="dxa"/>
            <w:tcBorders>
              <w:top w:val="single" w:sz="4" w:space="0" w:color="000000"/>
              <w:left w:val="single" w:sz="4" w:space="0" w:color="000000"/>
              <w:bottom w:val="single" w:sz="4" w:space="0" w:color="000000"/>
              <w:right w:val="single" w:sz="4" w:space="0" w:color="000000"/>
            </w:tcBorders>
          </w:tcPr>
          <w:p w14:paraId="0031AE7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0CFE9533" w14:textId="77777777" w:rsidR="00D3344B" w:rsidRDefault="00D3344B">
            <w:pPr>
              <w:pStyle w:val="TableParagraph"/>
              <w:rPr>
                <w:rFonts w:ascii="Arial" w:hAnsi="Arial" w:cs="Arial"/>
                <w:sz w:val="18"/>
                <w:szCs w:val="18"/>
              </w:rPr>
            </w:pPr>
          </w:p>
        </w:tc>
      </w:tr>
      <w:tr w:rsidR="00D3344B" w14:paraId="2533ADFF"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A4DD0F0" w14:textId="77777777" w:rsidR="00D3344B" w:rsidRDefault="00143C25">
            <w:pPr>
              <w:pStyle w:val="TableParagraph"/>
              <w:spacing w:before="1"/>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117</w:t>
            </w:r>
          </w:p>
        </w:tc>
        <w:tc>
          <w:tcPr>
            <w:tcW w:w="3038" w:type="dxa"/>
            <w:tcBorders>
              <w:top w:val="single" w:sz="4" w:space="0" w:color="000000"/>
              <w:left w:val="single" w:sz="4" w:space="0" w:color="000000"/>
              <w:bottom w:val="single" w:sz="4" w:space="0" w:color="000000"/>
              <w:right w:val="single" w:sz="4" w:space="0" w:color="000000"/>
            </w:tcBorders>
          </w:tcPr>
          <w:p w14:paraId="26555800" w14:textId="77777777" w:rsidR="00D3344B" w:rsidRDefault="00143C25">
            <w:pPr>
              <w:pStyle w:val="TableParagraph"/>
              <w:spacing w:before="1"/>
              <w:rPr>
                <w:rFonts w:ascii="Arial" w:hAnsi="Arial" w:cs="Arial"/>
                <w:sz w:val="18"/>
                <w:szCs w:val="18"/>
              </w:rPr>
            </w:pPr>
            <w:proofErr w:type="spellStart"/>
            <w:r>
              <w:rPr>
                <w:rFonts w:ascii="Arial" w:hAnsi="Arial" w:cs="Arial"/>
                <w:w w:val="110"/>
                <w:sz w:val="18"/>
                <w:szCs w:val="18"/>
              </w:rPr>
              <w:t>Cistouretografía</w:t>
            </w:r>
            <w:proofErr w:type="spellEnd"/>
            <w:r>
              <w:rPr>
                <w:rFonts w:ascii="Arial" w:hAnsi="Arial" w:cs="Arial"/>
                <w:spacing w:val="22"/>
                <w:w w:val="110"/>
                <w:sz w:val="18"/>
                <w:szCs w:val="18"/>
              </w:rPr>
              <w:t xml:space="preserve"> </w:t>
            </w:r>
            <w:r>
              <w:rPr>
                <w:rFonts w:ascii="Arial" w:hAnsi="Arial" w:cs="Arial"/>
                <w:spacing w:val="-2"/>
                <w:w w:val="110"/>
                <w:sz w:val="18"/>
                <w:szCs w:val="18"/>
              </w:rPr>
              <w:t>Adulto</w:t>
            </w:r>
          </w:p>
        </w:tc>
        <w:tc>
          <w:tcPr>
            <w:tcW w:w="697" w:type="dxa"/>
            <w:tcBorders>
              <w:top w:val="single" w:sz="4" w:space="0" w:color="000000"/>
              <w:left w:val="single" w:sz="4" w:space="0" w:color="000000"/>
              <w:bottom w:val="single" w:sz="4" w:space="0" w:color="000000"/>
              <w:right w:val="single" w:sz="4" w:space="0" w:color="000000"/>
            </w:tcBorders>
          </w:tcPr>
          <w:p w14:paraId="331DBAD6"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23.25</w:t>
            </w:r>
          </w:p>
        </w:tc>
        <w:tc>
          <w:tcPr>
            <w:tcW w:w="695" w:type="dxa"/>
            <w:tcBorders>
              <w:top w:val="single" w:sz="4" w:space="0" w:color="000000"/>
              <w:left w:val="single" w:sz="4" w:space="0" w:color="000000"/>
              <w:bottom w:val="single" w:sz="4" w:space="0" w:color="000000"/>
              <w:right w:val="single" w:sz="4" w:space="0" w:color="000000"/>
            </w:tcBorders>
          </w:tcPr>
          <w:p w14:paraId="16957E7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21.75</w:t>
            </w:r>
          </w:p>
        </w:tc>
        <w:tc>
          <w:tcPr>
            <w:tcW w:w="699" w:type="dxa"/>
            <w:tcBorders>
              <w:top w:val="single" w:sz="4" w:space="0" w:color="000000"/>
              <w:left w:val="single" w:sz="4" w:space="0" w:color="000000"/>
              <w:bottom w:val="single" w:sz="4" w:space="0" w:color="000000"/>
              <w:right w:val="single" w:sz="4" w:space="0" w:color="000000"/>
            </w:tcBorders>
          </w:tcPr>
          <w:p w14:paraId="00220D4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20.25</w:t>
            </w:r>
          </w:p>
        </w:tc>
        <w:tc>
          <w:tcPr>
            <w:tcW w:w="699" w:type="dxa"/>
            <w:tcBorders>
              <w:top w:val="single" w:sz="4" w:space="0" w:color="000000"/>
              <w:left w:val="single" w:sz="4" w:space="0" w:color="000000"/>
              <w:bottom w:val="single" w:sz="4" w:space="0" w:color="000000"/>
              <w:right w:val="single" w:sz="4" w:space="0" w:color="000000"/>
            </w:tcBorders>
          </w:tcPr>
          <w:p w14:paraId="35631E8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18.75</w:t>
            </w:r>
          </w:p>
        </w:tc>
        <w:tc>
          <w:tcPr>
            <w:tcW w:w="696" w:type="dxa"/>
            <w:tcBorders>
              <w:top w:val="single" w:sz="4" w:space="0" w:color="000000"/>
              <w:left w:val="single" w:sz="4" w:space="0" w:color="000000"/>
              <w:bottom w:val="single" w:sz="4" w:space="0" w:color="000000"/>
              <w:right w:val="single" w:sz="4" w:space="0" w:color="000000"/>
            </w:tcBorders>
          </w:tcPr>
          <w:p w14:paraId="3697D9F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17.25</w:t>
            </w:r>
          </w:p>
        </w:tc>
        <w:tc>
          <w:tcPr>
            <w:tcW w:w="527" w:type="dxa"/>
            <w:tcBorders>
              <w:top w:val="single" w:sz="4" w:space="0" w:color="000000"/>
              <w:left w:val="single" w:sz="4" w:space="0" w:color="000000"/>
              <w:bottom w:val="single" w:sz="4" w:space="0" w:color="000000"/>
              <w:right w:val="single" w:sz="4" w:space="0" w:color="000000"/>
            </w:tcBorders>
          </w:tcPr>
          <w:p w14:paraId="7A90EF27" w14:textId="77777777" w:rsidR="00D3344B" w:rsidRDefault="00D3344B">
            <w:pPr>
              <w:pStyle w:val="TableParagraph"/>
              <w:rPr>
                <w:rFonts w:ascii="Arial" w:hAnsi="Arial" w:cs="Arial"/>
                <w:sz w:val="18"/>
                <w:szCs w:val="18"/>
              </w:rPr>
            </w:pPr>
          </w:p>
        </w:tc>
      </w:tr>
      <w:tr w:rsidR="00D3344B" w14:paraId="783C4492"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AA6C8C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118</w:t>
            </w:r>
          </w:p>
        </w:tc>
        <w:tc>
          <w:tcPr>
            <w:tcW w:w="3038" w:type="dxa"/>
            <w:tcBorders>
              <w:top w:val="single" w:sz="4" w:space="0" w:color="000000"/>
              <w:left w:val="single" w:sz="4" w:space="0" w:color="000000"/>
              <w:bottom w:val="single" w:sz="4" w:space="0" w:color="000000"/>
              <w:right w:val="single" w:sz="4" w:space="0" w:color="000000"/>
            </w:tcBorders>
          </w:tcPr>
          <w:p w14:paraId="7B727760"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Colon</w:t>
            </w:r>
            <w:r>
              <w:rPr>
                <w:rFonts w:ascii="Arial" w:hAnsi="Arial" w:cs="Arial"/>
                <w:spacing w:val="78"/>
                <w:w w:val="110"/>
                <w:sz w:val="18"/>
                <w:szCs w:val="18"/>
              </w:rPr>
              <w:t xml:space="preserve"> </w:t>
            </w:r>
            <w:r>
              <w:rPr>
                <w:rFonts w:ascii="Arial" w:hAnsi="Arial" w:cs="Arial"/>
                <w:w w:val="110"/>
                <w:sz w:val="18"/>
                <w:szCs w:val="18"/>
              </w:rPr>
              <w:t>por</w:t>
            </w:r>
            <w:r>
              <w:rPr>
                <w:rFonts w:ascii="Arial" w:hAnsi="Arial" w:cs="Arial"/>
                <w:spacing w:val="78"/>
                <w:w w:val="110"/>
                <w:sz w:val="18"/>
                <w:szCs w:val="18"/>
              </w:rPr>
              <w:t xml:space="preserve"> </w:t>
            </w:r>
            <w:r>
              <w:rPr>
                <w:rFonts w:ascii="Arial" w:hAnsi="Arial" w:cs="Arial"/>
                <w:w w:val="110"/>
                <w:sz w:val="18"/>
                <w:szCs w:val="18"/>
              </w:rPr>
              <w:t>Enema</w:t>
            </w:r>
            <w:r>
              <w:rPr>
                <w:rFonts w:ascii="Arial" w:hAnsi="Arial" w:cs="Arial"/>
                <w:spacing w:val="78"/>
                <w:w w:val="110"/>
                <w:sz w:val="18"/>
                <w:szCs w:val="18"/>
              </w:rPr>
              <w:t xml:space="preserve"> </w:t>
            </w:r>
            <w:r>
              <w:rPr>
                <w:rFonts w:ascii="Arial" w:hAnsi="Arial" w:cs="Arial"/>
                <w:w w:val="110"/>
                <w:sz w:val="18"/>
                <w:szCs w:val="18"/>
              </w:rPr>
              <w:t>Pediátrico con Bario</w:t>
            </w:r>
          </w:p>
        </w:tc>
        <w:tc>
          <w:tcPr>
            <w:tcW w:w="697" w:type="dxa"/>
            <w:tcBorders>
              <w:top w:val="single" w:sz="4" w:space="0" w:color="000000"/>
              <w:left w:val="single" w:sz="4" w:space="0" w:color="000000"/>
              <w:bottom w:val="single" w:sz="4" w:space="0" w:color="000000"/>
              <w:right w:val="single" w:sz="4" w:space="0" w:color="000000"/>
            </w:tcBorders>
          </w:tcPr>
          <w:p w14:paraId="715A975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11.50</w:t>
            </w:r>
          </w:p>
        </w:tc>
        <w:tc>
          <w:tcPr>
            <w:tcW w:w="695" w:type="dxa"/>
            <w:tcBorders>
              <w:top w:val="single" w:sz="4" w:space="0" w:color="000000"/>
              <w:left w:val="single" w:sz="4" w:space="0" w:color="000000"/>
              <w:bottom w:val="single" w:sz="4" w:space="0" w:color="000000"/>
              <w:right w:val="single" w:sz="4" w:space="0" w:color="000000"/>
            </w:tcBorders>
          </w:tcPr>
          <w:p w14:paraId="3B6C82A7" w14:textId="77777777" w:rsidR="00D3344B" w:rsidRDefault="00143C25">
            <w:pPr>
              <w:pStyle w:val="TableParagraph"/>
              <w:rPr>
                <w:rFonts w:ascii="Arial" w:hAnsi="Arial" w:cs="Arial"/>
                <w:sz w:val="18"/>
                <w:szCs w:val="18"/>
              </w:rPr>
            </w:pPr>
            <w:r>
              <w:rPr>
                <w:rFonts w:ascii="Arial" w:hAnsi="Arial" w:cs="Arial"/>
                <w:spacing w:val="-4"/>
                <w:w w:val="115"/>
                <w:sz w:val="18"/>
                <w:szCs w:val="18"/>
              </w:rPr>
              <w:t>11.00</w:t>
            </w:r>
          </w:p>
        </w:tc>
        <w:tc>
          <w:tcPr>
            <w:tcW w:w="699" w:type="dxa"/>
            <w:tcBorders>
              <w:top w:val="single" w:sz="4" w:space="0" w:color="000000"/>
              <w:left w:val="single" w:sz="4" w:space="0" w:color="000000"/>
              <w:bottom w:val="single" w:sz="4" w:space="0" w:color="000000"/>
              <w:right w:val="single" w:sz="4" w:space="0" w:color="000000"/>
            </w:tcBorders>
          </w:tcPr>
          <w:p w14:paraId="4CDD145D" w14:textId="77777777" w:rsidR="00D3344B" w:rsidRDefault="00143C25">
            <w:pPr>
              <w:pStyle w:val="TableParagraph"/>
              <w:rPr>
                <w:rFonts w:ascii="Arial" w:hAnsi="Arial" w:cs="Arial"/>
                <w:sz w:val="18"/>
                <w:szCs w:val="18"/>
              </w:rPr>
            </w:pPr>
            <w:r>
              <w:rPr>
                <w:rFonts w:ascii="Arial" w:hAnsi="Arial" w:cs="Arial"/>
                <w:spacing w:val="-4"/>
                <w:w w:val="115"/>
                <w:sz w:val="18"/>
                <w:szCs w:val="18"/>
              </w:rPr>
              <w:t>10.00</w:t>
            </w:r>
          </w:p>
        </w:tc>
        <w:tc>
          <w:tcPr>
            <w:tcW w:w="699" w:type="dxa"/>
            <w:tcBorders>
              <w:top w:val="single" w:sz="4" w:space="0" w:color="000000"/>
              <w:left w:val="single" w:sz="4" w:space="0" w:color="000000"/>
              <w:bottom w:val="single" w:sz="4" w:space="0" w:color="000000"/>
              <w:right w:val="single" w:sz="4" w:space="0" w:color="000000"/>
            </w:tcBorders>
          </w:tcPr>
          <w:p w14:paraId="5863098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9.50</w:t>
            </w:r>
          </w:p>
        </w:tc>
        <w:tc>
          <w:tcPr>
            <w:tcW w:w="696" w:type="dxa"/>
            <w:tcBorders>
              <w:top w:val="single" w:sz="4" w:space="0" w:color="000000"/>
              <w:left w:val="single" w:sz="4" w:space="0" w:color="000000"/>
              <w:bottom w:val="single" w:sz="4" w:space="0" w:color="000000"/>
              <w:right w:val="single" w:sz="4" w:space="0" w:color="000000"/>
            </w:tcBorders>
          </w:tcPr>
          <w:p w14:paraId="6A706B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8.50</w:t>
            </w:r>
          </w:p>
        </w:tc>
        <w:tc>
          <w:tcPr>
            <w:tcW w:w="527" w:type="dxa"/>
            <w:tcBorders>
              <w:top w:val="single" w:sz="4" w:space="0" w:color="000000"/>
              <w:left w:val="single" w:sz="4" w:space="0" w:color="000000"/>
              <w:bottom w:val="single" w:sz="4" w:space="0" w:color="000000"/>
              <w:right w:val="single" w:sz="4" w:space="0" w:color="000000"/>
            </w:tcBorders>
          </w:tcPr>
          <w:p w14:paraId="75E89F82" w14:textId="77777777" w:rsidR="00D3344B" w:rsidRDefault="00D3344B">
            <w:pPr>
              <w:pStyle w:val="TableParagraph"/>
              <w:rPr>
                <w:rFonts w:ascii="Arial" w:hAnsi="Arial" w:cs="Arial"/>
                <w:sz w:val="18"/>
                <w:szCs w:val="18"/>
              </w:rPr>
            </w:pPr>
          </w:p>
        </w:tc>
      </w:tr>
      <w:tr w:rsidR="00D3344B" w14:paraId="26492FE7"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3B1F891B"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119</w:t>
            </w:r>
          </w:p>
        </w:tc>
        <w:tc>
          <w:tcPr>
            <w:tcW w:w="3038" w:type="dxa"/>
            <w:tcBorders>
              <w:top w:val="single" w:sz="4" w:space="0" w:color="000000"/>
              <w:left w:val="single" w:sz="4" w:space="0" w:color="000000"/>
              <w:bottom w:val="single" w:sz="4" w:space="0" w:color="000000"/>
              <w:right w:val="single" w:sz="4" w:space="0" w:color="000000"/>
            </w:tcBorders>
          </w:tcPr>
          <w:p w14:paraId="43DB9239"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Colon</w:t>
            </w:r>
            <w:r>
              <w:rPr>
                <w:rFonts w:ascii="Arial" w:hAnsi="Arial" w:cs="Arial"/>
                <w:spacing w:val="14"/>
                <w:w w:val="110"/>
                <w:sz w:val="18"/>
                <w:szCs w:val="18"/>
              </w:rPr>
              <w:t xml:space="preserve"> </w:t>
            </w:r>
            <w:r>
              <w:rPr>
                <w:rFonts w:ascii="Arial" w:hAnsi="Arial" w:cs="Arial"/>
                <w:w w:val="110"/>
                <w:sz w:val="18"/>
                <w:szCs w:val="18"/>
              </w:rPr>
              <w:t>por</w:t>
            </w:r>
            <w:r>
              <w:rPr>
                <w:rFonts w:ascii="Arial" w:hAnsi="Arial" w:cs="Arial"/>
                <w:spacing w:val="16"/>
                <w:w w:val="110"/>
                <w:sz w:val="18"/>
                <w:szCs w:val="18"/>
              </w:rPr>
              <w:t xml:space="preserve"> </w:t>
            </w:r>
            <w:r>
              <w:rPr>
                <w:rFonts w:ascii="Arial" w:hAnsi="Arial" w:cs="Arial"/>
                <w:w w:val="110"/>
                <w:sz w:val="18"/>
                <w:szCs w:val="18"/>
              </w:rPr>
              <w:t>Enema</w:t>
            </w:r>
            <w:r>
              <w:rPr>
                <w:rFonts w:ascii="Arial" w:hAnsi="Arial" w:cs="Arial"/>
                <w:spacing w:val="15"/>
                <w:w w:val="110"/>
                <w:sz w:val="18"/>
                <w:szCs w:val="18"/>
              </w:rPr>
              <w:t xml:space="preserve"> </w:t>
            </w:r>
            <w:r>
              <w:rPr>
                <w:rFonts w:ascii="Arial" w:hAnsi="Arial" w:cs="Arial"/>
                <w:spacing w:val="-2"/>
                <w:w w:val="110"/>
                <w:sz w:val="18"/>
                <w:szCs w:val="18"/>
              </w:rPr>
              <w:t>Pediátrico</w:t>
            </w:r>
          </w:p>
          <w:p w14:paraId="59855E23" w14:textId="77777777" w:rsidR="00D3344B" w:rsidRDefault="00143C25">
            <w:pPr>
              <w:pStyle w:val="TableParagraph"/>
              <w:spacing w:before="1" w:line="233" w:lineRule="exact"/>
              <w:rPr>
                <w:rFonts w:ascii="Arial" w:hAnsi="Arial" w:cs="Arial"/>
                <w:sz w:val="18"/>
                <w:szCs w:val="18"/>
              </w:rPr>
            </w:pPr>
            <w:r>
              <w:rPr>
                <w:rFonts w:ascii="Arial" w:hAnsi="Arial" w:cs="Arial"/>
                <w:w w:val="115"/>
                <w:sz w:val="18"/>
                <w:szCs w:val="18"/>
              </w:rPr>
              <w:t>con</w:t>
            </w:r>
            <w:r>
              <w:rPr>
                <w:rFonts w:ascii="Arial" w:hAnsi="Arial" w:cs="Arial"/>
                <w:spacing w:val="-4"/>
                <w:w w:val="115"/>
                <w:sz w:val="18"/>
                <w:szCs w:val="18"/>
              </w:rPr>
              <w:t xml:space="preserve"> </w:t>
            </w:r>
            <w:r>
              <w:rPr>
                <w:rFonts w:ascii="Arial" w:hAnsi="Arial" w:cs="Arial"/>
                <w:w w:val="115"/>
                <w:sz w:val="18"/>
                <w:szCs w:val="18"/>
              </w:rPr>
              <w:t xml:space="preserve">Contraste </w:t>
            </w:r>
            <w:r>
              <w:rPr>
                <w:rFonts w:ascii="Arial" w:hAnsi="Arial" w:cs="Arial"/>
                <w:spacing w:val="-2"/>
                <w:w w:val="115"/>
                <w:sz w:val="18"/>
                <w:szCs w:val="18"/>
              </w:rPr>
              <w:t>Hidrosoluble</w:t>
            </w:r>
          </w:p>
        </w:tc>
        <w:tc>
          <w:tcPr>
            <w:tcW w:w="697" w:type="dxa"/>
            <w:tcBorders>
              <w:top w:val="single" w:sz="4" w:space="0" w:color="000000"/>
              <w:left w:val="single" w:sz="4" w:space="0" w:color="000000"/>
              <w:bottom w:val="single" w:sz="4" w:space="0" w:color="000000"/>
              <w:right w:val="single" w:sz="4" w:space="0" w:color="000000"/>
            </w:tcBorders>
          </w:tcPr>
          <w:p w14:paraId="6C793EDA"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026D1EBF"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14.75</w:t>
            </w:r>
          </w:p>
        </w:tc>
        <w:tc>
          <w:tcPr>
            <w:tcW w:w="699" w:type="dxa"/>
            <w:tcBorders>
              <w:top w:val="single" w:sz="4" w:space="0" w:color="000000"/>
              <w:left w:val="single" w:sz="4" w:space="0" w:color="000000"/>
              <w:bottom w:val="single" w:sz="4" w:space="0" w:color="000000"/>
              <w:right w:val="single" w:sz="4" w:space="0" w:color="000000"/>
            </w:tcBorders>
          </w:tcPr>
          <w:p w14:paraId="2F412814"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14.00</w:t>
            </w:r>
          </w:p>
        </w:tc>
        <w:tc>
          <w:tcPr>
            <w:tcW w:w="699" w:type="dxa"/>
            <w:tcBorders>
              <w:top w:val="single" w:sz="4" w:space="0" w:color="000000"/>
              <w:left w:val="single" w:sz="4" w:space="0" w:color="000000"/>
              <w:bottom w:val="single" w:sz="4" w:space="0" w:color="000000"/>
              <w:right w:val="single" w:sz="4" w:space="0" w:color="000000"/>
            </w:tcBorders>
          </w:tcPr>
          <w:p w14:paraId="71AB64ED"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13.25</w:t>
            </w:r>
          </w:p>
        </w:tc>
        <w:tc>
          <w:tcPr>
            <w:tcW w:w="696" w:type="dxa"/>
            <w:tcBorders>
              <w:top w:val="single" w:sz="4" w:space="0" w:color="000000"/>
              <w:left w:val="single" w:sz="4" w:space="0" w:color="000000"/>
              <w:bottom w:val="single" w:sz="4" w:space="0" w:color="000000"/>
              <w:right w:val="single" w:sz="4" w:space="0" w:color="000000"/>
            </w:tcBorders>
          </w:tcPr>
          <w:p w14:paraId="574BCAE3"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12.50</w:t>
            </w:r>
          </w:p>
        </w:tc>
        <w:tc>
          <w:tcPr>
            <w:tcW w:w="527" w:type="dxa"/>
            <w:tcBorders>
              <w:top w:val="single" w:sz="4" w:space="0" w:color="000000"/>
              <w:left w:val="single" w:sz="4" w:space="0" w:color="000000"/>
              <w:bottom w:val="single" w:sz="4" w:space="0" w:color="000000"/>
              <w:right w:val="single" w:sz="4" w:space="0" w:color="000000"/>
            </w:tcBorders>
          </w:tcPr>
          <w:p w14:paraId="11B34ACC" w14:textId="77777777" w:rsidR="00D3344B" w:rsidRDefault="00D3344B">
            <w:pPr>
              <w:pStyle w:val="TableParagraph"/>
              <w:rPr>
                <w:rFonts w:ascii="Arial" w:hAnsi="Arial" w:cs="Arial"/>
                <w:sz w:val="18"/>
                <w:szCs w:val="18"/>
              </w:rPr>
            </w:pPr>
          </w:p>
        </w:tc>
      </w:tr>
      <w:tr w:rsidR="00D3344B" w14:paraId="28E3B1F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0BF88CF"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120</w:t>
            </w:r>
          </w:p>
        </w:tc>
        <w:tc>
          <w:tcPr>
            <w:tcW w:w="3038" w:type="dxa"/>
            <w:tcBorders>
              <w:top w:val="single" w:sz="4" w:space="0" w:color="000000"/>
              <w:left w:val="single" w:sz="4" w:space="0" w:color="000000"/>
              <w:bottom w:val="single" w:sz="4" w:space="0" w:color="000000"/>
              <w:right w:val="single" w:sz="4" w:space="0" w:color="000000"/>
            </w:tcBorders>
          </w:tcPr>
          <w:p w14:paraId="2EF04983" w14:textId="77777777" w:rsidR="00D3344B" w:rsidRDefault="00143C25">
            <w:pPr>
              <w:pStyle w:val="TableParagraph"/>
              <w:tabs>
                <w:tab w:val="left" w:pos="842"/>
                <w:tab w:val="left" w:pos="1404"/>
                <w:tab w:val="left" w:pos="2330"/>
              </w:tabs>
              <w:spacing w:line="254" w:lineRule="exact"/>
              <w:ind w:right="-15"/>
              <w:rPr>
                <w:rFonts w:ascii="Arial" w:hAnsi="Arial" w:cs="Arial"/>
                <w:sz w:val="18"/>
                <w:szCs w:val="18"/>
              </w:rPr>
            </w:pPr>
            <w:r>
              <w:rPr>
                <w:rFonts w:ascii="Arial" w:hAnsi="Arial" w:cs="Arial"/>
                <w:spacing w:val="-4"/>
                <w:w w:val="115"/>
                <w:sz w:val="18"/>
                <w:szCs w:val="18"/>
              </w:rPr>
              <w:t>Colon</w:t>
            </w:r>
            <w:r>
              <w:rPr>
                <w:rFonts w:ascii="Arial" w:hAnsi="Arial" w:cs="Arial"/>
                <w:sz w:val="18"/>
                <w:szCs w:val="18"/>
              </w:rPr>
              <w:tab/>
            </w:r>
            <w:r>
              <w:rPr>
                <w:rFonts w:ascii="Arial" w:hAnsi="Arial" w:cs="Arial"/>
                <w:spacing w:val="-4"/>
                <w:w w:val="115"/>
                <w:sz w:val="18"/>
                <w:szCs w:val="18"/>
              </w:rPr>
              <w:t>por</w:t>
            </w:r>
            <w:r>
              <w:rPr>
                <w:rFonts w:ascii="Arial" w:hAnsi="Arial" w:cs="Arial"/>
                <w:sz w:val="18"/>
                <w:szCs w:val="18"/>
              </w:rPr>
              <w:tab/>
            </w:r>
            <w:r>
              <w:rPr>
                <w:rFonts w:ascii="Arial" w:hAnsi="Arial" w:cs="Arial"/>
                <w:spacing w:val="-2"/>
                <w:w w:val="115"/>
                <w:sz w:val="18"/>
                <w:szCs w:val="18"/>
              </w:rPr>
              <w:t>Enema</w:t>
            </w:r>
            <w:r>
              <w:rPr>
                <w:rFonts w:ascii="Arial" w:hAnsi="Arial" w:cs="Arial"/>
                <w:sz w:val="18"/>
                <w:szCs w:val="18"/>
              </w:rPr>
              <w:tab/>
            </w:r>
            <w:r>
              <w:rPr>
                <w:rFonts w:ascii="Arial" w:hAnsi="Arial" w:cs="Arial"/>
                <w:spacing w:val="-2"/>
                <w:w w:val="115"/>
                <w:sz w:val="18"/>
                <w:szCs w:val="18"/>
              </w:rPr>
              <w:t xml:space="preserve">Adulto </w:t>
            </w:r>
            <w:r>
              <w:rPr>
                <w:rFonts w:ascii="Arial" w:hAnsi="Arial" w:cs="Arial"/>
                <w:w w:val="115"/>
                <w:sz w:val="18"/>
                <w:szCs w:val="18"/>
              </w:rPr>
              <w:t>con Bario</w:t>
            </w:r>
          </w:p>
        </w:tc>
        <w:tc>
          <w:tcPr>
            <w:tcW w:w="697" w:type="dxa"/>
            <w:tcBorders>
              <w:top w:val="single" w:sz="4" w:space="0" w:color="000000"/>
              <w:left w:val="single" w:sz="4" w:space="0" w:color="000000"/>
              <w:bottom w:val="single" w:sz="4" w:space="0" w:color="000000"/>
              <w:right w:val="single" w:sz="4" w:space="0" w:color="000000"/>
            </w:tcBorders>
          </w:tcPr>
          <w:p w14:paraId="5340F80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14.75</w:t>
            </w:r>
          </w:p>
        </w:tc>
        <w:tc>
          <w:tcPr>
            <w:tcW w:w="695" w:type="dxa"/>
            <w:tcBorders>
              <w:top w:val="single" w:sz="4" w:space="0" w:color="000000"/>
              <w:left w:val="single" w:sz="4" w:space="0" w:color="000000"/>
              <w:bottom w:val="single" w:sz="4" w:space="0" w:color="000000"/>
              <w:right w:val="single" w:sz="4" w:space="0" w:color="000000"/>
            </w:tcBorders>
          </w:tcPr>
          <w:p w14:paraId="7E785C1D" w14:textId="77777777" w:rsidR="00D3344B" w:rsidRDefault="00143C25">
            <w:pPr>
              <w:pStyle w:val="TableParagraph"/>
              <w:rPr>
                <w:rFonts w:ascii="Arial" w:hAnsi="Arial" w:cs="Arial"/>
                <w:sz w:val="18"/>
                <w:szCs w:val="18"/>
              </w:rPr>
            </w:pPr>
            <w:r>
              <w:rPr>
                <w:rFonts w:ascii="Arial" w:hAnsi="Arial" w:cs="Arial"/>
                <w:spacing w:val="-4"/>
                <w:w w:val="115"/>
                <w:sz w:val="18"/>
                <w:szCs w:val="18"/>
              </w:rPr>
              <w:t>14.00</w:t>
            </w:r>
          </w:p>
        </w:tc>
        <w:tc>
          <w:tcPr>
            <w:tcW w:w="699" w:type="dxa"/>
            <w:tcBorders>
              <w:top w:val="single" w:sz="4" w:space="0" w:color="000000"/>
              <w:left w:val="single" w:sz="4" w:space="0" w:color="000000"/>
              <w:bottom w:val="single" w:sz="4" w:space="0" w:color="000000"/>
              <w:right w:val="single" w:sz="4" w:space="0" w:color="000000"/>
            </w:tcBorders>
          </w:tcPr>
          <w:p w14:paraId="6A72C57C" w14:textId="77777777" w:rsidR="00D3344B" w:rsidRDefault="00143C25">
            <w:pPr>
              <w:pStyle w:val="TableParagraph"/>
              <w:rPr>
                <w:rFonts w:ascii="Arial" w:hAnsi="Arial" w:cs="Arial"/>
                <w:sz w:val="18"/>
                <w:szCs w:val="18"/>
              </w:rPr>
            </w:pPr>
            <w:r>
              <w:rPr>
                <w:rFonts w:ascii="Arial" w:hAnsi="Arial" w:cs="Arial"/>
                <w:spacing w:val="-4"/>
                <w:w w:val="115"/>
                <w:sz w:val="18"/>
                <w:szCs w:val="18"/>
              </w:rPr>
              <w:t>13.25</w:t>
            </w:r>
          </w:p>
        </w:tc>
        <w:tc>
          <w:tcPr>
            <w:tcW w:w="699" w:type="dxa"/>
            <w:tcBorders>
              <w:top w:val="single" w:sz="4" w:space="0" w:color="000000"/>
              <w:left w:val="single" w:sz="4" w:space="0" w:color="000000"/>
              <w:bottom w:val="single" w:sz="4" w:space="0" w:color="000000"/>
              <w:right w:val="single" w:sz="4" w:space="0" w:color="000000"/>
            </w:tcBorders>
          </w:tcPr>
          <w:p w14:paraId="500F171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12.50</w:t>
            </w:r>
          </w:p>
        </w:tc>
        <w:tc>
          <w:tcPr>
            <w:tcW w:w="696" w:type="dxa"/>
            <w:tcBorders>
              <w:top w:val="single" w:sz="4" w:space="0" w:color="000000"/>
              <w:left w:val="single" w:sz="4" w:space="0" w:color="000000"/>
              <w:bottom w:val="single" w:sz="4" w:space="0" w:color="000000"/>
              <w:right w:val="single" w:sz="4" w:space="0" w:color="000000"/>
            </w:tcBorders>
          </w:tcPr>
          <w:p w14:paraId="6DF6910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11.75</w:t>
            </w:r>
          </w:p>
        </w:tc>
        <w:tc>
          <w:tcPr>
            <w:tcW w:w="527" w:type="dxa"/>
            <w:tcBorders>
              <w:top w:val="single" w:sz="4" w:space="0" w:color="000000"/>
              <w:left w:val="single" w:sz="4" w:space="0" w:color="000000"/>
              <w:bottom w:val="single" w:sz="4" w:space="0" w:color="000000"/>
              <w:right w:val="single" w:sz="4" w:space="0" w:color="000000"/>
            </w:tcBorders>
          </w:tcPr>
          <w:p w14:paraId="27274736" w14:textId="77777777" w:rsidR="00D3344B" w:rsidRDefault="00D3344B">
            <w:pPr>
              <w:pStyle w:val="TableParagraph"/>
              <w:rPr>
                <w:rFonts w:ascii="Arial" w:hAnsi="Arial" w:cs="Arial"/>
                <w:sz w:val="18"/>
                <w:szCs w:val="18"/>
              </w:rPr>
            </w:pPr>
          </w:p>
        </w:tc>
      </w:tr>
      <w:tr w:rsidR="00D3344B" w14:paraId="6651F8F7"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422F3848"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121</w:t>
            </w:r>
          </w:p>
        </w:tc>
        <w:tc>
          <w:tcPr>
            <w:tcW w:w="3038" w:type="dxa"/>
            <w:tcBorders>
              <w:top w:val="single" w:sz="4" w:space="0" w:color="000000"/>
              <w:left w:val="single" w:sz="4" w:space="0" w:color="000000"/>
              <w:bottom w:val="single" w:sz="4" w:space="0" w:color="000000"/>
              <w:right w:val="single" w:sz="4" w:space="0" w:color="000000"/>
            </w:tcBorders>
          </w:tcPr>
          <w:p w14:paraId="288EFD0C" w14:textId="77777777" w:rsidR="00D3344B" w:rsidRDefault="00143C25">
            <w:pPr>
              <w:pStyle w:val="TableParagraph"/>
              <w:spacing w:line="249" w:lineRule="exact"/>
              <w:ind w:right="-15"/>
              <w:rPr>
                <w:rFonts w:ascii="Arial" w:hAnsi="Arial" w:cs="Arial"/>
                <w:sz w:val="18"/>
                <w:szCs w:val="18"/>
              </w:rPr>
            </w:pPr>
            <w:r>
              <w:rPr>
                <w:rFonts w:ascii="Arial" w:hAnsi="Arial" w:cs="Arial"/>
                <w:w w:val="110"/>
                <w:sz w:val="18"/>
                <w:szCs w:val="18"/>
              </w:rPr>
              <w:t>Colon</w:t>
            </w:r>
            <w:r>
              <w:rPr>
                <w:rFonts w:ascii="Arial" w:hAnsi="Arial" w:cs="Arial"/>
                <w:spacing w:val="49"/>
                <w:w w:val="110"/>
                <w:sz w:val="18"/>
                <w:szCs w:val="18"/>
              </w:rPr>
              <w:t xml:space="preserve"> </w:t>
            </w:r>
            <w:r>
              <w:rPr>
                <w:rFonts w:ascii="Arial" w:hAnsi="Arial" w:cs="Arial"/>
                <w:w w:val="110"/>
                <w:sz w:val="18"/>
                <w:szCs w:val="18"/>
              </w:rPr>
              <w:t>por</w:t>
            </w:r>
            <w:r>
              <w:rPr>
                <w:rFonts w:ascii="Arial" w:hAnsi="Arial" w:cs="Arial"/>
                <w:spacing w:val="49"/>
                <w:w w:val="110"/>
                <w:sz w:val="18"/>
                <w:szCs w:val="18"/>
              </w:rPr>
              <w:t xml:space="preserve"> </w:t>
            </w:r>
            <w:r>
              <w:rPr>
                <w:rFonts w:ascii="Arial" w:hAnsi="Arial" w:cs="Arial"/>
                <w:w w:val="110"/>
                <w:sz w:val="18"/>
                <w:szCs w:val="18"/>
              </w:rPr>
              <w:t>Enema</w:t>
            </w:r>
            <w:r>
              <w:rPr>
                <w:rFonts w:ascii="Arial" w:hAnsi="Arial" w:cs="Arial"/>
                <w:spacing w:val="47"/>
                <w:w w:val="110"/>
                <w:sz w:val="18"/>
                <w:szCs w:val="18"/>
              </w:rPr>
              <w:t xml:space="preserve"> </w:t>
            </w:r>
            <w:r>
              <w:rPr>
                <w:rFonts w:ascii="Arial" w:hAnsi="Arial" w:cs="Arial"/>
                <w:w w:val="110"/>
                <w:sz w:val="18"/>
                <w:szCs w:val="18"/>
              </w:rPr>
              <w:t>Adulto</w:t>
            </w:r>
            <w:r>
              <w:rPr>
                <w:rFonts w:ascii="Arial" w:hAnsi="Arial" w:cs="Arial"/>
                <w:spacing w:val="16"/>
                <w:w w:val="110"/>
                <w:sz w:val="18"/>
                <w:szCs w:val="18"/>
              </w:rPr>
              <w:t xml:space="preserve"> </w:t>
            </w:r>
            <w:r>
              <w:rPr>
                <w:rFonts w:ascii="Arial" w:hAnsi="Arial" w:cs="Arial"/>
                <w:spacing w:val="-5"/>
                <w:w w:val="110"/>
                <w:sz w:val="18"/>
                <w:szCs w:val="18"/>
              </w:rPr>
              <w:t>con</w:t>
            </w:r>
          </w:p>
          <w:p w14:paraId="108E7580"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Contraste</w:t>
            </w:r>
            <w:r>
              <w:rPr>
                <w:rFonts w:ascii="Arial" w:hAnsi="Arial" w:cs="Arial"/>
                <w:spacing w:val="22"/>
                <w:w w:val="110"/>
                <w:sz w:val="18"/>
                <w:szCs w:val="18"/>
              </w:rPr>
              <w:t xml:space="preserve"> </w:t>
            </w:r>
            <w:r>
              <w:rPr>
                <w:rFonts w:ascii="Arial" w:hAnsi="Arial" w:cs="Arial"/>
                <w:spacing w:val="-2"/>
                <w:w w:val="110"/>
                <w:sz w:val="18"/>
                <w:szCs w:val="18"/>
              </w:rPr>
              <w:t>Hidrosoluble</w:t>
            </w:r>
          </w:p>
        </w:tc>
        <w:tc>
          <w:tcPr>
            <w:tcW w:w="697" w:type="dxa"/>
            <w:tcBorders>
              <w:top w:val="single" w:sz="4" w:space="0" w:color="000000"/>
              <w:left w:val="single" w:sz="4" w:space="0" w:color="000000"/>
              <w:bottom w:val="single" w:sz="4" w:space="0" w:color="000000"/>
              <w:right w:val="single" w:sz="4" w:space="0" w:color="000000"/>
            </w:tcBorders>
          </w:tcPr>
          <w:p w14:paraId="443E758F"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31.00</w:t>
            </w:r>
          </w:p>
        </w:tc>
        <w:tc>
          <w:tcPr>
            <w:tcW w:w="695" w:type="dxa"/>
            <w:tcBorders>
              <w:top w:val="single" w:sz="4" w:space="0" w:color="000000"/>
              <w:left w:val="single" w:sz="4" w:space="0" w:color="000000"/>
              <w:bottom w:val="single" w:sz="4" w:space="0" w:color="000000"/>
              <w:right w:val="single" w:sz="4" w:space="0" w:color="000000"/>
            </w:tcBorders>
          </w:tcPr>
          <w:p w14:paraId="2B30C26C"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27.75</w:t>
            </w:r>
          </w:p>
        </w:tc>
        <w:tc>
          <w:tcPr>
            <w:tcW w:w="699" w:type="dxa"/>
            <w:tcBorders>
              <w:top w:val="single" w:sz="4" w:space="0" w:color="000000"/>
              <w:left w:val="single" w:sz="4" w:space="0" w:color="000000"/>
              <w:bottom w:val="single" w:sz="4" w:space="0" w:color="000000"/>
              <w:right w:val="single" w:sz="4" w:space="0" w:color="000000"/>
            </w:tcBorders>
          </w:tcPr>
          <w:p w14:paraId="089F6A0D"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24.75</w:t>
            </w:r>
          </w:p>
        </w:tc>
        <w:tc>
          <w:tcPr>
            <w:tcW w:w="699" w:type="dxa"/>
            <w:tcBorders>
              <w:top w:val="single" w:sz="4" w:space="0" w:color="000000"/>
              <w:left w:val="single" w:sz="4" w:space="0" w:color="000000"/>
              <w:bottom w:val="single" w:sz="4" w:space="0" w:color="000000"/>
              <w:right w:val="single" w:sz="4" w:space="0" w:color="000000"/>
            </w:tcBorders>
          </w:tcPr>
          <w:p w14:paraId="66B42CC4"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21.75</w:t>
            </w:r>
          </w:p>
        </w:tc>
        <w:tc>
          <w:tcPr>
            <w:tcW w:w="696" w:type="dxa"/>
            <w:tcBorders>
              <w:top w:val="single" w:sz="4" w:space="0" w:color="000000"/>
              <w:left w:val="single" w:sz="4" w:space="0" w:color="000000"/>
              <w:bottom w:val="single" w:sz="4" w:space="0" w:color="000000"/>
              <w:right w:val="single" w:sz="4" w:space="0" w:color="000000"/>
            </w:tcBorders>
          </w:tcPr>
          <w:p w14:paraId="29265650"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18.75</w:t>
            </w:r>
          </w:p>
        </w:tc>
        <w:tc>
          <w:tcPr>
            <w:tcW w:w="527" w:type="dxa"/>
            <w:tcBorders>
              <w:top w:val="single" w:sz="4" w:space="0" w:color="000000"/>
              <w:left w:val="single" w:sz="4" w:space="0" w:color="000000"/>
              <w:bottom w:val="single" w:sz="4" w:space="0" w:color="000000"/>
              <w:right w:val="single" w:sz="4" w:space="0" w:color="000000"/>
            </w:tcBorders>
          </w:tcPr>
          <w:p w14:paraId="3EC9FF3F" w14:textId="77777777" w:rsidR="00D3344B" w:rsidRDefault="00D3344B">
            <w:pPr>
              <w:pStyle w:val="TableParagraph"/>
              <w:rPr>
                <w:rFonts w:ascii="Arial" w:hAnsi="Arial" w:cs="Arial"/>
                <w:sz w:val="18"/>
                <w:szCs w:val="18"/>
              </w:rPr>
            </w:pPr>
          </w:p>
        </w:tc>
      </w:tr>
      <w:tr w:rsidR="00D3344B" w14:paraId="40E416B3"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1C8F6D7"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122</w:t>
            </w:r>
          </w:p>
        </w:tc>
        <w:tc>
          <w:tcPr>
            <w:tcW w:w="3038" w:type="dxa"/>
            <w:tcBorders>
              <w:top w:val="single" w:sz="4" w:space="0" w:color="000000"/>
              <w:left w:val="single" w:sz="4" w:space="0" w:color="000000"/>
              <w:bottom w:val="single" w:sz="4" w:space="0" w:color="000000"/>
              <w:right w:val="single" w:sz="4" w:space="0" w:color="000000"/>
            </w:tcBorders>
          </w:tcPr>
          <w:p w14:paraId="45B29183" w14:textId="77777777" w:rsidR="00D3344B" w:rsidRDefault="00143C25">
            <w:pPr>
              <w:pStyle w:val="TableParagraph"/>
              <w:tabs>
                <w:tab w:val="left" w:pos="859"/>
                <w:tab w:val="left" w:pos="2503"/>
              </w:tabs>
              <w:spacing w:line="256" w:lineRule="exact"/>
              <w:ind w:right="-15"/>
              <w:rPr>
                <w:rFonts w:ascii="Arial" w:hAnsi="Arial" w:cs="Arial"/>
                <w:sz w:val="18"/>
                <w:szCs w:val="18"/>
              </w:rPr>
            </w:pPr>
            <w:r>
              <w:rPr>
                <w:rFonts w:ascii="Arial" w:hAnsi="Arial" w:cs="Arial"/>
                <w:spacing w:val="-4"/>
                <w:w w:val="120"/>
                <w:sz w:val="18"/>
                <w:szCs w:val="18"/>
              </w:rPr>
              <w:t>Placa</w:t>
            </w:r>
            <w:r>
              <w:rPr>
                <w:rFonts w:ascii="Arial" w:hAnsi="Arial" w:cs="Arial"/>
                <w:sz w:val="18"/>
                <w:szCs w:val="18"/>
              </w:rPr>
              <w:tab/>
            </w:r>
            <w:r>
              <w:rPr>
                <w:rFonts w:ascii="Arial" w:hAnsi="Arial" w:cs="Arial"/>
                <w:spacing w:val="-2"/>
                <w:w w:val="120"/>
                <w:sz w:val="18"/>
                <w:szCs w:val="18"/>
              </w:rPr>
              <w:t>Radiográfica</w:t>
            </w:r>
            <w:r>
              <w:rPr>
                <w:rFonts w:ascii="Arial" w:hAnsi="Arial" w:cs="Arial"/>
                <w:sz w:val="18"/>
                <w:szCs w:val="18"/>
              </w:rPr>
              <w:tab/>
            </w:r>
            <w:r>
              <w:rPr>
                <w:rFonts w:ascii="Arial" w:hAnsi="Arial" w:cs="Arial"/>
                <w:spacing w:val="-2"/>
                <w:w w:val="120"/>
                <w:sz w:val="18"/>
                <w:szCs w:val="18"/>
              </w:rPr>
              <w:t xml:space="preserve">extra </w:t>
            </w:r>
            <w:r>
              <w:rPr>
                <w:rFonts w:ascii="Arial" w:hAnsi="Arial" w:cs="Arial"/>
                <w:spacing w:val="-4"/>
                <w:w w:val="120"/>
                <w:sz w:val="18"/>
                <w:szCs w:val="18"/>
              </w:rPr>
              <w:t>R.M.</w:t>
            </w:r>
          </w:p>
        </w:tc>
        <w:tc>
          <w:tcPr>
            <w:tcW w:w="697" w:type="dxa"/>
            <w:tcBorders>
              <w:top w:val="single" w:sz="4" w:space="0" w:color="000000"/>
              <w:left w:val="single" w:sz="4" w:space="0" w:color="000000"/>
              <w:bottom w:val="single" w:sz="4" w:space="0" w:color="000000"/>
              <w:right w:val="single" w:sz="4" w:space="0" w:color="000000"/>
            </w:tcBorders>
          </w:tcPr>
          <w:p w14:paraId="6E852EB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4.75</w:t>
            </w:r>
          </w:p>
        </w:tc>
        <w:tc>
          <w:tcPr>
            <w:tcW w:w="695" w:type="dxa"/>
            <w:tcBorders>
              <w:top w:val="single" w:sz="4" w:space="0" w:color="000000"/>
              <w:left w:val="single" w:sz="4" w:space="0" w:color="000000"/>
              <w:bottom w:val="single" w:sz="4" w:space="0" w:color="000000"/>
              <w:right w:val="single" w:sz="4" w:space="0" w:color="000000"/>
            </w:tcBorders>
          </w:tcPr>
          <w:p w14:paraId="065E4AC6" w14:textId="77777777" w:rsidR="00D3344B" w:rsidRDefault="00143C25">
            <w:pPr>
              <w:pStyle w:val="TableParagraph"/>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6A674034" w14:textId="77777777" w:rsidR="00D3344B" w:rsidRDefault="00143C25">
            <w:pPr>
              <w:pStyle w:val="TableParagraph"/>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1617068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696" w:type="dxa"/>
            <w:tcBorders>
              <w:top w:val="single" w:sz="4" w:space="0" w:color="000000"/>
              <w:left w:val="single" w:sz="4" w:space="0" w:color="000000"/>
              <w:bottom w:val="single" w:sz="4" w:space="0" w:color="000000"/>
              <w:right w:val="single" w:sz="4" w:space="0" w:color="000000"/>
            </w:tcBorders>
          </w:tcPr>
          <w:p w14:paraId="0C62114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527" w:type="dxa"/>
            <w:tcBorders>
              <w:top w:val="single" w:sz="4" w:space="0" w:color="000000"/>
              <w:left w:val="single" w:sz="4" w:space="0" w:color="000000"/>
              <w:bottom w:val="single" w:sz="4" w:space="0" w:color="000000"/>
              <w:right w:val="single" w:sz="4" w:space="0" w:color="000000"/>
            </w:tcBorders>
          </w:tcPr>
          <w:p w14:paraId="293DBF64" w14:textId="77777777" w:rsidR="00D3344B" w:rsidRDefault="00D3344B">
            <w:pPr>
              <w:pStyle w:val="TableParagraph"/>
              <w:rPr>
                <w:rFonts w:ascii="Arial" w:hAnsi="Arial" w:cs="Arial"/>
                <w:sz w:val="18"/>
                <w:szCs w:val="18"/>
              </w:rPr>
            </w:pPr>
          </w:p>
        </w:tc>
      </w:tr>
      <w:tr w:rsidR="00D3344B" w14:paraId="5AC69FA6" w14:textId="77777777">
        <w:trPr>
          <w:trHeight w:val="500"/>
        </w:trPr>
        <w:tc>
          <w:tcPr>
            <w:tcW w:w="1776" w:type="dxa"/>
            <w:tcBorders>
              <w:top w:val="single" w:sz="4" w:space="0" w:color="000000"/>
              <w:left w:val="single" w:sz="4" w:space="0" w:color="000000"/>
              <w:bottom w:val="single" w:sz="4" w:space="0" w:color="000000"/>
              <w:right w:val="single" w:sz="4" w:space="0" w:color="000000"/>
            </w:tcBorders>
          </w:tcPr>
          <w:p w14:paraId="0947B3C9" w14:textId="77777777" w:rsidR="00D3344B" w:rsidRDefault="00143C25">
            <w:pPr>
              <w:pStyle w:val="TableParagraph"/>
              <w:spacing w:line="246" w:lineRule="exact"/>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123</w:t>
            </w:r>
          </w:p>
        </w:tc>
        <w:tc>
          <w:tcPr>
            <w:tcW w:w="3038" w:type="dxa"/>
            <w:tcBorders>
              <w:top w:val="single" w:sz="4" w:space="0" w:color="000000"/>
              <w:left w:val="single" w:sz="4" w:space="0" w:color="000000"/>
              <w:bottom w:val="single" w:sz="4" w:space="0" w:color="000000"/>
              <w:right w:val="single" w:sz="4" w:space="0" w:color="000000"/>
            </w:tcBorders>
          </w:tcPr>
          <w:p w14:paraId="1EC8E8EF" w14:textId="77777777" w:rsidR="00D3344B" w:rsidRDefault="00143C25">
            <w:pPr>
              <w:pStyle w:val="TableParagraph"/>
              <w:tabs>
                <w:tab w:val="left" w:pos="888"/>
                <w:tab w:val="left" w:pos="2525"/>
              </w:tabs>
              <w:spacing w:line="246" w:lineRule="exact"/>
              <w:ind w:right="-15"/>
              <w:rPr>
                <w:rFonts w:ascii="Arial" w:hAnsi="Arial" w:cs="Arial"/>
                <w:sz w:val="18"/>
                <w:szCs w:val="18"/>
              </w:rPr>
            </w:pPr>
            <w:r>
              <w:rPr>
                <w:rFonts w:ascii="Arial" w:hAnsi="Arial" w:cs="Arial"/>
                <w:spacing w:val="-4"/>
                <w:w w:val="115"/>
                <w:sz w:val="18"/>
                <w:szCs w:val="18"/>
              </w:rPr>
              <w:t>Placa</w:t>
            </w:r>
            <w:r>
              <w:rPr>
                <w:rFonts w:ascii="Arial" w:hAnsi="Arial" w:cs="Arial"/>
                <w:sz w:val="18"/>
                <w:szCs w:val="18"/>
              </w:rPr>
              <w:tab/>
            </w:r>
            <w:r>
              <w:rPr>
                <w:rFonts w:ascii="Arial" w:hAnsi="Arial" w:cs="Arial"/>
                <w:spacing w:val="-2"/>
                <w:w w:val="115"/>
                <w:sz w:val="18"/>
                <w:szCs w:val="18"/>
              </w:rPr>
              <w:t>Radiográfica</w:t>
            </w:r>
            <w:r>
              <w:rPr>
                <w:rFonts w:ascii="Arial" w:hAnsi="Arial" w:cs="Arial"/>
                <w:sz w:val="18"/>
                <w:szCs w:val="18"/>
              </w:rPr>
              <w:tab/>
            </w:r>
            <w:r>
              <w:rPr>
                <w:rFonts w:ascii="Arial" w:hAnsi="Arial" w:cs="Arial"/>
                <w:spacing w:val="-2"/>
                <w:w w:val="115"/>
                <w:sz w:val="18"/>
                <w:szCs w:val="18"/>
              </w:rPr>
              <w:t>extra</w:t>
            </w:r>
          </w:p>
          <w:p w14:paraId="1C9CD42B" w14:textId="77777777" w:rsidR="00D3344B" w:rsidRDefault="00143C25">
            <w:pPr>
              <w:pStyle w:val="TableParagraph"/>
              <w:spacing w:before="1" w:line="233" w:lineRule="exact"/>
              <w:rPr>
                <w:rFonts w:ascii="Arial" w:hAnsi="Arial" w:cs="Arial"/>
                <w:sz w:val="18"/>
                <w:szCs w:val="18"/>
              </w:rPr>
            </w:pPr>
            <w:r>
              <w:rPr>
                <w:rFonts w:ascii="Arial" w:hAnsi="Arial" w:cs="Arial"/>
                <w:spacing w:val="-5"/>
                <w:w w:val="115"/>
                <w:sz w:val="18"/>
                <w:szCs w:val="18"/>
              </w:rPr>
              <w:t>TAC</w:t>
            </w:r>
          </w:p>
        </w:tc>
        <w:tc>
          <w:tcPr>
            <w:tcW w:w="697" w:type="dxa"/>
            <w:tcBorders>
              <w:top w:val="single" w:sz="4" w:space="0" w:color="000000"/>
              <w:left w:val="single" w:sz="4" w:space="0" w:color="000000"/>
              <w:bottom w:val="single" w:sz="4" w:space="0" w:color="000000"/>
              <w:right w:val="single" w:sz="4" w:space="0" w:color="000000"/>
            </w:tcBorders>
          </w:tcPr>
          <w:p w14:paraId="47844A11" w14:textId="77777777" w:rsidR="00D3344B" w:rsidRDefault="00143C25">
            <w:pPr>
              <w:pStyle w:val="TableParagraph"/>
              <w:spacing w:line="246" w:lineRule="exact"/>
              <w:ind w:left="2"/>
              <w:rPr>
                <w:rFonts w:ascii="Arial" w:hAnsi="Arial" w:cs="Arial"/>
                <w:sz w:val="18"/>
                <w:szCs w:val="18"/>
              </w:rPr>
            </w:pPr>
            <w:r>
              <w:rPr>
                <w:rFonts w:ascii="Arial" w:hAnsi="Arial" w:cs="Arial"/>
                <w:spacing w:val="-4"/>
                <w:w w:val="115"/>
                <w:sz w:val="18"/>
                <w:szCs w:val="18"/>
              </w:rPr>
              <w:t>3.25</w:t>
            </w:r>
          </w:p>
        </w:tc>
        <w:tc>
          <w:tcPr>
            <w:tcW w:w="695" w:type="dxa"/>
            <w:tcBorders>
              <w:top w:val="single" w:sz="4" w:space="0" w:color="000000"/>
              <w:left w:val="single" w:sz="4" w:space="0" w:color="000000"/>
              <w:bottom w:val="single" w:sz="4" w:space="0" w:color="000000"/>
              <w:right w:val="single" w:sz="4" w:space="0" w:color="000000"/>
            </w:tcBorders>
          </w:tcPr>
          <w:p w14:paraId="391A3CDA" w14:textId="77777777" w:rsidR="00D3344B" w:rsidRDefault="00143C25">
            <w:pPr>
              <w:pStyle w:val="TableParagraph"/>
              <w:spacing w:line="246" w:lineRule="exact"/>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3E9D4665" w14:textId="77777777" w:rsidR="00D3344B" w:rsidRDefault="00143C25">
            <w:pPr>
              <w:pStyle w:val="TableParagraph"/>
              <w:spacing w:line="246" w:lineRule="exact"/>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32A26A4F" w14:textId="77777777" w:rsidR="00D3344B" w:rsidRDefault="00143C25">
            <w:pPr>
              <w:pStyle w:val="TableParagraph"/>
              <w:spacing w:line="246" w:lineRule="exact"/>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1BD51578" w14:textId="77777777" w:rsidR="00D3344B" w:rsidRDefault="00143C25">
            <w:pPr>
              <w:pStyle w:val="TableParagraph"/>
              <w:spacing w:line="246" w:lineRule="exact"/>
              <w:ind w:left="5"/>
              <w:rPr>
                <w:rFonts w:ascii="Arial" w:hAnsi="Arial" w:cs="Arial"/>
                <w:sz w:val="18"/>
                <w:szCs w:val="18"/>
              </w:rPr>
            </w:pPr>
            <w:r>
              <w:rPr>
                <w:rFonts w:ascii="Arial" w:hAnsi="Arial" w:cs="Arial"/>
                <w:spacing w:val="-4"/>
                <w:w w:val="115"/>
                <w:sz w:val="18"/>
                <w:szCs w:val="18"/>
              </w:rPr>
              <w:t>3.25</w:t>
            </w:r>
          </w:p>
        </w:tc>
        <w:tc>
          <w:tcPr>
            <w:tcW w:w="527" w:type="dxa"/>
            <w:tcBorders>
              <w:top w:val="single" w:sz="4" w:space="0" w:color="000000"/>
              <w:left w:val="single" w:sz="4" w:space="0" w:color="000000"/>
              <w:bottom w:val="single" w:sz="4" w:space="0" w:color="000000"/>
              <w:right w:val="single" w:sz="4" w:space="0" w:color="000000"/>
            </w:tcBorders>
          </w:tcPr>
          <w:p w14:paraId="58A55BFB" w14:textId="77777777" w:rsidR="00D3344B" w:rsidRDefault="00D3344B">
            <w:pPr>
              <w:pStyle w:val="TableParagraph"/>
              <w:rPr>
                <w:rFonts w:ascii="Arial" w:hAnsi="Arial" w:cs="Arial"/>
                <w:sz w:val="18"/>
                <w:szCs w:val="18"/>
              </w:rPr>
            </w:pPr>
          </w:p>
        </w:tc>
      </w:tr>
      <w:tr w:rsidR="00D3344B" w14:paraId="65068032"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0E779A0" w14:textId="77777777" w:rsidR="00D3344B" w:rsidRDefault="00143C25">
            <w:pPr>
              <w:pStyle w:val="TableParagraph"/>
              <w:rPr>
                <w:rFonts w:ascii="Arial" w:hAnsi="Arial" w:cs="Arial"/>
                <w:sz w:val="18"/>
                <w:szCs w:val="18"/>
              </w:rPr>
            </w:pPr>
            <w:r>
              <w:rPr>
                <w:rFonts w:ascii="Arial" w:hAnsi="Arial" w:cs="Arial"/>
                <w:w w:val="110"/>
                <w:sz w:val="18"/>
                <w:szCs w:val="18"/>
              </w:rPr>
              <w:lastRenderedPageBreak/>
              <w:t>02-RX-</w:t>
            </w:r>
            <w:r>
              <w:rPr>
                <w:rFonts w:ascii="Arial" w:hAnsi="Arial" w:cs="Arial"/>
                <w:spacing w:val="-5"/>
                <w:w w:val="110"/>
                <w:sz w:val="18"/>
                <w:szCs w:val="18"/>
              </w:rPr>
              <w:t>125</w:t>
            </w:r>
          </w:p>
        </w:tc>
        <w:tc>
          <w:tcPr>
            <w:tcW w:w="3038" w:type="dxa"/>
            <w:tcBorders>
              <w:top w:val="single" w:sz="4" w:space="0" w:color="000000"/>
              <w:left w:val="single" w:sz="4" w:space="0" w:color="000000"/>
              <w:bottom w:val="single" w:sz="4" w:space="0" w:color="000000"/>
              <w:right w:val="single" w:sz="4" w:space="0" w:color="000000"/>
            </w:tcBorders>
          </w:tcPr>
          <w:p w14:paraId="1B31AC32" w14:textId="77777777" w:rsidR="00D3344B" w:rsidRDefault="00143C25">
            <w:pPr>
              <w:pStyle w:val="TableParagraph"/>
              <w:spacing w:line="254" w:lineRule="exact"/>
              <w:ind w:right="-15"/>
              <w:rPr>
                <w:rFonts w:ascii="Arial" w:hAnsi="Arial" w:cs="Arial"/>
                <w:sz w:val="18"/>
                <w:szCs w:val="18"/>
              </w:rPr>
            </w:pPr>
            <w:r>
              <w:rPr>
                <w:rFonts w:ascii="Arial" w:hAnsi="Arial" w:cs="Arial"/>
                <w:w w:val="110"/>
                <w:sz w:val="18"/>
                <w:szCs w:val="18"/>
              </w:rPr>
              <w:t>Interpretación</w:t>
            </w:r>
            <w:r>
              <w:rPr>
                <w:rFonts w:ascii="Arial" w:hAnsi="Arial" w:cs="Arial"/>
                <w:spacing w:val="-16"/>
                <w:w w:val="110"/>
                <w:sz w:val="18"/>
                <w:szCs w:val="18"/>
              </w:rPr>
              <w:t xml:space="preserve"> </w:t>
            </w:r>
            <w:r>
              <w:rPr>
                <w:rFonts w:ascii="Arial" w:hAnsi="Arial" w:cs="Arial"/>
                <w:w w:val="110"/>
                <w:sz w:val="18"/>
                <w:szCs w:val="18"/>
              </w:rPr>
              <w:t>de</w:t>
            </w:r>
            <w:r>
              <w:rPr>
                <w:rFonts w:ascii="Arial" w:hAnsi="Arial" w:cs="Arial"/>
                <w:spacing w:val="-15"/>
                <w:w w:val="110"/>
                <w:sz w:val="18"/>
                <w:szCs w:val="18"/>
              </w:rPr>
              <w:t xml:space="preserve"> </w:t>
            </w:r>
            <w:r>
              <w:rPr>
                <w:rFonts w:ascii="Arial" w:hAnsi="Arial" w:cs="Arial"/>
                <w:w w:val="110"/>
                <w:sz w:val="18"/>
                <w:szCs w:val="18"/>
              </w:rPr>
              <w:t>RX</w:t>
            </w:r>
            <w:r>
              <w:rPr>
                <w:rFonts w:ascii="Arial" w:hAnsi="Arial" w:cs="Arial"/>
                <w:spacing w:val="-15"/>
                <w:w w:val="110"/>
                <w:sz w:val="18"/>
                <w:szCs w:val="18"/>
              </w:rPr>
              <w:t xml:space="preserve"> </w:t>
            </w:r>
            <w:r>
              <w:rPr>
                <w:rFonts w:ascii="Arial" w:hAnsi="Arial" w:cs="Arial"/>
                <w:w w:val="110"/>
                <w:sz w:val="18"/>
                <w:szCs w:val="18"/>
              </w:rPr>
              <w:t>Simple</w:t>
            </w:r>
            <w:r>
              <w:rPr>
                <w:rFonts w:ascii="Arial" w:hAnsi="Arial" w:cs="Arial"/>
                <w:spacing w:val="-6"/>
                <w:w w:val="110"/>
                <w:sz w:val="18"/>
                <w:szCs w:val="18"/>
              </w:rPr>
              <w:t xml:space="preserve"> </w:t>
            </w:r>
            <w:r>
              <w:rPr>
                <w:rFonts w:ascii="Arial" w:hAnsi="Arial" w:cs="Arial"/>
                <w:w w:val="110"/>
                <w:sz w:val="18"/>
                <w:szCs w:val="18"/>
              </w:rPr>
              <w:t xml:space="preserve">(1 </w:t>
            </w:r>
            <w:r>
              <w:rPr>
                <w:rFonts w:ascii="Arial" w:hAnsi="Arial" w:cs="Arial"/>
                <w:spacing w:val="-2"/>
                <w:w w:val="110"/>
                <w:sz w:val="18"/>
                <w:szCs w:val="18"/>
              </w:rPr>
              <w:t>Región)</w:t>
            </w:r>
          </w:p>
        </w:tc>
        <w:tc>
          <w:tcPr>
            <w:tcW w:w="697" w:type="dxa"/>
            <w:tcBorders>
              <w:top w:val="single" w:sz="4" w:space="0" w:color="000000"/>
              <w:left w:val="single" w:sz="4" w:space="0" w:color="000000"/>
              <w:bottom w:val="single" w:sz="4" w:space="0" w:color="000000"/>
              <w:right w:val="single" w:sz="4" w:space="0" w:color="000000"/>
            </w:tcBorders>
          </w:tcPr>
          <w:p w14:paraId="5BA7AF1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1.50</w:t>
            </w:r>
          </w:p>
        </w:tc>
        <w:tc>
          <w:tcPr>
            <w:tcW w:w="695" w:type="dxa"/>
            <w:tcBorders>
              <w:top w:val="single" w:sz="4" w:space="0" w:color="000000"/>
              <w:left w:val="single" w:sz="4" w:space="0" w:color="000000"/>
              <w:bottom w:val="single" w:sz="4" w:space="0" w:color="000000"/>
              <w:right w:val="single" w:sz="4" w:space="0" w:color="000000"/>
            </w:tcBorders>
          </w:tcPr>
          <w:p w14:paraId="4AF3DBCB" w14:textId="77777777" w:rsidR="00D3344B" w:rsidRDefault="00143C25">
            <w:pPr>
              <w:pStyle w:val="TableParagraph"/>
              <w:rPr>
                <w:rFonts w:ascii="Arial" w:hAnsi="Arial" w:cs="Arial"/>
                <w:sz w:val="18"/>
                <w:szCs w:val="18"/>
              </w:rPr>
            </w:pPr>
            <w:r>
              <w:rPr>
                <w:rFonts w:ascii="Arial" w:hAnsi="Arial" w:cs="Arial"/>
                <w:spacing w:val="-4"/>
                <w:w w:val="115"/>
                <w:sz w:val="18"/>
                <w:szCs w:val="18"/>
              </w:rPr>
              <w:t>1.25</w:t>
            </w:r>
          </w:p>
        </w:tc>
        <w:tc>
          <w:tcPr>
            <w:tcW w:w="699" w:type="dxa"/>
            <w:tcBorders>
              <w:top w:val="single" w:sz="4" w:space="0" w:color="000000"/>
              <w:left w:val="single" w:sz="4" w:space="0" w:color="000000"/>
              <w:bottom w:val="single" w:sz="4" w:space="0" w:color="000000"/>
              <w:right w:val="single" w:sz="4" w:space="0" w:color="000000"/>
            </w:tcBorders>
          </w:tcPr>
          <w:p w14:paraId="0843D291" w14:textId="77777777" w:rsidR="00D3344B" w:rsidRDefault="00143C25">
            <w:pPr>
              <w:pStyle w:val="TableParagraph"/>
              <w:rPr>
                <w:rFonts w:ascii="Arial" w:hAnsi="Arial" w:cs="Arial"/>
                <w:sz w:val="18"/>
                <w:szCs w:val="18"/>
              </w:rPr>
            </w:pPr>
            <w:r>
              <w:rPr>
                <w:rFonts w:ascii="Arial" w:hAnsi="Arial" w:cs="Arial"/>
                <w:spacing w:val="-4"/>
                <w:w w:val="115"/>
                <w:sz w:val="18"/>
                <w:szCs w:val="18"/>
              </w:rPr>
              <w:t>1.00</w:t>
            </w:r>
          </w:p>
        </w:tc>
        <w:tc>
          <w:tcPr>
            <w:tcW w:w="699" w:type="dxa"/>
            <w:tcBorders>
              <w:top w:val="single" w:sz="4" w:space="0" w:color="000000"/>
              <w:left w:val="single" w:sz="4" w:space="0" w:color="000000"/>
              <w:bottom w:val="single" w:sz="4" w:space="0" w:color="000000"/>
              <w:right w:val="single" w:sz="4" w:space="0" w:color="000000"/>
            </w:tcBorders>
          </w:tcPr>
          <w:p w14:paraId="2CF1B3A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0.75</w:t>
            </w:r>
          </w:p>
        </w:tc>
        <w:tc>
          <w:tcPr>
            <w:tcW w:w="696" w:type="dxa"/>
            <w:tcBorders>
              <w:top w:val="single" w:sz="4" w:space="0" w:color="000000"/>
              <w:left w:val="single" w:sz="4" w:space="0" w:color="000000"/>
              <w:bottom w:val="single" w:sz="4" w:space="0" w:color="000000"/>
              <w:right w:val="single" w:sz="4" w:space="0" w:color="000000"/>
            </w:tcBorders>
          </w:tcPr>
          <w:p w14:paraId="4F86099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0.50</w:t>
            </w:r>
          </w:p>
        </w:tc>
        <w:tc>
          <w:tcPr>
            <w:tcW w:w="527" w:type="dxa"/>
            <w:tcBorders>
              <w:top w:val="single" w:sz="4" w:space="0" w:color="000000"/>
              <w:left w:val="single" w:sz="4" w:space="0" w:color="000000"/>
              <w:bottom w:val="single" w:sz="4" w:space="0" w:color="000000"/>
              <w:right w:val="single" w:sz="4" w:space="0" w:color="000000"/>
            </w:tcBorders>
          </w:tcPr>
          <w:p w14:paraId="642B1D0E" w14:textId="77777777" w:rsidR="00D3344B" w:rsidRDefault="00D3344B">
            <w:pPr>
              <w:pStyle w:val="TableParagraph"/>
              <w:rPr>
                <w:rFonts w:ascii="Arial" w:hAnsi="Arial" w:cs="Arial"/>
                <w:sz w:val="18"/>
                <w:szCs w:val="18"/>
              </w:rPr>
            </w:pPr>
          </w:p>
        </w:tc>
      </w:tr>
      <w:tr w:rsidR="00D3344B" w14:paraId="61BFF65E" w14:textId="77777777">
        <w:trPr>
          <w:trHeight w:val="295"/>
        </w:trPr>
        <w:tc>
          <w:tcPr>
            <w:tcW w:w="1776" w:type="dxa"/>
            <w:tcBorders>
              <w:top w:val="single" w:sz="4" w:space="0" w:color="000000"/>
              <w:left w:val="single" w:sz="4" w:space="0" w:color="000000"/>
              <w:bottom w:val="single" w:sz="4" w:space="0" w:color="000000"/>
              <w:right w:val="single" w:sz="4" w:space="0" w:color="000000"/>
            </w:tcBorders>
          </w:tcPr>
          <w:p w14:paraId="4570DD66" w14:textId="77777777" w:rsidR="00D3344B" w:rsidRDefault="00143C25">
            <w:pPr>
              <w:pStyle w:val="TableParagraph"/>
              <w:spacing w:line="249" w:lineRule="exact"/>
              <w:rPr>
                <w:rFonts w:ascii="Arial" w:hAnsi="Arial" w:cs="Arial"/>
                <w:sz w:val="18"/>
                <w:szCs w:val="18"/>
              </w:rPr>
            </w:pPr>
            <w:r>
              <w:rPr>
                <w:rFonts w:ascii="Arial" w:hAnsi="Arial" w:cs="Arial"/>
                <w:sz w:val="18"/>
                <w:szCs w:val="18"/>
              </w:rPr>
              <w:t>02-TM-</w:t>
            </w:r>
            <w:r>
              <w:rPr>
                <w:rFonts w:ascii="Arial" w:hAnsi="Arial" w:cs="Arial"/>
                <w:spacing w:val="-5"/>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15EA66BA"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Angiotac</w:t>
            </w:r>
            <w:r>
              <w:rPr>
                <w:rFonts w:ascii="Arial" w:hAnsi="Arial" w:cs="Arial"/>
                <w:spacing w:val="18"/>
                <w:w w:val="110"/>
                <w:sz w:val="18"/>
                <w:szCs w:val="18"/>
              </w:rPr>
              <w:t xml:space="preserve"> </w:t>
            </w:r>
            <w:r>
              <w:rPr>
                <w:rFonts w:ascii="Arial" w:hAnsi="Arial" w:cs="Arial"/>
                <w:spacing w:val="-2"/>
                <w:w w:val="110"/>
                <w:sz w:val="18"/>
                <w:szCs w:val="18"/>
              </w:rPr>
              <w:t>carótidas</w:t>
            </w:r>
          </w:p>
        </w:tc>
        <w:tc>
          <w:tcPr>
            <w:tcW w:w="697" w:type="dxa"/>
            <w:tcBorders>
              <w:top w:val="single" w:sz="4" w:space="0" w:color="000000"/>
              <w:left w:val="single" w:sz="4" w:space="0" w:color="000000"/>
              <w:bottom w:val="single" w:sz="4" w:space="0" w:color="000000"/>
              <w:right w:val="single" w:sz="4" w:space="0" w:color="000000"/>
            </w:tcBorders>
          </w:tcPr>
          <w:p w14:paraId="5C73AAC9"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5C6BCA38"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2E39A115"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73E57B31"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45B3FB77"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24C2D707" w14:textId="77777777" w:rsidR="00D3344B" w:rsidRDefault="00D3344B">
            <w:pPr>
              <w:pStyle w:val="TableParagraph"/>
              <w:rPr>
                <w:rFonts w:ascii="Arial" w:hAnsi="Arial" w:cs="Arial"/>
                <w:sz w:val="18"/>
                <w:szCs w:val="18"/>
              </w:rPr>
            </w:pPr>
          </w:p>
        </w:tc>
      </w:tr>
      <w:tr w:rsidR="00D3344B" w14:paraId="05970AA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C5B5149"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764A2EE3" w14:textId="77777777" w:rsidR="00D3344B" w:rsidRDefault="00143C25">
            <w:pPr>
              <w:pStyle w:val="TableParagraph"/>
              <w:rPr>
                <w:rFonts w:ascii="Arial" w:hAnsi="Arial" w:cs="Arial"/>
                <w:sz w:val="18"/>
                <w:szCs w:val="18"/>
              </w:rPr>
            </w:pPr>
            <w:r>
              <w:rPr>
                <w:rFonts w:ascii="Arial" w:hAnsi="Arial" w:cs="Arial"/>
                <w:w w:val="110"/>
                <w:sz w:val="18"/>
                <w:szCs w:val="18"/>
              </w:rPr>
              <w:t>Angiotac</w:t>
            </w:r>
            <w:r>
              <w:rPr>
                <w:rFonts w:ascii="Arial" w:hAnsi="Arial" w:cs="Arial"/>
                <w:spacing w:val="14"/>
                <w:w w:val="110"/>
                <w:sz w:val="18"/>
                <w:szCs w:val="18"/>
              </w:rPr>
              <w:t xml:space="preserve"> </w:t>
            </w:r>
            <w:r>
              <w:rPr>
                <w:rFonts w:ascii="Arial" w:hAnsi="Arial" w:cs="Arial"/>
                <w:spacing w:val="-2"/>
                <w:w w:val="110"/>
                <w:sz w:val="18"/>
                <w:szCs w:val="18"/>
              </w:rPr>
              <w:t>cráneo</w:t>
            </w:r>
          </w:p>
        </w:tc>
        <w:tc>
          <w:tcPr>
            <w:tcW w:w="697" w:type="dxa"/>
            <w:tcBorders>
              <w:top w:val="single" w:sz="4" w:space="0" w:color="000000"/>
              <w:left w:val="single" w:sz="4" w:space="0" w:color="000000"/>
              <w:bottom w:val="single" w:sz="4" w:space="0" w:color="000000"/>
              <w:right w:val="single" w:sz="4" w:space="0" w:color="000000"/>
            </w:tcBorders>
          </w:tcPr>
          <w:p w14:paraId="16F5C4B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6D883289" w14:textId="77777777" w:rsidR="00D3344B" w:rsidRDefault="00143C25">
            <w:pPr>
              <w:pStyle w:val="TableParagraph"/>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1D07A95C"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49F8DE0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6B698C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4B513625" w14:textId="77777777" w:rsidR="00D3344B" w:rsidRDefault="00D3344B">
            <w:pPr>
              <w:pStyle w:val="TableParagraph"/>
              <w:rPr>
                <w:rFonts w:ascii="Arial" w:hAnsi="Arial" w:cs="Arial"/>
                <w:sz w:val="18"/>
                <w:szCs w:val="18"/>
              </w:rPr>
            </w:pPr>
          </w:p>
        </w:tc>
      </w:tr>
      <w:tr w:rsidR="00D3344B" w14:paraId="6F09F56B"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E7F6628"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005</w:t>
            </w:r>
          </w:p>
        </w:tc>
        <w:tc>
          <w:tcPr>
            <w:tcW w:w="3038" w:type="dxa"/>
            <w:tcBorders>
              <w:top w:val="single" w:sz="4" w:space="0" w:color="000000"/>
              <w:left w:val="single" w:sz="4" w:space="0" w:color="000000"/>
              <w:bottom w:val="single" w:sz="4" w:space="0" w:color="000000"/>
              <w:right w:val="single" w:sz="4" w:space="0" w:color="000000"/>
            </w:tcBorders>
          </w:tcPr>
          <w:p w14:paraId="487ED1B1" w14:textId="77777777" w:rsidR="00D3344B" w:rsidRDefault="00143C25">
            <w:pPr>
              <w:pStyle w:val="TableParagraph"/>
              <w:rPr>
                <w:rFonts w:ascii="Arial" w:hAnsi="Arial" w:cs="Arial"/>
                <w:sz w:val="18"/>
                <w:szCs w:val="18"/>
              </w:rPr>
            </w:pPr>
            <w:r>
              <w:rPr>
                <w:rFonts w:ascii="Arial" w:hAnsi="Arial" w:cs="Arial"/>
                <w:w w:val="110"/>
                <w:sz w:val="18"/>
                <w:szCs w:val="18"/>
              </w:rPr>
              <w:t>Angiotac</w:t>
            </w:r>
            <w:r>
              <w:rPr>
                <w:rFonts w:ascii="Arial" w:hAnsi="Arial" w:cs="Arial"/>
                <w:spacing w:val="11"/>
                <w:w w:val="110"/>
                <w:sz w:val="18"/>
                <w:szCs w:val="18"/>
              </w:rPr>
              <w:t xml:space="preserve"> </w:t>
            </w:r>
            <w:r>
              <w:rPr>
                <w:rFonts w:ascii="Arial" w:hAnsi="Arial" w:cs="Arial"/>
                <w:w w:val="110"/>
                <w:sz w:val="18"/>
                <w:szCs w:val="18"/>
              </w:rPr>
              <w:t>cráneo</w:t>
            </w:r>
            <w:r>
              <w:rPr>
                <w:rFonts w:ascii="Arial" w:hAnsi="Arial" w:cs="Arial"/>
                <w:spacing w:val="11"/>
                <w:w w:val="110"/>
                <w:sz w:val="18"/>
                <w:szCs w:val="18"/>
              </w:rPr>
              <w:t xml:space="preserve"> </w:t>
            </w:r>
            <w:r>
              <w:rPr>
                <w:rFonts w:ascii="Arial" w:hAnsi="Arial" w:cs="Arial"/>
                <w:w w:val="110"/>
                <w:sz w:val="18"/>
                <w:szCs w:val="18"/>
              </w:rPr>
              <w:t>y</w:t>
            </w:r>
            <w:r>
              <w:rPr>
                <w:rFonts w:ascii="Arial" w:hAnsi="Arial" w:cs="Arial"/>
                <w:spacing w:val="11"/>
                <w:w w:val="110"/>
                <w:sz w:val="18"/>
                <w:szCs w:val="18"/>
              </w:rPr>
              <w:t xml:space="preserve"> </w:t>
            </w:r>
            <w:r>
              <w:rPr>
                <w:rFonts w:ascii="Arial" w:hAnsi="Arial" w:cs="Arial"/>
                <w:spacing w:val="-2"/>
                <w:w w:val="110"/>
                <w:sz w:val="18"/>
                <w:szCs w:val="18"/>
              </w:rPr>
              <w:t>cuello</w:t>
            </w:r>
          </w:p>
        </w:tc>
        <w:tc>
          <w:tcPr>
            <w:tcW w:w="697" w:type="dxa"/>
            <w:tcBorders>
              <w:top w:val="single" w:sz="4" w:space="0" w:color="000000"/>
              <w:left w:val="single" w:sz="4" w:space="0" w:color="000000"/>
              <w:bottom w:val="single" w:sz="4" w:space="0" w:color="000000"/>
              <w:right w:val="single" w:sz="4" w:space="0" w:color="000000"/>
            </w:tcBorders>
          </w:tcPr>
          <w:p w14:paraId="443F3FE1"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49.00</w:t>
            </w:r>
          </w:p>
        </w:tc>
        <w:tc>
          <w:tcPr>
            <w:tcW w:w="695" w:type="dxa"/>
            <w:tcBorders>
              <w:top w:val="single" w:sz="4" w:space="0" w:color="000000"/>
              <w:left w:val="single" w:sz="4" w:space="0" w:color="000000"/>
              <w:bottom w:val="single" w:sz="4" w:space="0" w:color="000000"/>
              <w:right w:val="single" w:sz="4" w:space="0" w:color="000000"/>
            </w:tcBorders>
          </w:tcPr>
          <w:p w14:paraId="498266A4" w14:textId="77777777" w:rsidR="00D3344B" w:rsidRDefault="00143C25">
            <w:pPr>
              <w:pStyle w:val="TableParagraph"/>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2AA87B7E" w14:textId="77777777" w:rsidR="00D3344B" w:rsidRDefault="00143C25">
            <w:pPr>
              <w:pStyle w:val="TableParagraph"/>
              <w:rPr>
                <w:rFonts w:ascii="Arial" w:hAnsi="Arial" w:cs="Arial"/>
                <w:sz w:val="18"/>
                <w:szCs w:val="18"/>
              </w:rPr>
            </w:pPr>
            <w:r>
              <w:rPr>
                <w:rFonts w:ascii="Arial" w:hAnsi="Arial" w:cs="Arial"/>
                <w:spacing w:val="-4"/>
                <w:w w:val="115"/>
                <w:sz w:val="18"/>
                <w:szCs w:val="18"/>
              </w:rPr>
              <w:t>39.50</w:t>
            </w:r>
          </w:p>
        </w:tc>
        <w:tc>
          <w:tcPr>
            <w:tcW w:w="699" w:type="dxa"/>
            <w:tcBorders>
              <w:top w:val="single" w:sz="4" w:space="0" w:color="000000"/>
              <w:left w:val="single" w:sz="4" w:space="0" w:color="000000"/>
              <w:bottom w:val="single" w:sz="4" w:space="0" w:color="000000"/>
              <w:right w:val="single" w:sz="4" w:space="0" w:color="000000"/>
            </w:tcBorders>
          </w:tcPr>
          <w:p w14:paraId="1C96696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35.00</w:t>
            </w:r>
          </w:p>
        </w:tc>
        <w:tc>
          <w:tcPr>
            <w:tcW w:w="696" w:type="dxa"/>
            <w:tcBorders>
              <w:top w:val="single" w:sz="4" w:space="0" w:color="000000"/>
              <w:left w:val="single" w:sz="4" w:space="0" w:color="000000"/>
              <w:bottom w:val="single" w:sz="4" w:space="0" w:color="000000"/>
              <w:right w:val="single" w:sz="4" w:space="0" w:color="000000"/>
            </w:tcBorders>
          </w:tcPr>
          <w:p w14:paraId="5156DCC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30.25</w:t>
            </w:r>
          </w:p>
        </w:tc>
        <w:tc>
          <w:tcPr>
            <w:tcW w:w="527" w:type="dxa"/>
            <w:tcBorders>
              <w:top w:val="single" w:sz="4" w:space="0" w:color="000000"/>
              <w:left w:val="single" w:sz="4" w:space="0" w:color="000000"/>
              <w:bottom w:val="single" w:sz="4" w:space="0" w:color="000000"/>
              <w:right w:val="single" w:sz="4" w:space="0" w:color="000000"/>
            </w:tcBorders>
          </w:tcPr>
          <w:p w14:paraId="0C608CE5" w14:textId="77777777" w:rsidR="00D3344B" w:rsidRDefault="00D3344B">
            <w:pPr>
              <w:pStyle w:val="TableParagraph"/>
              <w:rPr>
                <w:rFonts w:ascii="Arial" w:hAnsi="Arial" w:cs="Arial"/>
                <w:sz w:val="18"/>
                <w:szCs w:val="18"/>
              </w:rPr>
            </w:pPr>
          </w:p>
        </w:tc>
      </w:tr>
      <w:tr w:rsidR="00D3344B" w14:paraId="1E29EBAE"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C190DF8"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006</w:t>
            </w:r>
          </w:p>
        </w:tc>
        <w:tc>
          <w:tcPr>
            <w:tcW w:w="3038" w:type="dxa"/>
            <w:tcBorders>
              <w:top w:val="single" w:sz="4" w:space="0" w:color="000000"/>
              <w:left w:val="single" w:sz="4" w:space="0" w:color="000000"/>
              <w:bottom w:val="single" w:sz="4" w:space="0" w:color="000000"/>
              <w:right w:val="single" w:sz="4" w:space="0" w:color="000000"/>
            </w:tcBorders>
          </w:tcPr>
          <w:p w14:paraId="1839C5ED" w14:textId="77777777" w:rsidR="00D3344B" w:rsidRDefault="00143C25">
            <w:pPr>
              <w:pStyle w:val="TableParagraph"/>
              <w:rPr>
                <w:rFonts w:ascii="Arial" w:hAnsi="Arial" w:cs="Arial"/>
                <w:sz w:val="18"/>
                <w:szCs w:val="18"/>
              </w:rPr>
            </w:pPr>
            <w:r>
              <w:rPr>
                <w:rFonts w:ascii="Arial" w:hAnsi="Arial" w:cs="Arial"/>
                <w:w w:val="110"/>
                <w:sz w:val="18"/>
                <w:szCs w:val="18"/>
              </w:rPr>
              <w:t>Angiotac</w:t>
            </w:r>
            <w:r>
              <w:rPr>
                <w:rFonts w:ascii="Arial" w:hAnsi="Arial" w:cs="Arial"/>
                <w:spacing w:val="20"/>
                <w:w w:val="110"/>
                <w:sz w:val="18"/>
                <w:szCs w:val="18"/>
              </w:rPr>
              <w:t xml:space="preserve"> </w:t>
            </w:r>
            <w:r>
              <w:rPr>
                <w:rFonts w:ascii="Arial" w:hAnsi="Arial" w:cs="Arial"/>
                <w:w w:val="110"/>
                <w:sz w:val="18"/>
                <w:szCs w:val="18"/>
              </w:rPr>
              <w:t>aorta</w:t>
            </w:r>
            <w:r>
              <w:rPr>
                <w:rFonts w:ascii="Arial" w:hAnsi="Arial" w:cs="Arial"/>
                <w:spacing w:val="19"/>
                <w:w w:val="110"/>
                <w:sz w:val="18"/>
                <w:szCs w:val="18"/>
              </w:rPr>
              <w:t xml:space="preserve"> </w:t>
            </w:r>
            <w:r>
              <w:rPr>
                <w:rFonts w:ascii="Arial" w:hAnsi="Arial" w:cs="Arial"/>
                <w:spacing w:val="-2"/>
                <w:w w:val="110"/>
                <w:sz w:val="18"/>
                <w:szCs w:val="18"/>
              </w:rPr>
              <w:t>torácica</w:t>
            </w:r>
          </w:p>
        </w:tc>
        <w:tc>
          <w:tcPr>
            <w:tcW w:w="697" w:type="dxa"/>
            <w:tcBorders>
              <w:top w:val="single" w:sz="4" w:space="0" w:color="000000"/>
              <w:left w:val="single" w:sz="4" w:space="0" w:color="000000"/>
              <w:bottom w:val="single" w:sz="4" w:space="0" w:color="000000"/>
              <w:right w:val="single" w:sz="4" w:space="0" w:color="000000"/>
            </w:tcBorders>
          </w:tcPr>
          <w:p w14:paraId="7B6ADF0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4DFBDA47" w14:textId="77777777" w:rsidR="00D3344B" w:rsidRDefault="00143C25">
            <w:pPr>
              <w:pStyle w:val="TableParagraph"/>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51F1A6A4"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3E92BB0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1E1E6A3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0FDCA16F" w14:textId="77777777" w:rsidR="00D3344B" w:rsidRDefault="00D3344B">
            <w:pPr>
              <w:pStyle w:val="TableParagraph"/>
              <w:rPr>
                <w:rFonts w:ascii="Arial" w:hAnsi="Arial" w:cs="Arial"/>
                <w:sz w:val="18"/>
                <w:szCs w:val="18"/>
              </w:rPr>
            </w:pPr>
          </w:p>
        </w:tc>
      </w:tr>
      <w:tr w:rsidR="00D3344B" w14:paraId="0C50289D"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9432935"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007</w:t>
            </w:r>
          </w:p>
        </w:tc>
        <w:tc>
          <w:tcPr>
            <w:tcW w:w="3038" w:type="dxa"/>
            <w:tcBorders>
              <w:top w:val="single" w:sz="4" w:space="0" w:color="000000"/>
              <w:left w:val="single" w:sz="4" w:space="0" w:color="000000"/>
              <w:bottom w:val="single" w:sz="4" w:space="0" w:color="000000"/>
              <w:right w:val="single" w:sz="4" w:space="0" w:color="000000"/>
            </w:tcBorders>
          </w:tcPr>
          <w:p w14:paraId="3090BC88" w14:textId="77777777" w:rsidR="00D3344B" w:rsidRDefault="00143C25">
            <w:pPr>
              <w:pStyle w:val="TableParagraph"/>
              <w:rPr>
                <w:rFonts w:ascii="Arial" w:hAnsi="Arial" w:cs="Arial"/>
                <w:sz w:val="18"/>
                <w:szCs w:val="18"/>
              </w:rPr>
            </w:pPr>
            <w:r>
              <w:rPr>
                <w:rFonts w:ascii="Arial" w:hAnsi="Arial" w:cs="Arial"/>
                <w:w w:val="110"/>
                <w:sz w:val="18"/>
                <w:szCs w:val="18"/>
              </w:rPr>
              <w:t>Angiotac</w:t>
            </w:r>
            <w:r>
              <w:rPr>
                <w:rFonts w:ascii="Arial" w:hAnsi="Arial" w:cs="Arial"/>
                <w:spacing w:val="20"/>
                <w:w w:val="110"/>
                <w:sz w:val="18"/>
                <w:szCs w:val="18"/>
              </w:rPr>
              <w:t xml:space="preserve"> </w:t>
            </w:r>
            <w:r>
              <w:rPr>
                <w:rFonts w:ascii="Arial" w:hAnsi="Arial" w:cs="Arial"/>
                <w:w w:val="110"/>
                <w:sz w:val="18"/>
                <w:szCs w:val="18"/>
              </w:rPr>
              <w:t>aorta</w:t>
            </w:r>
            <w:r>
              <w:rPr>
                <w:rFonts w:ascii="Arial" w:hAnsi="Arial" w:cs="Arial"/>
                <w:spacing w:val="19"/>
                <w:w w:val="110"/>
                <w:sz w:val="18"/>
                <w:szCs w:val="18"/>
              </w:rPr>
              <w:t xml:space="preserve"> </w:t>
            </w:r>
            <w:r>
              <w:rPr>
                <w:rFonts w:ascii="Arial" w:hAnsi="Arial" w:cs="Arial"/>
                <w:spacing w:val="-2"/>
                <w:w w:val="110"/>
                <w:sz w:val="18"/>
                <w:szCs w:val="18"/>
              </w:rPr>
              <w:t>abdominal</w:t>
            </w:r>
          </w:p>
        </w:tc>
        <w:tc>
          <w:tcPr>
            <w:tcW w:w="697" w:type="dxa"/>
            <w:tcBorders>
              <w:top w:val="single" w:sz="4" w:space="0" w:color="000000"/>
              <w:left w:val="single" w:sz="4" w:space="0" w:color="000000"/>
              <w:bottom w:val="single" w:sz="4" w:space="0" w:color="000000"/>
              <w:right w:val="single" w:sz="4" w:space="0" w:color="000000"/>
            </w:tcBorders>
          </w:tcPr>
          <w:p w14:paraId="3B9D84E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25013192" w14:textId="77777777" w:rsidR="00D3344B" w:rsidRDefault="00143C25">
            <w:pPr>
              <w:pStyle w:val="TableParagraph"/>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39D76DBB"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1899618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4F3FFDB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64F4543A" w14:textId="77777777" w:rsidR="00D3344B" w:rsidRDefault="00D3344B">
            <w:pPr>
              <w:pStyle w:val="TableParagraph"/>
              <w:rPr>
                <w:rFonts w:ascii="Arial" w:hAnsi="Arial" w:cs="Arial"/>
                <w:sz w:val="18"/>
                <w:szCs w:val="18"/>
              </w:rPr>
            </w:pPr>
          </w:p>
        </w:tc>
      </w:tr>
      <w:tr w:rsidR="00D3344B" w14:paraId="7C9E3BB6"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A32C5F4"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008</w:t>
            </w:r>
          </w:p>
        </w:tc>
        <w:tc>
          <w:tcPr>
            <w:tcW w:w="3038" w:type="dxa"/>
            <w:tcBorders>
              <w:top w:val="single" w:sz="4" w:space="0" w:color="000000"/>
              <w:left w:val="single" w:sz="4" w:space="0" w:color="000000"/>
              <w:bottom w:val="single" w:sz="4" w:space="0" w:color="000000"/>
              <w:right w:val="single" w:sz="4" w:space="0" w:color="000000"/>
            </w:tcBorders>
          </w:tcPr>
          <w:p w14:paraId="08E12751"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Angiotac</w:t>
            </w:r>
            <w:r>
              <w:rPr>
                <w:rFonts w:ascii="Arial" w:hAnsi="Arial" w:cs="Arial"/>
                <w:spacing w:val="7"/>
                <w:w w:val="115"/>
                <w:sz w:val="18"/>
                <w:szCs w:val="18"/>
              </w:rPr>
              <w:t xml:space="preserve"> </w:t>
            </w:r>
            <w:r>
              <w:rPr>
                <w:rFonts w:ascii="Arial" w:hAnsi="Arial" w:cs="Arial"/>
                <w:w w:val="115"/>
                <w:sz w:val="18"/>
                <w:szCs w:val="18"/>
              </w:rPr>
              <w:t>aorta</w:t>
            </w:r>
            <w:r>
              <w:rPr>
                <w:rFonts w:ascii="Arial" w:hAnsi="Arial" w:cs="Arial"/>
                <w:spacing w:val="65"/>
                <w:w w:val="115"/>
                <w:sz w:val="18"/>
                <w:szCs w:val="18"/>
              </w:rPr>
              <w:t xml:space="preserve"> </w:t>
            </w:r>
            <w:r>
              <w:rPr>
                <w:rFonts w:ascii="Arial" w:hAnsi="Arial" w:cs="Arial"/>
                <w:w w:val="115"/>
                <w:sz w:val="18"/>
                <w:szCs w:val="18"/>
              </w:rPr>
              <w:t xml:space="preserve">toraco- </w:t>
            </w:r>
            <w:r>
              <w:rPr>
                <w:rFonts w:ascii="Arial" w:hAnsi="Arial" w:cs="Arial"/>
                <w:spacing w:val="-2"/>
                <w:w w:val="115"/>
                <w:sz w:val="18"/>
                <w:szCs w:val="18"/>
              </w:rPr>
              <w:t>abdominal</w:t>
            </w:r>
          </w:p>
        </w:tc>
        <w:tc>
          <w:tcPr>
            <w:tcW w:w="697" w:type="dxa"/>
            <w:tcBorders>
              <w:top w:val="single" w:sz="4" w:space="0" w:color="000000"/>
              <w:left w:val="single" w:sz="4" w:space="0" w:color="000000"/>
              <w:bottom w:val="single" w:sz="4" w:space="0" w:color="000000"/>
              <w:right w:val="single" w:sz="4" w:space="0" w:color="000000"/>
            </w:tcBorders>
          </w:tcPr>
          <w:p w14:paraId="40AE03B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49.00</w:t>
            </w:r>
          </w:p>
        </w:tc>
        <w:tc>
          <w:tcPr>
            <w:tcW w:w="695" w:type="dxa"/>
            <w:tcBorders>
              <w:top w:val="single" w:sz="4" w:space="0" w:color="000000"/>
              <w:left w:val="single" w:sz="4" w:space="0" w:color="000000"/>
              <w:bottom w:val="single" w:sz="4" w:space="0" w:color="000000"/>
              <w:right w:val="single" w:sz="4" w:space="0" w:color="000000"/>
            </w:tcBorders>
          </w:tcPr>
          <w:p w14:paraId="6ED0C97C" w14:textId="77777777" w:rsidR="00D3344B" w:rsidRDefault="00143C25">
            <w:pPr>
              <w:pStyle w:val="TableParagraph"/>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5ACE839F" w14:textId="77777777" w:rsidR="00D3344B" w:rsidRDefault="00143C25">
            <w:pPr>
              <w:pStyle w:val="TableParagraph"/>
              <w:rPr>
                <w:rFonts w:ascii="Arial" w:hAnsi="Arial" w:cs="Arial"/>
                <w:sz w:val="18"/>
                <w:szCs w:val="18"/>
              </w:rPr>
            </w:pPr>
            <w:r>
              <w:rPr>
                <w:rFonts w:ascii="Arial" w:hAnsi="Arial" w:cs="Arial"/>
                <w:spacing w:val="-4"/>
                <w:w w:val="115"/>
                <w:sz w:val="18"/>
                <w:szCs w:val="18"/>
              </w:rPr>
              <w:t>39.50</w:t>
            </w:r>
          </w:p>
        </w:tc>
        <w:tc>
          <w:tcPr>
            <w:tcW w:w="699" w:type="dxa"/>
            <w:tcBorders>
              <w:top w:val="single" w:sz="4" w:space="0" w:color="000000"/>
              <w:left w:val="single" w:sz="4" w:space="0" w:color="000000"/>
              <w:bottom w:val="single" w:sz="4" w:space="0" w:color="000000"/>
              <w:right w:val="single" w:sz="4" w:space="0" w:color="000000"/>
            </w:tcBorders>
          </w:tcPr>
          <w:p w14:paraId="3F9C420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35.00</w:t>
            </w:r>
          </w:p>
        </w:tc>
        <w:tc>
          <w:tcPr>
            <w:tcW w:w="696" w:type="dxa"/>
            <w:tcBorders>
              <w:top w:val="single" w:sz="4" w:space="0" w:color="000000"/>
              <w:left w:val="single" w:sz="4" w:space="0" w:color="000000"/>
              <w:bottom w:val="single" w:sz="4" w:space="0" w:color="000000"/>
              <w:right w:val="single" w:sz="4" w:space="0" w:color="000000"/>
            </w:tcBorders>
          </w:tcPr>
          <w:p w14:paraId="689EDE0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30.25</w:t>
            </w:r>
          </w:p>
        </w:tc>
        <w:tc>
          <w:tcPr>
            <w:tcW w:w="527" w:type="dxa"/>
            <w:tcBorders>
              <w:top w:val="single" w:sz="4" w:space="0" w:color="000000"/>
              <w:left w:val="single" w:sz="4" w:space="0" w:color="000000"/>
              <w:bottom w:val="single" w:sz="4" w:space="0" w:color="000000"/>
              <w:right w:val="single" w:sz="4" w:space="0" w:color="000000"/>
            </w:tcBorders>
          </w:tcPr>
          <w:p w14:paraId="31B80B82" w14:textId="77777777" w:rsidR="00D3344B" w:rsidRDefault="00D3344B">
            <w:pPr>
              <w:pStyle w:val="TableParagraph"/>
              <w:rPr>
                <w:rFonts w:ascii="Arial" w:hAnsi="Arial" w:cs="Arial"/>
                <w:sz w:val="18"/>
                <w:szCs w:val="18"/>
              </w:rPr>
            </w:pPr>
          </w:p>
        </w:tc>
      </w:tr>
      <w:tr w:rsidR="00D3344B" w14:paraId="40D78F6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D65ABE1"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02-TM-</w:t>
            </w:r>
            <w:r>
              <w:rPr>
                <w:rFonts w:ascii="Arial" w:hAnsi="Arial" w:cs="Arial"/>
                <w:spacing w:val="-5"/>
                <w:sz w:val="18"/>
                <w:szCs w:val="18"/>
              </w:rPr>
              <w:t>009</w:t>
            </w:r>
          </w:p>
        </w:tc>
        <w:tc>
          <w:tcPr>
            <w:tcW w:w="3038" w:type="dxa"/>
            <w:tcBorders>
              <w:top w:val="single" w:sz="4" w:space="0" w:color="000000"/>
              <w:left w:val="single" w:sz="4" w:space="0" w:color="000000"/>
              <w:bottom w:val="single" w:sz="4" w:space="0" w:color="000000"/>
              <w:right w:val="single" w:sz="4" w:space="0" w:color="000000"/>
            </w:tcBorders>
          </w:tcPr>
          <w:p w14:paraId="207FACD5" w14:textId="77777777" w:rsidR="00D3344B" w:rsidRDefault="00143C25">
            <w:pPr>
              <w:pStyle w:val="TableParagraph"/>
              <w:tabs>
                <w:tab w:val="left" w:pos="1476"/>
              </w:tabs>
              <w:spacing w:line="252" w:lineRule="exact"/>
              <w:ind w:right="599"/>
              <w:rPr>
                <w:rFonts w:ascii="Arial" w:hAnsi="Arial" w:cs="Arial"/>
                <w:sz w:val="18"/>
                <w:szCs w:val="18"/>
              </w:rPr>
            </w:pPr>
            <w:r>
              <w:rPr>
                <w:rFonts w:ascii="Arial" w:hAnsi="Arial" w:cs="Arial"/>
                <w:spacing w:val="-2"/>
                <w:w w:val="110"/>
                <w:sz w:val="18"/>
                <w:szCs w:val="18"/>
              </w:rPr>
              <w:t>Angiotac</w:t>
            </w:r>
            <w:r>
              <w:rPr>
                <w:rFonts w:ascii="Arial" w:hAnsi="Arial" w:cs="Arial"/>
                <w:sz w:val="18"/>
                <w:szCs w:val="18"/>
              </w:rPr>
              <w:tab/>
            </w:r>
            <w:r>
              <w:rPr>
                <w:rFonts w:ascii="Arial" w:hAnsi="Arial" w:cs="Arial"/>
                <w:spacing w:val="-4"/>
                <w:w w:val="110"/>
                <w:sz w:val="18"/>
                <w:szCs w:val="18"/>
              </w:rPr>
              <w:t xml:space="preserve">miembros </w:t>
            </w:r>
            <w:r>
              <w:rPr>
                <w:rFonts w:ascii="Arial" w:hAnsi="Arial" w:cs="Arial"/>
                <w:spacing w:val="-2"/>
                <w:w w:val="110"/>
                <w:sz w:val="18"/>
                <w:szCs w:val="18"/>
              </w:rPr>
              <w:t>inferiores</w:t>
            </w:r>
          </w:p>
        </w:tc>
        <w:tc>
          <w:tcPr>
            <w:tcW w:w="697" w:type="dxa"/>
            <w:tcBorders>
              <w:top w:val="single" w:sz="4" w:space="0" w:color="000000"/>
              <w:left w:val="single" w:sz="4" w:space="0" w:color="000000"/>
              <w:bottom w:val="single" w:sz="4" w:space="0" w:color="000000"/>
              <w:right w:val="single" w:sz="4" w:space="0" w:color="000000"/>
            </w:tcBorders>
          </w:tcPr>
          <w:p w14:paraId="5D1635E7"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49.00</w:t>
            </w:r>
          </w:p>
        </w:tc>
        <w:tc>
          <w:tcPr>
            <w:tcW w:w="695" w:type="dxa"/>
            <w:tcBorders>
              <w:top w:val="single" w:sz="4" w:space="0" w:color="000000"/>
              <w:left w:val="single" w:sz="4" w:space="0" w:color="000000"/>
              <w:bottom w:val="single" w:sz="4" w:space="0" w:color="000000"/>
              <w:right w:val="single" w:sz="4" w:space="0" w:color="000000"/>
            </w:tcBorders>
          </w:tcPr>
          <w:p w14:paraId="381EC68B"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0FB3A45B"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39.50</w:t>
            </w:r>
          </w:p>
        </w:tc>
        <w:tc>
          <w:tcPr>
            <w:tcW w:w="699" w:type="dxa"/>
            <w:tcBorders>
              <w:top w:val="single" w:sz="4" w:space="0" w:color="000000"/>
              <w:left w:val="single" w:sz="4" w:space="0" w:color="000000"/>
              <w:bottom w:val="single" w:sz="4" w:space="0" w:color="000000"/>
              <w:right w:val="single" w:sz="4" w:space="0" w:color="000000"/>
            </w:tcBorders>
          </w:tcPr>
          <w:p w14:paraId="79B4F313"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35.00</w:t>
            </w:r>
          </w:p>
        </w:tc>
        <w:tc>
          <w:tcPr>
            <w:tcW w:w="696" w:type="dxa"/>
            <w:tcBorders>
              <w:top w:val="single" w:sz="4" w:space="0" w:color="000000"/>
              <w:left w:val="single" w:sz="4" w:space="0" w:color="000000"/>
              <w:bottom w:val="single" w:sz="4" w:space="0" w:color="000000"/>
              <w:right w:val="single" w:sz="4" w:space="0" w:color="000000"/>
            </w:tcBorders>
          </w:tcPr>
          <w:p w14:paraId="2DDE0CB3"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30.25</w:t>
            </w:r>
          </w:p>
        </w:tc>
        <w:tc>
          <w:tcPr>
            <w:tcW w:w="527" w:type="dxa"/>
            <w:tcBorders>
              <w:top w:val="single" w:sz="4" w:space="0" w:color="000000"/>
              <w:left w:val="single" w:sz="4" w:space="0" w:color="000000"/>
              <w:bottom w:val="single" w:sz="4" w:space="0" w:color="000000"/>
              <w:right w:val="single" w:sz="4" w:space="0" w:color="000000"/>
            </w:tcBorders>
          </w:tcPr>
          <w:p w14:paraId="3A99FEFA" w14:textId="77777777" w:rsidR="00D3344B" w:rsidRDefault="00D3344B">
            <w:pPr>
              <w:pStyle w:val="TableParagraph"/>
              <w:rPr>
                <w:rFonts w:ascii="Arial" w:hAnsi="Arial" w:cs="Arial"/>
                <w:sz w:val="18"/>
                <w:szCs w:val="18"/>
              </w:rPr>
            </w:pPr>
          </w:p>
        </w:tc>
      </w:tr>
      <w:tr w:rsidR="00D3344B" w14:paraId="5B94A2F3"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28A4CF9D"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010</w:t>
            </w:r>
          </w:p>
        </w:tc>
        <w:tc>
          <w:tcPr>
            <w:tcW w:w="3038" w:type="dxa"/>
            <w:tcBorders>
              <w:top w:val="single" w:sz="4" w:space="0" w:color="000000"/>
              <w:left w:val="single" w:sz="4" w:space="0" w:color="000000"/>
              <w:bottom w:val="single" w:sz="4" w:space="0" w:color="000000"/>
              <w:right w:val="single" w:sz="4" w:space="0" w:color="000000"/>
            </w:tcBorders>
          </w:tcPr>
          <w:p w14:paraId="55BD7D2B" w14:textId="77777777" w:rsidR="00D3344B" w:rsidRDefault="00143C25">
            <w:pPr>
              <w:pStyle w:val="TableParagraph"/>
              <w:rPr>
                <w:rFonts w:ascii="Arial" w:hAnsi="Arial" w:cs="Arial"/>
                <w:sz w:val="18"/>
                <w:szCs w:val="18"/>
              </w:rPr>
            </w:pPr>
            <w:r>
              <w:rPr>
                <w:rFonts w:ascii="Arial" w:hAnsi="Arial" w:cs="Arial"/>
                <w:spacing w:val="-2"/>
                <w:w w:val="115"/>
                <w:sz w:val="18"/>
                <w:szCs w:val="18"/>
              </w:rPr>
              <w:t>Angiotac</w:t>
            </w:r>
            <w:r>
              <w:rPr>
                <w:rFonts w:ascii="Arial" w:hAnsi="Arial" w:cs="Arial"/>
                <w:spacing w:val="-6"/>
                <w:w w:val="115"/>
                <w:sz w:val="18"/>
                <w:szCs w:val="18"/>
              </w:rPr>
              <w:t xml:space="preserve"> </w:t>
            </w:r>
            <w:r>
              <w:rPr>
                <w:rFonts w:ascii="Arial" w:hAnsi="Arial" w:cs="Arial"/>
                <w:spacing w:val="-2"/>
                <w:w w:val="115"/>
                <w:sz w:val="18"/>
                <w:szCs w:val="18"/>
              </w:rPr>
              <w:t>pulmonar</w:t>
            </w:r>
          </w:p>
        </w:tc>
        <w:tc>
          <w:tcPr>
            <w:tcW w:w="697" w:type="dxa"/>
            <w:tcBorders>
              <w:top w:val="single" w:sz="4" w:space="0" w:color="000000"/>
              <w:left w:val="single" w:sz="4" w:space="0" w:color="000000"/>
              <w:bottom w:val="single" w:sz="4" w:space="0" w:color="000000"/>
              <w:right w:val="single" w:sz="4" w:space="0" w:color="000000"/>
            </w:tcBorders>
          </w:tcPr>
          <w:p w14:paraId="6177D13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4CA2B2E1" w14:textId="77777777" w:rsidR="00D3344B" w:rsidRDefault="00143C25">
            <w:pPr>
              <w:pStyle w:val="TableParagraph"/>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18B5318A"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7A3A3FC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27AD2AB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394D0A65" w14:textId="77777777" w:rsidR="00D3344B" w:rsidRDefault="00D3344B">
            <w:pPr>
              <w:pStyle w:val="TableParagraph"/>
              <w:rPr>
                <w:rFonts w:ascii="Arial" w:hAnsi="Arial" w:cs="Arial"/>
                <w:sz w:val="18"/>
                <w:szCs w:val="18"/>
              </w:rPr>
            </w:pPr>
          </w:p>
        </w:tc>
      </w:tr>
      <w:tr w:rsidR="00D3344B" w14:paraId="65537D0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03C3172"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011</w:t>
            </w:r>
          </w:p>
        </w:tc>
        <w:tc>
          <w:tcPr>
            <w:tcW w:w="3038" w:type="dxa"/>
            <w:tcBorders>
              <w:top w:val="single" w:sz="4" w:space="0" w:color="000000"/>
              <w:left w:val="single" w:sz="4" w:space="0" w:color="000000"/>
              <w:bottom w:val="single" w:sz="4" w:space="0" w:color="000000"/>
              <w:right w:val="single" w:sz="4" w:space="0" w:color="000000"/>
            </w:tcBorders>
          </w:tcPr>
          <w:p w14:paraId="5041D534" w14:textId="77777777" w:rsidR="00D3344B" w:rsidRDefault="00143C25">
            <w:pPr>
              <w:pStyle w:val="TableParagraph"/>
              <w:spacing w:line="252" w:lineRule="exact"/>
              <w:rPr>
                <w:rFonts w:ascii="Arial" w:hAnsi="Arial" w:cs="Arial"/>
                <w:sz w:val="18"/>
                <w:szCs w:val="18"/>
              </w:rPr>
            </w:pPr>
            <w:r>
              <w:rPr>
                <w:rFonts w:ascii="Arial" w:hAnsi="Arial" w:cs="Arial"/>
                <w:spacing w:val="-2"/>
                <w:w w:val="110"/>
                <w:sz w:val="18"/>
                <w:szCs w:val="18"/>
              </w:rPr>
              <w:t>Ortopantomografía</w:t>
            </w:r>
            <w:r>
              <w:rPr>
                <w:rFonts w:ascii="Arial" w:hAnsi="Arial" w:cs="Arial"/>
                <w:spacing w:val="56"/>
                <w:w w:val="110"/>
                <w:sz w:val="18"/>
                <w:szCs w:val="18"/>
              </w:rPr>
              <w:t xml:space="preserve"> </w:t>
            </w:r>
            <w:r>
              <w:rPr>
                <w:rFonts w:ascii="Arial" w:hAnsi="Arial" w:cs="Arial"/>
                <w:spacing w:val="-2"/>
                <w:w w:val="110"/>
                <w:sz w:val="18"/>
                <w:szCs w:val="18"/>
              </w:rPr>
              <w:t>por Tomografía</w:t>
            </w:r>
          </w:p>
        </w:tc>
        <w:tc>
          <w:tcPr>
            <w:tcW w:w="697" w:type="dxa"/>
            <w:tcBorders>
              <w:top w:val="single" w:sz="4" w:space="0" w:color="000000"/>
              <w:left w:val="single" w:sz="4" w:space="0" w:color="000000"/>
              <w:bottom w:val="single" w:sz="4" w:space="0" w:color="000000"/>
              <w:right w:val="single" w:sz="4" w:space="0" w:color="000000"/>
            </w:tcBorders>
          </w:tcPr>
          <w:p w14:paraId="089D103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7.75</w:t>
            </w:r>
          </w:p>
        </w:tc>
        <w:tc>
          <w:tcPr>
            <w:tcW w:w="695" w:type="dxa"/>
            <w:tcBorders>
              <w:top w:val="single" w:sz="4" w:space="0" w:color="000000"/>
              <w:left w:val="single" w:sz="4" w:space="0" w:color="000000"/>
              <w:bottom w:val="single" w:sz="4" w:space="0" w:color="000000"/>
              <w:right w:val="single" w:sz="4" w:space="0" w:color="000000"/>
            </w:tcBorders>
          </w:tcPr>
          <w:p w14:paraId="0C841681" w14:textId="77777777" w:rsidR="00D3344B" w:rsidRDefault="00143C25">
            <w:pPr>
              <w:pStyle w:val="TableParagraph"/>
              <w:rPr>
                <w:rFonts w:ascii="Arial" w:hAnsi="Arial" w:cs="Arial"/>
                <w:sz w:val="18"/>
                <w:szCs w:val="18"/>
              </w:rPr>
            </w:pPr>
            <w:r>
              <w:rPr>
                <w:rFonts w:ascii="Arial" w:hAnsi="Arial" w:cs="Arial"/>
                <w:spacing w:val="-4"/>
                <w:w w:val="115"/>
                <w:sz w:val="18"/>
                <w:szCs w:val="18"/>
              </w:rPr>
              <w:t>6.50</w:t>
            </w:r>
          </w:p>
        </w:tc>
        <w:tc>
          <w:tcPr>
            <w:tcW w:w="699" w:type="dxa"/>
            <w:tcBorders>
              <w:top w:val="single" w:sz="4" w:space="0" w:color="000000"/>
              <w:left w:val="single" w:sz="4" w:space="0" w:color="000000"/>
              <w:bottom w:val="single" w:sz="4" w:space="0" w:color="000000"/>
              <w:right w:val="single" w:sz="4" w:space="0" w:color="000000"/>
            </w:tcBorders>
          </w:tcPr>
          <w:p w14:paraId="42600464" w14:textId="77777777" w:rsidR="00D3344B" w:rsidRDefault="00143C25">
            <w:pPr>
              <w:pStyle w:val="TableParagraph"/>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78954CA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3.25</w:t>
            </w:r>
          </w:p>
        </w:tc>
        <w:tc>
          <w:tcPr>
            <w:tcW w:w="696" w:type="dxa"/>
            <w:tcBorders>
              <w:top w:val="single" w:sz="4" w:space="0" w:color="000000"/>
              <w:left w:val="single" w:sz="4" w:space="0" w:color="000000"/>
              <w:bottom w:val="single" w:sz="4" w:space="0" w:color="000000"/>
              <w:right w:val="single" w:sz="4" w:space="0" w:color="000000"/>
            </w:tcBorders>
          </w:tcPr>
          <w:p w14:paraId="12AA010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1EF62E1B" w14:textId="77777777" w:rsidR="00D3344B" w:rsidRDefault="00D3344B">
            <w:pPr>
              <w:pStyle w:val="TableParagraph"/>
              <w:rPr>
                <w:rFonts w:ascii="Arial" w:hAnsi="Arial" w:cs="Arial"/>
                <w:sz w:val="18"/>
                <w:szCs w:val="18"/>
              </w:rPr>
            </w:pPr>
          </w:p>
        </w:tc>
      </w:tr>
      <w:tr w:rsidR="00D3344B" w14:paraId="7215F07D"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4EEF55DF"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012</w:t>
            </w:r>
          </w:p>
        </w:tc>
        <w:tc>
          <w:tcPr>
            <w:tcW w:w="3038" w:type="dxa"/>
            <w:tcBorders>
              <w:top w:val="single" w:sz="4" w:space="0" w:color="000000"/>
              <w:left w:val="single" w:sz="4" w:space="0" w:color="000000"/>
              <w:bottom w:val="single" w:sz="4" w:space="0" w:color="000000"/>
              <w:right w:val="single" w:sz="4" w:space="0" w:color="000000"/>
            </w:tcBorders>
          </w:tcPr>
          <w:p w14:paraId="4EBE22EE" w14:textId="77777777" w:rsidR="00D3344B" w:rsidRDefault="00143C25">
            <w:pPr>
              <w:pStyle w:val="TableParagraph"/>
              <w:rPr>
                <w:rFonts w:ascii="Arial" w:hAnsi="Arial" w:cs="Arial"/>
                <w:sz w:val="18"/>
                <w:szCs w:val="18"/>
              </w:rPr>
            </w:pPr>
            <w:r>
              <w:rPr>
                <w:rFonts w:ascii="Arial" w:hAnsi="Arial" w:cs="Arial"/>
                <w:w w:val="105"/>
                <w:sz w:val="18"/>
                <w:szCs w:val="18"/>
              </w:rPr>
              <w:t>Tomografía</w:t>
            </w:r>
            <w:r>
              <w:rPr>
                <w:rFonts w:ascii="Arial" w:hAnsi="Arial" w:cs="Arial"/>
                <w:spacing w:val="44"/>
                <w:w w:val="110"/>
                <w:sz w:val="18"/>
                <w:szCs w:val="18"/>
              </w:rPr>
              <w:t xml:space="preserve"> </w:t>
            </w:r>
            <w:r>
              <w:rPr>
                <w:rFonts w:ascii="Arial" w:hAnsi="Arial" w:cs="Arial"/>
                <w:spacing w:val="-2"/>
                <w:w w:val="110"/>
                <w:sz w:val="18"/>
                <w:szCs w:val="18"/>
              </w:rPr>
              <w:t>Dental</w:t>
            </w:r>
          </w:p>
        </w:tc>
        <w:tc>
          <w:tcPr>
            <w:tcW w:w="697" w:type="dxa"/>
            <w:tcBorders>
              <w:top w:val="single" w:sz="4" w:space="0" w:color="000000"/>
              <w:left w:val="single" w:sz="4" w:space="0" w:color="000000"/>
              <w:bottom w:val="single" w:sz="4" w:space="0" w:color="000000"/>
              <w:right w:val="single" w:sz="4" w:space="0" w:color="000000"/>
            </w:tcBorders>
          </w:tcPr>
          <w:p w14:paraId="6F4ED2E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14.00</w:t>
            </w:r>
          </w:p>
        </w:tc>
        <w:tc>
          <w:tcPr>
            <w:tcW w:w="695" w:type="dxa"/>
            <w:tcBorders>
              <w:top w:val="single" w:sz="4" w:space="0" w:color="000000"/>
              <w:left w:val="single" w:sz="4" w:space="0" w:color="000000"/>
              <w:bottom w:val="single" w:sz="4" w:space="0" w:color="000000"/>
              <w:right w:val="single" w:sz="4" w:space="0" w:color="000000"/>
            </w:tcBorders>
          </w:tcPr>
          <w:p w14:paraId="3DFE154D" w14:textId="77777777" w:rsidR="00D3344B" w:rsidRDefault="00143C25">
            <w:pPr>
              <w:pStyle w:val="TableParagraph"/>
              <w:rPr>
                <w:rFonts w:ascii="Arial" w:hAnsi="Arial" w:cs="Arial"/>
                <w:sz w:val="18"/>
                <w:szCs w:val="18"/>
              </w:rPr>
            </w:pPr>
            <w:r>
              <w:rPr>
                <w:rFonts w:ascii="Arial" w:hAnsi="Arial" w:cs="Arial"/>
                <w:spacing w:val="-4"/>
                <w:w w:val="115"/>
                <w:sz w:val="18"/>
                <w:szCs w:val="18"/>
              </w:rPr>
              <w:t>11.75</w:t>
            </w:r>
          </w:p>
        </w:tc>
        <w:tc>
          <w:tcPr>
            <w:tcW w:w="699" w:type="dxa"/>
            <w:tcBorders>
              <w:top w:val="single" w:sz="4" w:space="0" w:color="000000"/>
              <w:left w:val="single" w:sz="4" w:space="0" w:color="000000"/>
              <w:bottom w:val="single" w:sz="4" w:space="0" w:color="000000"/>
              <w:right w:val="single" w:sz="4" w:space="0" w:color="000000"/>
            </w:tcBorders>
          </w:tcPr>
          <w:p w14:paraId="57841119" w14:textId="77777777" w:rsidR="00D3344B" w:rsidRDefault="00143C25">
            <w:pPr>
              <w:pStyle w:val="TableParagraph"/>
              <w:rPr>
                <w:rFonts w:ascii="Arial" w:hAnsi="Arial" w:cs="Arial"/>
                <w:sz w:val="18"/>
                <w:szCs w:val="18"/>
              </w:rPr>
            </w:pPr>
            <w:r>
              <w:rPr>
                <w:rFonts w:ascii="Arial" w:hAnsi="Arial" w:cs="Arial"/>
                <w:spacing w:val="-4"/>
                <w:w w:val="115"/>
                <w:sz w:val="18"/>
                <w:szCs w:val="18"/>
              </w:rPr>
              <w:t>9.25</w:t>
            </w:r>
          </w:p>
        </w:tc>
        <w:tc>
          <w:tcPr>
            <w:tcW w:w="699" w:type="dxa"/>
            <w:tcBorders>
              <w:top w:val="single" w:sz="4" w:space="0" w:color="000000"/>
              <w:left w:val="single" w:sz="4" w:space="0" w:color="000000"/>
              <w:bottom w:val="single" w:sz="4" w:space="0" w:color="000000"/>
              <w:right w:val="single" w:sz="4" w:space="0" w:color="000000"/>
            </w:tcBorders>
          </w:tcPr>
          <w:p w14:paraId="0090DC0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7.00</w:t>
            </w:r>
          </w:p>
        </w:tc>
        <w:tc>
          <w:tcPr>
            <w:tcW w:w="696" w:type="dxa"/>
            <w:tcBorders>
              <w:top w:val="single" w:sz="4" w:space="0" w:color="000000"/>
              <w:left w:val="single" w:sz="4" w:space="0" w:color="000000"/>
              <w:bottom w:val="single" w:sz="4" w:space="0" w:color="000000"/>
              <w:right w:val="single" w:sz="4" w:space="0" w:color="000000"/>
            </w:tcBorders>
          </w:tcPr>
          <w:p w14:paraId="5055BA4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527" w:type="dxa"/>
            <w:tcBorders>
              <w:top w:val="single" w:sz="4" w:space="0" w:color="000000"/>
              <w:left w:val="single" w:sz="4" w:space="0" w:color="000000"/>
              <w:bottom w:val="single" w:sz="4" w:space="0" w:color="000000"/>
              <w:right w:val="single" w:sz="4" w:space="0" w:color="000000"/>
            </w:tcBorders>
          </w:tcPr>
          <w:p w14:paraId="03D734EC" w14:textId="77777777" w:rsidR="00D3344B" w:rsidRDefault="00D3344B">
            <w:pPr>
              <w:pStyle w:val="TableParagraph"/>
              <w:rPr>
                <w:rFonts w:ascii="Arial" w:hAnsi="Arial" w:cs="Arial"/>
                <w:sz w:val="18"/>
                <w:szCs w:val="18"/>
              </w:rPr>
            </w:pPr>
          </w:p>
        </w:tc>
      </w:tr>
      <w:tr w:rsidR="00D3344B" w14:paraId="6D0600D3"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4EB7D270"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013</w:t>
            </w:r>
          </w:p>
        </w:tc>
        <w:tc>
          <w:tcPr>
            <w:tcW w:w="3038" w:type="dxa"/>
            <w:tcBorders>
              <w:top w:val="single" w:sz="4" w:space="0" w:color="000000"/>
              <w:left w:val="single" w:sz="4" w:space="0" w:color="000000"/>
              <w:bottom w:val="single" w:sz="4" w:space="0" w:color="000000"/>
              <w:right w:val="single" w:sz="4" w:space="0" w:color="000000"/>
            </w:tcBorders>
          </w:tcPr>
          <w:p w14:paraId="7D10E33B" w14:textId="77777777" w:rsidR="00D3344B" w:rsidRDefault="00143C25">
            <w:pPr>
              <w:pStyle w:val="TableParagraph"/>
              <w:spacing w:line="252" w:lineRule="exact"/>
              <w:ind w:right="725"/>
              <w:rPr>
                <w:rFonts w:ascii="Arial" w:hAnsi="Arial" w:cs="Arial"/>
                <w:sz w:val="18"/>
                <w:szCs w:val="18"/>
              </w:rPr>
            </w:pPr>
            <w:r>
              <w:rPr>
                <w:rFonts w:ascii="Arial" w:hAnsi="Arial" w:cs="Arial"/>
                <w:w w:val="110"/>
                <w:sz w:val="18"/>
                <w:szCs w:val="18"/>
              </w:rPr>
              <w:t>Senos paranasales tomografía lineal</w:t>
            </w:r>
          </w:p>
        </w:tc>
        <w:tc>
          <w:tcPr>
            <w:tcW w:w="697" w:type="dxa"/>
            <w:tcBorders>
              <w:top w:val="single" w:sz="4" w:space="0" w:color="000000"/>
              <w:left w:val="single" w:sz="4" w:space="0" w:color="000000"/>
              <w:bottom w:val="single" w:sz="4" w:space="0" w:color="000000"/>
              <w:right w:val="single" w:sz="4" w:space="0" w:color="000000"/>
            </w:tcBorders>
          </w:tcPr>
          <w:p w14:paraId="0BEA58C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385BA39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2E9F38D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13.75</w:t>
            </w:r>
          </w:p>
        </w:tc>
        <w:tc>
          <w:tcPr>
            <w:tcW w:w="699" w:type="dxa"/>
            <w:tcBorders>
              <w:top w:val="single" w:sz="4" w:space="0" w:color="000000"/>
              <w:left w:val="single" w:sz="4" w:space="0" w:color="000000"/>
              <w:bottom w:val="single" w:sz="4" w:space="0" w:color="000000"/>
              <w:right w:val="single" w:sz="4" w:space="0" w:color="000000"/>
            </w:tcBorders>
          </w:tcPr>
          <w:p w14:paraId="2D543BF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12.75</w:t>
            </w:r>
          </w:p>
        </w:tc>
        <w:tc>
          <w:tcPr>
            <w:tcW w:w="696" w:type="dxa"/>
            <w:tcBorders>
              <w:top w:val="single" w:sz="4" w:space="0" w:color="000000"/>
              <w:left w:val="single" w:sz="4" w:space="0" w:color="000000"/>
              <w:bottom w:val="single" w:sz="4" w:space="0" w:color="000000"/>
              <w:right w:val="single" w:sz="4" w:space="0" w:color="000000"/>
            </w:tcBorders>
          </w:tcPr>
          <w:p w14:paraId="138C49F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11.75</w:t>
            </w:r>
          </w:p>
        </w:tc>
        <w:tc>
          <w:tcPr>
            <w:tcW w:w="527" w:type="dxa"/>
            <w:tcBorders>
              <w:top w:val="single" w:sz="4" w:space="0" w:color="000000"/>
              <w:left w:val="single" w:sz="4" w:space="0" w:color="000000"/>
              <w:bottom w:val="single" w:sz="4" w:space="0" w:color="000000"/>
              <w:right w:val="single" w:sz="4" w:space="0" w:color="000000"/>
            </w:tcBorders>
          </w:tcPr>
          <w:p w14:paraId="07FF6D05" w14:textId="77777777" w:rsidR="00D3344B" w:rsidRDefault="00D3344B">
            <w:pPr>
              <w:pStyle w:val="TableParagraph"/>
              <w:rPr>
                <w:rFonts w:ascii="Arial" w:hAnsi="Arial" w:cs="Arial"/>
                <w:sz w:val="18"/>
                <w:szCs w:val="18"/>
              </w:rPr>
            </w:pPr>
          </w:p>
        </w:tc>
      </w:tr>
      <w:tr w:rsidR="00D3344B" w14:paraId="508A557B"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A5A9EB5"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014</w:t>
            </w:r>
          </w:p>
        </w:tc>
        <w:tc>
          <w:tcPr>
            <w:tcW w:w="3038" w:type="dxa"/>
            <w:tcBorders>
              <w:top w:val="single" w:sz="4" w:space="0" w:color="000000"/>
              <w:left w:val="single" w:sz="4" w:space="0" w:color="000000"/>
              <w:bottom w:val="single" w:sz="4" w:space="0" w:color="000000"/>
              <w:right w:val="single" w:sz="4" w:space="0" w:color="000000"/>
            </w:tcBorders>
          </w:tcPr>
          <w:p w14:paraId="21874991"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Tac</w:t>
            </w:r>
            <w:r>
              <w:rPr>
                <w:rFonts w:ascii="Arial" w:hAnsi="Arial" w:cs="Arial"/>
                <w:spacing w:val="-16"/>
                <w:w w:val="115"/>
                <w:sz w:val="18"/>
                <w:szCs w:val="18"/>
              </w:rPr>
              <w:t xml:space="preserve"> </w:t>
            </w:r>
            <w:r>
              <w:rPr>
                <w:rFonts w:ascii="Arial" w:hAnsi="Arial" w:cs="Arial"/>
                <w:w w:val="115"/>
                <w:sz w:val="18"/>
                <w:szCs w:val="18"/>
              </w:rPr>
              <w:t>área</w:t>
            </w:r>
            <w:r>
              <w:rPr>
                <w:rFonts w:ascii="Arial" w:hAnsi="Arial" w:cs="Arial"/>
                <w:spacing w:val="-16"/>
                <w:w w:val="115"/>
                <w:sz w:val="18"/>
                <w:szCs w:val="18"/>
              </w:rPr>
              <w:t xml:space="preserve"> </w:t>
            </w:r>
            <w:r>
              <w:rPr>
                <w:rFonts w:ascii="Arial" w:hAnsi="Arial" w:cs="Arial"/>
                <w:w w:val="115"/>
                <w:sz w:val="18"/>
                <w:szCs w:val="18"/>
              </w:rPr>
              <w:t>músculo</w:t>
            </w:r>
            <w:r>
              <w:rPr>
                <w:rFonts w:ascii="Arial" w:hAnsi="Arial" w:cs="Arial"/>
                <w:spacing w:val="-13"/>
                <w:w w:val="115"/>
                <w:sz w:val="18"/>
                <w:szCs w:val="18"/>
              </w:rPr>
              <w:t xml:space="preserve"> </w:t>
            </w:r>
            <w:r>
              <w:rPr>
                <w:rFonts w:ascii="Arial" w:hAnsi="Arial" w:cs="Arial"/>
                <w:w w:val="115"/>
                <w:sz w:val="18"/>
                <w:szCs w:val="18"/>
              </w:rPr>
              <w:t xml:space="preserve">esquelético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5E1E01E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28.25</w:t>
            </w:r>
          </w:p>
        </w:tc>
        <w:tc>
          <w:tcPr>
            <w:tcW w:w="695" w:type="dxa"/>
            <w:tcBorders>
              <w:top w:val="single" w:sz="4" w:space="0" w:color="000000"/>
              <w:left w:val="single" w:sz="4" w:space="0" w:color="000000"/>
              <w:bottom w:val="single" w:sz="4" w:space="0" w:color="000000"/>
              <w:right w:val="single" w:sz="4" w:space="0" w:color="000000"/>
            </w:tcBorders>
          </w:tcPr>
          <w:p w14:paraId="403C375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6124BDF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59982B4E"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19.00</w:t>
            </w:r>
          </w:p>
        </w:tc>
        <w:tc>
          <w:tcPr>
            <w:tcW w:w="696" w:type="dxa"/>
            <w:tcBorders>
              <w:top w:val="single" w:sz="4" w:space="0" w:color="000000"/>
              <w:left w:val="single" w:sz="4" w:space="0" w:color="000000"/>
              <w:bottom w:val="single" w:sz="4" w:space="0" w:color="000000"/>
              <w:right w:val="single" w:sz="4" w:space="0" w:color="000000"/>
            </w:tcBorders>
          </w:tcPr>
          <w:p w14:paraId="3DC23E3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5FDA30AD" w14:textId="77777777" w:rsidR="00D3344B" w:rsidRDefault="00D3344B">
            <w:pPr>
              <w:pStyle w:val="TableParagraph"/>
              <w:rPr>
                <w:rFonts w:ascii="Arial" w:hAnsi="Arial" w:cs="Arial"/>
                <w:sz w:val="18"/>
                <w:szCs w:val="18"/>
              </w:rPr>
            </w:pPr>
          </w:p>
        </w:tc>
      </w:tr>
      <w:tr w:rsidR="00D3344B" w14:paraId="2608FE42"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5FE3A74"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015</w:t>
            </w:r>
          </w:p>
        </w:tc>
        <w:tc>
          <w:tcPr>
            <w:tcW w:w="3038" w:type="dxa"/>
            <w:tcBorders>
              <w:top w:val="single" w:sz="4" w:space="0" w:color="000000"/>
              <w:left w:val="single" w:sz="4" w:space="0" w:color="000000"/>
              <w:bottom w:val="single" w:sz="4" w:space="0" w:color="000000"/>
              <w:right w:val="single" w:sz="4" w:space="0" w:color="000000"/>
            </w:tcBorders>
          </w:tcPr>
          <w:p w14:paraId="65156E1F"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Tac</w:t>
            </w:r>
            <w:r>
              <w:rPr>
                <w:rFonts w:ascii="Arial" w:hAnsi="Arial" w:cs="Arial"/>
                <w:spacing w:val="-16"/>
                <w:w w:val="115"/>
                <w:sz w:val="18"/>
                <w:szCs w:val="18"/>
              </w:rPr>
              <w:t xml:space="preserve"> </w:t>
            </w:r>
            <w:r>
              <w:rPr>
                <w:rFonts w:ascii="Arial" w:hAnsi="Arial" w:cs="Arial"/>
                <w:w w:val="115"/>
                <w:sz w:val="18"/>
                <w:szCs w:val="18"/>
              </w:rPr>
              <w:t>área</w:t>
            </w:r>
            <w:r>
              <w:rPr>
                <w:rFonts w:ascii="Arial" w:hAnsi="Arial" w:cs="Arial"/>
                <w:spacing w:val="-16"/>
                <w:w w:val="115"/>
                <w:sz w:val="18"/>
                <w:szCs w:val="18"/>
              </w:rPr>
              <w:t xml:space="preserve"> </w:t>
            </w:r>
            <w:r>
              <w:rPr>
                <w:rFonts w:ascii="Arial" w:hAnsi="Arial" w:cs="Arial"/>
                <w:w w:val="115"/>
                <w:sz w:val="18"/>
                <w:szCs w:val="18"/>
              </w:rPr>
              <w:t>músculo</w:t>
            </w:r>
            <w:r>
              <w:rPr>
                <w:rFonts w:ascii="Arial" w:hAnsi="Arial" w:cs="Arial"/>
                <w:spacing w:val="-13"/>
                <w:w w:val="115"/>
                <w:sz w:val="18"/>
                <w:szCs w:val="18"/>
              </w:rPr>
              <w:t xml:space="preserve"> </w:t>
            </w:r>
            <w:r>
              <w:rPr>
                <w:rFonts w:ascii="Arial" w:hAnsi="Arial" w:cs="Arial"/>
                <w:w w:val="115"/>
                <w:sz w:val="18"/>
                <w:szCs w:val="18"/>
              </w:rPr>
              <w:t>esquelético con contraste</w:t>
            </w:r>
          </w:p>
        </w:tc>
        <w:tc>
          <w:tcPr>
            <w:tcW w:w="697" w:type="dxa"/>
            <w:tcBorders>
              <w:top w:val="single" w:sz="4" w:space="0" w:color="000000"/>
              <w:left w:val="single" w:sz="4" w:space="0" w:color="000000"/>
              <w:bottom w:val="single" w:sz="4" w:space="0" w:color="000000"/>
              <w:right w:val="single" w:sz="4" w:space="0" w:color="000000"/>
            </w:tcBorders>
          </w:tcPr>
          <w:p w14:paraId="022E906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39.00</w:t>
            </w:r>
          </w:p>
        </w:tc>
        <w:tc>
          <w:tcPr>
            <w:tcW w:w="695" w:type="dxa"/>
            <w:tcBorders>
              <w:top w:val="single" w:sz="4" w:space="0" w:color="000000"/>
              <w:left w:val="single" w:sz="4" w:space="0" w:color="000000"/>
              <w:bottom w:val="single" w:sz="4" w:space="0" w:color="000000"/>
              <w:right w:val="single" w:sz="4" w:space="0" w:color="000000"/>
            </w:tcBorders>
          </w:tcPr>
          <w:p w14:paraId="4F65890B"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35.75</w:t>
            </w:r>
          </w:p>
        </w:tc>
        <w:tc>
          <w:tcPr>
            <w:tcW w:w="699" w:type="dxa"/>
            <w:tcBorders>
              <w:top w:val="single" w:sz="4" w:space="0" w:color="000000"/>
              <w:left w:val="single" w:sz="4" w:space="0" w:color="000000"/>
              <w:bottom w:val="single" w:sz="4" w:space="0" w:color="000000"/>
              <w:right w:val="single" w:sz="4" w:space="0" w:color="000000"/>
            </w:tcBorders>
          </w:tcPr>
          <w:p w14:paraId="0547407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32.50</w:t>
            </w:r>
          </w:p>
        </w:tc>
        <w:tc>
          <w:tcPr>
            <w:tcW w:w="699" w:type="dxa"/>
            <w:tcBorders>
              <w:top w:val="single" w:sz="4" w:space="0" w:color="000000"/>
              <w:left w:val="single" w:sz="4" w:space="0" w:color="000000"/>
              <w:bottom w:val="single" w:sz="4" w:space="0" w:color="000000"/>
              <w:right w:val="single" w:sz="4" w:space="0" w:color="000000"/>
            </w:tcBorders>
          </w:tcPr>
          <w:p w14:paraId="1981F5E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29.50</w:t>
            </w:r>
          </w:p>
        </w:tc>
        <w:tc>
          <w:tcPr>
            <w:tcW w:w="696" w:type="dxa"/>
            <w:tcBorders>
              <w:top w:val="single" w:sz="4" w:space="0" w:color="000000"/>
              <w:left w:val="single" w:sz="4" w:space="0" w:color="000000"/>
              <w:bottom w:val="single" w:sz="4" w:space="0" w:color="000000"/>
              <w:right w:val="single" w:sz="4" w:space="0" w:color="000000"/>
            </w:tcBorders>
          </w:tcPr>
          <w:p w14:paraId="29C4118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26.50</w:t>
            </w:r>
          </w:p>
        </w:tc>
        <w:tc>
          <w:tcPr>
            <w:tcW w:w="527" w:type="dxa"/>
            <w:tcBorders>
              <w:top w:val="single" w:sz="4" w:space="0" w:color="000000"/>
              <w:left w:val="single" w:sz="4" w:space="0" w:color="000000"/>
              <w:bottom w:val="single" w:sz="4" w:space="0" w:color="000000"/>
              <w:right w:val="single" w:sz="4" w:space="0" w:color="000000"/>
            </w:tcBorders>
          </w:tcPr>
          <w:p w14:paraId="61E19474" w14:textId="77777777" w:rsidR="00D3344B" w:rsidRDefault="00D3344B">
            <w:pPr>
              <w:pStyle w:val="TableParagraph"/>
              <w:rPr>
                <w:rFonts w:ascii="Arial" w:hAnsi="Arial" w:cs="Arial"/>
                <w:sz w:val="18"/>
                <w:szCs w:val="18"/>
              </w:rPr>
            </w:pPr>
          </w:p>
        </w:tc>
      </w:tr>
      <w:tr w:rsidR="00D3344B" w14:paraId="3EC9FB4D"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420EF4D5"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016</w:t>
            </w:r>
          </w:p>
        </w:tc>
        <w:tc>
          <w:tcPr>
            <w:tcW w:w="3038" w:type="dxa"/>
            <w:tcBorders>
              <w:top w:val="single" w:sz="4" w:space="0" w:color="000000"/>
              <w:left w:val="single" w:sz="4" w:space="0" w:color="000000"/>
              <w:bottom w:val="single" w:sz="4" w:space="0" w:color="000000"/>
              <w:right w:val="single" w:sz="4" w:space="0" w:color="000000"/>
            </w:tcBorders>
          </w:tcPr>
          <w:p w14:paraId="52D35476" w14:textId="77777777" w:rsidR="00D3344B" w:rsidRDefault="00143C25">
            <w:pPr>
              <w:pStyle w:val="TableParagraph"/>
              <w:rPr>
                <w:rFonts w:ascii="Arial" w:hAnsi="Arial" w:cs="Arial"/>
                <w:sz w:val="18"/>
                <w:szCs w:val="18"/>
              </w:rPr>
            </w:pPr>
            <w:r>
              <w:rPr>
                <w:rFonts w:ascii="Arial" w:hAnsi="Arial" w:cs="Arial"/>
                <w:w w:val="110"/>
                <w:sz w:val="18"/>
                <w:szCs w:val="18"/>
              </w:rPr>
              <w:t>Tac</w:t>
            </w:r>
            <w:r>
              <w:rPr>
                <w:rFonts w:ascii="Arial" w:hAnsi="Arial" w:cs="Arial"/>
                <w:spacing w:val="15"/>
                <w:w w:val="110"/>
                <w:sz w:val="18"/>
                <w:szCs w:val="18"/>
              </w:rPr>
              <w:t xml:space="preserve"> </w:t>
            </w:r>
            <w:r>
              <w:rPr>
                <w:rFonts w:ascii="Arial" w:hAnsi="Arial" w:cs="Arial"/>
                <w:w w:val="110"/>
                <w:sz w:val="18"/>
                <w:szCs w:val="18"/>
              </w:rPr>
              <w:t>abdomen</w:t>
            </w:r>
            <w:r>
              <w:rPr>
                <w:rFonts w:ascii="Arial" w:hAnsi="Arial" w:cs="Arial"/>
                <w:spacing w:val="15"/>
                <w:w w:val="110"/>
                <w:sz w:val="18"/>
                <w:szCs w:val="18"/>
              </w:rPr>
              <w:t xml:space="preserve"> </w:t>
            </w:r>
            <w:r>
              <w:rPr>
                <w:rFonts w:ascii="Arial" w:hAnsi="Arial" w:cs="Arial"/>
                <w:spacing w:val="-2"/>
                <w:w w:val="110"/>
                <w:sz w:val="18"/>
                <w:szCs w:val="18"/>
              </w:rPr>
              <w:t>superior</w:t>
            </w:r>
          </w:p>
        </w:tc>
        <w:tc>
          <w:tcPr>
            <w:tcW w:w="697" w:type="dxa"/>
            <w:tcBorders>
              <w:top w:val="single" w:sz="4" w:space="0" w:color="000000"/>
              <w:left w:val="single" w:sz="4" w:space="0" w:color="000000"/>
              <w:bottom w:val="single" w:sz="4" w:space="0" w:color="000000"/>
              <w:right w:val="single" w:sz="4" w:space="0" w:color="000000"/>
            </w:tcBorders>
          </w:tcPr>
          <w:p w14:paraId="105C1ED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28.25</w:t>
            </w:r>
          </w:p>
        </w:tc>
        <w:tc>
          <w:tcPr>
            <w:tcW w:w="695" w:type="dxa"/>
            <w:tcBorders>
              <w:top w:val="single" w:sz="4" w:space="0" w:color="000000"/>
              <w:left w:val="single" w:sz="4" w:space="0" w:color="000000"/>
              <w:bottom w:val="single" w:sz="4" w:space="0" w:color="000000"/>
              <w:right w:val="single" w:sz="4" w:space="0" w:color="000000"/>
            </w:tcBorders>
          </w:tcPr>
          <w:p w14:paraId="3917EE21" w14:textId="77777777" w:rsidR="00D3344B" w:rsidRDefault="00143C25">
            <w:pPr>
              <w:pStyle w:val="TableParagraph"/>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66174187" w14:textId="77777777" w:rsidR="00D3344B" w:rsidRDefault="00143C25">
            <w:pPr>
              <w:pStyle w:val="TableParagraph"/>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2539B43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19.00</w:t>
            </w:r>
          </w:p>
        </w:tc>
        <w:tc>
          <w:tcPr>
            <w:tcW w:w="696" w:type="dxa"/>
            <w:tcBorders>
              <w:top w:val="single" w:sz="4" w:space="0" w:color="000000"/>
              <w:left w:val="single" w:sz="4" w:space="0" w:color="000000"/>
              <w:bottom w:val="single" w:sz="4" w:space="0" w:color="000000"/>
              <w:right w:val="single" w:sz="4" w:space="0" w:color="000000"/>
            </w:tcBorders>
          </w:tcPr>
          <w:p w14:paraId="31C318C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2499E3EF" w14:textId="77777777" w:rsidR="00D3344B" w:rsidRDefault="00D3344B">
            <w:pPr>
              <w:pStyle w:val="TableParagraph"/>
              <w:rPr>
                <w:rFonts w:ascii="Arial" w:hAnsi="Arial" w:cs="Arial"/>
                <w:sz w:val="18"/>
                <w:szCs w:val="18"/>
              </w:rPr>
            </w:pPr>
          </w:p>
        </w:tc>
      </w:tr>
      <w:tr w:rsidR="00D3344B" w14:paraId="359B61AE"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65BA8AA4"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02-TM-016-</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065B555" w14:textId="77777777" w:rsidR="00D3344B" w:rsidRDefault="00143C25">
            <w:pPr>
              <w:pStyle w:val="TableParagraph"/>
              <w:spacing w:line="252" w:lineRule="exact"/>
              <w:rPr>
                <w:rFonts w:ascii="Arial" w:hAnsi="Arial" w:cs="Arial"/>
                <w:sz w:val="18"/>
                <w:szCs w:val="18"/>
              </w:rPr>
            </w:pPr>
            <w:r>
              <w:rPr>
                <w:rFonts w:ascii="Arial" w:hAnsi="Arial" w:cs="Arial"/>
                <w:spacing w:val="-2"/>
                <w:w w:val="115"/>
                <w:sz w:val="18"/>
                <w:szCs w:val="18"/>
              </w:rPr>
              <w:t>Tac</w:t>
            </w:r>
            <w:r>
              <w:rPr>
                <w:rFonts w:ascii="Arial" w:hAnsi="Arial" w:cs="Arial"/>
                <w:spacing w:val="-6"/>
                <w:w w:val="115"/>
                <w:sz w:val="18"/>
                <w:szCs w:val="18"/>
              </w:rPr>
              <w:t xml:space="preserve"> </w:t>
            </w:r>
            <w:r>
              <w:rPr>
                <w:rFonts w:ascii="Arial" w:hAnsi="Arial" w:cs="Arial"/>
                <w:spacing w:val="-2"/>
                <w:w w:val="115"/>
                <w:sz w:val="18"/>
                <w:szCs w:val="18"/>
              </w:rPr>
              <w:t>Abdomen</w:t>
            </w:r>
            <w:r>
              <w:rPr>
                <w:rFonts w:ascii="Arial" w:hAnsi="Arial" w:cs="Arial"/>
                <w:spacing w:val="-7"/>
                <w:w w:val="115"/>
                <w:sz w:val="18"/>
                <w:szCs w:val="18"/>
              </w:rPr>
              <w:t xml:space="preserve"> </w:t>
            </w:r>
            <w:r>
              <w:rPr>
                <w:rFonts w:ascii="Arial" w:hAnsi="Arial" w:cs="Arial"/>
                <w:spacing w:val="-2"/>
                <w:w w:val="115"/>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18EA4C1B"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39.00</w:t>
            </w:r>
          </w:p>
        </w:tc>
        <w:tc>
          <w:tcPr>
            <w:tcW w:w="695" w:type="dxa"/>
            <w:tcBorders>
              <w:top w:val="single" w:sz="4" w:space="0" w:color="000000"/>
              <w:left w:val="single" w:sz="4" w:space="0" w:color="000000"/>
              <w:bottom w:val="single" w:sz="4" w:space="0" w:color="000000"/>
              <w:right w:val="single" w:sz="4" w:space="0" w:color="000000"/>
            </w:tcBorders>
          </w:tcPr>
          <w:p w14:paraId="6F76738F"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2E3C274B"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29.75</w:t>
            </w:r>
          </w:p>
        </w:tc>
        <w:tc>
          <w:tcPr>
            <w:tcW w:w="699" w:type="dxa"/>
            <w:tcBorders>
              <w:top w:val="single" w:sz="4" w:space="0" w:color="000000"/>
              <w:left w:val="single" w:sz="4" w:space="0" w:color="000000"/>
              <w:bottom w:val="single" w:sz="4" w:space="0" w:color="000000"/>
              <w:right w:val="single" w:sz="4" w:space="0" w:color="000000"/>
            </w:tcBorders>
          </w:tcPr>
          <w:p w14:paraId="54BC22EA"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25.50</w:t>
            </w:r>
          </w:p>
        </w:tc>
        <w:tc>
          <w:tcPr>
            <w:tcW w:w="696" w:type="dxa"/>
            <w:tcBorders>
              <w:top w:val="single" w:sz="4" w:space="0" w:color="000000"/>
              <w:left w:val="single" w:sz="4" w:space="0" w:color="000000"/>
              <w:bottom w:val="single" w:sz="4" w:space="0" w:color="000000"/>
              <w:right w:val="single" w:sz="4" w:space="0" w:color="000000"/>
            </w:tcBorders>
          </w:tcPr>
          <w:p w14:paraId="50944D77"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21.25</w:t>
            </w:r>
          </w:p>
        </w:tc>
        <w:tc>
          <w:tcPr>
            <w:tcW w:w="527" w:type="dxa"/>
            <w:tcBorders>
              <w:top w:val="single" w:sz="4" w:space="0" w:color="000000"/>
              <w:left w:val="single" w:sz="4" w:space="0" w:color="000000"/>
              <w:bottom w:val="single" w:sz="4" w:space="0" w:color="000000"/>
              <w:right w:val="single" w:sz="4" w:space="0" w:color="000000"/>
            </w:tcBorders>
          </w:tcPr>
          <w:p w14:paraId="646C9BA1" w14:textId="77777777" w:rsidR="00D3344B" w:rsidRDefault="00D3344B">
            <w:pPr>
              <w:pStyle w:val="TableParagraph"/>
              <w:rPr>
                <w:rFonts w:ascii="Arial" w:hAnsi="Arial" w:cs="Arial"/>
                <w:sz w:val="18"/>
                <w:szCs w:val="18"/>
              </w:rPr>
            </w:pPr>
          </w:p>
        </w:tc>
      </w:tr>
      <w:tr w:rsidR="00D3344B" w14:paraId="3687DC1B"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4FF2329"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017</w:t>
            </w:r>
          </w:p>
        </w:tc>
        <w:tc>
          <w:tcPr>
            <w:tcW w:w="3038" w:type="dxa"/>
            <w:tcBorders>
              <w:top w:val="single" w:sz="4" w:space="0" w:color="000000"/>
              <w:left w:val="single" w:sz="4" w:space="0" w:color="000000"/>
              <w:bottom w:val="single" w:sz="4" w:space="0" w:color="000000"/>
              <w:right w:val="single" w:sz="4" w:space="0" w:color="000000"/>
            </w:tcBorders>
          </w:tcPr>
          <w:p w14:paraId="6AF4924A" w14:textId="77777777" w:rsidR="00D3344B" w:rsidRDefault="00143C25">
            <w:pPr>
              <w:pStyle w:val="TableParagraph"/>
              <w:rPr>
                <w:rFonts w:ascii="Arial" w:hAnsi="Arial" w:cs="Arial"/>
                <w:sz w:val="18"/>
                <w:szCs w:val="18"/>
              </w:rPr>
            </w:pPr>
            <w:r>
              <w:rPr>
                <w:rFonts w:ascii="Arial" w:hAnsi="Arial" w:cs="Arial"/>
                <w:w w:val="110"/>
                <w:sz w:val="18"/>
                <w:szCs w:val="18"/>
              </w:rPr>
              <w:t>Tac</w:t>
            </w:r>
            <w:r>
              <w:rPr>
                <w:rFonts w:ascii="Arial" w:hAnsi="Arial" w:cs="Arial"/>
                <w:spacing w:val="12"/>
                <w:w w:val="110"/>
                <w:sz w:val="18"/>
                <w:szCs w:val="18"/>
              </w:rPr>
              <w:t xml:space="preserve"> </w:t>
            </w:r>
            <w:r>
              <w:rPr>
                <w:rFonts w:ascii="Arial" w:hAnsi="Arial" w:cs="Arial"/>
                <w:w w:val="110"/>
                <w:sz w:val="18"/>
                <w:szCs w:val="18"/>
              </w:rPr>
              <w:t>abdomen</w:t>
            </w:r>
            <w:r>
              <w:rPr>
                <w:rFonts w:ascii="Arial" w:hAnsi="Arial" w:cs="Arial"/>
                <w:spacing w:val="10"/>
                <w:w w:val="110"/>
                <w:sz w:val="18"/>
                <w:szCs w:val="18"/>
              </w:rPr>
              <w:t xml:space="preserve"> </w:t>
            </w:r>
            <w:r>
              <w:rPr>
                <w:rFonts w:ascii="Arial" w:hAnsi="Arial" w:cs="Arial"/>
                <w:w w:val="110"/>
                <w:sz w:val="18"/>
                <w:szCs w:val="18"/>
              </w:rPr>
              <w:t>y</w:t>
            </w:r>
            <w:r>
              <w:rPr>
                <w:rFonts w:ascii="Arial" w:hAnsi="Arial" w:cs="Arial"/>
                <w:spacing w:val="13"/>
                <w:w w:val="110"/>
                <w:sz w:val="18"/>
                <w:szCs w:val="18"/>
              </w:rPr>
              <w:t xml:space="preserve"> </w:t>
            </w:r>
            <w:r>
              <w:rPr>
                <w:rFonts w:ascii="Arial" w:hAnsi="Arial" w:cs="Arial"/>
                <w:spacing w:val="-2"/>
                <w:w w:val="110"/>
                <w:sz w:val="18"/>
                <w:szCs w:val="18"/>
              </w:rPr>
              <w:t>pelvis</w:t>
            </w:r>
          </w:p>
        </w:tc>
        <w:tc>
          <w:tcPr>
            <w:tcW w:w="697" w:type="dxa"/>
            <w:tcBorders>
              <w:top w:val="single" w:sz="4" w:space="0" w:color="000000"/>
              <w:left w:val="single" w:sz="4" w:space="0" w:color="000000"/>
              <w:bottom w:val="single" w:sz="4" w:space="0" w:color="000000"/>
              <w:right w:val="single" w:sz="4" w:space="0" w:color="000000"/>
            </w:tcBorders>
          </w:tcPr>
          <w:p w14:paraId="439D1C2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31.75</w:t>
            </w:r>
          </w:p>
        </w:tc>
        <w:tc>
          <w:tcPr>
            <w:tcW w:w="695" w:type="dxa"/>
            <w:tcBorders>
              <w:top w:val="single" w:sz="4" w:space="0" w:color="000000"/>
              <w:left w:val="single" w:sz="4" w:space="0" w:color="000000"/>
              <w:bottom w:val="single" w:sz="4" w:space="0" w:color="000000"/>
              <w:right w:val="single" w:sz="4" w:space="0" w:color="000000"/>
            </w:tcBorders>
          </w:tcPr>
          <w:p w14:paraId="7D4D6345" w14:textId="77777777" w:rsidR="00D3344B" w:rsidRDefault="00143C25">
            <w:pPr>
              <w:pStyle w:val="TableParagraph"/>
              <w:rPr>
                <w:rFonts w:ascii="Arial" w:hAnsi="Arial" w:cs="Arial"/>
                <w:sz w:val="18"/>
                <w:szCs w:val="18"/>
              </w:rPr>
            </w:pPr>
            <w:r>
              <w:rPr>
                <w:rFonts w:ascii="Arial" w:hAnsi="Arial" w:cs="Arial"/>
                <w:spacing w:val="-4"/>
                <w:w w:val="115"/>
                <w:sz w:val="18"/>
                <w:szCs w:val="18"/>
              </w:rPr>
              <w:t>28.00</w:t>
            </w:r>
          </w:p>
        </w:tc>
        <w:tc>
          <w:tcPr>
            <w:tcW w:w="699" w:type="dxa"/>
            <w:tcBorders>
              <w:top w:val="single" w:sz="4" w:space="0" w:color="000000"/>
              <w:left w:val="single" w:sz="4" w:space="0" w:color="000000"/>
              <w:bottom w:val="single" w:sz="4" w:space="0" w:color="000000"/>
              <w:right w:val="single" w:sz="4" w:space="0" w:color="000000"/>
            </w:tcBorders>
          </w:tcPr>
          <w:p w14:paraId="1CE6583D" w14:textId="77777777" w:rsidR="00D3344B" w:rsidRDefault="00143C25">
            <w:pPr>
              <w:pStyle w:val="TableParagraph"/>
              <w:rPr>
                <w:rFonts w:ascii="Arial" w:hAnsi="Arial" w:cs="Arial"/>
                <w:sz w:val="18"/>
                <w:szCs w:val="18"/>
              </w:rPr>
            </w:pPr>
            <w:r>
              <w:rPr>
                <w:rFonts w:ascii="Arial" w:hAnsi="Arial" w:cs="Arial"/>
                <w:spacing w:val="-4"/>
                <w:w w:val="115"/>
                <w:sz w:val="18"/>
                <w:szCs w:val="18"/>
              </w:rPr>
              <w:t>24.75</w:t>
            </w:r>
          </w:p>
        </w:tc>
        <w:tc>
          <w:tcPr>
            <w:tcW w:w="699" w:type="dxa"/>
            <w:tcBorders>
              <w:top w:val="single" w:sz="4" w:space="0" w:color="000000"/>
              <w:left w:val="single" w:sz="4" w:space="0" w:color="000000"/>
              <w:bottom w:val="single" w:sz="4" w:space="0" w:color="000000"/>
              <w:right w:val="single" w:sz="4" w:space="0" w:color="000000"/>
            </w:tcBorders>
          </w:tcPr>
          <w:p w14:paraId="4BD3CD8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21.00</w:t>
            </w:r>
          </w:p>
        </w:tc>
        <w:tc>
          <w:tcPr>
            <w:tcW w:w="696" w:type="dxa"/>
            <w:tcBorders>
              <w:top w:val="single" w:sz="4" w:space="0" w:color="000000"/>
              <w:left w:val="single" w:sz="4" w:space="0" w:color="000000"/>
              <w:bottom w:val="single" w:sz="4" w:space="0" w:color="000000"/>
              <w:right w:val="single" w:sz="4" w:space="0" w:color="000000"/>
            </w:tcBorders>
          </w:tcPr>
          <w:p w14:paraId="1780F58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17.75</w:t>
            </w:r>
          </w:p>
        </w:tc>
        <w:tc>
          <w:tcPr>
            <w:tcW w:w="527" w:type="dxa"/>
            <w:tcBorders>
              <w:top w:val="single" w:sz="4" w:space="0" w:color="000000"/>
              <w:left w:val="single" w:sz="4" w:space="0" w:color="000000"/>
              <w:bottom w:val="single" w:sz="4" w:space="0" w:color="000000"/>
              <w:right w:val="single" w:sz="4" w:space="0" w:color="000000"/>
            </w:tcBorders>
          </w:tcPr>
          <w:p w14:paraId="495755EA" w14:textId="77777777" w:rsidR="00D3344B" w:rsidRDefault="00D3344B">
            <w:pPr>
              <w:pStyle w:val="TableParagraph"/>
              <w:rPr>
                <w:rFonts w:ascii="Arial" w:hAnsi="Arial" w:cs="Arial"/>
                <w:sz w:val="18"/>
                <w:szCs w:val="18"/>
              </w:rPr>
            </w:pPr>
          </w:p>
        </w:tc>
      </w:tr>
      <w:tr w:rsidR="00D3344B" w14:paraId="4ADBE8AB"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513D971" w14:textId="77777777" w:rsidR="00D3344B" w:rsidRDefault="00143C25">
            <w:pPr>
              <w:pStyle w:val="TableParagraph"/>
              <w:rPr>
                <w:rFonts w:ascii="Arial" w:hAnsi="Arial" w:cs="Arial"/>
                <w:sz w:val="18"/>
                <w:szCs w:val="18"/>
              </w:rPr>
            </w:pPr>
            <w:r>
              <w:rPr>
                <w:rFonts w:ascii="Arial" w:hAnsi="Arial" w:cs="Arial"/>
                <w:sz w:val="18"/>
                <w:szCs w:val="18"/>
              </w:rPr>
              <w:t>02-TM-017-</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35899187"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Tac</w:t>
            </w:r>
            <w:r>
              <w:rPr>
                <w:rFonts w:ascii="Arial" w:hAnsi="Arial" w:cs="Arial"/>
                <w:spacing w:val="40"/>
                <w:w w:val="110"/>
                <w:sz w:val="18"/>
                <w:szCs w:val="18"/>
              </w:rPr>
              <w:t xml:space="preserve"> </w:t>
            </w:r>
            <w:r>
              <w:rPr>
                <w:rFonts w:ascii="Arial" w:hAnsi="Arial" w:cs="Arial"/>
                <w:w w:val="110"/>
                <w:sz w:val="18"/>
                <w:szCs w:val="18"/>
              </w:rPr>
              <w:t>de</w:t>
            </w:r>
            <w:r>
              <w:rPr>
                <w:rFonts w:ascii="Arial" w:hAnsi="Arial" w:cs="Arial"/>
                <w:spacing w:val="40"/>
                <w:w w:val="110"/>
                <w:sz w:val="18"/>
                <w:szCs w:val="18"/>
              </w:rPr>
              <w:t xml:space="preserve"> </w:t>
            </w:r>
            <w:r>
              <w:rPr>
                <w:rFonts w:ascii="Arial" w:hAnsi="Arial" w:cs="Arial"/>
                <w:w w:val="110"/>
                <w:sz w:val="18"/>
                <w:szCs w:val="18"/>
              </w:rPr>
              <w:t>abdomen</w:t>
            </w:r>
            <w:r>
              <w:rPr>
                <w:rFonts w:ascii="Arial" w:hAnsi="Arial" w:cs="Arial"/>
                <w:spacing w:val="40"/>
                <w:w w:val="110"/>
                <w:sz w:val="18"/>
                <w:szCs w:val="18"/>
              </w:rPr>
              <w:t xml:space="preserve"> </w:t>
            </w:r>
            <w:r>
              <w:rPr>
                <w:rFonts w:ascii="Arial" w:hAnsi="Arial" w:cs="Arial"/>
                <w:w w:val="110"/>
                <w:sz w:val="18"/>
                <w:szCs w:val="18"/>
              </w:rPr>
              <w:t>y</w:t>
            </w:r>
            <w:r>
              <w:rPr>
                <w:rFonts w:ascii="Arial" w:hAnsi="Arial" w:cs="Arial"/>
                <w:spacing w:val="40"/>
                <w:w w:val="110"/>
                <w:sz w:val="18"/>
                <w:szCs w:val="18"/>
              </w:rPr>
              <w:t xml:space="preserve"> </w:t>
            </w:r>
            <w:r>
              <w:rPr>
                <w:rFonts w:ascii="Arial" w:hAnsi="Arial" w:cs="Arial"/>
                <w:w w:val="110"/>
                <w:sz w:val="18"/>
                <w:szCs w:val="18"/>
              </w:rPr>
              <w:t>pelvis</w:t>
            </w:r>
            <w:r>
              <w:rPr>
                <w:rFonts w:ascii="Arial" w:hAnsi="Arial" w:cs="Arial"/>
                <w:spacing w:val="40"/>
                <w:w w:val="110"/>
                <w:sz w:val="18"/>
                <w:szCs w:val="18"/>
              </w:rPr>
              <w:t xml:space="preserve"> </w:t>
            </w:r>
            <w:proofErr w:type="spellStart"/>
            <w:r>
              <w:rPr>
                <w:rFonts w:ascii="Arial" w:hAnsi="Arial" w:cs="Arial"/>
                <w:w w:val="110"/>
                <w:sz w:val="18"/>
                <w:szCs w:val="18"/>
              </w:rPr>
              <w:t>cte</w:t>
            </w:r>
            <w:proofErr w:type="spellEnd"/>
            <w:r>
              <w:rPr>
                <w:rFonts w:ascii="Arial" w:hAnsi="Arial" w:cs="Arial"/>
                <w:w w:val="110"/>
                <w:sz w:val="18"/>
                <w:szCs w:val="18"/>
              </w:rPr>
              <w:t xml:space="preserve"> oral + </w:t>
            </w:r>
            <w:proofErr w:type="spellStart"/>
            <w:r>
              <w:rPr>
                <w:rFonts w:ascii="Arial" w:hAnsi="Arial" w:cs="Arial"/>
                <w:w w:val="110"/>
                <w:sz w:val="18"/>
                <w:szCs w:val="18"/>
              </w:rPr>
              <w:t>cte</w:t>
            </w:r>
            <w:proofErr w:type="spellEnd"/>
            <w:r>
              <w:rPr>
                <w:rFonts w:ascii="Arial" w:hAnsi="Arial" w:cs="Arial"/>
                <w:w w:val="110"/>
                <w:sz w:val="18"/>
                <w:szCs w:val="18"/>
              </w:rPr>
              <w:t xml:space="preserve"> IV</w:t>
            </w:r>
          </w:p>
        </w:tc>
        <w:tc>
          <w:tcPr>
            <w:tcW w:w="697" w:type="dxa"/>
            <w:tcBorders>
              <w:top w:val="single" w:sz="4" w:space="0" w:color="000000"/>
              <w:left w:val="single" w:sz="4" w:space="0" w:color="000000"/>
              <w:bottom w:val="single" w:sz="4" w:space="0" w:color="000000"/>
              <w:right w:val="single" w:sz="4" w:space="0" w:color="000000"/>
            </w:tcBorders>
          </w:tcPr>
          <w:p w14:paraId="79A0BAD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44.25</w:t>
            </w:r>
          </w:p>
        </w:tc>
        <w:tc>
          <w:tcPr>
            <w:tcW w:w="695" w:type="dxa"/>
            <w:tcBorders>
              <w:top w:val="single" w:sz="4" w:space="0" w:color="000000"/>
              <w:left w:val="single" w:sz="4" w:space="0" w:color="000000"/>
              <w:bottom w:val="single" w:sz="4" w:space="0" w:color="000000"/>
              <w:right w:val="single" w:sz="4" w:space="0" w:color="000000"/>
            </w:tcBorders>
          </w:tcPr>
          <w:p w14:paraId="262C98EF" w14:textId="77777777" w:rsidR="00D3344B" w:rsidRDefault="00143C25">
            <w:pPr>
              <w:pStyle w:val="TableParagraph"/>
              <w:rPr>
                <w:rFonts w:ascii="Arial" w:hAnsi="Arial" w:cs="Arial"/>
                <w:sz w:val="18"/>
                <w:szCs w:val="18"/>
              </w:rPr>
            </w:pPr>
            <w:r>
              <w:rPr>
                <w:rFonts w:ascii="Arial" w:hAnsi="Arial" w:cs="Arial"/>
                <w:spacing w:val="-4"/>
                <w:w w:val="115"/>
                <w:sz w:val="18"/>
                <w:szCs w:val="18"/>
              </w:rPr>
              <w:t>42.50</w:t>
            </w:r>
          </w:p>
        </w:tc>
        <w:tc>
          <w:tcPr>
            <w:tcW w:w="699" w:type="dxa"/>
            <w:tcBorders>
              <w:top w:val="single" w:sz="4" w:space="0" w:color="000000"/>
              <w:left w:val="single" w:sz="4" w:space="0" w:color="000000"/>
              <w:bottom w:val="single" w:sz="4" w:space="0" w:color="000000"/>
              <w:right w:val="single" w:sz="4" w:space="0" w:color="000000"/>
            </w:tcBorders>
          </w:tcPr>
          <w:p w14:paraId="17F3BF99" w14:textId="77777777" w:rsidR="00D3344B" w:rsidRDefault="00143C25">
            <w:pPr>
              <w:pStyle w:val="TableParagraph"/>
              <w:rPr>
                <w:rFonts w:ascii="Arial" w:hAnsi="Arial" w:cs="Arial"/>
                <w:sz w:val="18"/>
                <w:szCs w:val="18"/>
              </w:rPr>
            </w:pPr>
            <w:r>
              <w:rPr>
                <w:rFonts w:ascii="Arial" w:hAnsi="Arial" w:cs="Arial"/>
                <w:spacing w:val="-4"/>
                <w:w w:val="115"/>
                <w:sz w:val="18"/>
                <w:szCs w:val="18"/>
              </w:rPr>
              <w:t>41.00</w:t>
            </w:r>
          </w:p>
        </w:tc>
        <w:tc>
          <w:tcPr>
            <w:tcW w:w="699" w:type="dxa"/>
            <w:tcBorders>
              <w:top w:val="single" w:sz="4" w:space="0" w:color="000000"/>
              <w:left w:val="single" w:sz="4" w:space="0" w:color="000000"/>
              <w:bottom w:val="single" w:sz="4" w:space="0" w:color="000000"/>
              <w:right w:val="single" w:sz="4" w:space="0" w:color="000000"/>
            </w:tcBorders>
          </w:tcPr>
          <w:p w14:paraId="7D0A21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39.50</w:t>
            </w:r>
          </w:p>
        </w:tc>
        <w:tc>
          <w:tcPr>
            <w:tcW w:w="696" w:type="dxa"/>
            <w:tcBorders>
              <w:top w:val="single" w:sz="4" w:space="0" w:color="000000"/>
              <w:left w:val="single" w:sz="4" w:space="0" w:color="000000"/>
              <w:bottom w:val="single" w:sz="4" w:space="0" w:color="000000"/>
              <w:right w:val="single" w:sz="4" w:space="0" w:color="000000"/>
            </w:tcBorders>
          </w:tcPr>
          <w:p w14:paraId="08C5718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38.00</w:t>
            </w:r>
          </w:p>
        </w:tc>
        <w:tc>
          <w:tcPr>
            <w:tcW w:w="527" w:type="dxa"/>
            <w:tcBorders>
              <w:top w:val="single" w:sz="4" w:space="0" w:color="000000"/>
              <w:left w:val="single" w:sz="4" w:space="0" w:color="000000"/>
              <w:bottom w:val="single" w:sz="4" w:space="0" w:color="000000"/>
              <w:right w:val="single" w:sz="4" w:space="0" w:color="000000"/>
            </w:tcBorders>
          </w:tcPr>
          <w:p w14:paraId="19A0DA1A" w14:textId="77777777" w:rsidR="00D3344B" w:rsidRDefault="00D3344B">
            <w:pPr>
              <w:pStyle w:val="TableParagraph"/>
              <w:rPr>
                <w:rFonts w:ascii="Arial" w:hAnsi="Arial" w:cs="Arial"/>
                <w:sz w:val="18"/>
                <w:szCs w:val="18"/>
              </w:rPr>
            </w:pPr>
          </w:p>
        </w:tc>
      </w:tr>
      <w:tr w:rsidR="00D3344B" w14:paraId="505AB191"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179BE10"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018</w:t>
            </w:r>
          </w:p>
        </w:tc>
        <w:tc>
          <w:tcPr>
            <w:tcW w:w="3038" w:type="dxa"/>
            <w:tcBorders>
              <w:top w:val="single" w:sz="4" w:space="0" w:color="000000"/>
              <w:left w:val="single" w:sz="4" w:space="0" w:color="000000"/>
              <w:bottom w:val="single" w:sz="4" w:space="0" w:color="000000"/>
              <w:right w:val="single" w:sz="4" w:space="0" w:color="000000"/>
            </w:tcBorders>
          </w:tcPr>
          <w:p w14:paraId="667D52C3" w14:textId="77777777" w:rsidR="00D3344B" w:rsidRDefault="00143C25">
            <w:pPr>
              <w:pStyle w:val="TableParagraph"/>
              <w:tabs>
                <w:tab w:val="left" w:pos="650"/>
                <w:tab w:val="left" w:pos="1766"/>
                <w:tab w:val="left" w:pos="2909"/>
              </w:tabs>
              <w:spacing w:line="252" w:lineRule="exact"/>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spacing w:val="-2"/>
                <w:w w:val="110"/>
                <w:sz w:val="18"/>
                <w:szCs w:val="18"/>
              </w:rPr>
              <w:t>columna</w:t>
            </w:r>
            <w:r>
              <w:rPr>
                <w:rFonts w:ascii="Arial" w:hAnsi="Arial" w:cs="Arial"/>
                <w:sz w:val="18"/>
                <w:szCs w:val="18"/>
              </w:rPr>
              <w:tab/>
            </w:r>
            <w:r>
              <w:rPr>
                <w:rFonts w:ascii="Arial" w:hAnsi="Arial" w:cs="Arial"/>
                <w:spacing w:val="-2"/>
                <w:w w:val="110"/>
                <w:sz w:val="18"/>
                <w:szCs w:val="18"/>
              </w:rPr>
              <w:t>vertebral</w:t>
            </w:r>
            <w:r>
              <w:rPr>
                <w:rFonts w:ascii="Arial" w:hAnsi="Arial" w:cs="Arial"/>
                <w:sz w:val="18"/>
                <w:szCs w:val="18"/>
              </w:rPr>
              <w:tab/>
            </w:r>
            <w:r>
              <w:rPr>
                <w:rFonts w:ascii="Arial" w:hAnsi="Arial" w:cs="Arial"/>
                <w:spacing w:val="-12"/>
                <w:w w:val="110"/>
                <w:sz w:val="18"/>
                <w:szCs w:val="18"/>
              </w:rPr>
              <w:t xml:space="preserve">1 </w:t>
            </w:r>
            <w:r>
              <w:rPr>
                <w:rFonts w:ascii="Arial" w:hAnsi="Arial" w:cs="Arial"/>
                <w:spacing w:val="-2"/>
                <w:w w:val="110"/>
                <w:sz w:val="18"/>
                <w:szCs w:val="18"/>
              </w:rPr>
              <w:t>región</w:t>
            </w:r>
          </w:p>
        </w:tc>
        <w:tc>
          <w:tcPr>
            <w:tcW w:w="697" w:type="dxa"/>
            <w:tcBorders>
              <w:top w:val="single" w:sz="4" w:space="0" w:color="000000"/>
              <w:left w:val="single" w:sz="4" w:space="0" w:color="000000"/>
              <w:bottom w:val="single" w:sz="4" w:space="0" w:color="000000"/>
              <w:right w:val="single" w:sz="4" w:space="0" w:color="000000"/>
            </w:tcBorders>
          </w:tcPr>
          <w:p w14:paraId="70DCF2D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28.25</w:t>
            </w:r>
          </w:p>
        </w:tc>
        <w:tc>
          <w:tcPr>
            <w:tcW w:w="695" w:type="dxa"/>
            <w:tcBorders>
              <w:top w:val="single" w:sz="4" w:space="0" w:color="000000"/>
              <w:left w:val="single" w:sz="4" w:space="0" w:color="000000"/>
              <w:bottom w:val="single" w:sz="4" w:space="0" w:color="000000"/>
              <w:right w:val="single" w:sz="4" w:space="0" w:color="000000"/>
            </w:tcBorders>
          </w:tcPr>
          <w:p w14:paraId="675DAA9A" w14:textId="77777777" w:rsidR="00D3344B" w:rsidRDefault="00143C25">
            <w:pPr>
              <w:pStyle w:val="TableParagraph"/>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0F66B748" w14:textId="77777777" w:rsidR="00D3344B" w:rsidRDefault="00143C25">
            <w:pPr>
              <w:pStyle w:val="TableParagraph"/>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7291F6C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19.00</w:t>
            </w:r>
          </w:p>
        </w:tc>
        <w:tc>
          <w:tcPr>
            <w:tcW w:w="696" w:type="dxa"/>
            <w:tcBorders>
              <w:top w:val="single" w:sz="4" w:space="0" w:color="000000"/>
              <w:left w:val="single" w:sz="4" w:space="0" w:color="000000"/>
              <w:bottom w:val="single" w:sz="4" w:space="0" w:color="000000"/>
              <w:right w:val="single" w:sz="4" w:space="0" w:color="000000"/>
            </w:tcBorders>
          </w:tcPr>
          <w:p w14:paraId="64B453C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74FE06E0" w14:textId="77777777" w:rsidR="00D3344B" w:rsidRDefault="00D3344B">
            <w:pPr>
              <w:pStyle w:val="TableParagraph"/>
              <w:rPr>
                <w:rFonts w:ascii="Arial" w:hAnsi="Arial" w:cs="Arial"/>
                <w:sz w:val="18"/>
                <w:szCs w:val="18"/>
              </w:rPr>
            </w:pPr>
          </w:p>
        </w:tc>
      </w:tr>
      <w:tr w:rsidR="00D3344B" w14:paraId="376C5F79"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25ADA9F" w14:textId="77777777" w:rsidR="00D3344B" w:rsidRDefault="00143C25">
            <w:pPr>
              <w:pStyle w:val="TableParagraph"/>
              <w:rPr>
                <w:rFonts w:ascii="Arial" w:hAnsi="Arial" w:cs="Arial"/>
                <w:sz w:val="18"/>
                <w:szCs w:val="18"/>
              </w:rPr>
            </w:pPr>
            <w:r>
              <w:rPr>
                <w:rFonts w:ascii="Arial" w:hAnsi="Arial" w:cs="Arial"/>
                <w:sz w:val="18"/>
                <w:szCs w:val="18"/>
              </w:rPr>
              <w:t>02-TM-018-</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3281E286"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Tac</w:t>
            </w:r>
            <w:r>
              <w:rPr>
                <w:rFonts w:ascii="Arial" w:hAnsi="Arial" w:cs="Arial"/>
                <w:spacing w:val="80"/>
                <w:w w:val="110"/>
                <w:sz w:val="18"/>
                <w:szCs w:val="18"/>
              </w:rPr>
              <w:t xml:space="preserve"> </w:t>
            </w:r>
            <w:r>
              <w:rPr>
                <w:rFonts w:ascii="Arial" w:hAnsi="Arial" w:cs="Arial"/>
                <w:w w:val="110"/>
                <w:sz w:val="18"/>
                <w:szCs w:val="18"/>
              </w:rPr>
              <w:t>columna</w:t>
            </w:r>
            <w:r>
              <w:rPr>
                <w:rFonts w:ascii="Arial" w:hAnsi="Arial" w:cs="Arial"/>
                <w:spacing w:val="80"/>
                <w:w w:val="110"/>
                <w:sz w:val="18"/>
                <w:szCs w:val="18"/>
              </w:rPr>
              <w:t xml:space="preserve"> </w:t>
            </w:r>
            <w:r>
              <w:rPr>
                <w:rFonts w:ascii="Arial" w:hAnsi="Arial" w:cs="Arial"/>
                <w:w w:val="110"/>
                <w:sz w:val="18"/>
                <w:szCs w:val="18"/>
              </w:rPr>
              <w:t>vertebral</w:t>
            </w:r>
            <w:r>
              <w:rPr>
                <w:rFonts w:ascii="Arial" w:hAnsi="Arial" w:cs="Arial"/>
                <w:spacing w:val="40"/>
                <w:w w:val="110"/>
                <w:sz w:val="18"/>
                <w:szCs w:val="18"/>
              </w:rPr>
              <w:t xml:space="preserve"> </w:t>
            </w:r>
            <w:r>
              <w:rPr>
                <w:rFonts w:ascii="Arial" w:hAnsi="Arial" w:cs="Arial"/>
                <w:w w:val="110"/>
                <w:sz w:val="18"/>
                <w:szCs w:val="18"/>
              </w:rPr>
              <w:t>1 región con contraste</w:t>
            </w:r>
          </w:p>
        </w:tc>
        <w:tc>
          <w:tcPr>
            <w:tcW w:w="697" w:type="dxa"/>
            <w:tcBorders>
              <w:top w:val="single" w:sz="4" w:space="0" w:color="000000"/>
              <w:left w:val="single" w:sz="4" w:space="0" w:color="000000"/>
              <w:bottom w:val="single" w:sz="4" w:space="0" w:color="000000"/>
              <w:right w:val="single" w:sz="4" w:space="0" w:color="000000"/>
            </w:tcBorders>
          </w:tcPr>
          <w:p w14:paraId="3BDC039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38.25</w:t>
            </w:r>
          </w:p>
        </w:tc>
        <w:tc>
          <w:tcPr>
            <w:tcW w:w="695" w:type="dxa"/>
            <w:tcBorders>
              <w:top w:val="single" w:sz="4" w:space="0" w:color="000000"/>
              <w:left w:val="single" w:sz="4" w:space="0" w:color="000000"/>
              <w:bottom w:val="single" w:sz="4" w:space="0" w:color="000000"/>
              <w:right w:val="single" w:sz="4" w:space="0" w:color="000000"/>
            </w:tcBorders>
          </w:tcPr>
          <w:p w14:paraId="0281F087" w14:textId="77777777" w:rsidR="00D3344B" w:rsidRDefault="00143C25">
            <w:pPr>
              <w:pStyle w:val="TableParagraph"/>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4DF52184" w14:textId="77777777" w:rsidR="00D3344B" w:rsidRDefault="00143C25">
            <w:pPr>
              <w:pStyle w:val="TableParagraph"/>
              <w:rPr>
                <w:rFonts w:ascii="Arial" w:hAnsi="Arial" w:cs="Arial"/>
                <w:sz w:val="18"/>
                <w:szCs w:val="18"/>
              </w:rPr>
            </w:pPr>
            <w:r>
              <w:rPr>
                <w:rFonts w:ascii="Arial" w:hAnsi="Arial" w:cs="Arial"/>
                <w:spacing w:val="-4"/>
                <w:w w:val="115"/>
                <w:sz w:val="18"/>
                <w:szCs w:val="18"/>
              </w:rPr>
              <w:t>29.75</w:t>
            </w:r>
          </w:p>
        </w:tc>
        <w:tc>
          <w:tcPr>
            <w:tcW w:w="699" w:type="dxa"/>
            <w:tcBorders>
              <w:top w:val="single" w:sz="4" w:space="0" w:color="000000"/>
              <w:left w:val="single" w:sz="4" w:space="0" w:color="000000"/>
              <w:bottom w:val="single" w:sz="4" w:space="0" w:color="000000"/>
              <w:right w:val="single" w:sz="4" w:space="0" w:color="000000"/>
            </w:tcBorders>
          </w:tcPr>
          <w:p w14:paraId="5013A0D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25.50</w:t>
            </w:r>
          </w:p>
        </w:tc>
        <w:tc>
          <w:tcPr>
            <w:tcW w:w="696" w:type="dxa"/>
            <w:tcBorders>
              <w:top w:val="single" w:sz="4" w:space="0" w:color="000000"/>
              <w:left w:val="single" w:sz="4" w:space="0" w:color="000000"/>
              <w:bottom w:val="single" w:sz="4" w:space="0" w:color="000000"/>
              <w:right w:val="single" w:sz="4" w:space="0" w:color="000000"/>
            </w:tcBorders>
          </w:tcPr>
          <w:p w14:paraId="1C0D56E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21.25</w:t>
            </w:r>
          </w:p>
        </w:tc>
        <w:tc>
          <w:tcPr>
            <w:tcW w:w="527" w:type="dxa"/>
            <w:tcBorders>
              <w:top w:val="single" w:sz="4" w:space="0" w:color="000000"/>
              <w:left w:val="single" w:sz="4" w:space="0" w:color="000000"/>
              <w:bottom w:val="single" w:sz="4" w:space="0" w:color="000000"/>
              <w:right w:val="single" w:sz="4" w:space="0" w:color="000000"/>
            </w:tcBorders>
          </w:tcPr>
          <w:p w14:paraId="46CCBC9B" w14:textId="77777777" w:rsidR="00D3344B" w:rsidRDefault="00D3344B">
            <w:pPr>
              <w:pStyle w:val="TableParagraph"/>
              <w:rPr>
                <w:rFonts w:ascii="Arial" w:hAnsi="Arial" w:cs="Arial"/>
                <w:sz w:val="18"/>
                <w:szCs w:val="18"/>
              </w:rPr>
            </w:pPr>
          </w:p>
        </w:tc>
      </w:tr>
      <w:tr w:rsidR="00D3344B" w14:paraId="2934AE81"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39784A4"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019</w:t>
            </w:r>
          </w:p>
        </w:tc>
        <w:tc>
          <w:tcPr>
            <w:tcW w:w="3038" w:type="dxa"/>
            <w:tcBorders>
              <w:top w:val="single" w:sz="4" w:space="0" w:color="000000"/>
              <w:left w:val="single" w:sz="4" w:space="0" w:color="000000"/>
              <w:bottom w:val="single" w:sz="4" w:space="0" w:color="000000"/>
              <w:right w:val="single" w:sz="4" w:space="0" w:color="000000"/>
            </w:tcBorders>
          </w:tcPr>
          <w:p w14:paraId="76C85FB1" w14:textId="77777777" w:rsidR="00D3344B" w:rsidRDefault="00143C25">
            <w:pPr>
              <w:pStyle w:val="TableParagraph"/>
              <w:tabs>
                <w:tab w:val="left" w:pos="650"/>
                <w:tab w:val="left" w:pos="1766"/>
                <w:tab w:val="left" w:pos="2909"/>
              </w:tabs>
              <w:spacing w:line="252" w:lineRule="exact"/>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spacing w:val="-2"/>
                <w:w w:val="110"/>
                <w:sz w:val="18"/>
                <w:szCs w:val="18"/>
              </w:rPr>
              <w:t>columna</w:t>
            </w:r>
            <w:r>
              <w:rPr>
                <w:rFonts w:ascii="Arial" w:hAnsi="Arial" w:cs="Arial"/>
                <w:sz w:val="18"/>
                <w:szCs w:val="18"/>
              </w:rPr>
              <w:tab/>
            </w:r>
            <w:r>
              <w:rPr>
                <w:rFonts w:ascii="Arial" w:hAnsi="Arial" w:cs="Arial"/>
                <w:spacing w:val="-2"/>
                <w:w w:val="110"/>
                <w:sz w:val="18"/>
                <w:szCs w:val="18"/>
              </w:rPr>
              <w:t>vertebral</w:t>
            </w:r>
            <w:r>
              <w:rPr>
                <w:rFonts w:ascii="Arial" w:hAnsi="Arial" w:cs="Arial"/>
                <w:sz w:val="18"/>
                <w:szCs w:val="18"/>
              </w:rPr>
              <w:tab/>
            </w:r>
            <w:r>
              <w:rPr>
                <w:rFonts w:ascii="Arial" w:hAnsi="Arial" w:cs="Arial"/>
                <w:spacing w:val="-12"/>
                <w:w w:val="110"/>
                <w:sz w:val="18"/>
                <w:szCs w:val="18"/>
              </w:rPr>
              <w:t xml:space="preserve">2 </w:t>
            </w:r>
            <w:r>
              <w:rPr>
                <w:rFonts w:ascii="Arial" w:hAnsi="Arial" w:cs="Arial"/>
                <w:spacing w:val="-2"/>
                <w:w w:val="110"/>
                <w:sz w:val="18"/>
                <w:szCs w:val="18"/>
              </w:rPr>
              <w:t>regiones</w:t>
            </w:r>
          </w:p>
        </w:tc>
        <w:tc>
          <w:tcPr>
            <w:tcW w:w="697" w:type="dxa"/>
            <w:tcBorders>
              <w:top w:val="single" w:sz="4" w:space="0" w:color="000000"/>
              <w:left w:val="single" w:sz="4" w:space="0" w:color="000000"/>
              <w:bottom w:val="single" w:sz="4" w:space="0" w:color="000000"/>
              <w:right w:val="single" w:sz="4" w:space="0" w:color="000000"/>
            </w:tcBorders>
          </w:tcPr>
          <w:p w14:paraId="000BFA86"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48.75</w:t>
            </w:r>
          </w:p>
        </w:tc>
        <w:tc>
          <w:tcPr>
            <w:tcW w:w="695" w:type="dxa"/>
            <w:tcBorders>
              <w:top w:val="single" w:sz="4" w:space="0" w:color="000000"/>
              <w:left w:val="single" w:sz="4" w:space="0" w:color="000000"/>
              <w:bottom w:val="single" w:sz="4" w:space="0" w:color="000000"/>
              <w:right w:val="single" w:sz="4" w:space="0" w:color="000000"/>
            </w:tcBorders>
          </w:tcPr>
          <w:p w14:paraId="6696857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43.50</w:t>
            </w:r>
          </w:p>
        </w:tc>
        <w:tc>
          <w:tcPr>
            <w:tcW w:w="699" w:type="dxa"/>
            <w:tcBorders>
              <w:top w:val="single" w:sz="4" w:space="0" w:color="000000"/>
              <w:left w:val="single" w:sz="4" w:space="0" w:color="000000"/>
              <w:bottom w:val="single" w:sz="4" w:space="0" w:color="000000"/>
              <w:right w:val="single" w:sz="4" w:space="0" w:color="000000"/>
            </w:tcBorders>
          </w:tcPr>
          <w:p w14:paraId="378B65E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37.75</w:t>
            </w:r>
          </w:p>
        </w:tc>
        <w:tc>
          <w:tcPr>
            <w:tcW w:w="699" w:type="dxa"/>
            <w:tcBorders>
              <w:top w:val="single" w:sz="4" w:space="0" w:color="000000"/>
              <w:left w:val="single" w:sz="4" w:space="0" w:color="000000"/>
              <w:bottom w:val="single" w:sz="4" w:space="0" w:color="000000"/>
              <w:right w:val="single" w:sz="4" w:space="0" w:color="000000"/>
            </w:tcBorders>
          </w:tcPr>
          <w:p w14:paraId="79D10217"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32.25</w:t>
            </w:r>
          </w:p>
        </w:tc>
        <w:tc>
          <w:tcPr>
            <w:tcW w:w="696" w:type="dxa"/>
            <w:tcBorders>
              <w:top w:val="single" w:sz="4" w:space="0" w:color="000000"/>
              <w:left w:val="single" w:sz="4" w:space="0" w:color="000000"/>
              <w:bottom w:val="single" w:sz="4" w:space="0" w:color="000000"/>
              <w:right w:val="single" w:sz="4" w:space="0" w:color="000000"/>
            </w:tcBorders>
          </w:tcPr>
          <w:p w14:paraId="624A2EE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27.00</w:t>
            </w:r>
          </w:p>
        </w:tc>
        <w:tc>
          <w:tcPr>
            <w:tcW w:w="527" w:type="dxa"/>
            <w:tcBorders>
              <w:top w:val="single" w:sz="4" w:space="0" w:color="000000"/>
              <w:left w:val="single" w:sz="4" w:space="0" w:color="000000"/>
              <w:bottom w:val="single" w:sz="4" w:space="0" w:color="000000"/>
              <w:right w:val="single" w:sz="4" w:space="0" w:color="000000"/>
            </w:tcBorders>
          </w:tcPr>
          <w:p w14:paraId="52F557C3" w14:textId="77777777" w:rsidR="00D3344B" w:rsidRDefault="00D3344B">
            <w:pPr>
              <w:pStyle w:val="TableParagraph"/>
              <w:rPr>
                <w:rFonts w:ascii="Arial" w:hAnsi="Arial" w:cs="Arial"/>
                <w:sz w:val="18"/>
                <w:szCs w:val="18"/>
              </w:rPr>
            </w:pPr>
          </w:p>
        </w:tc>
      </w:tr>
      <w:tr w:rsidR="00D3344B" w14:paraId="15623C05"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5175C75" w14:textId="77777777" w:rsidR="00D3344B" w:rsidRDefault="00143C25">
            <w:pPr>
              <w:pStyle w:val="TableParagraph"/>
              <w:spacing w:before="1"/>
              <w:rPr>
                <w:rFonts w:ascii="Arial" w:hAnsi="Arial" w:cs="Arial"/>
                <w:sz w:val="18"/>
                <w:szCs w:val="18"/>
              </w:rPr>
            </w:pPr>
            <w:r>
              <w:rPr>
                <w:rFonts w:ascii="Arial" w:hAnsi="Arial" w:cs="Arial"/>
                <w:sz w:val="18"/>
                <w:szCs w:val="18"/>
              </w:rPr>
              <w:t>02-TM-019-</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C42ED4A" w14:textId="77777777" w:rsidR="00D3344B" w:rsidRDefault="00143C25">
            <w:pPr>
              <w:pStyle w:val="TableParagraph"/>
              <w:tabs>
                <w:tab w:val="left" w:pos="633"/>
                <w:tab w:val="left" w:pos="1757"/>
                <w:tab w:val="left" w:pos="2906"/>
              </w:tabs>
              <w:spacing w:line="252" w:lineRule="exact"/>
              <w:ind w:right="-15"/>
              <w:rPr>
                <w:rFonts w:ascii="Arial" w:hAnsi="Arial" w:cs="Arial"/>
                <w:sz w:val="18"/>
                <w:szCs w:val="18"/>
              </w:rPr>
            </w:pPr>
            <w:r>
              <w:rPr>
                <w:rFonts w:ascii="Arial" w:hAnsi="Arial" w:cs="Arial"/>
                <w:spacing w:val="-4"/>
                <w:w w:val="115"/>
                <w:sz w:val="18"/>
                <w:szCs w:val="18"/>
              </w:rPr>
              <w:t>Tac</w:t>
            </w:r>
            <w:r>
              <w:rPr>
                <w:rFonts w:ascii="Arial" w:hAnsi="Arial" w:cs="Arial"/>
                <w:sz w:val="18"/>
                <w:szCs w:val="18"/>
              </w:rPr>
              <w:tab/>
            </w:r>
            <w:r>
              <w:rPr>
                <w:rFonts w:ascii="Arial" w:hAnsi="Arial" w:cs="Arial"/>
                <w:spacing w:val="-2"/>
                <w:w w:val="115"/>
                <w:sz w:val="18"/>
                <w:szCs w:val="18"/>
              </w:rPr>
              <w:t>columna</w:t>
            </w:r>
            <w:r>
              <w:rPr>
                <w:rFonts w:ascii="Arial" w:hAnsi="Arial" w:cs="Arial"/>
                <w:sz w:val="18"/>
                <w:szCs w:val="18"/>
              </w:rPr>
              <w:tab/>
            </w:r>
            <w:r>
              <w:rPr>
                <w:rFonts w:ascii="Arial" w:hAnsi="Arial" w:cs="Arial"/>
                <w:spacing w:val="-2"/>
                <w:w w:val="115"/>
                <w:sz w:val="18"/>
                <w:szCs w:val="18"/>
              </w:rPr>
              <w:t>vertebral</w:t>
            </w:r>
            <w:r>
              <w:rPr>
                <w:rFonts w:ascii="Arial" w:hAnsi="Arial" w:cs="Arial"/>
                <w:sz w:val="18"/>
                <w:szCs w:val="18"/>
              </w:rPr>
              <w:tab/>
            </w:r>
            <w:r>
              <w:rPr>
                <w:rFonts w:ascii="Arial" w:hAnsi="Arial" w:cs="Arial"/>
                <w:spacing w:val="-10"/>
                <w:w w:val="115"/>
                <w:sz w:val="18"/>
                <w:szCs w:val="18"/>
              </w:rPr>
              <w:t xml:space="preserve">2 </w:t>
            </w:r>
            <w:r>
              <w:rPr>
                <w:rFonts w:ascii="Arial" w:hAnsi="Arial" w:cs="Arial"/>
                <w:w w:val="115"/>
                <w:sz w:val="18"/>
                <w:szCs w:val="18"/>
              </w:rPr>
              <w:t>regiones con contraste</w:t>
            </w:r>
          </w:p>
        </w:tc>
        <w:tc>
          <w:tcPr>
            <w:tcW w:w="697" w:type="dxa"/>
            <w:tcBorders>
              <w:top w:val="single" w:sz="4" w:space="0" w:color="000000"/>
              <w:left w:val="single" w:sz="4" w:space="0" w:color="000000"/>
              <w:bottom w:val="single" w:sz="4" w:space="0" w:color="000000"/>
              <w:right w:val="single" w:sz="4" w:space="0" w:color="000000"/>
            </w:tcBorders>
          </w:tcPr>
          <w:p w14:paraId="3E96023B"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60.25</w:t>
            </w:r>
          </w:p>
        </w:tc>
        <w:tc>
          <w:tcPr>
            <w:tcW w:w="695" w:type="dxa"/>
            <w:tcBorders>
              <w:top w:val="single" w:sz="4" w:space="0" w:color="000000"/>
              <w:left w:val="single" w:sz="4" w:space="0" w:color="000000"/>
              <w:bottom w:val="single" w:sz="4" w:space="0" w:color="000000"/>
              <w:right w:val="single" w:sz="4" w:space="0" w:color="000000"/>
            </w:tcBorders>
          </w:tcPr>
          <w:p w14:paraId="1BE05CD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55.50</w:t>
            </w:r>
          </w:p>
        </w:tc>
        <w:tc>
          <w:tcPr>
            <w:tcW w:w="699" w:type="dxa"/>
            <w:tcBorders>
              <w:top w:val="single" w:sz="4" w:space="0" w:color="000000"/>
              <w:left w:val="single" w:sz="4" w:space="0" w:color="000000"/>
              <w:bottom w:val="single" w:sz="4" w:space="0" w:color="000000"/>
              <w:right w:val="single" w:sz="4" w:space="0" w:color="000000"/>
            </w:tcBorders>
          </w:tcPr>
          <w:p w14:paraId="0955671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51.00</w:t>
            </w:r>
          </w:p>
        </w:tc>
        <w:tc>
          <w:tcPr>
            <w:tcW w:w="699" w:type="dxa"/>
            <w:tcBorders>
              <w:top w:val="single" w:sz="4" w:space="0" w:color="000000"/>
              <w:left w:val="single" w:sz="4" w:space="0" w:color="000000"/>
              <w:bottom w:val="single" w:sz="4" w:space="0" w:color="000000"/>
              <w:right w:val="single" w:sz="4" w:space="0" w:color="000000"/>
            </w:tcBorders>
          </w:tcPr>
          <w:p w14:paraId="2C5F9FF0"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46.25</w:t>
            </w:r>
          </w:p>
        </w:tc>
        <w:tc>
          <w:tcPr>
            <w:tcW w:w="696" w:type="dxa"/>
            <w:tcBorders>
              <w:top w:val="single" w:sz="4" w:space="0" w:color="000000"/>
              <w:left w:val="single" w:sz="4" w:space="0" w:color="000000"/>
              <w:bottom w:val="single" w:sz="4" w:space="0" w:color="000000"/>
              <w:right w:val="single" w:sz="4" w:space="0" w:color="000000"/>
            </w:tcBorders>
          </w:tcPr>
          <w:p w14:paraId="6B878CD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41.50</w:t>
            </w:r>
          </w:p>
        </w:tc>
        <w:tc>
          <w:tcPr>
            <w:tcW w:w="527" w:type="dxa"/>
            <w:tcBorders>
              <w:top w:val="single" w:sz="4" w:space="0" w:color="000000"/>
              <w:left w:val="single" w:sz="4" w:space="0" w:color="000000"/>
              <w:bottom w:val="single" w:sz="4" w:space="0" w:color="000000"/>
              <w:right w:val="single" w:sz="4" w:space="0" w:color="000000"/>
            </w:tcBorders>
          </w:tcPr>
          <w:p w14:paraId="4A32AEA1" w14:textId="77777777" w:rsidR="00D3344B" w:rsidRDefault="00D3344B">
            <w:pPr>
              <w:pStyle w:val="TableParagraph"/>
              <w:rPr>
                <w:rFonts w:ascii="Arial" w:hAnsi="Arial" w:cs="Arial"/>
                <w:sz w:val="18"/>
                <w:szCs w:val="18"/>
              </w:rPr>
            </w:pPr>
          </w:p>
        </w:tc>
      </w:tr>
      <w:tr w:rsidR="00D3344B" w14:paraId="288BD82F"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4A54402"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020</w:t>
            </w:r>
          </w:p>
        </w:tc>
        <w:tc>
          <w:tcPr>
            <w:tcW w:w="3038" w:type="dxa"/>
            <w:tcBorders>
              <w:top w:val="single" w:sz="4" w:space="0" w:color="000000"/>
              <w:left w:val="single" w:sz="4" w:space="0" w:color="000000"/>
              <w:bottom w:val="single" w:sz="4" w:space="0" w:color="000000"/>
              <w:right w:val="single" w:sz="4" w:space="0" w:color="000000"/>
            </w:tcBorders>
          </w:tcPr>
          <w:p w14:paraId="032F09C6"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Tac</w:t>
            </w:r>
            <w:r>
              <w:rPr>
                <w:rFonts w:ascii="Arial" w:hAnsi="Arial" w:cs="Arial"/>
                <w:spacing w:val="80"/>
                <w:w w:val="110"/>
                <w:sz w:val="18"/>
                <w:szCs w:val="18"/>
              </w:rPr>
              <w:t xml:space="preserve"> </w:t>
            </w:r>
            <w:r>
              <w:rPr>
                <w:rFonts w:ascii="Arial" w:hAnsi="Arial" w:cs="Arial"/>
                <w:w w:val="110"/>
                <w:sz w:val="18"/>
                <w:szCs w:val="18"/>
              </w:rPr>
              <w:t>columna</w:t>
            </w:r>
            <w:r>
              <w:rPr>
                <w:rFonts w:ascii="Arial" w:hAnsi="Arial" w:cs="Arial"/>
                <w:spacing w:val="80"/>
                <w:w w:val="110"/>
                <w:sz w:val="18"/>
                <w:szCs w:val="18"/>
              </w:rPr>
              <w:t xml:space="preserve"> </w:t>
            </w:r>
            <w:r>
              <w:rPr>
                <w:rFonts w:ascii="Arial" w:hAnsi="Arial" w:cs="Arial"/>
                <w:w w:val="110"/>
                <w:sz w:val="18"/>
                <w:szCs w:val="18"/>
              </w:rPr>
              <w:t>vertebral</w:t>
            </w:r>
            <w:r>
              <w:rPr>
                <w:rFonts w:ascii="Arial" w:hAnsi="Arial" w:cs="Arial"/>
                <w:spacing w:val="40"/>
                <w:w w:val="110"/>
                <w:sz w:val="18"/>
                <w:szCs w:val="18"/>
              </w:rPr>
              <w:t xml:space="preserve"> </w:t>
            </w:r>
            <w:r>
              <w:rPr>
                <w:rFonts w:ascii="Arial" w:hAnsi="Arial" w:cs="Arial"/>
                <w:w w:val="110"/>
                <w:sz w:val="18"/>
                <w:szCs w:val="18"/>
              </w:rPr>
              <w:t xml:space="preserve">3 </w:t>
            </w:r>
            <w:r>
              <w:rPr>
                <w:rFonts w:ascii="Arial" w:hAnsi="Arial" w:cs="Arial"/>
                <w:spacing w:val="-2"/>
                <w:w w:val="110"/>
                <w:sz w:val="18"/>
                <w:szCs w:val="18"/>
              </w:rPr>
              <w:t>regiones</w:t>
            </w:r>
          </w:p>
        </w:tc>
        <w:tc>
          <w:tcPr>
            <w:tcW w:w="697" w:type="dxa"/>
            <w:tcBorders>
              <w:top w:val="single" w:sz="4" w:space="0" w:color="000000"/>
              <w:left w:val="single" w:sz="4" w:space="0" w:color="000000"/>
              <w:bottom w:val="single" w:sz="4" w:space="0" w:color="000000"/>
              <w:right w:val="single" w:sz="4" w:space="0" w:color="000000"/>
            </w:tcBorders>
          </w:tcPr>
          <w:p w14:paraId="3E96ACF3"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3575ACB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63.75</w:t>
            </w:r>
          </w:p>
        </w:tc>
        <w:tc>
          <w:tcPr>
            <w:tcW w:w="699" w:type="dxa"/>
            <w:tcBorders>
              <w:top w:val="single" w:sz="4" w:space="0" w:color="000000"/>
              <w:left w:val="single" w:sz="4" w:space="0" w:color="000000"/>
              <w:bottom w:val="single" w:sz="4" w:space="0" w:color="000000"/>
              <w:right w:val="single" w:sz="4" w:space="0" w:color="000000"/>
            </w:tcBorders>
          </w:tcPr>
          <w:p w14:paraId="7E6FA91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1CB5E10C"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47.75</w:t>
            </w:r>
          </w:p>
        </w:tc>
        <w:tc>
          <w:tcPr>
            <w:tcW w:w="696" w:type="dxa"/>
            <w:tcBorders>
              <w:top w:val="single" w:sz="4" w:space="0" w:color="000000"/>
              <w:left w:val="single" w:sz="4" w:space="0" w:color="000000"/>
              <w:bottom w:val="single" w:sz="4" w:space="0" w:color="000000"/>
              <w:right w:val="single" w:sz="4" w:space="0" w:color="000000"/>
            </w:tcBorders>
          </w:tcPr>
          <w:p w14:paraId="0887442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39.75</w:t>
            </w:r>
          </w:p>
        </w:tc>
        <w:tc>
          <w:tcPr>
            <w:tcW w:w="527" w:type="dxa"/>
            <w:tcBorders>
              <w:top w:val="single" w:sz="4" w:space="0" w:color="000000"/>
              <w:left w:val="single" w:sz="4" w:space="0" w:color="000000"/>
              <w:bottom w:val="single" w:sz="4" w:space="0" w:color="000000"/>
              <w:right w:val="single" w:sz="4" w:space="0" w:color="000000"/>
            </w:tcBorders>
          </w:tcPr>
          <w:p w14:paraId="484F62BD" w14:textId="77777777" w:rsidR="00D3344B" w:rsidRDefault="00D3344B">
            <w:pPr>
              <w:pStyle w:val="TableParagraph"/>
              <w:rPr>
                <w:rFonts w:ascii="Arial" w:hAnsi="Arial" w:cs="Arial"/>
                <w:sz w:val="18"/>
                <w:szCs w:val="18"/>
              </w:rPr>
            </w:pPr>
          </w:p>
        </w:tc>
      </w:tr>
      <w:tr w:rsidR="00D3344B" w14:paraId="74FB98BD"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17F14FA7" w14:textId="77777777" w:rsidR="00D3344B" w:rsidRDefault="00143C25">
            <w:pPr>
              <w:pStyle w:val="TableParagraph"/>
              <w:spacing w:before="1"/>
              <w:rPr>
                <w:rFonts w:ascii="Arial" w:hAnsi="Arial" w:cs="Arial"/>
                <w:sz w:val="18"/>
                <w:szCs w:val="18"/>
              </w:rPr>
            </w:pPr>
            <w:r>
              <w:rPr>
                <w:rFonts w:ascii="Arial" w:hAnsi="Arial" w:cs="Arial"/>
                <w:sz w:val="18"/>
                <w:szCs w:val="18"/>
              </w:rPr>
              <w:t>02-TM-020-</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F898593" w14:textId="77777777" w:rsidR="00D3344B" w:rsidRDefault="00143C25">
            <w:pPr>
              <w:pStyle w:val="TableParagraph"/>
              <w:tabs>
                <w:tab w:val="left" w:pos="633"/>
                <w:tab w:val="left" w:pos="1757"/>
                <w:tab w:val="left" w:pos="2906"/>
              </w:tabs>
              <w:spacing w:line="252" w:lineRule="exact"/>
              <w:ind w:right="-15"/>
              <w:rPr>
                <w:rFonts w:ascii="Arial" w:hAnsi="Arial" w:cs="Arial"/>
                <w:sz w:val="18"/>
                <w:szCs w:val="18"/>
              </w:rPr>
            </w:pPr>
            <w:r>
              <w:rPr>
                <w:rFonts w:ascii="Arial" w:hAnsi="Arial" w:cs="Arial"/>
                <w:spacing w:val="-4"/>
                <w:w w:val="115"/>
                <w:sz w:val="18"/>
                <w:szCs w:val="18"/>
              </w:rPr>
              <w:t>Tac</w:t>
            </w:r>
            <w:r>
              <w:rPr>
                <w:rFonts w:ascii="Arial" w:hAnsi="Arial" w:cs="Arial"/>
                <w:sz w:val="18"/>
                <w:szCs w:val="18"/>
              </w:rPr>
              <w:tab/>
            </w:r>
            <w:r>
              <w:rPr>
                <w:rFonts w:ascii="Arial" w:hAnsi="Arial" w:cs="Arial"/>
                <w:spacing w:val="-2"/>
                <w:w w:val="115"/>
                <w:sz w:val="18"/>
                <w:szCs w:val="18"/>
              </w:rPr>
              <w:t>columna</w:t>
            </w:r>
            <w:r>
              <w:rPr>
                <w:rFonts w:ascii="Arial" w:hAnsi="Arial" w:cs="Arial"/>
                <w:sz w:val="18"/>
                <w:szCs w:val="18"/>
              </w:rPr>
              <w:tab/>
            </w:r>
            <w:r>
              <w:rPr>
                <w:rFonts w:ascii="Arial" w:hAnsi="Arial" w:cs="Arial"/>
                <w:spacing w:val="-2"/>
                <w:w w:val="115"/>
                <w:sz w:val="18"/>
                <w:szCs w:val="18"/>
              </w:rPr>
              <w:t>vertebral</w:t>
            </w:r>
            <w:r>
              <w:rPr>
                <w:rFonts w:ascii="Arial" w:hAnsi="Arial" w:cs="Arial"/>
                <w:sz w:val="18"/>
                <w:szCs w:val="18"/>
              </w:rPr>
              <w:tab/>
            </w:r>
            <w:r>
              <w:rPr>
                <w:rFonts w:ascii="Arial" w:hAnsi="Arial" w:cs="Arial"/>
                <w:spacing w:val="-10"/>
                <w:w w:val="115"/>
                <w:sz w:val="18"/>
                <w:szCs w:val="18"/>
              </w:rPr>
              <w:t xml:space="preserve">3 </w:t>
            </w:r>
            <w:r>
              <w:rPr>
                <w:rFonts w:ascii="Arial" w:hAnsi="Arial" w:cs="Arial"/>
                <w:w w:val="115"/>
                <w:sz w:val="18"/>
                <w:szCs w:val="18"/>
              </w:rPr>
              <w:t>regiones con contraste</w:t>
            </w:r>
          </w:p>
        </w:tc>
        <w:tc>
          <w:tcPr>
            <w:tcW w:w="697" w:type="dxa"/>
            <w:tcBorders>
              <w:top w:val="single" w:sz="4" w:space="0" w:color="000000"/>
              <w:left w:val="single" w:sz="4" w:space="0" w:color="000000"/>
              <w:bottom w:val="single" w:sz="4" w:space="0" w:color="000000"/>
              <w:right w:val="single" w:sz="4" w:space="0" w:color="000000"/>
            </w:tcBorders>
          </w:tcPr>
          <w:p w14:paraId="79D60BF3"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84.25</w:t>
            </w:r>
          </w:p>
        </w:tc>
        <w:tc>
          <w:tcPr>
            <w:tcW w:w="695" w:type="dxa"/>
            <w:tcBorders>
              <w:top w:val="single" w:sz="4" w:space="0" w:color="000000"/>
              <w:left w:val="single" w:sz="4" w:space="0" w:color="000000"/>
              <w:bottom w:val="single" w:sz="4" w:space="0" w:color="000000"/>
              <w:right w:val="single" w:sz="4" w:space="0" w:color="000000"/>
            </w:tcBorders>
          </w:tcPr>
          <w:p w14:paraId="2395684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78.00</w:t>
            </w:r>
          </w:p>
        </w:tc>
        <w:tc>
          <w:tcPr>
            <w:tcW w:w="699" w:type="dxa"/>
            <w:tcBorders>
              <w:top w:val="single" w:sz="4" w:space="0" w:color="000000"/>
              <w:left w:val="single" w:sz="4" w:space="0" w:color="000000"/>
              <w:bottom w:val="single" w:sz="4" w:space="0" w:color="000000"/>
              <w:right w:val="single" w:sz="4" w:space="0" w:color="000000"/>
            </w:tcBorders>
          </w:tcPr>
          <w:p w14:paraId="35CE678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72.00</w:t>
            </w:r>
          </w:p>
        </w:tc>
        <w:tc>
          <w:tcPr>
            <w:tcW w:w="699" w:type="dxa"/>
            <w:tcBorders>
              <w:top w:val="single" w:sz="4" w:space="0" w:color="000000"/>
              <w:left w:val="single" w:sz="4" w:space="0" w:color="000000"/>
              <w:bottom w:val="single" w:sz="4" w:space="0" w:color="000000"/>
              <w:right w:val="single" w:sz="4" w:space="0" w:color="000000"/>
            </w:tcBorders>
          </w:tcPr>
          <w:p w14:paraId="4A656F11"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65.50</w:t>
            </w:r>
          </w:p>
        </w:tc>
        <w:tc>
          <w:tcPr>
            <w:tcW w:w="696" w:type="dxa"/>
            <w:tcBorders>
              <w:top w:val="single" w:sz="4" w:space="0" w:color="000000"/>
              <w:left w:val="single" w:sz="4" w:space="0" w:color="000000"/>
              <w:bottom w:val="single" w:sz="4" w:space="0" w:color="000000"/>
              <w:right w:val="single" w:sz="4" w:space="0" w:color="000000"/>
            </w:tcBorders>
          </w:tcPr>
          <w:p w14:paraId="3062C9A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59.50</w:t>
            </w:r>
          </w:p>
        </w:tc>
        <w:tc>
          <w:tcPr>
            <w:tcW w:w="527" w:type="dxa"/>
            <w:tcBorders>
              <w:top w:val="single" w:sz="4" w:space="0" w:color="000000"/>
              <w:left w:val="single" w:sz="4" w:space="0" w:color="000000"/>
              <w:bottom w:val="single" w:sz="4" w:space="0" w:color="000000"/>
              <w:right w:val="single" w:sz="4" w:space="0" w:color="000000"/>
            </w:tcBorders>
          </w:tcPr>
          <w:p w14:paraId="58DEC36A" w14:textId="77777777" w:rsidR="00D3344B" w:rsidRDefault="00D3344B">
            <w:pPr>
              <w:pStyle w:val="TableParagraph"/>
              <w:rPr>
                <w:rFonts w:ascii="Arial" w:hAnsi="Arial" w:cs="Arial"/>
                <w:sz w:val="18"/>
                <w:szCs w:val="18"/>
              </w:rPr>
            </w:pPr>
          </w:p>
        </w:tc>
      </w:tr>
      <w:tr w:rsidR="00D3344B" w14:paraId="7C0ABB5C"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31F85B1"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021</w:t>
            </w:r>
          </w:p>
        </w:tc>
        <w:tc>
          <w:tcPr>
            <w:tcW w:w="3038" w:type="dxa"/>
            <w:tcBorders>
              <w:top w:val="single" w:sz="4" w:space="0" w:color="000000"/>
              <w:left w:val="single" w:sz="4" w:space="0" w:color="000000"/>
              <w:bottom w:val="single" w:sz="4" w:space="0" w:color="000000"/>
              <w:right w:val="single" w:sz="4" w:space="0" w:color="000000"/>
            </w:tcBorders>
          </w:tcPr>
          <w:p w14:paraId="1B58BB08"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Tac</w:t>
            </w:r>
            <w:r>
              <w:rPr>
                <w:rFonts w:ascii="Arial" w:hAnsi="Arial" w:cs="Arial"/>
                <w:spacing w:val="80"/>
                <w:w w:val="115"/>
                <w:sz w:val="18"/>
                <w:szCs w:val="18"/>
              </w:rPr>
              <w:t xml:space="preserve"> </w:t>
            </w:r>
            <w:r>
              <w:rPr>
                <w:rFonts w:ascii="Arial" w:hAnsi="Arial" w:cs="Arial"/>
                <w:w w:val="115"/>
                <w:sz w:val="18"/>
                <w:szCs w:val="18"/>
              </w:rPr>
              <w:t>columna</w:t>
            </w:r>
            <w:r>
              <w:rPr>
                <w:rFonts w:ascii="Arial" w:hAnsi="Arial" w:cs="Arial"/>
                <w:spacing w:val="80"/>
                <w:w w:val="115"/>
                <w:sz w:val="18"/>
                <w:szCs w:val="18"/>
              </w:rPr>
              <w:t xml:space="preserve"> </w:t>
            </w:r>
            <w:r>
              <w:rPr>
                <w:rFonts w:ascii="Arial" w:hAnsi="Arial" w:cs="Arial"/>
                <w:w w:val="115"/>
                <w:sz w:val="18"/>
                <w:szCs w:val="18"/>
              </w:rPr>
              <w:t>vertebral</w:t>
            </w:r>
            <w:r>
              <w:rPr>
                <w:rFonts w:ascii="Arial" w:hAnsi="Arial" w:cs="Arial"/>
                <w:spacing w:val="80"/>
                <w:w w:val="115"/>
                <w:sz w:val="18"/>
                <w:szCs w:val="18"/>
              </w:rPr>
              <w:t xml:space="preserve"> </w:t>
            </w:r>
            <w:r>
              <w:rPr>
                <w:rFonts w:ascii="Arial" w:hAnsi="Arial" w:cs="Arial"/>
                <w:w w:val="115"/>
                <w:sz w:val="18"/>
                <w:szCs w:val="18"/>
              </w:rPr>
              <w:t xml:space="preserve">con </w:t>
            </w:r>
            <w:r>
              <w:rPr>
                <w:rFonts w:ascii="Arial" w:hAnsi="Arial" w:cs="Arial"/>
                <w:spacing w:val="-2"/>
                <w:w w:val="115"/>
                <w:sz w:val="18"/>
                <w:szCs w:val="18"/>
              </w:rPr>
              <w:t>mielografía</w:t>
            </w:r>
          </w:p>
        </w:tc>
        <w:tc>
          <w:tcPr>
            <w:tcW w:w="697" w:type="dxa"/>
            <w:tcBorders>
              <w:top w:val="single" w:sz="4" w:space="0" w:color="000000"/>
              <w:left w:val="single" w:sz="4" w:space="0" w:color="000000"/>
              <w:bottom w:val="single" w:sz="4" w:space="0" w:color="000000"/>
              <w:right w:val="single" w:sz="4" w:space="0" w:color="000000"/>
            </w:tcBorders>
          </w:tcPr>
          <w:p w14:paraId="360BF2C1"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49.75</w:t>
            </w:r>
          </w:p>
        </w:tc>
        <w:tc>
          <w:tcPr>
            <w:tcW w:w="695" w:type="dxa"/>
            <w:tcBorders>
              <w:top w:val="single" w:sz="4" w:space="0" w:color="000000"/>
              <w:left w:val="single" w:sz="4" w:space="0" w:color="000000"/>
              <w:bottom w:val="single" w:sz="4" w:space="0" w:color="000000"/>
              <w:right w:val="single" w:sz="4" w:space="0" w:color="000000"/>
            </w:tcBorders>
          </w:tcPr>
          <w:p w14:paraId="036CAF9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43.50</w:t>
            </w:r>
          </w:p>
        </w:tc>
        <w:tc>
          <w:tcPr>
            <w:tcW w:w="699" w:type="dxa"/>
            <w:tcBorders>
              <w:top w:val="single" w:sz="4" w:space="0" w:color="000000"/>
              <w:left w:val="single" w:sz="4" w:space="0" w:color="000000"/>
              <w:bottom w:val="single" w:sz="4" w:space="0" w:color="000000"/>
              <w:right w:val="single" w:sz="4" w:space="0" w:color="000000"/>
            </w:tcBorders>
          </w:tcPr>
          <w:p w14:paraId="7B9895F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37.75</w:t>
            </w:r>
          </w:p>
        </w:tc>
        <w:tc>
          <w:tcPr>
            <w:tcW w:w="699" w:type="dxa"/>
            <w:tcBorders>
              <w:top w:val="single" w:sz="4" w:space="0" w:color="000000"/>
              <w:left w:val="single" w:sz="4" w:space="0" w:color="000000"/>
              <w:bottom w:val="single" w:sz="4" w:space="0" w:color="000000"/>
              <w:right w:val="single" w:sz="4" w:space="0" w:color="000000"/>
            </w:tcBorders>
          </w:tcPr>
          <w:p w14:paraId="27BDC600"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3661BA5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27.00</w:t>
            </w:r>
          </w:p>
        </w:tc>
        <w:tc>
          <w:tcPr>
            <w:tcW w:w="527" w:type="dxa"/>
            <w:tcBorders>
              <w:top w:val="single" w:sz="4" w:space="0" w:color="000000"/>
              <w:left w:val="single" w:sz="4" w:space="0" w:color="000000"/>
              <w:bottom w:val="single" w:sz="4" w:space="0" w:color="000000"/>
              <w:right w:val="single" w:sz="4" w:space="0" w:color="000000"/>
            </w:tcBorders>
          </w:tcPr>
          <w:p w14:paraId="5E36EC0E" w14:textId="77777777" w:rsidR="00D3344B" w:rsidRDefault="00D3344B">
            <w:pPr>
              <w:pStyle w:val="TableParagraph"/>
              <w:rPr>
                <w:rFonts w:ascii="Arial" w:hAnsi="Arial" w:cs="Arial"/>
                <w:sz w:val="18"/>
                <w:szCs w:val="18"/>
              </w:rPr>
            </w:pPr>
          </w:p>
        </w:tc>
      </w:tr>
      <w:tr w:rsidR="00D3344B" w14:paraId="52A80D5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2C2B64D"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022</w:t>
            </w:r>
          </w:p>
        </w:tc>
        <w:tc>
          <w:tcPr>
            <w:tcW w:w="3038" w:type="dxa"/>
            <w:tcBorders>
              <w:top w:val="single" w:sz="4" w:space="0" w:color="000000"/>
              <w:left w:val="single" w:sz="4" w:space="0" w:color="000000"/>
              <w:bottom w:val="single" w:sz="4" w:space="0" w:color="000000"/>
              <w:right w:val="single" w:sz="4" w:space="0" w:color="000000"/>
            </w:tcBorders>
          </w:tcPr>
          <w:p w14:paraId="42D887CE"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8"/>
                <w:w w:val="115"/>
                <w:sz w:val="18"/>
                <w:szCs w:val="18"/>
              </w:rPr>
              <w:t xml:space="preserve"> </w:t>
            </w:r>
            <w:r>
              <w:rPr>
                <w:rFonts w:ascii="Arial" w:hAnsi="Arial" w:cs="Arial"/>
                <w:w w:val="115"/>
                <w:sz w:val="18"/>
                <w:szCs w:val="18"/>
              </w:rPr>
              <w:t>cráneo</w:t>
            </w:r>
            <w:r>
              <w:rPr>
                <w:rFonts w:ascii="Arial" w:hAnsi="Arial" w:cs="Arial"/>
                <w:spacing w:val="-8"/>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07DECFE4"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26.00</w:t>
            </w:r>
          </w:p>
        </w:tc>
        <w:tc>
          <w:tcPr>
            <w:tcW w:w="695" w:type="dxa"/>
            <w:tcBorders>
              <w:top w:val="single" w:sz="4" w:space="0" w:color="000000"/>
              <w:left w:val="single" w:sz="4" w:space="0" w:color="000000"/>
              <w:bottom w:val="single" w:sz="4" w:space="0" w:color="000000"/>
              <w:right w:val="single" w:sz="4" w:space="0" w:color="000000"/>
            </w:tcBorders>
          </w:tcPr>
          <w:p w14:paraId="09DA2071" w14:textId="77777777" w:rsidR="00D3344B" w:rsidRDefault="00143C25">
            <w:pPr>
              <w:pStyle w:val="TableParagraph"/>
              <w:rPr>
                <w:rFonts w:ascii="Arial" w:hAnsi="Arial" w:cs="Arial"/>
                <w:sz w:val="18"/>
                <w:szCs w:val="18"/>
              </w:rPr>
            </w:pPr>
            <w:r>
              <w:rPr>
                <w:rFonts w:ascii="Arial" w:hAnsi="Arial" w:cs="Arial"/>
                <w:spacing w:val="-4"/>
                <w:w w:val="115"/>
                <w:sz w:val="18"/>
                <w:szCs w:val="18"/>
              </w:rPr>
              <w:t>22.75</w:t>
            </w:r>
          </w:p>
        </w:tc>
        <w:tc>
          <w:tcPr>
            <w:tcW w:w="699" w:type="dxa"/>
            <w:tcBorders>
              <w:top w:val="single" w:sz="4" w:space="0" w:color="000000"/>
              <w:left w:val="single" w:sz="4" w:space="0" w:color="000000"/>
              <w:bottom w:val="single" w:sz="4" w:space="0" w:color="000000"/>
              <w:right w:val="single" w:sz="4" w:space="0" w:color="000000"/>
            </w:tcBorders>
          </w:tcPr>
          <w:p w14:paraId="101B54E3" w14:textId="77777777" w:rsidR="00D3344B" w:rsidRDefault="00143C25">
            <w:pPr>
              <w:pStyle w:val="TableParagraph"/>
              <w:rPr>
                <w:rFonts w:ascii="Arial" w:hAnsi="Arial" w:cs="Arial"/>
                <w:sz w:val="18"/>
                <w:szCs w:val="18"/>
              </w:rPr>
            </w:pPr>
            <w:r>
              <w:rPr>
                <w:rFonts w:ascii="Arial" w:hAnsi="Arial" w:cs="Arial"/>
                <w:spacing w:val="-4"/>
                <w:w w:val="115"/>
                <w:sz w:val="18"/>
                <w:szCs w:val="18"/>
              </w:rPr>
              <w:t>19.75</w:t>
            </w:r>
          </w:p>
        </w:tc>
        <w:tc>
          <w:tcPr>
            <w:tcW w:w="699" w:type="dxa"/>
            <w:tcBorders>
              <w:top w:val="single" w:sz="4" w:space="0" w:color="000000"/>
              <w:left w:val="single" w:sz="4" w:space="0" w:color="000000"/>
              <w:bottom w:val="single" w:sz="4" w:space="0" w:color="000000"/>
              <w:right w:val="single" w:sz="4" w:space="0" w:color="000000"/>
            </w:tcBorders>
          </w:tcPr>
          <w:p w14:paraId="03944709"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16.50</w:t>
            </w:r>
          </w:p>
        </w:tc>
        <w:tc>
          <w:tcPr>
            <w:tcW w:w="696" w:type="dxa"/>
            <w:tcBorders>
              <w:top w:val="single" w:sz="4" w:space="0" w:color="000000"/>
              <w:left w:val="single" w:sz="4" w:space="0" w:color="000000"/>
              <w:bottom w:val="single" w:sz="4" w:space="0" w:color="000000"/>
              <w:right w:val="single" w:sz="4" w:space="0" w:color="000000"/>
            </w:tcBorders>
          </w:tcPr>
          <w:p w14:paraId="6A75CB1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13.50</w:t>
            </w:r>
          </w:p>
        </w:tc>
        <w:tc>
          <w:tcPr>
            <w:tcW w:w="527" w:type="dxa"/>
            <w:tcBorders>
              <w:top w:val="single" w:sz="4" w:space="0" w:color="000000"/>
              <w:left w:val="single" w:sz="4" w:space="0" w:color="000000"/>
              <w:bottom w:val="single" w:sz="4" w:space="0" w:color="000000"/>
              <w:right w:val="single" w:sz="4" w:space="0" w:color="000000"/>
            </w:tcBorders>
          </w:tcPr>
          <w:p w14:paraId="43FCC1EA" w14:textId="77777777" w:rsidR="00D3344B" w:rsidRDefault="00D3344B">
            <w:pPr>
              <w:pStyle w:val="TableParagraph"/>
              <w:rPr>
                <w:rFonts w:ascii="Arial" w:hAnsi="Arial" w:cs="Arial"/>
                <w:sz w:val="18"/>
                <w:szCs w:val="18"/>
              </w:rPr>
            </w:pPr>
          </w:p>
        </w:tc>
      </w:tr>
      <w:tr w:rsidR="00D3344B" w14:paraId="1293505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413B811" w14:textId="77777777" w:rsidR="00D3344B" w:rsidRDefault="00143C25">
            <w:pPr>
              <w:pStyle w:val="TableParagraph"/>
              <w:rPr>
                <w:rFonts w:ascii="Arial" w:hAnsi="Arial" w:cs="Arial"/>
                <w:sz w:val="18"/>
                <w:szCs w:val="18"/>
              </w:rPr>
            </w:pPr>
            <w:r>
              <w:rPr>
                <w:rFonts w:ascii="Arial" w:hAnsi="Arial" w:cs="Arial"/>
                <w:sz w:val="18"/>
                <w:szCs w:val="18"/>
              </w:rPr>
              <w:t>02-TM-022-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3891D45"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8"/>
                <w:w w:val="115"/>
                <w:sz w:val="18"/>
                <w:szCs w:val="18"/>
              </w:rPr>
              <w:t xml:space="preserve"> </w:t>
            </w:r>
            <w:r>
              <w:rPr>
                <w:rFonts w:ascii="Arial" w:hAnsi="Arial" w:cs="Arial"/>
                <w:w w:val="115"/>
                <w:sz w:val="18"/>
                <w:szCs w:val="18"/>
              </w:rPr>
              <w:t>cráneo</w:t>
            </w:r>
            <w:r>
              <w:rPr>
                <w:rFonts w:ascii="Arial" w:hAnsi="Arial" w:cs="Arial"/>
                <w:spacing w:val="-8"/>
                <w:w w:val="115"/>
                <w:sz w:val="18"/>
                <w:szCs w:val="18"/>
              </w:rPr>
              <w:t xml:space="preserve"> </w:t>
            </w:r>
            <w:r>
              <w:rPr>
                <w:rFonts w:ascii="Arial" w:hAnsi="Arial" w:cs="Arial"/>
                <w:spacing w:val="-2"/>
                <w:w w:val="115"/>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4E34C9A4"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39.25</w:t>
            </w:r>
          </w:p>
        </w:tc>
        <w:tc>
          <w:tcPr>
            <w:tcW w:w="695" w:type="dxa"/>
            <w:tcBorders>
              <w:top w:val="single" w:sz="4" w:space="0" w:color="000000"/>
              <w:left w:val="single" w:sz="4" w:space="0" w:color="000000"/>
              <w:bottom w:val="single" w:sz="4" w:space="0" w:color="000000"/>
              <w:right w:val="single" w:sz="4" w:space="0" w:color="000000"/>
            </w:tcBorders>
          </w:tcPr>
          <w:p w14:paraId="5A286FCB" w14:textId="77777777" w:rsidR="00D3344B" w:rsidRDefault="00143C25">
            <w:pPr>
              <w:pStyle w:val="TableParagraph"/>
              <w:rPr>
                <w:rFonts w:ascii="Arial" w:hAnsi="Arial" w:cs="Arial"/>
                <w:sz w:val="18"/>
                <w:szCs w:val="18"/>
              </w:rPr>
            </w:pPr>
            <w:r>
              <w:rPr>
                <w:rFonts w:ascii="Arial" w:hAnsi="Arial" w:cs="Arial"/>
                <w:spacing w:val="-4"/>
                <w:w w:val="115"/>
                <w:sz w:val="18"/>
                <w:szCs w:val="18"/>
              </w:rPr>
              <w:t>36.00</w:t>
            </w:r>
          </w:p>
        </w:tc>
        <w:tc>
          <w:tcPr>
            <w:tcW w:w="699" w:type="dxa"/>
            <w:tcBorders>
              <w:top w:val="single" w:sz="4" w:space="0" w:color="000000"/>
              <w:left w:val="single" w:sz="4" w:space="0" w:color="000000"/>
              <w:bottom w:val="single" w:sz="4" w:space="0" w:color="000000"/>
              <w:right w:val="single" w:sz="4" w:space="0" w:color="000000"/>
            </w:tcBorders>
          </w:tcPr>
          <w:p w14:paraId="5C55A911" w14:textId="77777777" w:rsidR="00D3344B" w:rsidRDefault="00143C25">
            <w:pPr>
              <w:pStyle w:val="TableParagraph"/>
              <w:rPr>
                <w:rFonts w:ascii="Arial" w:hAnsi="Arial" w:cs="Arial"/>
                <w:sz w:val="18"/>
                <w:szCs w:val="18"/>
              </w:rPr>
            </w:pPr>
            <w:r>
              <w:rPr>
                <w:rFonts w:ascii="Arial" w:hAnsi="Arial" w:cs="Arial"/>
                <w:spacing w:val="-4"/>
                <w:w w:val="115"/>
                <w:sz w:val="18"/>
                <w:szCs w:val="18"/>
              </w:rPr>
              <w:t>33.00</w:t>
            </w:r>
          </w:p>
        </w:tc>
        <w:tc>
          <w:tcPr>
            <w:tcW w:w="699" w:type="dxa"/>
            <w:tcBorders>
              <w:top w:val="single" w:sz="4" w:space="0" w:color="000000"/>
              <w:left w:val="single" w:sz="4" w:space="0" w:color="000000"/>
              <w:bottom w:val="single" w:sz="4" w:space="0" w:color="000000"/>
              <w:right w:val="single" w:sz="4" w:space="0" w:color="000000"/>
            </w:tcBorders>
          </w:tcPr>
          <w:p w14:paraId="5D43E7B6"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29.75</w:t>
            </w:r>
          </w:p>
        </w:tc>
        <w:tc>
          <w:tcPr>
            <w:tcW w:w="696" w:type="dxa"/>
            <w:tcBorders>
              <w:top w:val="single" w:sz="4" w:space="0" w:color="000000"/>
              <w:left w:val="single" w:sz="4" w:space="0" w:color="000000"/>
              <w:bottom w:val="single" w:sz="4" w:space="0" w:color="000000"/>
              <w:right w:val="single" w:sz="4" w:space="0" w:color="000000"/>
            </w:tcBorders>
          </w:tcPr>
          <w:p w14:paraId="111D189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26.75</w:t>
            </w:r>
          </w:p>
        </w:tc>
        <w:tc>
          <w:tcPr>
            <w:tcW w:w="527" w:type="dxa"/>
            <w:tcBorders>
              <w:top w:val="single" w:sz="4" w:space="0" w:color="000000"/>
              <w:left w:val="single" w:sz="4" w:space="0" w:color="000000"/>
              <w:bottom w:val="single" w:sz="4" w:space="0" w:color="000000"/>
              <w:right w:val="single" w:sz="4" w:space="0" w:color="000000"/>
            </w:tcBorders>
          </w:tcPr>
          <w:p w14:paraId="24455324" w14:textId="77777777" w:rsidR="00D3344B" w:rsidRDefault="00D3344B">
            <w:pPr>
              <w:pStyle w:val="TableParagraph"/>
              <w:rPr>
                <w:rFonts w:ascii="Arial" w:hAnsi="Arial" w:cs="Arial"/>
                <w:sz w:val="18"/>
                <w:szCs w:val="18"/>
              </w:rPr>
            </w:pPr>
          </w:p>
        </w:tc>
      </w:tr>
      <w:tr w:rsidR="00D3344B" w14:paraId="11AD9782"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387DDF4A"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023</w:t>
            </w:r>
          </w:p>
        </w:tc>
        <w:tc>
          <w:tcPr>
            <w:tcW w:w="3038" w:type="dxa"/>
            <w:tcBorders>
              <w:top w:val="single" w:sz="4" w:space="0" w:color="000000"/>
              <w:left w:val="single" w:sz="4" w:space="0" w:color="000000"/>
              <w:bottom w:val="single" w:sz="4" w:space="0" w:color="000000"/>
              <w:right w:val="single" w:sz="4" w:space="0" w:color="000000"/>
            </w:tcBorders>
          </w:tcPr>
          <w:p w14:paraId="4FEBF0E0"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6"/>
                <w:w w:val="115"/>
                <w:sz w:val="18"/>
                <w:szCs w:val="18"/>
              </w:rPr>
              <w:t xml:space="preserve"> </w:t>
            </w:r>
            <w:r>
              <w:rPr>
                <w:rFonts w:ascii="Arial" w:hAnsi="Arial" w:cs="Arial"/>
                <w:w w:val="115"/>
                <w:sz w:val="18"/>
                <w:szCs w:val="18"/>
              </w:rPr>
              <w:t>cuello</w:t>
            </w:r>
            <w:r>
              <w:rPr>
                <w:rFonts w:ascii="Arial" w:hAnsi="Arial" w:cs="Arial"/>
                <w:spacing w:val="-5"/>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298496CC"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5E99C648"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4C589E82" w14:textId="77777777" w:rsidR="00D3344B" w:rsidRDefault="00143C25">
            <w:pPr>
              <w:pStyle w:val="TableParagraph"/>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7EC5BFB5"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035884D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75EC9F71" w14:textId="77777777" w:rsidR="00D3344B" w:rsidRDefault="00D3344B">
            <w:pPr>
              <w:pStyle w:val="TableParagraph"/>
              <w:rPr>
                <w:rFonts w:ascii="Arial" w:hAnsi="Arial" w:cs="Arial"/>
                <w:sz w:val="18"/>
                <w:szCs w:val="18"/>
              </w:rPr>
            </w:pPr>
          </w:p>
        </w:tc>
      </w:tr>
      <w:tr w:rsidR="00D3344B" w14:paraId="3BEBDF32"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4B9A079B"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02-TM-023-</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6F2293AE"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Tac</w:t>
            </w:r>
            <w:r>
              <w:rPr>
                <w:rFonts w:ascii="Arial" w:hAnsi="Arial" w:cs="Arial"/>
                <w:spacing w:val="-6"/>
                <w:w w:val="115"/>
                <w:sz w:val="18"/>
                <w:szCs w:val="18"/>
              </w:rPr>
              <w:t xml:space="preserve"> </w:t>
            </w:r>
            <w:r>
              <w:rPr>
                <w:rFonts w:ascii="Arial" w:hAnsi="Arial" w:cs="Arial"/>
                <w:w w:val="115"/>
                <w:sz w:val="18"/>
                <w:szCs w:val="18"/>
              </w:rPr>
              <w:t>cuello</w:t>
            </w:r>
            <w:r>
              <w:rPr>
                <w:rFonts w:ascii="Arial" w:hAnsi="Arial" w:cs="Arial"/>
                <w:spacing w:val="-5"/>
                <w:w w:val="115"/>
                <w:sz w:val="18"/>
                <w:szCs w:val="18"/>
              </w:rPr>
              <w:t xml:space="preserve"> </w:t>
            </w:r>
            <w:r>
              <w:rPr>
                <w:rFonts w:ascii="Arial" w:hAnsi="Arial" w:cs="Arial"/>
                <w:spacing w:val="-2"/>
                <w:w w:val="115"/>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1C887A44" w14:textId="77777777" w:rsidR="00D3344B" w:rsidRDefault="00143C25">
            <w:pPr>
              <w:pStyle w:val="TableParagraph"/>
              <w:spacing w:line="252" w:lineRule="exact"/>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3AC74684"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09E8F832"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37.25</w:t>
            </w:r>
          </w:p>
        </w:tc>
        <w:tc>
          <w:tcPr>
            <w:tcW w:w="699" w:type="dxa"/>
            <w:tcBorders>
              <w:top w:val="single" w:sz="4" w:space="0" w:color="000000"/>
              <w:left w:val="single" w:sz="4" w:space="0" w:color="000000"/>
              <w:bottom w:val="single" w:sz="4" w:space="0" w:color="000000"/>
              <w:right w:val="single" w:sz="4" w:space="0" w:color="000000"/>
            </w:tcBorders>
          </w:tcPr>
          <w:p w14:paraId="49863928" w14:textId="77777777" w:rsidR="00D3344B" w:rsidRDefault="00143C25">
            <w:pPr>
              <w:pStyle w:val="TableParagraph"/>
              <w:spacing w:line="252" w:lineRule="exact"/>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3D4B86B4"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157B72B2" w14:textId="77777777" w:rsidR="00D3344B" w:rsidRDefault="00D3344B">
            <w:pPr>
              <w:pStyle w:val="TableParagraph"/>
              <w:rPr>
                <w:rFonts w:ascii="Arial" w:hAnsi="Arial" w:cs="Arial"/>
                <w:sz w:val="18"/>
                <w:szCs w:val="18"/>
              </w:rPr>
            </w:pPr>
          </w:p>
        </w:tc>
      </w:tr>
      <w:tr w:rsidR="00D3344B" w14:paraId="77A1AD9F"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2DE5468"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024</w:t>
            </w:r>
          </w:p>
        </w:tc>
        <w:tc>
          <w:tcPr>
            <w:tcW w:w="3038" w:type="dxa"/>
            <w:tcBorders>
              <w:top w:val="single" w:sz="4" w:space="0" w:color="000000"/>
              <w:left w:val="single" w:sz="4" w:space="0" w:color="000000"/>
              <w:bottom w:val="single" w:sz="4" w:space="0" w:color="000000"/>
              <w:right w:val="single" w:sz="4" w:space="0" w:color="000000"/>
            </w:tcBorders>
          </w:tcPr>
          <w:p w14:paraId="0659126B"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Tac</w:t>
            </w:r>
            <w:r>
              <w:rPr>
                <w:rFonts w:ascii="Arial" w:hAnsi="Arial" w:cs="Arial"/>
                <w:spacing w:val="80"/>
                <w:w w:val="110"/>
                <w:sz w:val="18"/>
                <w:szCs w:val="18"/>
              </w:rPr>
              <w:t xml:space="preserve"> </w:t>
            </w:r>
            <w:r>
              <w:rPr>
                <w:rFonts w:ascii="Arial" w:hAnsi="Arial" w:cs="Arial"/>
                <w:w w:val="110"/>
                <w:sz w:val="18"/>
                <w:szCs w:val="18"/>
              </w:rPr>
              <w:t>hígado</w:t>
            </w:r>
            <w:r>
              <w:rPr>
                <w:rFonts w:ascii="Arial" w:hAnsi="Arial" w:cs="Arial"/>
                <w:spacing w:val="80"/>
                <w:w w:val="110"/>
                <w:sz w:val="18"/>
                <w:szCs w:val="18"/>
              </w:rPr>
              <w:t xml:space="preserve"> </w:t>
            </w:r>
            <w:r>
              <w:rPr>
                <w:rFonts w:ascii="Arial" w:hAnsi="Arial" w:cs="Arial"/>
                <w:w w:val="110"/>
                <w:sz w:val="18"/>
                <w:szCs w:val="18"/>
              </w:rPr>
              <w:t>y</w:t>
            </w:r>
            <w:r>
              <w:rPr>
                <w:rFonts w:ascii="Arial" w:hAnsi="Arial" w:cs="Arial"/>
                <w:spacing w:val="80"/>
                <w:w w:val="110"/>
                <w:sz w:val="18"/>
                <w:szCs w:val="18"/>
              </w:rPr>
              <w:t xml:space="preserve"> </w:t>
            </w:r>
            <w:r>
              <w:rPr>
                <w:rFonts w:ascii="Arial" w:hAnsi="Arial" w:cs="Arial"/>
                <w:w w:val="110"/>
                <w:sz w:val="18"/>
                <w:szCs w:val="18"/>
              </w:rPr>
              <w:t>vías</w:t>
            </w:r>
            <w:r>
              <w:rPr>
                <w:rFonts w:ascii="Arial" w:hAnsi="Arial" w:cs="Arial"/>
                <w:spacing w:val="80"/>
                <w:w w:val="110"/>
                <w:sz w:val="18"/>
                <w:szCs w:val="18"/>
              </w:rPr>
              <w:t xml:space="preserve"> </w:t>
            </w:r>
            <w:r>
              <w:rPr>
                <w:rFonts w:ascii="Arial" w:hAnsi="Arial" w:cs="Arial"/>
                <w:w w:val="110"/>
                <w:sz w:val="18"/>
                <w:szCs w:val="18"/>
              </w:rPr>
              <w:t xml:space="preserve">biliares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2224574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31.00</w:t>
            </w:r>
          </w:p>
        </w:tc>
        <w:tc>
          <w:tcPr>
            <w:tcW w:w="695" w:type="dxa"/>
            <w:tcBorders>
              <w:top w:val="single" w:sz="4" w:space="0" w:color="000000"/>
              <w:left w:val="single" w:sz="4" w:space="0" w:color="000000"/>
              <w:bottom w:val="single" w:sz="4" w:space="0" w:color="000000"/>
              <w:right w:val="single" w:sz="4" w:space="0" w:color="000000"/>
            </w:tcBorders>
          </w:tcPr>
          <w:p w14:paraId="673538C6" w14:textId="77777777" w:rsidR="00D3344B" w:rsidRDefault="00143C25">
            <w:pPr>
              <w:pStyle w:val="TableParagraph"/>
              <w:rPr>
                <w:rFonts w:ascii="Arial" w:hAnsi="Arial" w:cs="Arial"/>
                <w:sz w:val="18"/>
                <w:szCs w:val="18"/>
              </w:rPr>
            </w:pPr>
            <w:r>
              <w:rPr>
                <w:rFonts w:ascii="Arial" w:hAnsi="Arial" w:cs="Arial"/>
                <w:spacing w:val="-4"/>
                <w:w w:val="115"/>
                <w:sz w:val="18"/>
                <w:szCs w:val="18"/>
              </w:rPr>
              <w:t>28.00</w:t>
            </w:r>
          </w:p>
        </w:tc>
        <w:tc>
          <w:tcPr>
            <w:tcW w:w="699" w:type="dxa"/>
            <w:tcBorders>
              <w:top w:val="single" w:sz="4" w:space="0" w:color="000000"/>
              <w:left w:val="single" w:sz="4" w:space="0" w:color="000000"/>
              <w:bottom w:val="single" w:sz="4" w:space="0" w:color="000000"/>
              <w:right w:val="single" w:sz="4" w:space="0" w:color="000000"/>
            </w:tcBorders>
          </w:tcPr>
          <w:p w14:paraId="7FCFF90A" w14:textId="77777777" w:rsidR="00D3344B" w:rsidRDefault="00143C25">
            <w:pPr>
              <w:pStyle w:val="TableParagraph"/>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6891F129"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22.00</w:t>
            </w:r>
          </w:p>
        </w:tc>
        <w:tc>
          <w:tcPr>
            <w:tcW w:w="696" w:type="dxa"/>
            <w:tcBorders>
              <w:top w:val="single" w:sz="4" w:space="0" w:color="000000"/>
              <w:left w:val="single" w:sz="4" w:space="0" w:color="000000"/>
              <w:bottom w:val="single" w:sz="4" w:space="0" w:color="000000"/>
              <w:right w:val="single" w:sz="4" w:space="0" w:color="000000"/>
            </w:tcBorders>
          </w:tcPr>
          <w:p w14:paraId="41DDADE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706541FE" w14:textId="77777777" w:rsidR="00D3344B" w:rsidRDefault="00D3344B">
            <w:pPr>
              <w:pStyle w:val="TableParagraph"/>
              <w:rPr>
                <w:rFonts w:ascii="Arial" w:hAnsi="Arial" w:cs="Arial"/>
                <w:sz w:val="18"/>
                <w:szCs w:val="18"/>
              </w:rPr>
            </w:pPr>
          </w:p>
        </w:tc>
      </w:tr>
      <w:tr w:rsidR="00D3344B" w14:paraId="26ADA42A"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108EB2D0" w14:textId="77777777" w:rsidR="00D3344B" w:rsidRDefault="00143C25">
            <w:pPr>
              <w:pStyle w:val="TableParagraph"/>
              <w:spacing w:line="249" w:lineRule="exact"/>
              <w:rPr>
                <w:rFonts w:ascii="Arial" w:hAnsi="Arial" w:cs="Arial"/>
                <w:sz w:val="18"/>
                <w:szCs w:val="18"/>
              </w:rPr>
            </w:pPr>
            <w:r>
              <w:rPr>
                <w:rFonts w:ascii="Arial" w:hAnsi="Arial" w:cs="Arial"/>
                <w:sz w:val="18"/>
                <w:szCs w:val="18"/>
              </w:rPr>
              <w:lastRenderedPageBreak/>
              <w:t>02-TM-024-</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D6E8764" w14:textId="77777777" w:rsidR="00D3344B" w:rsidRDefault="00143C25">
            <w:pPr>
              <w:pStyle w:val="TableParagraph"/>
              <w:spacing w:line="249" w:lineRule="exact"/>
              <w:rPr>
                <w:rFonts w:ascii="Arial" w:hAnsi="Arial" w:cs="Arial"/>
                <w:sz w:val="18"/>
                <w:szCs w:val="18"/>
              </w:rPr>
            </w:pPr>
            <w:proofErr w:type="gramStart"/>
            <w:r>
              <w:rPr>
                <w:rFonts w:ascii="Arial" w:hAnsi="Arial" w:cs="Arial"/>
                <w:w w:val="110"/>
                <w:sz w:val="18"/>
                <w:szCs w:val="18"/>
              </w:rPr>
              <w:t>Tac</w:t>
            </w:r>
            <w:r>
              <w:rPr>
                <w:rFonts w:ascii="Arial" w:hAnsi="Arial" w:cs="Arial"/>
                <w:spacing w:val="35"/>
                <w:w w:val="110"/>
                <w:sz w:val="18"/>
                <w:szCs w:val="18"/>
              </w:rPr>
              <w:t xml:space="preserve">  </w:t>
            </w:r>
            <w:r>
              <w:rPr>
                <w:rFonts w:ascii="Arial" w:hAnsi="Arial" w:cs="Arial"/>
                <w:w w:val="110"/>
                <w:sz w:val="18"/>
                <w:szCs w:val="18"/>
              </w:rPr>
              <w:t>hígado</w:t>
            </w:r>
            <w:proofErr w:type="gramEnd"/>
            <w:r>
              <w:rPr>
                <w:rFonts w:ascii="Arial" w:hAnsi="Arial" w:cs="Arial"/>
                <w:spacing w:val="36"/>
                <w:w w:val="110"/>
                <w:sz w:val="18"/>
                <w:szCs w:val="18"/>
              </w:rPr>
              <w:t xml:space="preserve">  </w:t>
            </w:r>
            <w:r>
              <w:rPr>
                <w:rFonts w:ascii="Arial" w:hAnsi="Arial" w:cs="Arial"/>
                <w:w w:val="110"/>
                <w:sz w:val="18"/>
                <w:szCs w:val="18"/>
              </w:rPr>
              <w:t>y</w:t>
            </w:r>
            <w:r>
              <w:rPr>
                <w:rFonts w:ascii="Arial" w:hAnsi="Arial" w:cs="Arial"/>
                <w:spacing w:val="36"/>
                <w:w w:val="110"/>
                <w:sz w:val="18"/>
                <w:szCs w:val="18"/>
              </w:rPr>
              <w:t xml:space="preserve">  </w:t>
            </w:r>
            <w:r>
              <w:rPr>
                <w:rFonts w:ascii="Arial" w:hAnsi="Arial" w:cs="Arial"/>
                <w:w w:val="110"/>
                <w:sz w:val="18"/>
                <w:szCs w:val="18"/>
              </w:rPr>
              <w:t>vías</w:t>
            </w:r>
            <w:r>
              <w:rPr>
                <w:rFonts w:ascii="Arial" w:hAnsi="Arial" w:cs="Arial"/>
                <w:spacing w:val="36"/>
                <w:w w:val="110"/>
                <w:sz w:val="18"/>
                <w:szCs w:val="18"/>
              </w:rPr>
              <w:t xml:space="preserve">  </w:t>
            </w:r>
            <w:r>
              <w:rPr>
                <w:rFonts w:ascii="Arial" w:hAnsi="Arial" w:cs="Arial"/>
                <w:spacing w:val="-2"/>
                <w:w w:val="110"/>
                <w:sz w:val="18"/>
                <w:szCs w:val="18"/>
              </w:rPr>
              <w:t>biliares</w:t>
            </w:r>
          </w:p>
          <w:p w14:paraId="244CD927"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simple</w:t>
            </w:r>
            <w:r>
              <w:rPr>
                <w:rFonts w:ascii="Arial" w:hAnsi="Arial" w:cs="Arial"/>
                <w:spacing w:val="-8"/>
                <w:w w:val="110"/>
                <w:sz w:val="18"/>
                <w:szCs w:val="18"/>
              </w:rPr>
              <w:t xml:space="preserve"> </w:t>
            </w:r>
            <w:r>
              <w:rPr>
                <w:rFonts w:ascii="Arial" w:hAnsi="Arial" w:cs="Arial"/>
                <w:spacing w:val="-2"/>
                <w:w w:val="110"/>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33336E22" w14:textId="77777777" w:rsidR="00D3344B" w:rsidRDefault="00143C25">
            <w:pPr>
              <w:pStyle w:val="TableParagraph"/>
              <w:spacing w:line="249" w:lineRule="exact"/>
              <w:ind w:right="120"/>
              <w:jc w:val="center"/>
              <w:rPr>
                <w:rFonts w:ascii="Arial" w:hAnsi="Arial" w:cs="Arial"/>
                <w:sz w:val="18"/>
                <w:szCs w:val="18"/>
              </w:rPr>
            </w:pPr>
            <w:r>
              <w:rPr>
                <w:rFonts w:ascii="Arial" w:hAnsi="Arial" w:cs="Arial"/>
                <w:spacing w:val="-4"/>
                <w:w w:val="115"/>
                <w:sz w:val="18"/>
                <w:szCs w:val="18"/>
              </w:rPr>
              <w:t>38.25</w:t>
            </w:r>
          </w:p>
        </w:tc>
        <w:tc>
          <w:tcPr>
            <w:tcW w:w="695" w:type="dxa"/>
            <w:tcBorders>
              <w:top w:val="single" w:sz="4" w:space="0" w:color="000000"/>
              <w:left w:val="single" w:sz="4" w:space="0" w:color="000000"/>
              <w:bottom w:val="single" w:sz="4" w:space="0" w:color="000000"/>
              <w:right w:val="single" w:sz="4" w:space="0" w:color="000000"/>
            </w:tcBorders>
          </w:tcPr>
          <w:p w14:paraId="5714D455"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5522B3BE"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29.75</w:t>
            </w:r>
          </w:p>
        </w:tc>
        <w:tc>
          <w:tcPr>
            <w:tcW w:w="699" w:type="dxa"/>
            <w:tcBorders>
              <w:top w:val="single" w:sz="4" w:space="0" w:color="000000"/>
              <w:left w:val="single" w:sz="4" w:space="0" w:color="000000"/>
              <w:bottom w:val="single" w:sz="4" w:space="0" w:color="000000"/>
              <w:right w:val="single" w:sz="4" w:space="0" w:color="000000"/>
            </w:tcBorders>
          </w:tcPr>
          <w:p w14:paraId="2F566B52" w14:textId="77777777" w:rsidR="00D3344B" w:rsidRDefault="00143C25">
            <w:pPr>
              <w:pStyle w:val="TableParagraph"/>
              <w:spacing w:line="249" w:lineRule="exact"/>
              <w:ind w:right="116"/>
              <w:jc w:val="center"/>
              <w:rPr>
                <w:rFonts w:ascii="Arial" w:hAnsi="Arial" w:cs="Arial"/>
                <w:sz w:val="18"/>
                <w:szCs w:val="18"/>
              </w:rPr>
            </w:pPr>
            <w:r>
              <w:rPr>
                <w:rFonts w:ascii="Arial" w:hAnsi="Arial" w:cs="Arial"/>
                <w:spacing w:val="-4"/>
                <w:w w:val="115"/>
                <w:sz w:val="18"/>
                <w:szCs w:val="18"/>
              </w:rPr>
              <w:t>25.50</w:t>
            </w:r>
          </w:p>
        </w:tc>
        <w:tc>
          <w:tcPr>
            <w:tcW w:w="696" w:type="dxa"/>
            <w:tcBorders>
              <w:top w:val="single" w:sz="4" w:space="0" w:color="000000"/>
              <w:left w:val="single" w:sz="4" w:space="0" w:color="000000"/>
              <w:bottom w:val="single" w:sz="4" w:space="0" w:color="000000"/>
              <w:right w:val="single" w:sz="4" w:space="0" w:color="000000"/>
            </w:tcBorders>
          </w:tcPr>
          <w:p w14:paraId="216006D4"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21.25</w:t>
            </w:r>
          </w:p>
        </w:tc>
        <w:tc>
          <w:tcPr>
            <w:tcW w:w="527" w:type="dxa"/>
            <w:tcBorders>
              <w:top w:val="single" w:sz="4" w:space="0" w:color="000000"/>
              <w:left w:val="single" w:sz="4" w:space="0" w:color="000000"/>
              <w:bottom w:val="single" w:sz="4" w:space="0" w:color="000000"/>
              <w:right w:val="single" w:sz="4" w:space="0" w:color="000000"/>
            </w:tcBorders>
          </w:tcPr>
          <w:p w14:paraId="7BF2A4EA" w14:textId="77777777" w:rsidR="00D3344B" w:rsidRDefault="00D3344B">
            <w:pPr>
              <w:pStyle w:val="TableParagraph"/>
              <w:rPr>
                <w:rFonts w:ascii="Arial" w:hAnsi="Arial" w:cs="Arial"/>
                <w:sz w:val="18"/>
                <w:szCs w:val="18"/>
              </w:rPr>
            </w:pPr>
          </w:p>
        </w:tc>
      </w:tr>
      <w:tr w:rsidR="00D3344B" w14:paraId="552CA70E"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E7F9C2C"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025</w:t>
            </w:r>
          </w:p>
        </w:tc>
        <w:tc>
          <w:tcPr>
            <w:tcW w:w="3038" w:type="dxa"/>
            <w:tcBorders>
              <w:top w:val="single" w:sz="4" w:space="0" w:color="000000"/>
              <w:left w:val="single" w:sz="4" w:space="0" w:color="000000"/>
              <w:bottom w:val="single" w:sz="4" w:space="0" w:color="000000"/>
              <w:right w:val="single" w:sz="4" w:space="0" w:color="000000"/>
            </w:tcBorders>
          </w:tcPr>
          <w:p w14:paraId="309737AD"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10"/>
                <w:w w:val="115"/>
                <w:sz w:val="18"/>
                <w:szCs w:val="18"/>
              </w:rPr>
              <w:t xml:space="preserve"> </w:t>
            </w:r>
            <w:r>
              <w:rPr>
                <w:rFonts w:ascii="Arial" w:hAnsi="Arial" w:cs="Arial"/>
                <w:w w:val="115"/>
                <w:sz w:val="18"/>
                <w:szCs w:val="18"/>
              </w:rPr>
              <w:t>laringe</w:t>
            </w:r>
            <w:r>
              <w:rPr>
                <w:rFonts w:ascii="Arial" w:hAnsi="Arial" w:cs="Arial"/>
                <w:spacing w:val="-9"/>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343FACB5"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09D172D3"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432EBEAD" w14:textId="77777777" w:rsidR="00D3344B" w:rsidRDefault="00143C25">
            <w:pPr>
              <w:pStyle w:val="TableParagraph"/>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7355CB43"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3D63B01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34665737" w14:textId="77777777" w:rsidR="00D3344B" w:rsidRDefault="00D3344B">
            <w:pPr>
              <w:pStyle w:val="TableParagraph"/>
              <w:rPr>
                <w:rFonts w:ascii="Arial" w:hAnsi="Arial" w:cs="Arial"/>
                <w:sz w:val="18"/>
                <w:szCs w:val="18"/>
              </w:rPr>
            </w:pPr>
          </w:p>
        </w:tc>
      </w:tr>
      <w:tr w:rsidR="00D3344B" w14:paraId="61912AB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D11A844" w14:textId="77777777" w:rsidR="00D3344B" w:rsidRDefault="00143C25">
            <w:pPr>
              <w:pStyle w:val="TableParagraph"/>
              <w:spacing w:before="1"/>
              <w:rPr>
                <w:rFonts w:ascii="Arial" w:hAnsi="Arial" w:cs="Arial"/>
                <w:sz w:val="18"/>
                <w:szCs w:val="18"/>
              </w:rPr>
            </w:pPr>
            <w:r>
              <w:rPr>
                <w:rFonts w:ascii="Arial" w:hAnsi="Arial" w:cs="Arial"/>
                <w:sz w:val="18"/>
                <w:szCs w:val="18"/>
              </w:rPr>
              <w:t>02-TM-025-</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9710CED" w14:textId="77777777" w:rsidR="00D3344B" w:rsidRDefault="00143C25">
            <w:pPr>
              <w:pStyle w:val="TableParagraph"/>
              <w:tabs>
                <w:tab w:val="left" w:pos="773"/>
                <w:tab w:val="left" w:pos="1735"/>
              </w:tabs>
              <w:spacing w:line="252" w:lineRule="exact"/>
              <w:ind w:right="640"/>
              <w:rPr>
                <w:rFonts w:ascii="Arial" w:hAnsi="Arial" w:cs="Arial"/>
                <w:sz w:val="18"/>
                <w:szCs w:val="18"/>
              </w:rPr>
            </w:pPr>
            <w:r>
              <w:rPr>
                <w:rFonts w:ascii="Arial" w:hAnsi="Arial" w:cs="Arial"/>
                <w:spacing w:val="-4"/>
                <w:w w:val="115"/>
                <w:sz w:val="18"/>
                <w:szCs w:val="18"/>
              </w:rPr>
              <w:t>Tac</w:t>
            </w:r>
            <w:r>
              <w:rPr>
                <w:rFonts w:ascii="Arial" w:hAnsi="Arial" w:cs="Arial"/>
                <w:sz w:val="18"/>
                <w:szCs w:val="18"/>
              </w:rPr>
              <w:tab/>
            </w:r>
            <w:r>
              <w:rPr>
                <w:rFonts w:ascii="Arial" w:hAnsi="Arial" w:cs="Arial"/>
                <w:spacing w:val="-2"/>
                <w:w w:val="115"/>
                <w:sz w:val="18"/>
                <w:szCs w:val="18"/>
              </w:rPr>
              <w:t>laringe</w:t>
            </w:r>
            <w:r>
              <w:rPr>
                <w:rFonts w:ascii="Arial" w:hAnsi="Arial" w:cs="Arial"/>
                <w:sz w:val="18"/>
                <w:szCs w:val="18"/>
              </w:rPr>
              <w:tab/>
            </w:r>
            <w:r>
              <w:rPr>
                <w:rFonts w:ascii="Arial" w:hAnsi="Arial" w:cs="Arial"/>
                <w:spacing w:val="-6"/>
                <w:w w:val="115"/>
                <w:sz w:val="18"/>
                <w:szCs w:val="18"/>
              </w:rPr>
              <w:t xml:space="preserve">simple </w:t>
            </w:r>
            <w:r>
              <w:rPr>
                <w:rFonts w:ascii="Arial" w:hAnsi="Arial" w:cs="Arial"/>
                <w:spacing w:val="-2"/>
                <w:w w:val="115"/>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210999DF"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0860B53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0114B11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37.25</w:t>
            </w:r>
          </w:p>
        </w:tc>
        <w:tc>
          <w:tcPr>
            <w:tcW w:w="699" w:type="dxa"/>
            <w:tcBorders>
              <w:top w:val="single" w:sz="4" w:space="0" w:color="000000"/>
              <w:left w:val="single" w:sz="4" w:space="0" w:color="000000"/>
              <w:bottom w:val="single" w:sz="4" w:space="0" w:color="000000"/>
              <w:right w:val="single" w:sz="4" w:space="0" w:color="000000"/>
            </w:tcBorders>
          </w:tcPr>
          <w:p w14:paraId="11DB4682"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242C99B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5E1187BC" w14:textId="77777777" w:rsidR="00D3344B" w:rsidRDefault="00D3344B">
            <w:pPr>
              <w:pStyle w:val="TableParagraph"/>
              <w:rPr>
                <w:rFonts w:ascii="Arial" w:hAnsi="Arial" w:cs="Arial"/>
                <w:sz w:val="18"/>
                <w:szCs w:val="18"/>
              </w:rPr>
            </w:pPr>
          </w:p>
        </w:tc>
      </w:tr>
      <w:tr w:rsidR="00D3344B" w14:paraId="77C53204"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1920E143"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026</w:t>
            </w:r>
          </w:p>
        </w:tc>
        <w:tc>
          <w:tcPr>
            <w:tcW w:w="3038" w:type="dxa"/>
            <w:tcBorders>
              <w:top w:val="single" w:sz="4" w:space="0" w:color="000000"/>
              <w:left w:val="single" w:sz="4" w:space="0" w:color="000000"/>
              <w:bottom w:val="single" w:sz="4" w:space="0" w:color="000000"/>
              <w:right w:val="single" w:sz="4" w:space="0" w:color="000000"/>
            </w:tcBorders>
          </w:tcPr>
          <w:p w14:paraId="1D6E89F4" w14:textId="77777777" w:rsidR="00D3344B" w:rsidRDefault="00143C25">
            <w:pPr>
              <w:pStyle w:val="TableParagraph"/>
              <w:tabs>
                <w:tab w:val="left" w:pos="619"/>
                <w:tab w:val="left" w:pos="1867"/>
                <w:tab w:val="left" w:pos="2227"/>
              </w:tabs>
              <w:spacing w:line="252" w:lineRule="exact"/>
              <w:ind w:right="272"/>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spacing w:val="-2"/>
                <w:w w:val="110"/>
                <w:sz w:val="18"/>
                <w:szCs w:val="18"/>
              </w:rPr>
              <w:t>mastoides</w:t>
            </w:r>
            <w:r>
              <w:rPr>
                <w:rFonts w:ascii="Arial" w:hAnsi="Arial" w:cs="Arial"/>
                <w:sz w:val="18"/>
                <w:szCs w:val="18"/>
              </w:rPr>
              <w:tab/>
            </w:r>
            <w:r>
              <w:rPr>
                <w:rFonts w:ascii="Arial" w:hAnsi="Arial" w:cs="Arial"/>
                <w:spacing w:val="-10"/>
                <w:w w:val="110"/>
                <w:sz w:val="18"/>
                <w:szCs w:val="18"/>
              </w:rPr>
              <w:t>u</w:t>
            </w:r>
            <w:r>
              <w:rPr>
                <w:rFonts w:ascii="Arial" w:hAnsi="Arial" w:cs="Arial"/>
                <w:sz w:val="18"/>
                <w:szCs w:val="18"/>
              </w:rPr>
              <w:tab/>
            </w:r>
            <w:r>
              <w:rPr>
                <w:rFonts w:ascii="Arial" w:hAnsi="Arial" w:cs="Arial"/>
                <w:spacing w:val="-2"/>
                <w:w w:val="110"/>
                <w:sz w:val="18"/>
                <w:szCs w:val="18"/>
              </w:rPr>
              <w:t>oídos simple</w:t>
            </w:r>
          </w:p>
        </w:tc>
        <w:tc>
          <w:tcPr>
            <w:tcW w:w="697" w:type="dxa"/>
            <w:tcBorders>
              <w:top w:val="single" w:sz="4" w:space="0" w:color="000000"/>
              <w:left w:val="single" w:sz="4" w:space="0" w:color="000000"/>
              <w:bottom w:val="single" w:sz="4" w:space="0" w:color="000000"/>
              <w:right w:val="single" w:sz="4" w:space="0" w:color="000000"/>
            </w:tcBorders>
          </w:tcPr>
          <w:p w14:paraId="34AF1B7A"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3CBDD5E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59C332A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307A9ADD"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6A93EF9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485B75DB" w14:textId="77777777" w:rsidR="00D3344B" w:rsidRDefault="00D3344B">
            <w:pPr>
              <w:pStyle w:val="TableParagraph"/>
              <w:rPr>
                <w:rFonts w:ascii="Arial" w:hAnsi="Arial" w:cs="Arial"/>
                <w:sz w:val="18"/>
                <w:szCs w:val="18"/>
              </w:rPr>
            </w:pPr>
          </w:p>
        </w:tc>
      </w:tr>
      <w:tr w:rsidR="00D3344B" w14:paraId="79B0D2E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31CAD06" w14:textId="77777777" w:rsidR="00D3344B" w:rsidRDefault="00143C25">
            <w:pPr>
              <w:pStyle w:val="TableParagraph"/>
              <w:spacing w:before="1"/>
              <w:rPr>
                <w:rFonts w:ascii="Arial" w:hAnsi="Arial" w:cs="Arial"/>
                <w:sz w:val="18"/>
                <w:szCs w:val="18"/>
              </w:rPr>
            </w:pPr>
            <w:r>
              <w:rPr>
                <w:rFonts w:ascii="Arial" w:hAnsi="Arial" w:cs="Arial"/>
                <w:sz w:val="18"/>
                <w:szCs w:val="18"/>
              </w:rPr>
              <w:t>02-TM-026-</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E26BCD5" w14:textId="77777777" w:rsidR="00D3344B" w:rsidRDefault="00143C25">
            <w:pPr>
              <w:pStyle w:val="TableParagraph"/>
              <w:tabs>
                <w:tab w:val="left" w:pos="703"/>
                <w:tab w:val="left" w:pos="2035"/>
                <w:tab w:val="left" w:pos="2481"/>
              </w:tabs>
              <w:spacing w:line="252" w:lineRule="exact"/>
              <w:rPr>
                <w:rFonts w:ascii="Arial" w:hAnsi="Arial" w:cs="Arial"/>
                <w:sz w:val="18"/>
                <w:szCs w:val="18"/>
              </w:rPr>
            </w:pPr>
            <w:r>
              <w:rPr>
                <w:rFonts w:ascii="Arial" w:hAnsi="Arial" w:cs="Arial"/>
                <w:spacing w:val="-4"/>
                <w:w w:val="115"/>
                <w:sz w:val="18"/>
                <w:szCs w:val="18"/>
              </w:rPr>
              <w:t>Tac</w:t>
            </w:r>
            <w:r>
              <w:rPr>
                <w:rFonts w:ascii="Arial" w:hAnsi="Arial" w:cs="Arial"/>
                <w:sz w:val="18"/>
                <w:szCs w:val="18"/>
              </w:rPr>
              <w:tab/>
            </w:r>
            <w:r>
              <w:rPr>
                <w:rFonts w:ascii="Arial" w:hAnsi="Arial" w:cs="Arial"/>
                <w:spacing w:val="-2"/>
                <w:w w:val="115"/>
                <w:sz w:val="18"/>
                <w:szCs w:val="18"/>
              </w:rPr>
              <w:t>mastoides</w:t>
            </w:r>
            <w:r>
              <w:rPr>
                <w:rFonts w:ascii="Arial" w:hAnsi="Arial" w:cs="Arial"/>
                <w:sz w:val="18"/>
                <w:szCs w:val="18"/>
              </w:rPr>
              <w:tab/>
            </w:r>
            <w:r>
              <w:rPr>
                <w:rFonts w:ascii="Arial" w:hAnsi="Arial" w:cs="Arial"/>
                <w:spacing w:val="-10"/>
                <w:w w:val="115"/>
                <w:sz w:val="18"/>
                <w:szCs w:val="18"/>
              </w:rPr>
              <w:t>u</w:t>
            </w:r>
            <w:r>
              <w:rPr>
                <w:rFonts w:ascii="Arial" w:hAnsi="Arial" w:cs="Arial"/>
                <w:sz w:val="18"/>
                <w:szCs w:val="18"/>
              </w:rPr>
              <w:tab/>
            </w:r>
            <w:r>
              <w:rPr>
                <w:rFonts w:ascii="Arial" w:hAnsi="Arial" w:cs="Arial"/>
                <w:spacing w:val="-4"/>
                <w:w w:val="115"/>
                <w:sz w:val="18"/>
                <w:szCs w:val="18"/>
              </w:rPr>
              <w:t xml:space="preserve">oídos </w:t>
            </w:r>
            <w:r>
              <w:rPr>
                <w:rFonts w:ascii="Arial" w:hAnsi="Arial" w:cs="Arial"/>
                <w:w w:val="115"/>
                <w:sz w:val="18"/>
                <w:szCs w:val="18"/>
              </w:rPr>
              <w:t>simple contrastada</w:t>
            </w:r>
          </w:p>
        </w:tc>
        <w:tc>
          <w:tcPr>
            <w:tcW w:w="697" w:type="dxa"/>
            <w:tcBorders>
              <w:top w:val="single" w:sz="4" w:space="0" w:color="000000"/>
              <w:left w:val="single" w:sz="4" w:space="0" w:color="000000"/>
              <w:bottom w:val="single" w:sz="4" w:space="0" w:color="000000"/>
              <w:right w:val="single" w:sz="4" w:space="0" w:color="000000"/>
            </w:tcBorders>
          </w:tcPr>
          <w:p w14:paraId="0F2728AC"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6C501A8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5816E19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37.25</w:t>
            </w:r>
          </w:p>
        </w:tc>
        <w:tc>
          <w:tcPr>
            <w:tcW w:w="699" w:type="dxa"/>
            <w:tcBorders>
              <w:top w:val="single" w:sz="4" w:space="0" w:color="000000"/>
              <w:left w:val="single" w:sz="4" w:space="0" w:color="000000"/>
              <w:bottom w:val="single" w:sz="4" w:space="0" w:color="000000"/>
              <w:right w:val="single" w:sz="4" w:space="0" w:color="000000"/>
            </w:tcBorders>
          </w:tcPr>
          <w:p w14:paraId="00DA6150"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54D3F7A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62D0A758" w14:textId="77777777" w:rsidR="00D3344B" w:rsidRDefault="00D3344B">
            <w:pPr>
              <w:pStyle w:val="TableParagraph"/>
              <w:rPr>
                <w:rFonts w:ascii="Arial" w:hAnsi="Arial" w:cs="Arial"/>
                <w:sz w:val="18"/>
                <w:szCs w:val="18"/>
              </w:rPr>
            </w:pPr>
          </w:p>
        </w:tc>
      </w:tr>
      <w:tr w:rsidR="00D3344B" w14:paraId="4A208C9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F98C6E3"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027</w:t>
            </w:r>
          </w:p>
        </w:tc>
        <w:tc>
          <w:tcPr>
            <w:tcW w:w="3038" w:type="dxa"/>
            <w:tcBorders>
              <w:top w:val="single" w:sz="4" w:space="0" w:color="000000"/>
              <w:left w:val="single" w:sz="4" w:space="0" w:color="000000"/>
              <w:bottom w:val="single" w:sz="4" w:space="0" w:color="000000"/>
              <w:right w:val="single" w:sz="4" w:space="0" w:color="000000"/>
            </w:tcBorders>
          </w:tcPr>
          <w:p w14:paraId="73129E72" w14:textId="77777777" w:rsidR="00D3344B" w:rsidRDefault="00143C25">
            <w:pPr>
              <w:pStyle w:val="TableParagraph"/>
              <w:spacing w:before="1"/>
              <w:rPr>
                <w:rFonts w:ascii="Arial" w:hAnsi="Arial" w:cs="Arial"/>
                <w:sz w:val="18"/>
                <w:szCs w:val="18"/>
              </w:rPr>
            </w:pPr>
            <w:r>
              <w:rPr>
                <w:rFonts w:ascii="Arial" w:hAnsi="Arial" w:cs="Arial"/>
                <w:w w:val="110"/>
                <w:sz w:val="18"/>
                <w:szCs w:val="18"/>
              </w:rPr>
              <w:t>Tac</w:t>
            </w:r>
            <w:r>
              <w:rPr>
                <w:rFonts w:ascii="Arial" w:hAnsi="Arial" w:cs="Arial"/>
                <w:spacing w:val="20"/>
                <w:w w:val="110"/>
                <w:sz w:val="18"/>
                <w:szCs w:val="18"/>
              </w:rPr>
              <w:t xml:space="preserve"> </w:t>
            </w:r>
            <w:r>
              <w:rPr>
                <w:rFonts w:ascii="Arial" w:hAnsi="Arial" w:cs="Arial"/>
                <w:w w:val="110"/>
                <w:sz w:val="18"/>
                <w:szCs w:val="18"/>
              </w:rPr>
              <w:t>mediastino</w:t>
            </w:r>
            <w:r>
              <w:rPr>
                <w:rFonts w:ascii="Arial" w:hAnsi="Arial" w:cs="Arial"/>
                <w:spacing w:val="19"/>
                <w:w w:val="110"/>
                <w:sz w:val="18"/>
                <w:szCs w:val="18"/>
              </w:rPr>
              <w:t xml:space="preserve">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2C556D28"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6449672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6F082CC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27AA7256"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50F10EF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4AD78BF1" w14:textId="77777777" w:rsidR="00D3344B" w:rsidRDefault="00D3344B">
            <w:pPr>
              <w:pStyle w:val="TableParagraph"/>
              <w:rPr>
                <w:rFonts w:ascii="Arial" w:hAnsi="Arial" w:cs="Arial"/>
                <w:sz w:val="18"/>
                <w:szCs w:val="18"/>
              </w:rPr>
            </w:pPr>
          </w:p>
        </w:tc>
      </w:tr>
      <w:tr w:rsidR="00D3344B" w14:paraId="41B3F04D" w14:textId="77777777">
        <w:trPr>
          <w:trHeight w:val="300"/>
        </w:trPr>
        <w:tc>
          <w:tcPr>
            <w:tcW w:w="1776" w:type="dxa"/>
            <w:tcBorders>
              <w:top w:val="single" w:sz="4" w:space="0" w:color="000000"/>
              <w:left w:val="single" w:sz="4" w:space="0" w:color="000000"/>
              <w:bottom w:val="single" w:sz="4" w:space="0" w:color="000000"/>
              <w:right w:val="single" w:sz="4" w:space="0" w:color="000000"/>
            </w:tcBorders>
          </w:tcPr>
          <w:p w14:paraId="5DBD85B8"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02-TM-027-</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ABFC507"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Tac</w:t>
            </w:r>
            <w:r>
              <w:rPr>
                <w:rFonts w:ascii="Arial" w:hAnsi="Arial" w:cs="Arial"/>
                <w:spacing w:val="20"/>
                <w:w w:val="110"/>
                <w:sz w:val="18"/>
                <w:szCs w:val="18"/>
              </w:rPr>
              <w:t xml:space="preserve"> </w:t>
            </w:r>
            <w:r>
              <w:rPr>
                <w:rFonts w:ascii="Arial" w:hAnsi="Arial" w:cs="Arial"/>
                <w:w w:val="110"/>
                <w:sz w:val="18"/>
                <w:szCs w:val="18"/>
              </w:rPr>
              <w:t>mediastino</w:t>
            </w:r>
            <w:r>
              <w:rPr>
                <w:rFonts w:ascii="Arial" w:hAnsi="Arial" w:cs="Arial"/>
                <w:spacing w:val="19"/>
                <w:w w:val="110"/>
                <w:sz w:val="18"/>
                <w:szCs w:val="18"/>
              </w:rPr>
              <w:t xml:space="preserve"> </w:t>
            </w:r>
            <w:r>
              <w:rPr>
                <w:rFonts w:ascii="Arial" w:hAnsi="Arial" w:cs="Arial"/>
                <w:spacing w:val="-2"/>
                <w:w w:val="110"/>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39F66793" w14:textId="77777777" w:rsidR="00D3344B" w:rsidRDefault="00143C25">
            <w:pPr>
              <w:pStyle w:val="TableParagraph"/>
              <w:spacing w:line="252" w:lineRule="exact"/>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3CF03790"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66905BE3"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37.50</w:t>
            </w:r>
          </w:p>
        </w:tc>
        <w:tc>
          <w:tcPr>
            <w:tcW w:w="699" w:type="dxa"/>
            <w:tcBorders>
              <w:top w:val="single" w:sz="4" w:space="0" w:color="000000"/>
              <w:left w:val="single" w:sz="4" w:space="0" w:color="000000"/>
              <w:bottom w:val="single" w:sz="4" w:space="0" w:color="000000"/>
              <w:right w:val="single" w:sz="4" w:space="0" w:color="000000"/>
            </w:tcBorders>
          </w:tcPr>
          <w:p w14:paraId="4B2205BB" w14:textId="77777777" w:rsidR="00D3344B" w:rsidRDefault="00143C25">
            <w:pPr>
              <w:pStyle w:val="TableParagraph"/>
              <w:spacing w:line="252" w:lineRule="exact"/>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7342B0D8"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60874D78" w14:textId="77777777" w:rsidR="00D3344B" w:rsidRDefault="00D3344B">
            <w:pPr>
              <w:pStyle w:val="TableParagraph"/>
              <w:rPr>
                <w:rFonts w:ascii="Arial" w:hAnsi="Arial" w:cs="Arial"/>
                <w:sz w:val="18"/>
                <w:szCs w:val="18"/>
              </w:rPr>
            </w:pPr>
          </w:p>
        </w:tc>
      </w:tr>
      <w:tr w:rsidR="00D3344B" w14:paraId="3E960FC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F168F8B"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028</w:t>
            </w:r>
          </w:p>
        </w:tc>
        <w:tc>
          <w:tcPr>
            <w:tcW w:w="3038" w:type="dxa"/>
            <w:tcBorders>
              <w:top w:val="single" w:sz="4" w:space="0" w:color="000000"/>
              <w:left w:val="single" w:sz="4" w:space="0" w:color="000000"/>
              <w:bottom w:val="single" w:sz="4" w:space="0" w:color="000000"/>
              <w:right w:val="single" w:sz="4" w:space="0" w:color="000000"/>
            </w:tcBorders>
          </w:tcPr>
          <w:p w14:paraId="0F8D8B9C"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6"/>
                <w:w w:val="115"/>
                <w:sz w:val="18"/>
                <w:szCs w:val="18"/>
              </w:rPr>
              <w:t xml:space="preserve"> </w:t>
            </w:r>
            <w:r>
              <w:rPr>
                <w:rFonts w:ascii="Arial" w:hAnsi="Arial" w:cs="Arial"/>
                <w:w w:val="115"/>
                <w:sz w:val="18"/>
                <w:szCs w:val="18"/>
              </w:rPr>
              <w:t>páncreas</w:t>
            </w:r>
            <w:r>
              <w:rPr>
                <w:rFonts w:ascii="Arial" w:hAnsi="Arial" w:cs="Arial"/>
                <w:spacing w:val="-4"/>
                <w:w w:val="115"/>
                <w:sz w:val="18"/>
                <w:szCs w:val="18"/>
              </w:rPr>
              <w:t xml:space="preserve"> </w:t>
            </w:r>
            <w:r>
              <w:rPr>
                <w:rFonts w:ascii="Arial" w:hAnsi="Arial" w:cs="Arial"/>
                <w:w w:val="115"/>
                <w:sz w:val="18"/>
                <w:szCs w:val="18"/>
              </w:rPr>
              <w:t>y</w:t>
            </w:r>
            <w:r>
              <w:rPr>
                <w:rFonts w:ascii="Arial" w:hAnsi="Arial" w:cs="Arial"/>
                <w:spacing w:val="-6"/>
                <w:w w:val="115"/>
                <w:sz w:val="18"/>
                <w:szCs w:val="18"/>
              </w:rPr>
              <w:t xml:space="preserve"> </w:t>
            </w:r>
            <w:r>
              <w:rPr>
                <w:rFonts w:ascii="Arial" w:hAnsi="Arial" w:cs="Arial"/>
                <w:w w:val="115"/>
                <w:sz w:val="18"/>
                <w:szCs w:val="18"/>
              </w:rPr>
              <w:t>bazo</w:t>
            </w:r>
            <w:r>
              <w:rPr>
                <w:rFonts w:ascii="Arial" w:hAnsi="Arial" w:cs="Arial"/>
                <w:spacing w:val="-5"/>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4431976B"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3D8AC31B"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0F6BB77B" w14:textId="77777777" w:rsidR="00D3344B" w:rsidRDefault="00143C25">
            <w:pPr>
              <w:pStyle w:val="TableParagraph"/>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326AA6E7"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4091AEC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2FE9FCDA" w14:textId="77777777" w:rsidR="00D3344B" w:rsidRDefault="00D3344B">
            <w:pPr>
              <w:pStyle w:val="TableParagraph"/>
              <w:rPr>
                <w:rFonts w:ascii="Arial" w:hAnsi="Arial" w:cs="Arial"/>
                <w:sz w:val="18"/>
                <w:szCs w:val="18"/>
              </w:rPr>
            </w:pPr>
          </w:p>
        </w:tc>
      </w:tr>
      <w:tr w:rsidR="00D3344B" w14:paraId="790C69FC"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1DE77A24" w14:textId="77777777" w:rsidR="00D3344B" w:rsidRDefault="00143C25">
            <w:pPr>
              <w:pStyle w:val="TableParagraph"/>
              <w:rPr>
                <w:rFonts w:ascii="Arial" w:hAnsi="Arial" w:cs="Arial"/>
                <w:sz w:val="18"/>
                <w:szCs w:val="18"/>
              </w:rPr>
            </w:pPr>
            <w:r>
              <w:rPr>
                <w:rFonts w:ascii="Arial" w:hAnsi="Arial" w:cs="Arial"/>
                <w:sz w:val="18"/>
                <w:szCs w:val="18"/>
              </w:rPr>
              <w:t>02-TM-028-</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44589CC" w14:textId="77777777" w:rsidR="00D3344B" w:rsidRDefault="00143C25">
            <w:pPr>
              <w:pStyle w:val="TableParagraph"/>
              <w:tabs>
                <w:tab w:val="left" w:pos="595"/>
                <w:tab w:val="left" w:pos="1889"/>
              </w:tabs>
              <w:spacing w:line="252" w:lineRule="exact"/>
              <w:ind w:right="694"/>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w w:val="110"/>
                <w:sz w:val="18"/>
                <w:szCs w:val="18"/>
              </w:rPr>
              <w:t>páncreas</w:t>
            </w:r>
            <w:r>
              <w:rPr>
                <w:rFonts w:ascii="Arial" w:hAnsi="Arial" w:cs="Arial"/>
                <w:spacing w:val="40"/>
                <w:w w:val="110"/>
                <w:sz w:val="18"/>
                <w:szCs w:val="18"/>
              </w:rPr>
              <w:t xml:space="preserve"> </w:t>
            </w:r>
            <w:r>
              <w:rPr>
                <w:rFonts w:ascii="Arial" w:hAnsi="Arial" w:cs="Arial"/>
                <w:w w:val="110"/>
                <w:sz w:val="18"/>
                <w:szCs w:val="18"/>
              </w:rPr>
              <w:t>y</w:t>
            </w:r>
            <w:r>
              <w:rPr>
                <w:rFonts w:ascii="Arial" w:hAnsi="Arial" w:cs="Arial"/>
                <w:sz w:val="18"/>
                <w:szCs w:val="18"/>
              </w:rPr>
              <w:tab/>
            </w:r>
            <w:r>
              <w:rPr>
                <w:rFonts w:ascii="Arial" w:hAnsi="Arial" w:cs="Arial"/>
                <w:spacing w:val="-6"/>
                <w:w w:val="110"/>
                <w:sz w:val="18"/>
                <w:szCs w:val="18"/>
              </w:rPr>
              <w:t xml:space="preserve">bazo </w:t>
            </w:r>
            <w:r>
              <w:rPr>
                <w:rFonts w:ascii="Arial" w:hAnsi="Arial" w:cs="Arial"/>
                <w:spacing w:val="-2"/>
                <w:w w:val="110"/>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0AC44555"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26A488C6" w14:textId="77777777" w:rsidR="00D3344B" w:rsidRDefault="00143C25">
            <w:pPr>
              <w:pStyle w:val="TableParagraph"/>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111FE4EE" w14:textId="77777777" w:rsidR="00D3344B" w:rsidRDefault="00143C25">
            <w:pPr>
              <w:pStyle w:val="TableParagraph"/>
              <w:rPr>
                <w:rFonts w:ascii="Arial" w:hAnsi="Arial" w:cs="Arial"/>
                <w:sz w:val="18"/>
                <w:szCs w:val="18"/>
              </w:rPr>
            </w:pPr>
            <w:r>
              <w:rPr>
                <w:rFonts w:ascii="Arial" w:hAnsi="Arial" w:cs="Arial"/>
                <w:spacing w:val="-4"/>
                <w:w w:val="115"/>
                <w:sz w:val="18"/>
                <w:szCs w:val="18"/>
              </w:rPr>
              <w:t>37.25</w:t>
            </w:r>
          </w:p>
        </w:tc>
        <w:tc>
          <w:tcPr>
            <w:tcW w:w="699" w:type="dxa"/>
            <w:tcBorders>
              <w:top w:val="single" w:sz="4" w:space="0" w:color="000000"/>
              <w:left w:val="single" w:sz="4" w:space="0" w:color="000000"/>
              <w:bottom w:val="single" w:sz="4" w:space="0" w:color="000000"/>
              <w:right w:val="single" w:sz="4" w:space="0" w:color="000000"/>
            </w:tcBorders>
          </w:tcPr>
          <w:p w14:paraId="0F9E3F81"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32.50</w:t>
            </w:r>
          </w:p>
        </w:tc>
        <w:tc>
          <w:tcPr>
            <w:tcW w:w="696" w:type="dxa"/>
            <w:tcBorders>
              <w:top w:val="single" w:sz="4" w:space="0" w:color="000000"/>
              <w:left w:val="single" w:sz="4" w:space="0" w:color="000000"/>
              <w:bottom w:val="single" w:sz="4" w:space="0" w:color="000000"/>
              <w:right w:val="single" w:sz="4" w:space="0" w:color="000000"/>
            </w:tcBorders>
          </w:tcPr>
          <w:p w14:paraId="44F6DE7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4DC0D085" w14:textId="77777777" w:rsidR="00D3344B" w:rsidRDefault="00D3344B">
            <w:pPr>
              <w:pStyle w:val="TableParagraph"/>
              <w:rPr>
                <w:rFonts w:ascii="Arial" w:hAnsi="Arial" w:cs="Arial"/>
                <w:sz w:val="18"/>
                <w:szCs w:val="18"/>
              </w:rPr>
            </w:pPr>
          </w:p>
        </w:tc>
      </w:tr>
      <w:tr w:rsidR="00D3344B" w14:paraId="4F2FF87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C4AE96C"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029</w:t>
            </w:r>
          </w:p>
        </w:tc>
        <w:tc>
          <w:tcPr>
            <w:tcW w:w="3038" w:type="dxa"/>
            <w:tcBorders>
              <w:top w:val="single" w:sz="4" w:space="0" w:color="000000"/>
              <w:left w:val="single" w:sz="4" w:space="0" w:color="000000"/>
              <w:bottom w:val="single" w:sz="4" w:space="0" w:color="000000"/>
              <w:right w:val="single" w:sz="4" w:space="0" w:color="000000"/>
            </w:tcBorders>
          </w:tcPr>
          <w:p w14:paraId="10E9BE43" w14:textId="77777777" w:rsidR="00D3344B" w:rsidRDefault="00143C25">
            <w:pPr>
              <w:pStyle w:val="TableParagraph"/>
              <w:rPr>
                <w:rFonts w:ascii="Arial" w:hAnsi="Arial" w:cs="Arial"/>
                <w:sz w:val="18"/>
                <w:szCs w:val="18"/>
              </w:rPr>
            </w:pPr>
            <w:proofErr w:type="gramStart"/>
            <w:r>
              <w:rPr>
                <w:rFonts w:ascii="Arial" w:hAnsi="Arial" w:cs="Arial"/>
                <w:w w:val="110"/>
                <w:sz w:val="18"/>
                <w:szCs w:val="18"/>
              </w:rPr>
              <w:t>Tac</w:t>
            </w:r>
            <w:r>
              <w:rPr>
                <w:rFonts w:ascii="Arial" w:hAnsi="Arial" w:cs="Arial"/>
                <w:spacing w:val="7"/>
                <w:w w:val="110"/>
                <w:sz w:val="18"/>
                <w:szCs w:val="18"/>
              </w:rPr>
              <w:t xml:space="preserve"> </w:t>
            </w:r>
            <w:r>
              <w:rPr>
                <w:rFonts w:ascii="Arial" w:hAnsi="Arial" w:cs="Arial"/>
                <w:w w:val="110"/>
                <w:sz w:val="18"/>
                <w:szCs w:val="18"/>
              </w:rPr>
              <w:t>pelvis</w:t>
            </w:r>
            <w:proofErr w:type="gramEnd"/>
            <w:r>
              <w:rPr>
                <w:rFonts w:ascii="Arial" w:hAnsi="Arial" w:cs="Arial"/>
                <w:spacing w:val="8"/>
                <w:w w:val="110"/>
                <w:sz w:val="18"/>
                <w:szCs w:val="18"/>
              </w:rPr>
              <w:t xml:space="preserve">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7234C4B6"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35.50</w:t>
            </w:r>
          </w:p>
        </w:tc>
        <w:tc>
          <w:tcPr>
            <w:tcW w:w="695" w:type="dxa"/>
            <w:tcBorders>
              <w:top w:val="single" w:sz="4" w:space="0" w:color="000000"/>
              <w:left w:val="single" w:sz="4" w:space="0" w:color="000000"/>
              <w:bottom w:val="single" w:sz="4" w:space="0" w:color="000000"/>
              <w:right w:val="single" w:sz="4" w:space="0" w:color="000000"/>
            </w:tcBorders>
          </w:tcPr>
          <w:p w14:paraId="6D6B790B" w14:textId="77777777" w:rsidR="00D3344B" w:rsidRDefault="00143C25">
            <w:pPr>
              <w:pStyle w:val="TableParagraph"/>
              <w:rPr>
                <w:rFonts w:ascii="Arial" w:hAnsi="Arial" w:cs="Arial"/>
                <w:sz w:val="18"/>
                <w:szCs w:val="18"/>
              </w:rPr>
            </w:pPr>
            <w:r>
              <w:rPr>
                <w:rFonts w:ascii="Arial" w:hAnsi="Arial" w:cs="Arial"/>
                <w:spacing w:val="-4"/>
                <w:w w:val="115"/>
                <w:sz w:val="18"/>
                <w:szCs w:val="18"/>
              </w:rPr>
              <w:t>32.25</w:t>
            </w:r>
          </w:p>
        </w:tc>
        <w:tc>
          <w:tcPr>
            <w:tcW w:w="699" w:type="dxa"/>
            <w:tcBorders>
              <w:top w:val="single" w:sz="4" w:space="0" w:color="000000"/>
              <w:left w:val="single" w:sz="4" w:space="0" w:color="000000"/>
              <w:bottom w:val="single" w:sz="4" w:space="0" w:color="000000"/>
              <w:right w:val="single" w:sz="4" w:space="0" w:color="000000"/>
            </w:tcBorders>
          </w:tcPr>
          <w:p w14:paraId="4F0F8FCF" w14:textId="77777777" w:rsidR="00D3344B" w:rsidRDefault="00143C25">
            <w:pPr>
              <w:pStyle w:val="TableParagraph"/>
              <w:rPr>
                <w:rFonts w:ascii="Arial" w:hAnsi="Arial" w:cs="Arial"/>
                <w:sz w:val="18"/>
                <w:szCs w:val="18"/>
              </w:rPr>
            </w:pPr>
            <w:r>
              <w:rPr>
                <w:rFonts w:ascii="Arial" w:hAnsi="Arial" w:cs="Arial"/>
                <w:spacing w:val="-4"/>
                <w:w w:val="115"/>
                <w:sz w:val="18"/>
                <w:szCs w:val="18"/>
              </w:rPr>
              <w:t>29.25</w:t>
            </w:r>
          </w:p>
        </w:tc>
        <w:tc>
          <w:tcPr>
            <w:tcW w:w="699" w:type="dxa"/>
            <w:tcBorders>
              <w:top w:val="single" w:sz="4" w:space="0" w:color="000000"/>
              <w:left w:val="single" w:sz="4" w:space="0" w:color="000000"/>
              <w:bottom w:val="single" w:sz="4" w:space="0" w:color="000000"/>
              <w:right w:val="single" w:sz="4" w:space="0" w:color="000000"/>
            </w:tcBorders>
          </w:tcPr>
          <w:p w14:paraId="230CD8EF"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26.00</w:t>
            </w:r>
          </w:p>
        </w:tc>
        <w:tc>
          <w:tcPr>
            <w:tcW w:w="696" w:type="dxa"/>
            <w:tcBorders>
              <w:top w:val="single" w:sz="4" w:space="0" w:color="000000"/>
              <w:left w:val="single" w:sz="4" w:space="0" w:color="000000"/>
              <w:bottom w:val="single" w:sz="4" w:space="0" w:color="000000"/>
              <w:right w:val="single" w:sz="4" w:space="0" w:color="000000"/>
            </w:tcBorders>
          </w:tcPr>
          <w:p w14:paraId="3EEB0F6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23.00</w:t>
            </w:r>
          </w:p>
        </w:tc>
        <w:tc>
          <w:tcPr>
            <w:tcW w:w="527" w:type="dxa"/>
            <w:tcBorders>
              <w:top w:val="single" w:sz="4" w:space="0" w:color="000000"/>
              <w:left w:val="single" w:sz="4" w:space="0" w:color="000000"/>
              <w:bottom w:val="single" w:sz="4" w:space="0" w:color="000000"/>
              <w:right w:val="single" w:sz="4" w:space="0" w:color="000000"/>
            </w:tcBorders>
          </w:tcPr>
          <w:p w14:paraId="5ABAE6AA" w14:textId="77777777" w:rsidR="00D3344B" w:rsidRDefault="00D3344B">
            <w:pPr>
              <w:pStyle w:val="TableParagraph"/>
              <w:rPr>
                <w:rFonts w:ascii="Arial" w:hAnsi="Arial" w:cs="Arial"/>
                <w:sz w:val="18"/>
                <w:szCs w:val="18"/>
              </w:rPr>
            </w:pPr>
          </w:p>
        </w:tc>
      </w:tr>
      <w:tr w:rsidR="00D3344B" w14:paraId="6ACD71B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E5B34CE" w14:textId="77777777" w:rsidR="00D3344B" w:rsidRDefault="00143C25">
            <w:pPr>
              <w:pStyle w:val="TableParagraph"/>
              <w:rPr>
                <w:rFonts w:ascii="Arial" w:hAnsi="Arial" w:cs="Arial"/>
                <w:sz w:val="18"/>
                <w:szCs w:val="18"/>
              </w:rPr>
            </w:pPr>
            <w:r>
              <w:rPr>
                <w:rFonts w:ascii="Arial" w:hAnsi="Arial" w:cs="Arial"/>
                <w:sz w:val="18"/>
                <w:szCs w:val="18"/>
              </w:rPr>
              <w:t>02-TM-029-</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0C05CBA9" w14:textId="77777777" w:rsidR="00D3344B" w:rsidRDefault="00143C25">
            <w:pPr>
              <w:pStyle w:val="TableParagraph"/>
              <w:rPr>
                <w:rFonts w:ascii="Arial" w:hAnsi="Arial" w:cs="Arial"/>
                <w:sz w:val="18"/>
                <w:szCs w:val="18"/>
              </w:rPr>
            </w:pPr>
            <w:proofErr w:type="gramStart"/>
            <w:r>
              <w:rPr>
                <w:rFonts w:ascii="Arial" w:hAnsi="Arial" w:cs="Arial"/>
                <w:w w:val="110"/>
                <w:sz w:val="18"/>
                <w:szCs w:val="18"/>
              </w:rPr>
              <w:t>Tac</w:t>
            </w:r>
            <w:r>
              <w:rPr>
                <w:rFonts w:ascii="Arial" w:hAnsi="Arial" w:cs="Arial"/>
                <w:spacing w:val="7"/>
                <w:w w:val="110"/>
                <w:sz w:val="18"/>
                <w:szCs w:val="18"/>
              </w:rPr>
              <w:t xml:space="preserve"> </w:t>
            </w:r>
            <w:r>
              <w:rPr>
                <w:rFonts w:ascii="Arial" w:hAnsi="Arial" w:cs="Arial"/>
                <w:w w:val="110"/>
                <w:sz w:val="18"/>
                <w:szCs w:val="18"/>
              </w:rPr>
              <w:t>pelvis</w:t>
            </w:r>
            <w:proofErr w:type="gramEnd"/>
            <w:r>
              <w:rPr>
                <w:rFonts w:ascii="Arial" w:hAnsi="Arial" w:cs="Arial"/>
                <w:spacing w:val="11"/>
                <w:w w:val="110"/>
                <w:sz w:val="18"/>
                <w:szCs w:val="18"/>
              </w:rPr>
              <w:t xml:space="preserve"> </w:t>
            </w:r>
            <w:r>
              <w:rPr>
                <w:rFonts w:ascii="Arial" w:hAnsi="Arial" w:cs="Arial"/>
                <w:spacing w:val="-2"/>
                <w:w w:val="110"/>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5562B995"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47.25</w:t>
            </w:r>
          </w:p>
        </w:tc>
        <w:tc>
          <w:tcPr>
            <w:tcW w:w="695" w:type="dxa"/>
            <w:tcBorders>
              <w:top w:val="single" w:sz="4" w:space="0" w:color="000000"/>
              <w:left w:val="single" w:sz="4" w:space="0" w:color="000000"/>
              <w:bottom w:val="single" w:sz="4" w:space="0" w:color="000000"/>
              <w:right w:val="single" w:sz="4" w:space="0" w:color="000000"/>
            </w:tcBorders>
          </w:tcPr>
          <w:p w14:paraId="477662E5" w14:textId="77777777" w:rsidR="00D3344B" w:rsidRDefault="00143C25">
            <w:pPr>
              <w:pStyle w:val="TableParagraph"/>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23BCB5E6" w14:textId="77777777" w:rsidR="00D3344B" w:rsidRDefault="00143C25">
            <w:pPr>
              <w:pStyle w:val="TableParagraph"/>
              <w:rPr>
                <w:rFonts w:ascii="Arial" w:hAnsi="Arial" w:cs="Arial"/>
                <w:sz w:val="18"/>
                <w:szCs w:val="18"/>
              </w:rPr>
            </w:pPr>
            <w:r>
              <w:rPr>
                <w:rFonts w:ascii="Arial" w:hAnsi="Arial" w:cs="Arial"/>
                <w:spacing w:val="-4"/>
                <w:w w:val="115"/>
                <w:sz w:val="18"/>
                <w:szCs w:val="18"/>
              </w:rPr>
              <w:t>41.00</w:t>
            </w:r>
          </w:p>
        </w:tc>
        <w:tc>
          <w:tcPr>
            <w:tcW w:w="699" w:type="dxa"/>
            <w:tcBorders>
              <w:top w:val="single" w:sz="4" w:space="0" w:color="000000"/>
              <w:left w:val="single" w:sz="4" w:space="0" w:color="000000"/>
              <w:bottom w:val="single" w:sz="4" w:space="0" w:color="000000"/>
              <w:right w:val="single" w:sz="4" w:space="0" w:color="000000"/>
            </w:tcBorders>
          </w:tcPr>
          <w:p w14:paraId="199AEFB4"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37.75</w:t>
            </w:r>
          </w:p>
        </w:tc>
        <w:tc>
          <w:tcPr>
            <w:tcW w:w="696" w:type="dxa"/>
            <w:tcBorders>
              <w:top w:val="single" w:sz="4" w:space="0" w:color="000000"/>
              <w:left w:val="single" w:sz="4" w:space="0" w:color="000000"/>
              <w:bottom w:val="single" w:sz="4" w:space="0" w:color="000000"/>
              <w:right w:val="single" w:sz="4" w:space="0" w:color="000000"/>
            </w:tcBorders>
          </w:tcPr>
          <w:p w14:paraId="67EA9A3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34.75</w:t>
            </w:r>
          </w:p>
        </w:tc>
        <w:tc>
          <w:tcPr>
            <w:tcW w:w="527" w:type="dxa"/>
            <w:tcBorders>
              <w:top w:val="single" w:sz="4" w:space="0" w:color="000000"/>
              <w:left w:val="single" w:sz="4" w:space="0" w:color="000000"/>
              <w:bottom w:val="single" w:sz="4" w:space="0" w:color="000000"/>
              <w:right w:val="single" w:sz="4" w:space="0" w:color="000000"/>
            </w:tcBorders>
          </w:tcPr>
          <w:p w14:paraId="2E2C0BCD" w14:textId="77777777" w:rsidR="00D3344B" w:rsidRDefault="00D3344B">
            <w:pPr>
              <w:pStyle w:val="TableParagraph"/>
              <w:rPr>
                <w:rFonts w:ascii="Arial" w:hAnsi="Arial" w:cs="Arial"/>
                <w:sz w:val="18"/>
                <w:szCs w:val="18"/>
              </w:rPr>
            </w:pPr>
          </w:p>
        </w:tc>
      </w:tr>
      <w:tr w:rsidR="00D3344B" w14:paraId="3F2C01E0"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668F724F"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030</w:t>
            </w:r>
          </w:p>
        </w:tc>
        <w:tc>
          <w:tcPr>
            <w:tcW w:w="3038" w:type="dxa"/>
            <w:tcBorders>
              <w:top w:val="single" w:sz="4" w:space="0" w:color="000000"/>
              <w:left w:val="single" w:sz="4" w:space="0" w:color="000000"/>
              <w:bottom w:val="single" w:sz="4" w:space="0" w:color="000000"/>
              <w:right w:val="single" w:sz="4" w:space="0" w:color="000000"/>
            </w:tcBorders>
          </w:tcPr>
          <w:p w14:paraId="282126D4" w14:textId="77777777" w:rsidR="00D3344B" w:rsidRDefault="00143C25">
            <w:pPr>
              <w:pStyle w:val="TableParagraph"/>
              <w:rPr>
                <w:rFonts w:ascii="Arial" w:hAnsi="Arial" w:cs="Arial"/>
                <w:sz w:val="18"/>
                <w:szCs w:val="18"/>
              </w:rPr>
            </w:pPr>
            <w:r>
              <w:rPr>
                <w:rFonts w:ascii="Arial" w:hAnsi="Arial" w:cs="Arial"/>
                <w:w w:val="110"/>
                <w:sz w:val="18"/>
                <w:szCs w:val="18"/>
              </w:rPr>
              <w:t>Tac</w:t>
            </w:r>
            <w:r>
              <w:rPr>
                <w:rFonts w:ascii="Arial" w:hAnsi="Arial" w:cs="Arial"/>
                <w:spacing w:val="-10"/>
                <w:w w:val="110"/>
                <w:sz w:val="18"/>
                <w:szCs w:val="18"/>
              </w:rPr>
              <w:t xml:space="preserve"> </w:t>
            </w:r>
            <w:r>
              <w:rPr>
                <w:rFonts w:ascii="Arial" w:hAnsi="Arial" w:cs="Arial"/>
                <w:w w:val="110"/>
                <w:sz w:val="18"/>
                <w:szCs w:val="18"/>
              </w:rPr>
              <w:t>retroperitoneo</w:t>
            </w:r>
            <w:r>
              <w:rPr>
                <w:rFonts w:ascii="Arial" w:hAnsi="Arial" w:cs="Arial"/>
                <w:spacing w:val="-6"/>
                <w:w w:val="110"/>
                <w:sz w:val="18"/>
                <w:szCs w:val="18"/>
              </w:rPr>
              <w:t xml:space="preserve">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1ADB5C99"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34.50</w:t>
            </w:r>
          </w:p>
        </w:tc>
        <w:tc>
          <w:tcPr>
            <w:tcW w:w="695" w:type="dxa"/>
            <w:tcBorders>
              <w:top w:val="single" w:sz="4" w:space="0" w:color="000000"/>
              <w:left w:val="single" w:sz="4" w:space="0" w:color="000000"/>
              <w:bottom w:val="single" w:sz="4" w:space="0" w:color="000000"/>
              <w:right w:val="single" w:sz="4" w:space="0" w:color="000000"/>
            </w:tcBorders>
          </w:tcPr>
          <w:p w14:paraId="6C7C1B4B" w14:textId="77777777" w:rsidR="00D3344B" w:rsidRDefault="00143C25">
            <w:pPr>
              <w:pStyle w:val="TableParagraph"/>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702FF18C" w14:textId="77777777" w:rsidR="00D3344B" w:rsidRDefault="00143C25">
            <w:pPr>
              <w:pStyle w:val="TableParagraph"/>
              <w:rPr>
                <w:rFonts w:ascii="Arial" w:hAnsi="Arial" w:cs="Arial"/>
                <w:sz w:val="18"/>
                <w:szCs w:val="18"/>
              </w:rPr>
            </w:pPr>
            <w:r>
              <w:rPr>
                <w:rFonts w:ascii="Arial" w:hAnsi="Arial" w:cs="Arial"/>
                <w:spacing w:val="-4"/>
                <w:w w:val="115"/>
                <w:sz w:val="18"/>
                <w:szCs w:val="18"/>
              </w:rPr>
              <w:t>28.50</w:t>
            </w:r>
          </w:p>
        </w:tc>
        <w:tc>
          <w:tcPr>
            <w:tcW w:w="699" w:type="dxa"/>
            <w:tcBorders>
              <w:top w:val="single" w:sz="4" w:space="0" w:color="000000"/>
              <w:left w:val="single" w:sz="4" w:space="0" w:color="000000"/>
              <w:bottom w:val="single" w:sz="4" w:space="0" w:color="000000"/>
              <w:right w:val="single" w:sz="4" w:space="0" w:color="000000"/>
            </w:tcBorders>
          </w:tcPr>
          <w:p w14:paraId="7A5277E0"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25.25</w:t>
            </w:r>
          </w:p>
        </w:tc>
        <w:tc>
          <w:tcPr>
            <w:tcW w:w="696" w:type="dxa"/>
            <w:tcBorders>
              <w:top w:val="single" w:sz="4" w:space="0" w:color="000000"/>
              <w:left w:val="single" w:sz="4" w:space="0" w:color="000000"/>
              <w:bottom w:val="single" w:sz="4" w:space="0" w:color="000000"/>
              <w:right w:val="single" w:sz="4" w:space="0" w:color="000000"/>
            </w:tcBorders>
          </w:tcPr>
          <w:p w14:paraId="48CDBB7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179EB900" w14:textId="77777777" w:rsidR="00D3344B" w:rsidRDefault="00D3344B">
            <w:pPr>
              <w:pStyle w:val="TableParagraph"/>
              <w:rPr>
                <w:rFonts w:ascii="Arial" w:hAnsi="Arial" w:cs="Arial"/>
                <w:sz w:val="18"/>
                <w:szCs w:val="18"/>
              </w:rPr>
            </w:pPr>
          </w:p>
        </w:tc>
      </w:tr>
      <w:tr w:rsidR="00D3344B" w14:paraId="1767ED4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650D627" w14:textId="77777777" w:rsidR="00D3344B" w:rsidRDefault="00143C25">
            <w:pPr>
              <w:pStyle w:val="TableParagraph"/>
              <w:rPr>
                <w:rFonts w:ascii="Arial" w:hAnsi="Arial" w:cs="Arial"/>
                <w:sz w:val="18"/>
                <w:szCs w:val="18"/>
              </w:rPr>
            </w:pPr>
            <w:r>
              <w:rPr>
                <w:rFonts w:ascii="Arial" w:hAnsi="Arial" w:cs="Arial"/>
                <w:sz w:val="18"/>
                <w:szCs w:val="18"/>
              </w:rPr>
              <w:t>02-TM-030-</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36345F99" w14:textId="77777777" w:rsidR="00D3344B" w:rsidRDefault="00143C25">
            <w:pPr>
              <w:pStyle w:val="TableParagraph"/>
              <w:spacing w:line="254" w:lineRule="exact"/>
              <w:ind w:right="725"/>
              <w:rPr>
                <w:rFonts w:ascii="Arial" w:hAnsi="Arial" w:cs="Arial"/>
                <w:sz w:val="18"/>
                <w:szCs w:val="18"/>
              </w:rPr>
            </w:pPr>
            <w:r>
              <w:rPr>
                <w:rFonts w:ascii="Arial" w:hAnsi="Arial" w:cs="Arial"/>
                <w:sz w:val="18"/>
                <w:szCs w:val="18"/>
              </w:rPr>
              <w:t xml:space="preserve">Tac retroperitoneo </w:t>
            </w:r>
            <w:r>
              <w:rPr>
                <w:rFonts w:ascii="Arial" w:hAnsi="Arial" w:cs="Arial"/>
                <w:spacing w:val="-2"/>
                <w:w w:val="110"/>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12444AB9"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46.75</w:t>
            </w:r>
          </w:p>
        </w:tc>
        <w:tc>
          <w:tcPr>
            <w:tcW w:w="695" w:type="dxa"/>
            <w:tcBorders>
              <w:top w:val="single" w:sz="4" w:space="0" w:color="000000"/>
              <w:left w:val="single" w:sz="4" w:space="0" w:color="000000"/>
              <w:bottom w:val="single" w:sz="4" w:space="0" w:color="000000"/>
              <w:right w:val="single" w:sz="4" w:space="0" w:color="000000"/>
            </w:tcBorders>
          </w:tcPr>
          <w:p w14:paraId="60F36263" w14:textId="77777777" w:rsidR="00D3344B" w:rsidRDefault="00143C25">
            <w:pPr>
              <w:pStyle w:val="TableParagraph"/>
              <w:rPr>
                <w:rFonts w:ascii="Arial" w:hAnsi="Arial" w:cs="Arial"/>
                <w:sz w:val="18"/>
                <w:szCs w:val="18"/>
              </w:rPr>
            </w:pPr>
            <w:r>
              <w:rPr>
                <w:rFonts w:ascii="Arial" w:hAnsi="Arial" w:cs="Arial"/>
                <w:spacing w:val="-4"/>
                <w:w w:val="115"/>
                <w:sz w:val="18"/>
                <w:szCs w:val="18"/>
              </w:rPr>
              <w:t>42.00</w:t>
            </w:r>
          </w:p>
        </w:tc>
        <w:tc>
          <w:tcPr>
            <w:tcW w:w="699" w:type="dxa"/>
            <w:tcBorders>
              <w:top w:val="single" w:sz="4" w:space="0" w:color="000000"/>
              <w:left w:val="single" w:sz="4" w:space="0" w:color="000000"/>
              <w:bottom w:val="single" w:sz="4" w:space="0" w:color="000000"/>
              <w:right w:val="single" w:sz="4" w:space="0" w:color="000000"/>
            </w:tcBorders>
          </w:tcPr>
          <w:p w14:paraId="74125F3B" w14:textId="77777777" w:rsidR="00D3344B" w:rsidRDefault="00143C25">
            <w:pPr>
              <w:pStyle w:val="TableParagraph"/>
              <w:rPr>
                <w:rFonts w:ascii="Arial" w:hAnsi="Arial" w:cs="Arial"/>
                <w:sz w:val="18"/>
                <w:szCs w:val="18"/>
              </w:rPr>
            </w:pPr>
            <w:r>
              <w:rPr>
                <w:rFonts w:ascii="Arial" w:hAnsi="Arial" w:cs="Arial"/>
                <w:spacing w:val="-4"/>
                <w:w w:val="115"/>
                <w:sz w:val="18"/>
                <w:szCs w:val="18"/>
              </w:rPr>
              <w:t>37.25</w:t>
            </w:r>
          </w:p>
        </w:tc>
        <w:tc>
          <w:tcPr>
            <w:tcW w:w="699" w:type="dxa"/>
            <w:tcBorders>
              <w:top w:val="single" w:sz="4" w:space="0" w:color="000000"/>
              <w:left w:val="single" w:sz="4" w:space="0" w:color="000000"/>
              <w:bottom w:val="single" w:sz="4" w:space="0" w:color="000000"/>
              <w:right w:val="single" w:sz="4" w:space="0" w:color="000000"/>
            </w:tcBorders>
          </w:tcPr>
          <w:p w14:paraId="7FDC5084"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29.50</w:t>
            </w:r>
          </w:p>
        </w:tc>
        <w:tc>
          <w:tcPr>
            <w:tcW w:w="696" w:type="dxa"/>
            <w:tcBorders>
              <w:top w:val="single" w:sz="4" w:space="0" w:color="000000"/>
              <w:left w:val="single" w:sz="4" w:space="0" w:color="000000"/>
              <w:bottom w:val="single" w:sz="4" w:space="0" w:color="000000"/>
              <w:right w:val="single" w:sz="4" w:space="0" w:color="000000"/>
            </w:tcBorders>
          </w:tcPr>
          <w:p w14:paraId="4209E25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28.00</w:t>
            </w:r>
          </w:p>
        </w:tc>
        <w:tc>
          <w:tcPr>
            <w:tcW w:w="527" w:type="dxa"/>
            <w:tcBorders>
              <w:top w:val="single" w:sz="4" w:space="0" w:color="000000"/>
              <w:left w:val="single" w:sz="4" w:space="0" w:color="000000"/>
              <w:bottom w:val="single" w:sz="4" w:space="0" w:color="000000"/>
              <w:right w:val="single" w:sz="4" w:space="0" w:color="000000"/>
            </w:tcBorders>
          </w:tcPr>
          <w:p w14:paraId="103D36B1" w14:textId="77777777" w:rsidR="00D3344B" w:rsidRDefault="00D3344B">
            <w:pPr>
              <w:pStyle w:val="TableParagraph"/>
              <w:rPr>
                <w:rFonts w:ascii="Arial" w:hAnsi="Arial" w:cs="Arial"/>
                <w:sz w:val="18"/>
                <w:szCs w:val="18"/>
              </w:rPr>
            </w:pPr>
          </w:p>
        </w:tc>
      </w:tr>
      <w:tr w:rsidR="00D3344B" w14:paraId="6474657D"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0906B9DA" w14:textId="77777777" w:rsidR="00D3344B" w:rsidRDefault="00143C25">
            <w:pPr>
              <w:pStyle w:val="TableParagraph"/>
              <w:spacing w:line="249" w:lineRule="exact"/>
              <w:rPr>
                <w:rFonts w:ascii="Arial" w:hAnsi="Arial" w:cs="Arial"/>
                <w:sz w:val="18"/>
                <w:szCs w:val="18"/>
              </w:rPr>
            </w:pPr>
            <w:r>
              <w:rPr>
                <w:rFonts w:ascii="Arial" w:hAnsi="Arial" w:cs="Arial"/>
                <w:sz w:val="18"/>
                <w:szCs w:val="18"/>
              </w:rPr>
              <w:t>02-TM-</w:t>
            </w:r>
            <w:r>
              <w:rPr>
                <w:rFonts w:ascii="Arial" w:hAnsi="Arial" w:cs="Arial"/>
                <w:spacing w:val="-5"/>
                <w:sz w:val="18"/>
                <w:szCs w:val="18"/>
              </w:rPr>
              <w:t>031</w:t>
            </w:r>
          </w:p>
        </w:tc>
        <w:tc>
          <w:tcPr>
            <w:tcW w:w="3038" w:type="dxa"/>
            <w:tcBorders>
              <w:top w:val="single" w:sz="4" w:space="0" w:color="000000"/>
              <w:left w:val="single" w:sz="4" w:space="0" w:color="000000"/>
              <w:bottom w:val="single" w:sz="4" w:space="0" w:color="000000"/>
              <w:right w:val="single" w:sz="4" w:space="0" w:color="000000"/>
            </w:tcBorders>
          </w:tcPr>
          <w:p w14:paraId="621499BD" w14:textId="77777777" w:rsidR="00D3344B" w:rsidRDefault="00143C25">
            <w:pPr>
              <w:pStyle w:val="TableParagraph"/>
              <w:spacing w:line="249" w:lineRule="exact"/>
              <w:rPr>
                <w:rFonts w:ascii="Arial" w:hAnsi="Arial" w:cs="Arial"/>
                <w:sz w:val="18"/>
                <w:szCs w:val="18"/>
              </w:rPr>
            </w:pPr>
            <w:proofErr w:type="spellStart"/>
            <w:r>
              <w:rPr>
                <w:rFonts w:ascii="Arial" w:hAnsi="Arial" w:cs="Arial"/>
                <w:w w:val="115"/>
                <w:sz w:val="18"/>
                <w:szCs w:val="18"/>
              </w:rPr>
              <w:t>Urotac</w:t>
            </w:r>
            <w:proofErr w:type="spellEnd"/>
            <w:r>
              <w:rPr>
                <w:rFonts w:ascii="Arial" w:hAnsi="Arial" w:cs="Arial"/>
                <w:spacing w:val="-8"/>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4B5AD4AE" w14:textId="77777777" w:rsidR="00D3344B" w:rsidRDefault="00143C25">
            <w:pPr>
              <w:pStyle w:val="TableParagraph"/>
              <w:spacing w:line="249" w:lineRule="exact"/>
              <w:ind w:right="120"/>
              <w:jc w:val="center"/>
              <w:rPr>
                <w:rFonts w:ascii="Arial" w:hAnsi="Arial" w:cs="Arial"/>
                <w:sz w:val="18"/>
                <w:szCs w:val="18"/>
              </w:rPr>
            </w:pPr>
            <w:r>
              <w:rPr>
                <w:rFonts w:ascii="Arial" w:hAnsi="Arial" w:cs="Arial"/>
                <w:spacing w:val="-4"/>
                <w:w w:val="115"/>
                <w:sz w:val="18"/>
                <w:szCs w:val="18"/>
              </w:rPr>
              <w:t>35.50</w:t>
            </w:r>
          </w:p>
        </w:tc>
        <w:tc>
          <w:tcPr>
            <w:tcW w:w="695" w:type="dxa"/>
            <w:tcBorders>
              <w:top w:val="single" w:sz="4" w:space="0" w:color="000000"/>
              <w:left w:val="single" w:sz="4" w:space="0" w:color="000000"/>
              <w:bottom w:val="single" w:sz="4" w:space="0" w:color="000000"/>
              <w:right w:val="single" w:sz="4" w:space="0" w:color="000000"/>
            </w:tcBorders>
          </w:tcPr>
          <w:p w14:paraId="769DFC10"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32.25</w:t>
            </w:r>
          </w:p>
        </w:tc>
        <w:tc>
          <w:tcPr>
            <w:tcW w:w="699" w:type="dxa"/>
            <w:tcBorders>
              <w:top w:val="single" w:sz="4" w:space="0" w:color="000000"/>
              <w:left w:val="single" w:sz="4" w:space="0" w:color="000000"/>
              <w:bottom w:val="single" w:sz="4" w:space="0" w:color="000000"/>
              <w:right w:val="single" w:sz="4" w:space="0" w:color="000000"/>
            </w:tcBorders>
          </w:tcPr>
          <w:p w14:paraId="25DBDE63"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29.25</w:t>
            </w:r>
          </w:p>
        </w:tc>
        <w:tc>
          <w:tcPr>
            <w:tcW w:w="699" w:type="dxa"/>
            <w:tcBorders>
              <w:top w:val="single" w:sz="4" w:space="0" w:color="000000"/>
              <w:left w:val="single" w:sz="4" w:space="0" w:color="000000"/>
              <w:bottom w:val="single" w:sz="4" w:space="0" w:color="000000"/>
              <w:right w:val="single" w:sz="4" w:space="0" w:color="000000"/>
            </w:tcBorders>
          </w:tcPr>
          <w:p w14:paraId="7EEF3714" w14:textId="77777777" w:rsidR="00D3344B" w:rsidRDefault="00143C25">
            <w:pPr>
              <w:pStyle w:val="TableParagraph"/>
              <w:spacing w:line="249" w:lineRule="exact"/>
              <w:ind w:right="116"/>
              <w:jc w:val="center"/>
              <w:rPr>
                <w:rFonts w:ascii="Arial" w:hAnsi="Arial" w:cs="Arial"/>
                <w:sz w:val="18"/>
                <w:szCs w:val="18"/>
              </w:rPr>
            </w:pPr>
            <w:r>
              <w:rPr>
                <w:rFonts w:ascii="Arial" w:hAnsi="Arial" w:cs="Arial"/>
                <w:spacing w:val="-4"/>
                <w:w w:val="115"/>
                <w:sz w:val="18"/>
                <w:szCs w:val="18"/>
              </w:rPr>
              <w:t>26.00</w:t>
            </w:r>
          </w:p>
        </w:tc>
        <w:tc>
          <w:tcPr>
            <w:tcW w:w="696" w:type="dxa"/>
            <w:tcBorders>
              <w:top w:val="single" w:sz="4" w:space="0" w:color="000000"/>
              <w:left w:val="single" w:sz="4" w:space="0" w:color="000000"/>
              <w:bottom w:val="single" w:sz="4" w:space="0" w:color="000000"/>
              <w:right w:val="single" w:sz="4" w:space="0" w:color="000000"/>
            </w:tcBorders>
          </w:tcPr>
          <w:p w14:paraId="3A210688"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23.00</w:t>
            </w:r>
          </w:p>
        </w:tc>
        <w:tc>
          <w:tcPr>
            <w:tcW w:w="527" w:type="dxa"/>
            <w:tcBorders>
              <w:top w:val="single" w:sz="4" w:space="0" w:color="000000"/>
              <w:left w:val="single" w:sz="4" w:space="0" w:color="000000"/>
              <w:bottom w:val="single" w:sz="4" w:space="0" w:color="000000"/>
              <w:right w:val="single" w:sz="4" w:space="0" w:color="000000"/>
            </w:tcBorders>
          </w:tcPr>
          <w:p w14:paraId="20046A72" w14:textId="77777777" w:rsidR="00D3344B" w:rsidRDefault="00D3344B">
            <w:pPr>
              <w:pStyle w:val="TableParagraph"/>
              <w:rPr>
                <w:rFonts w:ascii="Arial" w:hAnsi="Arial" w:cs="Arial"/>
                <w:sz w:val="18"/>
                <w:szCs w:val="18"/>
              </w:rPr>
            </w:pPr>
          </w:p>
        </w:tc>
      </w:tr>
      <w:tr w:rsidR="00D3344B" w14:paraId="27F6D2C7"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0665096" w14:textId="77777777" w:rsidR="00D3344B" w:rsidRDefault="00143C25">
            <w:pPr>
              <w:pStyle w:val="TableParagraph"/>
              <w:rPr>
                <w:rFonts w:ascii="Arial" w:hAnsi="Arial" w:cs="Arial"/>
                <w:sz w:val="18"/>
                <w:szCs w:val="18"/>
              </w:rPr>
            </w:pPr>
            <w:r>
              <w:rPr>
                <w:rFonts w:ascii="Arial" w:hAnsi="Arial" w:cs="Arial"/>
                <w:sz w:val="18"/>
                <w:szCs w:val="18"/>
              </w:rPr>
              <w:t>02-TM-031-</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02E8513" w14:textId="77777777" w:rsidR="00D3344B" w:rsidRDefault="00143C25">
            <w:pPr>
              <w:pStyle w:val="TableParagraph"/>
              <w:rPr>
                <w:rFonts w:ascii="Arial" w:hAnsi="Arial" w:cs="Arial"/>
                <w:sz w:val="18"/>
                <w:szCs w:val="18"/>
              </w:rPr>
            </w:pPr>
            <w:proofErr w:type="spellStart"/>
            <w:r>
              <w:rPr>
                <w:rFonts w:ascii="Arial" w:hAnsi="Arial" w:cs="Arial"/>
                <w:w w:val="115"/>
                <w:sz w:val="18"/>
                <w:szCs w:val="18"/>
              </w:rPr>
              <w:t>Urotac</w:t>
            </w:r>
            <w:proofErr w:type="spellEnd"/>
            <w:r>
              <w:rPr>
                <w:rFonts w:ascii="Arial" w:hAnsi="Arial" w:cs="Arial"/>
                <w:spacing w:val="-4"/>
                <w:w w:val="115"/>
                <w:sz w:val="18"/>
                <w:szCs w:val="18"/>
              </w:rPr>
              <w:t xml:space="preserve"> </w:t>
            </w:r>
            <w:r>
              <w:rPr>
                <w:rFonts w:ascii="Arial" w:hAnsi="Arial" w:cs="Arial"/>
                <w:w w:val="115"/>
                <w:sz w:val="18"/>
                <w:szCs w:val="18"/>
              </w:rPr>
              <w:t>con</w:t>
            </w:r>
            <w:r>
              <w:rPr>
                <w:rFonts w:ascii="Arial" w:hAnsi="Arial" w:cs="Arial"/>
                <w:spacing w:val="-5"/>
                <w:w w:val="115"/>
                <w:sz w:val="18"/>
                <w:szCs w:val="18"/>
              </w:rPr>
              <w:t xml:space="preserve"> </w:t>
            </w:r>
            <w:r>
              <w:rPr>
                <w:rFonts w:ascii="Arial" w:hAnsi="Arial" w:cs="Arial"/>
                <w:spacing w:val="-2"/>
                <w:w w:val="115"/>
                <w:sz w:val="18"/>
                <w:szCs w:val="18"/>
              </w:rPr>
              <w:t>contraste</w:t>
            </w:r>
          </w:p>
        </w:tc>
        <w:tc>
          <w:tcPr>
            <w:tcW w:w="697" w:type="dxa"/>
            <w:tcBorders>
              <w:top w:val="single" w:sz="4" w:space="0" w:color="000000"/>
              <w:left w:val="single" w:sz="4" w:space="0" w:color="000000"/>
              <w:bottom w:val="single" w:sz="4" w:space="0" w:color="000000"/>
              <w:right w:val="single" w:sz="4" w:space="0" w:color="000000"/>
            </w:tcBorders>
          </w:tcPr>
          <w:p w14:paraId="23B40A0A"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47.25</w:t>
            </w:r>
          </w:p>
        </w:tc>
        <w:tc>
          <w:tcPr>
            <w:tcW w:w="695" w:type="dxa"/>
            <w:tcBorders>
              <w:top w:val="single" w:sz="4" w:space="0" w:color="000000"/>
              <w:left w:val="single" w:sz="4" w:space="0" w:color="000000"/>
              <w:bottom w:val="single" w:sz="4" w:space="0" w:color="000000"/>
              <w:right w:val="single" w:sz="4" w:space="0" w:color="000000"/>
            </w:tcBorders>
          </w:tcPr>
          <w:p w14:paraId="4CF1D6D5" w14:textId="77777777" w:rsidR="00D3344B" w:rsidRDefault="00143C25">
            <w:pPr>
              <w:pStyle w:val="TableParagraph"/>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74CB81DE" w14:textId="77777777" w:rsidR="00D3344B" w:rsidRDefault="00143C25">
            <w:pPr>
              <w:pStyle w:val="TableParagraph"/>
              <w:rPr>
                <w:rFonts w:ascii="Arial" w:hAnsi="Arial" w:cs="Arial"/>
                <w:sz w:val="18"/>
                <w:szCs w:val="18"/>
              </w:rPr>
            </w:pPr>
            <w:r>
              <w:rPr>
                <w:rFonts w:ascii="Arial" w:hAnsi="Arial" w:cs="Arial"/>
                <w:spacing w:val="-4"/>
                <w:w w:val="115"/>
                <w:sz w:val="18"/>
                <w:szCs w:val="18"/>
              </w:rPr>
              <w:t>41.00</w:t>
            </w:r>
          </w:p>
        </w:tc>
        <w:tc>
          <w:tcPr>
            <w:tcW w:w="699" w:type="dxa"/>
            <w:tcBorders>
              <w:top w:val="single" w:sz="4" w:space="0" w:color="000000"/>
              <w:left w:val="single" w:sz="4" w:space="0" w:color="000000"/>
              <w:bottom w:val="single" w:sz="4" w:space="0" w:color="000000"/>
              <w:right w:val="single" w:sz="4" w:space="0" w:color="000000"/>
            </w:tcBorders>
          </w:tcPr>
          <w:p w14:paraId="3E420F58"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37.75</w:t>
            </w:r>
          </w:p>
        </w:tc>
        <w:tc>
          <w:tcPr>
            <w:tcW w:w="696" w:type="dxa"/>
            <w:tcBorders>
              <w:top w:val="single" w:sz="4" w:space="0" w:color="000000"/>
              <w:left w:val="single" w:sz="4" w:space="0" w:color="000000"/>
              <w:bottom w:val="single" w:sz="4" w:space="0" w:color="000000"/>
              <w:right w:val="single" w:sz="4" w:space="0" w:color="000000"/>
            </w:tcBorders>
          </w:tcPr>
          <w:p w14:paraId="075379D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34.75</w:t>
            </w:r>
          </w:p>
        </w:tc>
        <w:tc>
          <w:tcPr>
            <w:tcW w:w="527" w:type="dxa"/>
            <w:tcBorders>
              <w:top w:val="single" w:sz="4" w:space="0" w:color="000000"/>
              <w:left w:val="single" w:sz="4" w:space="0" w:color="000000"/>
              <w:bottom w:val="single" w:sz="4" w:space="0" w:color="000000"/>
              <w:right w:val="single" w:sz="4" w:space="0" w:color="000000"/>
            </w:tcBorders>
          </w:tcPr>
          <w:p w14:paraId="2874E80C" w14:textId="77777777" w:rsidR="00D3344B" w:rsidRDefault="00D3344B">
            <w:pPr>
              <w:pStyle w:val="TableParagraph"/>
              <w:rPr>
                <w:rFonts w:ascii="Arial" w:hAnsi="Arial" w:cs="Arial"/>
                <w:sz w:val="18"/>
                <w:szCs w:val="18"/>
              </w:rPr>
            </w:pPr>
          </w:p>
        </w:tc>
      </w:tr>
      <w:tr w:rsidR="00D3344B" w14:paraId="4851959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4300DB88"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032</w:t>
            </w:r>
          </w:p>
        </w:tc>
        <w:tc>
          <w:tcPr>
            <w:tcW w:w="3038" w:type="dxa"/>
            <w:tcBorders>
              <w:top w:val="single" w:sz="4" w:space="0" w:color="000000"/>
              <w:left w:val="single" w:sz="4" w:space="0" w:color="000000"/>
              <w:bottom w:val="single" w:sz="4" w:space="0" w:color="000000"/>
              <w:right w:val="single" w:sz="4" w:space="0" w:color="000000"/>
            </w:tcBorders>
          </w:tcPr>
          <w:p w14:paraId="12F2D5F0" w14:textId="77777777" w:rsidR="00D3344B" w:rsidRDefault="00143C25">
            <w:pPr>
              <w:pStyle w:val="TableParagraph"/>
              <w:tabs>
                <w:tab w:val="left" w:pos="605"/>
              </w:tabs>
              <w:spacing w:line="252" w:lineRule="exact"/>
              <w:ind w:right="580"/>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w w:val="110"/>
                <w:sz w:val="18"/>
                <w:szCs w:val="18"/>
              </w:rPr>
              <w:t>senos</w:t>
            </w:r>
            <w:r>
              <w:rPr>
                <w:rFonts w:ascii="Arial" w:hAnsi="Arial" w:cs="Arial"/>
                <w:spacing w:val="40"/>
                <w:w w:val="110"/>
                <w:sz w:val="18"/>
                <w:szCs w:val="18"/>
              </w:rPr>
              <w:t xml:space="preserve"> </w:t>
            </w:r>
            <w:r>
              <w:rPr>
                <w:rFonts w:ascii="Arial" w:hAnsi="Arial" w:cs="Arial"/>
                <w:w w:val="110"/>
                <w:sz w:val="18"/>
                <w:szCs w:val="18"/>
              </w:rPr>
              <w:t xml:space="preserve">paranasales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09061063"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26.00</w:t>
            </w:r>
          </w:p>
        </w:tc>
        <w:tc>
          <w:tcPr>
            <w:tcW w:w="695" w:type="dxa"/>
            <w:tcBorders>
              <w:top w:val="single" w:sz="4" w:space="0" w:color="000000"/>
              <w:left w:val="single" w:sz="4" w:space="0" w:color="000000"/>
              <w:bottom w:val="single" w:sz="4" w:space="0" w:color="000000"/>
              <w:right w:val="single" w:sz="4" w:space="0" w:color="000000"/>
            </w:tcBorders>
          </w:tcPr>
          <w:p w14:paraId="48AF6248" w14:textId="77777777" w:rsidR="00D3344B" w:rsidRDefault="00143C25">
            <w:pPr>
              <w:pStyle w:val="TableParagraph"/>
              <w:rPr>
                <w:rFonts w:ascii="Arial" w:hAnsi="Arial" w:cs="Arial"/>
                <w:sz w:val="18"/>
                <w:szCs w:val="18"/>
              </w:rPr>
            </w:pPr>
            <w:r>
              <w:rPr>
                <w:rFonts w:ascii="Arial" w:hAnsi="Arial" w:cs="Arial"/>
                <w:spacing w:val="-4"/>
                <w:w w:val="115"/>
                <w:sz w:val="18"/>
                <w:szCs w:val="18"/>
              </w:rPr>
              <w:t>22.75</w:t>
            </w:r>
          </w:p>
        </w:tc>
        <w:tc>
          <w:tcPr>
            <w:tcW w:w="699" w:type="dxa"/>
            <w:tcBorders>
              <w:top w:val="single" w:sz="4" w:space="0" w:color="000000"/>
              <w:left w:val="single" w:sz="4" w:space="0" w:color="000000"/>
              <w:bottom w:val="single" w:sz="4" w:space="0" w:color="000000"/>
              <w:right w:val="single" w:sz="4" w:space="0" w:color="000000"/>
            </w:tcBorders>
          </w:tcPr>
          <w:p w14:paraId="0B5A4677" w14:textId="77777777" w:rsidR="00D3344B" w:rsidRDefault="00143C25">
            <w:pPr>
              <w:pStyle w:val="TableParagraph"/>
              <w:rPr>
                <w:rFonts w:ascii="Arial" w:hAnsi="Arial" w:cs="Arial"/>
                <w:sz w:val="18"/>
                <w:szCs w:val="18"/>
              </w:rPr>
            </w:pPr>
            <w:r>
              <w:rPr>
                <w:rFonts w:ascii="Arial" w:hAnsi="Arial" w:cs="Arial"/>
                <w:spacing w:val="-4"/>
                <w:w w:val="115"/>
                <w:sz w:val="18"/>
                <w:szCs w:val="18"/>
              </w:rPr>
              <w:t>19.75</w:t>
            </w:r>
          </w:p>
        </w:tc>
        <w:tc>
          <w:tcPr>
            <w:tcW w:w="699" w:type="dxa"/>
            <w:tcBorders>
              <w:top w:val="single" w:sz="4" w:space="0" w:color="000000"/>
              <w:left w:val="single" w:sz="4" w:space="0" w:color="000000"/>
              <w:bottom w:val="single" w:sz="4" w:space="0" w:color="000000"/>
              <w:right w:val="single" w:sz="4" w:space="0" w:color="000000"/>
            </w:tcBorders>
          </w:tcPr>
          <w:p w14:paraId="214E02B2"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16.50</w:t>
            </w:r>
          </w:p>
        </w:tc>
        <w:tc>
          <w:tcPr>
            <w:tcW w:w="696" w:type="dxa"/>
            <w:tcBorders>
              <w:top w:val="single" w:sz="4" w:space="0" w:color="000000"/>
              <w:left w:val="single" w:sz="4" w:space="0" w:color="000000"/>
              <w:bottom w:val="single" w:sz="4" w:space="0" w:color="000000"/>
              <w:right w:val="single" w:sz="4" w:space="0" w:color="000000"/>
            </w:tcBorders>
          </w:tcPr>
          <w:p w14:paraId="48CA3AB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13.50</w:t>
            </w:r>
          </w:p>
        </w:tc>
        <w:tc>
          <w:tcPr>
            <w:tcW w:w="527" w:type="dxa"/>
            <w:tcBorders>
              <w:top w:val="single" w:sz="4" w:space="0" w:color="000000"/>
              <w:left w:val="single" w:sz="4" w:space="0" w:color="000000"/>
              <w:bottom w:val="single" w:sz="4" w:space="0" w:color="000000"/>
              <w:right w:val="single" w:sz="4" w:space="0" w:color="000000"/>
            </w:tcBorders>
          </w:tcPr>
          <w:p w14:paraId="113C107F" w14:textId="77777777" w:rsidR="00D3344B" w:rsidRDefault="00D3344B">
            <w:pPr>
              <w:pStyle w:val="TableParagraph"/>
              <w:rPr>
                <w:rFonts w:ascii="Arial" w:hAnsi="Arial" w:cs="Arial"/>
                <w:sz w:val="18"/>
                <w:szCs w:val="18"/>
              </w:rPr>
            </w:pPr>
          </w:p>
        </w:tc>
      </w:tr>
      <w:tr w:rsidR="00D3344B" w14:paraId="2AAE740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CE42681" w14:textId="77777777" w:rsidR="00D3344B" w:rsidRDefault="00143C25">
            <w:pPr>
              <w:pStyle w:val="TableParagraph"/>
              <w:rPr>
                <w:rFonts w:ascii="Arial" w:hAnsi="Arial" w:cs="Arial"/>
                <w:sz w:val="18"/>
                <w:szCs w:val="18"/>
              </w:rPr>
            </w:pPr>
            <w:r>
              <w:rPr>
                <w:rFonts w:ascii="Arial" w:hAnsi="Arial" w:cs="Arial"/>
                <w:sz w:val="18"/>
                <w:szCs w:val="18"/>
              </w:rPr>
              <w:t>02-TM-032-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7A6179A" w14:textId="77777777" w:rsidR="00D3344B" w:rsidRDefault="00143C25">
            <w:pPr>
              <w:pStyle w:val="TableParagraph"/>
              <w:tabs>
                <w:tab w:val="left" w:pos="605"/>
              </w:tabs>
              <w:spacing w:line="252" w:lineRule="exact"/>
              <w:ind w:right="580"/>
              <w:rPr>
                <w:rFonts w:ascii="Arial" w:hAnsi="Arial" w:cs="Arial"/>
                <w:sz w:val="18"/>
                <w:szCs w:val="18"/>
              </w:rPr>
            </w:pPr>
            <w:r>
              <w:rPr>
                <w:rFonts w:ascii="Arial" w:hAnsi="Arial" w:cs="Arial"/>
                <w:spacing w:val="-4"/>
                <w:w w:val="115"/>
                <w:sz w:val="18"/>
                <w:szCs w:val="18"/>
              </w:rPr>
              <w:t>Tac</w:t>
            </w:r>
            <w:r>
              <w:rPr>
                <w:rFonts w:ascii="Arial" w:hAnsi="Arial" w:cs="Arial"/>
                <w:sz w:val="18"/>
                <w:szCs w:val="18"/>
              </w:rPr>
              <w:tab/>
            </w:r>
            <w:r>
              <w:rPr>
                <w:rFonts w:ascii="Arial" w:hAnsi="Arial" w:cs="Arial"/>
                <w:w w:val="115"/>
                <w:sz w:val="18"/>
                <w:szCs w:val="18"/>
              </w:rPr>
              <w:t>senos</w:t>
            </w:r>
            <w:r>
              <w:rPr>
                <w:rFonts w:ascii="Arial" w:hAnsi="Arial" w:cs="Arial"/>
                <w:spacing w:val="36"/>
                <w:w w:val="115"/>
                <w:sz w:val="18"/>
                <w:szCs w:val="18"/>
              </w:rPr>
              <w:t xml:space="preserve"> </w:t>
            </w:r>
            <w:r>
              <w:rPr>
                <w:rFonts w:ascii="Arial" w:hAnsi="Arial" w:cs="Arial"/>
                <w:w w:val="115"/>
                <w:sz w:val="18"/>
                <w:szCs w:val="18"/>
              </w:rPr>
              <w:t xml:space="preserve">paranasales </w:t>
            </w:r>
            <w:r>
              <w:rPr>
                <w:rFonts w:ascii="Arial" w:hAnsi="Arial" w:cs="Arial"/>
                <w:spacing w:val="-2"/>
                <w:w w:val="115"/>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19E448C9"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39.25</w:t>
            </w:r>
          </w:p>
        </w:tc>
        <w:tc>
          <w:tcPr>
            <w:tcW w:w="695" w:type="dxa"/>
            <w:tcBorders>
              <w:top w:val="single" w:sz="4" w:space="0" w:color="000000"/>
              <w:left w:val="single" w:sz="4" w:space="0" w:color="000000"/>
              <w:bottom w:val="single" w:sz="4" w:space="0" w:color="000000"/>
              <w:right w:val="single" w:sz="4" w:space="0" w:color="000000"/>
            </w:tcBorders>
          </w:tcPr>
          <w:p w14:paraId="65C918B0" w14:textId="77777777" w:rsidR="00D3344B" w:rsidRDefault="00143C25">
            <w:pPr>
              <w:pStyle w:val="TableParagraph"/>
              <w:rPr>
                <w:rFonts w:ascii="Arial" w:hAnsi="Arial" w:cs="Arial"/>
                <w:sz w:val="18"/>
                <w:szCs w:val="18"/>
              </w:rPr>
            </w:pPr>
            <w:r>
              <w:rPr>
                <w:rFonts w:ascii="Arial" w:hAnsi="Arial" w:cs="Arial"/>
                <w:spacing w:val="-4"/>
                <w:w w:val="115"/>
                <w:sz w:val="18"/>
                <w:szCs w:val="18"/>
              </w:rPr>
              <w:t>36.00</w:t>
            </w:r>
          </w:p>
        </w:tc>
        <w:tc>
          <w:tcPr>
            <w:tcW w:w="699" w:type="dxa"/>
            <w:tcBorders>
              <w:top w:val="single" w:sz="4" w:space="0" w:color="000000"/>
              <w:left w:val="single" w:sz="4" w:space="0" w:color="000000"/>
              <w:bottom w:val="single" w:sz="4" w:space="0" w:color="000000"/>
              <w:right w:val="single" w:sz="4" w:space="0" w:color="000000"/>
            </w:tcBorders>
          </w:tcPr>
          <w:p w14:paraId="6EC517B0" w14:textId="77777777" w:rsidR="00D3344B" w:rsidRDefault="00143C25">
            <w:pPr>
              <w:pStyle w:val="TableParagraph"/>
              <w:rPr>
                <w:rFonts w:ascii="Arial" w:hAnsi="Arial" w:cs="Arial"/>
                <w:sz w:val="18"/>
                <w:szCs w:val="18"/>
              </w:rPr>
            </w:pPr>
            <w:r>
              <w:rPr>
                <w:rFonts w:ascii="Arial" w:hAnsi="Arial" w:cs="Arial"/>
                <w:spacing w:val="-4"/>
                <w:w w:val="115"/>
                <w:sz w:val="18"/>
                <w:szCs w:val="18"/>
              </w:rPr>
              <w:t>33.00</w:t>
            </w:r>
          </w:p>
        </w:tc>
        <w:tc>
          <w:tcPr>
            <w:tcW w:w="699" w:type="dxa"/>
            <w:tcBorders>
              <w:top w:val="single" w:sz="4" w:space="0" w:color="000000"/>
              <w:left w:val="single" w:sz="4" w:space="0" w:color="000000"/>
              <w:bottom w:val="single" w:sz="4" w:space="0" w:color="000000"/>
              <w:right w:val="single" w:sz="4" w:space="0" w:color="000000"/>
            </w:tcBorders>
          </w:tcPr>
          <w:p w14:paraId="1A2AAF87"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30.00</w:t>
            </w:r>
          </w:p>
        </w:tc>
        <w:tc>
          <w:tcPr>
            <w:tcW w:w="696" w:type="dxa"/>
            <w:tcBorders>
              <w:top w:val="single" w:sz="4" w:space="0" w:color="000000"/>
              <w:left w:val="single" w:sz="4" w:space="0" w:color="000000"/>
              <w:bottom w:val="single" w:sz="4" w:space="0" w:color="000000"/>
              <w:right w:val="single" w:sz="4" w:space="0" w:color="000000"/>
            </w:tcBorders>
          </w:tcPr>
          <w:p w14:paraId="729C99C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26.50</w:t>
            </w:r>
          </w:p>
        </w:tc>
        <w:tc>
          <w:tcPr>
            <w:tcW w:w="527" w:type="dxa"/>
            <w:tcBorders>
              <w:top w:val="single" w:sz="4" w:space="0" w:color="000000"/>
              <w:left w:val="single" w:sz="4" w:space="0" w:color="000000"/>
              <w:bottom w:val="single" w:sz="4" w:space="0" w:color="000000"/>
              <w:right w:val="single" w:sz="4" w:space="0" w:color="000000"/>
            </w:tcBorders>
          </w:tcPr>
          <w:p w14:paraId="7CC4F315" w14:textId="77777777" w:rsidR="00D3344B" w:rsidRDefault="00D3344B">
            <w:pPr>
              <w:pStyle w:val="TableParagraph"/>
              <w:rPr>
                <w:rFonts w:ascii="Arial" w:hAnsi="Arial" w:cs="Arial"/>
                <w:sz w:val="18"/>
                <w:szCs w:val="18"/>
              </w:rPr>
            </w:pPr>
          </w:p>
        </w:tc>
      </w:tr>
      <w:tr w:rsidR="00D3344B" w14:paraId="1FB680CE"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01A5ECB7"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033</w:t>
            </w:r>
          </w:p>
        </w:tc>
        <w:tc>
          <w:tcPr>
            <w:tcW w:w="3038" w:type="dxa"/>
            <w:tcBorders>
              <w:top w:val="single" w:sz="4" w:space="0" w:color="000000"/>
              <w:left w:val="single" w:sz="4" w:space="0" w:color="000000"/>
              <w:bottom w:val="single" w:sz="4" w:space="0" w:color="000000"/>
              <w:right w:val="single" w:sz="4" w:space="0" w:color="000000"/>
            </w:tcBorders>
          </w:tcPr>
          <w:p w14:paraId="5576D67C"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13"/>
                <w:w w:val="115"/>
                <w:sz w:val="18"/>
                <w:szCs w:val="18"/>
              </w:rPr>
              <w:t xml:space="preserve"> </w:t>
            </w:r>
            <w:proofErr w:type="spellStart"/>
            <w:r>
              <w:rPr>
                <w:rFonts w:ascii="Arial" w:hAnsi="Arial" w:cs="Arial"/>
                <w:w w:val="115"/>
                <w:sz w:val="18"/>
                <w:szCs w:val="18"/>
              </w:rPr>
              <w:t>suprarenales</w:t>
            </w:r>
            <w:proofErr w:type="spellEnd"/>
            <w:r>
              <w:rPr>
                <w:rFonts w:ascii="Arial" w:hAnsi="Arial" w:cs="Arial"/>
                <w:spacing w:val="-12"/>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4B0F411E"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28.25</w:t>
            </w:r>
          </w:p>
        </w:tc>
        <w:tc>
          <w:tcPr>
            <w:tcW w:w="695" w:type="dxa"/>
            <w:tcBorders>
              <w:top w:val="single" w:sz="4" w:space="0" w:color="000000"/>
              <w:left w:val="single" w:sz="4" w:space="0" w:color="000000"/>
              <w:bottom w:val="single" w:sz="4" w:space="0" w:color="000000"/>
              <w:right w:val="single" w:sz="4" w:space="0" w:color="000000"/>
            </w:tcBorders>
          </w:tcPr>
          <w:p w14:paraId="2341FAAF" w14:textId="77777777" w:rsidR="00D3344B" w:rsidRDefault="00143C25">
            <w:pPr>
              <w:pStyle w:val="TableParagraph"/>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353ADCCC" w14:textId="77777777" w:rsidR="00D3344B" w:rsidRDefault="00143C25">
            <w:pPr>
              <w:pStyle w:val="TableParagraph"/>
              <w:rPr>
                <w:rFonts w:ascii="Arial" w:hAnsi="Arial" w:cs="Arial"/>
                <w:sz w:val="18"/>
                <w:szCs w:val="18"/>
              </w:rPr>
            </w:pPr>
            <w:r>
              <w:rPr>
                <w:rFonts w:ascii="Arial" w:hAnsi="Arial" w:cs="Arial"/>
                <w:spacing w:val="-4"/>
                <w:w w:val="115"/>
                <w:sz w:val="18"/>
                <w:szCs w:val="18"/>
              </w:rPr>
              <w:t>22.25</w:t>
            </w:r>
          </w:p>
        </w:tc>
        <w:tc>
          <w:tcPr>
            <w:tcW w:w="699" w:type="dxa"/>
            <w:tcBorders>
              <w:top w:val="single" w:sz="4" w:space="0" w:color="000000"/>
              <w:left w:val="single" w:sz="4" w:space="0" w:color="000000"/>
              <w:bottom w:val="single" w:sz="4" w:space="0" w:color="000000"/>
              <w:right w:val="single" w:sz="4" w:space="0" w:color="000000"/>
            </w:tcBorders>
          </w:tcPr>
          <w:p w14:paraId="2E35540E"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19.00</w:t>
            </w:r>
          </w:p>
        </w:tc>
        <w:tc>
          <w:tcPr>
            <w:tcW w:w="696" w:type="dxa"/>
            <w:tcBorders>
              <w:top w:val="single" w:sz="4" w:space="0" w:color="000000"/>
              <w:left w:val="single" w:sz="4" w:space="0" w:color="000000"/>
              <w:bottom w:val="single" w:sz="4" w:space="0" w:color="000000"/>
              <w:right w:val="single" w:sz="4" w:space="0" w:color="000000"/>
            </w:tcBorders>
          </w:tcPr>
          <w:p w14:paraId="4EE65DA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76A47F59" w14:textId="77777777" w:rsidR="00D3344B" w:rsidRDefault="00D3344B">
            <w:pPr>
              <w:pStyle w:val="TableParagraph"/>
              <w:rPr>
                <w:rFonts w:ascii="Arial" w:hAnsi="Arial" w:cs="Arial"/>
                <w:sz w:val="18"/>
                <w:szCs w:val="18"/>
              </w:rPr>
            </w:pPr>
          </w:p>
        </w:tc>
      </w:tr>
      <w:tr w:rsidR="00D3344B" w14:paraId="794F5E8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77821E6" w14:textId="77777777" w:rsidR="00D3344B" w:rsidRDefault="00143C25">
            <w:pPr>
              <w:pStyle w:val="TableParagraph"/>
              <w:spacing w:before="1"/>
              <w:rPr>
                <w:rFonts w:ascii="Arial" w:hAnsi="Arial" w:cs="Arial"/>
                <w:sz w:val="18"/>
                <w:szCs w:val="18"/>
              </w:rPr>
            </w:pPr>
            <w:r>
              <w:rPr>
                <w:rFonts w:ascii="Arial" w:hAnsi="Arial" w:cs="Arial"/>
                <w:sz w:val="18"/>
                <w:szCs w:val="18"/>
              </w:rPr>
              <w:t>02-TM-033-</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6B93DD6" w14:textId="77777777" w:rsidR="00D3344B" w:rsidRDefault="00143C25">
            <w:pPr>
              <w:pStyle w:val="TableParagraph"/>
              <w:tabs>
                <w:tab w:val="left" w:pos="612"/>
              </w:tabs>
              <w:spacing w:line="252" w:lineRule="exact"/>
              <w:ind w:right="700"/>
              <w:rPr>
                <w:rFonts w:ascii="Arial" w:hAnsi="Arial" w:cs="Arial"/>
                <w:sz w:val="18"/>
                <w:szCs w:val="18"/>
              </w:rPr>
            </w:pPr>
            <w:proofErr w:type="gramStart"/>
            <w:r>
              <w:rPr>
                <w:rFonts w:ascii="Arial" w:hAnsi="Arial" w:cs="Arial"/>
                <w:spacing w:val="-4"/>
                <w:w w:val="115"/>
                <w:sz w:val="18"/>
                <w:szCs w:val="18"/>
              </w:rPr>
              <w:t>Tac</w:t>
            </w:r>
            <w:r>
              <w:rPr>
                <w:rFonts w:ascii="Arial" w:hAnsi="Arial" w:cs="Arial"/>
                <w:sz w:val="18"/>
                <w:szCs w:val="18"/>
              </w:rPr>
              <w:tab/>
            </w:r>
            <w:r>
              <w:rPr>
                <w:rFonts w:ascii="Arial" w:hAnsi="Arial" w:cs="Arial"/>
                <w:spacing w:val="-4"/>
                <w:w w:val="115"/>
                <w:sz w:val="18"/>
                <w:szCs w:val="18"/>
              </w:rPr>
              <w:t>suprarrenales</w:t>
            </w:r>
            <w:proofErr w:type="gramEnd"/>
            <w:r>
              <w:rPr>
                <w:rFonts w:ascii="Arial" w:hAnsi="Arial" w:cs="Arial"/>
                <w:spacing w:val="-27"/>
                <w:w w:val="115"/>
                <w:sz w:val="18"/>
                <w:szCs w:val="18"/>
              </w:rPr>
              <w:t xml:space="preserve"> </w:t>
            </w:r>
            <w:r>
              <w:rPr>
                <w:rFonts w:ascii="Arial" w:hAnsi="Arial" w:cs="Arial"/>
                <w:spacing w:val="-4"/>
                <w:w w:val="115"/>
                <w:sz w:val="18"/>
                <w:szCs w:val="18"/>
              </w:rPr>
              <w:t xml:space="preserve">con </w:t>
            </w:r>
            <w:r>
              <w:rPr>
                <w:rFonts w:ascii="Arial" w:hAnsi="Arial" w:cs="Arial"/>
                <w:spacing w:val="-2"/>
                <w:w w:val="115"/>
                <w:sz w:val="18"/>
                <w:szCs w:val="18"/>
              </w:rPr>
              <w:t>contraste</w:t>
            </w:r>
          </w:p>
        </w:tc>
        <w:tc>
          <w:tcPr>
            <w:tcW w:w="697" w:type="dxa"/>
            <w:tcBorders>
              <w:top w:val="single" w:sz="4" w:space="0" w:color="000000"/>
              <w:left w:val="single" w:sz="4" w:space="0" w:color="000000"/>
              <w:bottom w:val="single" w:sz="4" w:space="0" w:color="000000"/>
              <w:right w:val="single" w:sz="4" w:space="0" w:color="000000"/>
            </w:tcBorders>
          </w:tcPr>
          <w:p w14:paraId="5B8606F1"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38.00</w:t>
            </w:r>
          </w:p>
        </w:tc>
        <w:tc>
          <w:tcPr>
            <w:tcW w:w="695" w:type="dxa"/>
            <w:tcBorders>
              <w:top w:val="single" w:sz="4" w:space="0" w:color="000000"/>
              <w:left w:val="single" w:sz="4" w:space="0" w:color="000000"/>
              <w:bottom w:val="single" w:sz="4" w:space="0" w:color="000000"/>
              <w:right w:val="single" w:sz="4" w:space="0" w:color="000000"/>
            </w:tcBorders>
          </w:tcPr>
          <w:p w14:paraId="3FC5415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0D686EC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29.75</w:t>
            </w:r>
          </w:p>
        </w:tc>
        <w:tc>
          <w:tcPr>
            <w:tcW w:w="699" w:type="dxa"/>
            <w:tcBorders>
              <w:top w:val="single" w:sz="4" w:space="0" w:color="000000"/>
              <w:left w:val="single" w:sz="4" w:space="0" w:color="000000"/>
              <w:bottom w:val="single" w:sz="4" w:space="0" w:color="000000"/>
              <w:right w:val="single" w:sz="4" w:space="0" w:color="000000"/>
            </w:tcBorders>
          </w:tcPr>
          <w:p w14:paraId="7A6E059B"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25.50</w:t>
            </w:r>
          </w:p>
        </w:tc>
        <w:tc>
          <w:tcPr>
            <w:tcW w:w="696" w:type="dxa"/>
            <w:tcBorders>
              <w:top w:val="single" w:sz="4" w:space="0" w:color="000000"/>
              <w:left w:val="single" w:sz="4" w:space="0" w:color="000000"/>
              <w:bottom w:val="single" w:sz="4" w:space="0" w:color="000000"/>
              <w:right w:val="single" w:sz="4" w:space="0" w:color="000000"/>
            </w:tcBorders>
          </w:tcPr>
          <w:p w14:paraId="69D9F22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21.25</w:t>
            </w:r>
          </w:p>
        </w:tc>
        <w:tc>
          <w:tcPr>
            <w:tcW w:w="527" w:type="dxa"/>
            <w:tcBorders>
              <w:top w:val="single" w:sz="4" w:space="0" w:color="000000"/>
              <w:left w:val="single" w:sz="4" w:space="0" w:color="000000"/>
              <w:bottom w:val="single" w:sz="4" w:space="0" w:color="000000"/>
              <w:right w:val="single" w:sz="4" w:space="0" w:color="000000"/>
            </w:tcBorders>
          </w:tcPr>
          <w:p w14:paraId="692CDE0C" w14:textId="77777777" w:rsidR="00D3344B" w:rsidRDefault="00D3344B">
            <w:pPr>
              <w:pStyle w:val="TableParagraph"/>
              <w:rPr>
                <w:rFonts w:ascii="Arial" w:hAnsi="Arial" w:cs="Arial"/>
                <w:sz w:val="18"/>
                <w:szCs w:val="18"/>
              </w:rPr>
            </w:pPr>
          </w:p>
        </w:tc>
      </w:tr>
      <w:tr w:rsidR="00D3344B" w14:paraId="67DED8EA"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74EB5283"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034</w:t>
            </w:r>
          </w:p>
        </w:tc>
        <w:tc>
          <w:tcPr>
            <w:tcW w:w="3038" w:type="dxa"/>
            <w:tcBorders>
              <w:top w:val="single" w:sz="4" w:space="0" w:color="000000"/>
              <w:left w:val="single" w:sz="4" w:space="0" w:color="000000"/>
              <w:bottom w:val="single" w:sz="4" w:space="0" w:color="000000"/>
              <w:right w:val="single" w:sz="4" w:space="0" w:color="000000"/>
            </w:tcBorders>
          </w:tcPr>
          <w:p w14:paraId="02C95F35" w14:textId="77777777" w:rsidR="00D3344B" w:rsidRDefault="00143C25">
            <w:pPr>
              <w:pStyle w:val="TableParagraph"/>
              <w:spacing w:before="1"/>
              <w:rPr>
                <w:rFonts w:ascii="Arial" w:hAnsi="Arial" w:cs="Arial"/>
                <w:sz w:val="18"/>
                <w:szCs w:val="18"/>
              </w:rPr>
            </w:pPr>
            <w:r>
              <w:rPr>
                <w:rFonts w:ascii="Arial" w:hAnsi="Arial" w:cs="Arial"/>
                <w:w w:val="110"/>
                <w:sz w:val="18"/>
                <w:szCs w:val="18"/>
              </w:rPr>
              <w:t>Tac</w:t>
            </w:r>
            <w:r>
              <w:rPr>
                <w:rFonts w:ascii="Arial" w:hAnsi="Arial" w:cs="Arial"/>
                <w:spacing w:val="9"/>
                <w:w w:val="110"/>
                <w:sz w:val="18"/>
                <w:szCs w:val="18"/>
              </w:rPr>
              <w:t xml:space="preserve"> </w:t>
            </w:r>
            <w:r>
              <w:rPr>
                <w:rFonts w:ascii="Arial" w:hAnsi="Arial" w:cs="Arial"/>
                <w:w w:val="110"/>
                <w:sz w:val="18"/>
                <w:szCs w:val="18"/>
              </w:rPr>
              <w:t>tórax</w:t>
            </w:r>
            <w:r>
              <w:rPr>
                <w:rFonts w:ascii="Arial" w:hAnsi="Arial" w:cs="Arial"/>
                <w:spacing w:val="14"/>
                <w:w w:val="110"/>
                <w:sz w:val="18"/>
                <w:szCs w:val="18"/>
              </w:rPr>
              <w:t xml:space="preserve">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02563239"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28.25</w:t>
            </w:r>
          </w:p>
        </w:tc>
        <w:tc>
          <w:tcPr>
            <w:tcW w:w="695" w:type="dxa"/>
            <w:tcBorders>
              <w:top w:val="single" w:sz="4" w:space="0" w:color="000000"/>
              <w:left w:val="single" w:sz="4" w:space="0" w:color="000000"/>
              <w:bottom w:val="single" w:sz="4" w:space="0" w:color="000000"/>
              <w:right w:val="single" w:sz="4" w:space="0" w:color="000000"/>
            </w:tcBorders>
          </w:tcPr>
          <w:p w14:paraId="3FD1708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25.00</w:t>
            </w:r>
          </w:p>
        </w:tc>
        <w:tc>
          <w:tcPr>
            <w:tcW w:w="699" w:type="dxa"/>
            <w:tcBorders>
              <w:top w:val="single" w:sz="4" w:space="0" w:color="000000"/>
              <w:left w:val="single" w:sz="4" w:space="0" w:color="000000"/>
              <w:bottom w:val="single" w:sz="4" w:space="0" w:color="000000"/>
              <w:right w:val="single" w:sz="4" w:space="0" w:color="000000"/>
            </w:tcBorders>
          </w:tcPr>
          <w:p w14:paraId="60D5CD6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22.00</w:t>
            </w:r>
          </w:p>
        </w:tc>
        <w:tc>
          <w:tcPr>
            <w:tcW w:w="699" w:type="dxa"/>
            <w:tcBorders>
              <w:top w:val="single" w:sz="4" w:space="0" w:color="000000"/>
              <w:left w:val="single" w:sz="4" w:space="0" w:color="000000"/>
              <w:bottom w:val="single" w:sz="4" w:space="0" w:color="000000"/>
              <w:right w:val="single" w:sz="4" w:space="0" w:color="000000"/>
            </w:tcBorders>
          </w:tcPr>
          <w:p w14:paraId="053540EF"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19.00</w:t>
            </w:r>
          </w:p>
        </w:tc>
        <w:tc>
          <w:tcPr>
            <w:tcW w:w="696" w:type="dxa"/>
            <w:tcBorders>
              <w:top w:val="single" w:sz="4" w:space="0" w:color="000000"/>
              <w:left w:val="single" w:sz="4" w:space="0" w:color="000000"/>
              <w:bottom w:val="single" w:sz="4" w:space="0" w:color="000000"/>
              <w:right w:val="single" w:sz="4" w:space="0" w:color="000000"/>
            </w:tcBorders>
          </w:tcPr>
          <w:p w14:paraId="6708CED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15.75</w:t>
            </w:r>
          </w:p>
        </w:tc>
        <w:tc>
          <w:tcPr>
            <w:tcW w:w="527" w:type="dxa"/>
            <w:tcBorders>
              <w:top w:val="single" w:sz="4" w:space="0" w:color="000000"/>
              <w:left w:val="single" w:sz="4" w:space="0" w:color="000000"/>
              <w:bottom w:val="single" w:sz="4" w:space="0" w:color="000000"/>
              <w:right w:val="single" w:sz="4" w:space="0" w:color="000000"/>
            </w:tcBorders>
          </w:tcPr>
          <w:p w14:paraId="57F4DD69" w14:textId="77777777" w:rsidR="00D3344B" w:rsidRDefault="00D3344B">
            <w:pPr>
              <w:pStyle w:val="TableParagraph"/>
              <w:rPr>
                <w:rFonts w:ascii="Arial" w:hAnsi="Arial" w:cs="Arial"/>
                <w:sz w:val="18"/>
                <w:szCs w:val="18"/>
              </w:rPr>
            </w:pPr>
          </w:p>
        </w:tc>
      </w:tr>
      <w:tr w:rsidR="00D3344B" w14:paraId="52EB736B"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6B3465B1" w14:textId="77777777" w:rsidR="00D3344B" w:rsidRDefault="00143C25">
            <w:pPr>
              <w:pStyle w:val="TableParagraph"/>
              <w:rPr>
                <w:rFonts w:ascii="Arial" w:hAnsi="Arial" w:cs="Arial"/>
                <w:sz w:val="18"/>
                <w:szCs w:val="18"/>
              </w:rPr>
            </w:pPr>
            <w:r>
              <w:rPr>
                <w:rFonts w:ascii="Arial" w:hAnsi="Arial" w:cs="Arial"/>
                <w:sz w:val="18"/>
                <w:szCs w:val="18"/>
              </w:rPr>
              <w:t>02-TM-034-</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42E2B97" w14:textId="77777777" w:rsidR="00D3344B" w:rsidRDefault="00143C25">
            <w:pPr>
              <w:pStyle w:val="TableParagraph"/>
              <w:rPr>
                <w:rFonts w:ascii="Arial" w:hAnsi="Arial" w:cs="Arial"/>
                <w:sz w:val="18"/>
                <w:szCs w:val="18"/>
              </w:rPr>
            </w:pPr>
            <w:r>
              <w:rPr>
                <w:rFonts w:ascii="Arial" w:hAnsi="Arial" w:cs="Arial"/>
                <w:w w:val="115"/>
                <w:sz w:val="18"/>
                <w:szCs w:val="18"/>
              </w:rPr>
              <w:t>Tac</w:t>
            </w:r>
            <w:r>
              <w:rPr>
                <w:rFonts w:ascii="Arial" w:hAnsi="Arial" w:cs="Arial"/>
                <w:spacing w:val="-8"/>
                <w:w w:val="115"/>
                <w:sz w:val="18"/>
                <w:szCs w:val="18"/>
              </w:rPr>
              <w:t xml:space="preserve"> </w:t>
            </w:r>
            <w:r>
              <w:rPr>
                <w:rFonts w:ascii="Arial" w:hAnsi="Arial" w:cs="Arial"/>
                <w:w w:val="115"/>
                <w:sz w:val="18"/>
                <w:szCs w:val="18"/>
              </w:rPr>
              <w:t>tórax</w:t>
            </w:r>
            <w:r>
              <w:rPr>
                <w:rFonts w:ascii="Arial" w:hAnsi="Arial" w:cs="Arial"/>
                <w:spacing w:val="-7"/>
                <w:w w:val="115"/>
                <w:sz w:val="18"/>
                <w:szCs w:val="18"/>
              </w:rPr>
              <w:t xml:space="preserve"> </w:t>
            </w:r>
            <w:r>
              <w:rPr>
                <w:rFonts w:ascii="Arial" w:hAnsi="Arial" w:cs="Arial"/>
                <w:spacing w:val="-2"/>
                <w:w w:val="115"/>
                <w:sz w:val="18"/>
                <w:szCs w:val="18"/>
              </w:rPr>
              <w:t>contrastado</w:t>
            </w:r>
          </w:p>
        </w:tc>
        <w:tc>
          <w:tcPr>
            <w:tcW w:w="697" w:type="dxa"/>
            <w:tcBorders>
              <w:top w:val="single" w:sz="4" w:space="0" w:color="000000"/>
              <w:left w:val="single" w:sz="4" w:space="0" w:color="000000"/>
              <w:bottom w:val="single" w:sz="4" w:space="0" w:color="000000"/>
              <w:right w:val="single" w:sz="4" w:space="0" w:color="000000"/>
            </w:tcBorders>
          </w:tcPr>
          <w:p w14:paraId="0A4B161A"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39.50</w:t>
            </w:r>
          </w:p>
        </w:tc>
        <w:tc>
          <w:tcPr>
            <w:tcW w:w="695" w:type="dxa"/>
            <w:tcBorders>
              <w:top w:val="single" w:sz="4" w:space="0" w:color="000000"/>
              <w:left w:val="single" w:sz="4" w:space="0" w:color="000000"/>
              <w:bottom w:val="single" w:sz="4" w:space="0" w:color="000000"/>
              <w:right w:val="single" w:sz="4" w:space="0" w:color="000000"/>
            </w:tcBorders>
          </w:tcPr>
          <w:p w14:paraId="7D9B998A" w14:textId="77777777" w:rsidR="00D3344B" w:rsidRDefault="00143C25">
            <w:pPr>
              <w:pStyle w:val="TableParagraph"/>
              <w:rPr>
                <w:rFonts w:ascii="Arial" w:hAnsi="Arial" w:cs="Arial"/>
                <w:sz w:val="18"/>
                <w:szCs w:val="18"/>
              </w:rPr>
            </w:pPr>
            <w:r>
              <w:rPr>
                <w:rFonts w:ascii="Arial" w:hAnsi="Arial" w:cs="Arial"/>
                <w:spacing w:val="-4"/>
                <w:w w:val="115"/>
                <w:sz w:val="18"/>
                <w:szCs w:val="18"/>
              </w:rPr>
              <w:t>35.00</w:t>
            </w:r>
          </w:p>
        </w:tc>
        <w:tc>
          <w:tcPr>
            <w:tcW w:w="699" w:type="dxa"/>
            <w:tcBorders>
              <w:top w:val="single" w:sz="4" w:space="0" w:color="000000"/>
              <w:left w:val="single" w:sz="4" w:space="0" w:color="000000"/>
              <w:bottom w:val="single" w:sz="4" w:space="0" w:color="000000"/>
              <w:right w:val="single" w:sz="4" w:space="0" w:color="000000"/>
            </w:tcBorders>
          </w:tcPr>
          <w:p w14:paraId="555E48E1" w14:textId="77777777" w:rsidR="00D3344B" w:rsidRDefault="00143C25">
            <w:pPr>
              <w:pStyle w:val="TableParagraph"/>
              <w:rPr>
                <w:rFonts w:ascii="Arial" w:hAnsi="Arial" w:cs="Arial"/>
                <w:sz w:val="18"/>
                <w:szCs w:val="18"/>
              </w:rPr>
            </w:pPr>
            <w:r>
              <w:rPr>
                <w:rFonts w:ascii="Arial" w:hAnsi="Arial" w:cs="Arial"/>
                <w:spacing w:val="-4"/>
                <w:w w:val="115"/>
                <w:sz w:val="18"/>
                <w:szCs w:val="18"/>
              </w:rPr>
              <w:t>30.50</w:t>
            </w:r>
          </w:p>
        </w:tc>
        <w:tc>
          <w:tcPr>
            <w:tcW w:w="699" w:type="dxa"/>
            <w:tcBorders>
              <w:top w:val="single" w:sz="4" w:space="0" w:color="000000"/>
              <w:left w:val="single" w:sz="4" w:space="0" w:color="000000"/>
              <w:bottom w:val="single" w:sz="4" w:space="0" w:color="000000"/>
              <w:right w:val="single" w:sz="4" w:space="0" w:color="000000"/>
            </w:tcBorders>
          </w:tcPr>
          <w:p w14:paraId="1D1EC26C"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26.25</w:t>
            </w:r>
          </w:p>
        </w:tc>
        <w:tc>
          <w:tcPr>
            <w:tcW w:w="696" w:type="dxa"/>
            <w:tcBorders>
              <w:top w:val="single" w:sz="4" w:space="0" w:color="000000"/>
              <w:left w:val="single" w:sz="4" w:space="0" w:color="000000"/>
              <w:bottom w:val="single" w:sz="4" w:space="0" w:color="000000"/>
              <w:right w:val="single" w:sz="4" w:space="0" w:color="000000"/>
            </w:tcBorders>
          </w:tcPr>
          <w:p w14:paraId="4015652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22.00</w:t>
            </w:r>
          </w:p>
        </w:tc>
        <w:tc>
          <w:tcPr>
            <w:tcW w:w="527" w:type="dxa"/>
            <w:tcBorders>
              <w:top w:val="single" w:sz="4" w:space="0" w:color="000000"/>
              <w:left w:val="single" w:sz="4" w:space="0" w:color="000000"/>
              <w:bottom w:val="single" w:sz="4" w:space="0" w:color="000000"/>
              <w:right w:val="single" w:sz="4" w:space="0" w:color="000000"/>
            </w:tcBorders>
          </w:tcPr>
          <w:p w14:paraId="0FD7552E" w14:textId="77777777" w:rsidR="00D3344B" w:rsidRDefault="00D3344B">
            <w:pPr>
              <w:pStyle w:val="TableParagraph"/>
              <w:rPr>
                <w:rFonts w:ascii="Arial" w:hAnsi="Arial" w:cs="Arial"/>
                <w:sz w:val="18"/>
                <w:szCs w:val="18"/>
              </w:rPr>
            </w:pPr>
          </w:p>
        </w:tc>
      </w:tr>
      <w:tr w:rsidR="00D3344B" w14:paraId="4366C36A"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DB7A212"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035</w:t>
            </w:r>
          </w:p>
        </w:tc>
        <w:tc>
          <w:tcPr>
            <w:tcW w:w="3038" w:type="dxa"/>
            <w:tcBorders>
              <w:top w:val="single" w:sz="4" w:space="0" w:color="000000"/>
              <w:left w:val="single" w:sz="4" w:space="0" w:color="000000"/>
              <w:bottom w:val="single" w:sz="4" w:space="0" w:color="000000"/>
              <w:right w:val="single" w:sz="4" w:space="0" w:color="000000"/>
            </w:tcBorders>
          </w:tcPr>
          <w:p w14:paraId="78D149FA" w14:textId="77777777" w:rsidR="00D3344B" w:rsidRDefault="00143C25">
            <w:pPr>
              <w:pStyle w:val="TableParagraph"/>
              <w:spacing w:before="1"/>
              <w:rPr>
                <w:rFonts w:ascii="Arial" w:hAnsi="Arial" w:cs="Arial"/>
                <w:sz w:val="18"/>
                <w:szCs w:val="18"/>
              </w:rPr>
            </w:pPr>
            <w:r>
              <w:rPr>
                <w:rFonts w:ascii="Arial" w:hAnsi="Arial" w:cs="Arial"/>
                <w:w w:val="110"/>
                <w:sz w:val="18"/>
                <w:szCs w:val="18"/>
              </w:rPr>
              <w:t xml:space="preserve">Tórax tomografía </w:t>
            </w:r>
            <w:r>
              <w:rPr>
                <w:rFonts w:ascii="Arial" w:hAnsi="Arial" w:cs="Arial"/>
                <w:spacing w:val="-2"/>
                <w:w w:val="110"/>
                <w:sz w:val="18"/>
                <w:szCs w:val="18"/>
              </w:rPr>
              <w:t>lineal</w:t>
            </w:r>
          </w:p>
        </w:tc>
        <w:tc>
          <w:tcPr>
            <w:tcW w:w="697" w:type="dxa"/>
            <w:tcBorders>
              <w:top w:val="single" w:sz="4" w:space="0" w:color="000000"/>
              <w:left w:val="single" w:sz="4" w:space="0" w:color="000000"/>
              <w:bottom w:val="single" w:sz="4" w:space="0" w:color="000000"/>
              <w:right w:val="single" w:sz="4" w:space="0" w:color="000000"/>
            </w:tcBorders>
          </w:tcPr>
          <w:p w14:paraId="100FF9EE" w14:textId="77777777" w:rsidR="00D3344B" w:rsidRDefault="00143C25">
            <w:pPr>
              <w:pStyle w:val="TableParagraph"/>
              <w:spacing w:before="1"/>
              <w:ind w:right="120"/>
              <w:jc w:val="center"/>
              <w:rPr>
                <w:rFonts w:ascii="Arial" w:hAnsi="Arial" w:cs="Arial"/>
                <w:sz w:val="18"/>
                <w:szCs w:val="18"/>
              </w:rPr>
            </w:pPr>
            <w:r>
              <w:rPr>
                <w:rFonts w:ascii="Arial" w:hAnsi="Arial" w:cs="Arial"/>
                <w:spacing w:val="-4"/>
                <w:w w:val="115"/>
                <w:sz w:val="18"/>
                <w:szCs w:val="18"/>
              </w:rPr>
              <w:t>15.50</w:t>
            </w:r>
          </w:p>
        </w:tc>
        <w:tc>
          <w:tcPr>
            <w:tcW w:w="695" w:type="dxa"/>
            <w:tcBorders>
              <w:top w:val="single" w:sz="4" w:space="0" w:color="000000"/>
              <w:left w:val="single" w:sz="4" w:space="0" w:color="000000"/>
              <w:bottom w:val="single" w:sz="4" w:space="0" w:color="000000"/>
              <w:right w:val="single" w:sz="4" w:space="0" w:color="000000"/>
            </w:tcBorders>
          </w:tcPr>
          <w:p w14:paraId="4FF3C78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563B268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13.75</w:t>
            </w:r>
          </w:p>
        </w:tc>
        <w:tc>
          <w:tcPr>
            <w:tcW w:w="699" w:type="dxa"/>
            <w:tcBorders>
              <w:top w:val="single" w:sz="4" w:space="0" w:color="000000"/>
              <w:left w:val="single" w:sz="4" w:space="0" w:color="000000"/>
              <w:bottom w:val="single" w:sz="4" w:space="0" w:color="000000"/>
              <w:right w:val="single" w:sz="4" w:space="0" w:color="000000"/>
            </w:tcBorders>
          </w:tcPr>
          <w:p w14:paraId="36417BEE" w14:textId="77777777" w:rsidR="00D3344B" w:rsidRDefault="00143C25">
            <w:pPr>
              <w:pStyle w:val="TableParagraph"/>
              <w:spacing w:before="1"/>
              <w:ind w:right="116"/>
              <w:jc w:val="center"/>
              <w:rPr>
                <w:rFonts w:ascii="Arial" w:hAnsi="Arial" w:cs="Arial"/>
                <w:sz w:val="18"/>
                <w:szCs w:val="18"/>
              </w:rPr>
            </w:pPr>
            <w:r>
              <w:rPr>
                <w:rFonts w:ascii="Arial" w:hAnsi="Arial" w:cs="Arial"/>
                <w:spacing w:val="-4"/>
                <w:w w:val="115"/>
                <w:sz w:val="18"/>
                <w:szCs w:val="18"/>
              </w:rPr>
              <w:t>12.75</w:t>
            </w:r>
          </w:p>
        </w:tc>
        <w:tc>
          <w:tcPr>
            <w:tcW w:w="696" w:type="dxa"/>
            <w:tcBorders>
              <w:top w:val="single" w:sz="4" w:space="0" w:color="000000"/>
              <w:left w:val="single" w:sz="4" w:space="0" w:color="000000"/>
              <w:bottom w:val="single" w:sz="4" w:space="0" w:color="000000"/>
              <w:right w:val="single" w:sz="4" w:space="0" w:color="000000"/>
            </w:tcBorders>
          </w:tcPr>
          <w:p w14:paraId="093C3B79"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11.75</w:t>
            </w:r>
          </w:p>
        </w:tc>
        <w:tc>
          <w:tcPr>
            <w:tcW w:w="527" w:type="dxa"/>
            <w:tcBorders>
              <w:top w:val="single" w:sz="4" w:space="0" w:color="000000"/>
              <w:left w:val="single" w:sz="4" w:space="0" w:color="000000"/>
              <w:bottom w:val="single" w:sz="4" w:space="0" w:color="000000"/>
              <w:right w:val="single" w:sz="4" w:space="0" w:color="000000"/>
            </w:tcBorders>
          </w:tcPr>
          <w:p w14:paraId="66C2348C" w14:textId="77777777" w:rsidR="00D3344B" w:rsidRDefault="00D3344B">
            <w:pPr>
              <w:pStyle w:val="TableParagraph"/>
              <w:rPr>
                <w:rFonts w:ascii="Arial" w:hAnsi="Arial" w:cs="Arial"/>
                <w:sz w:val="18"/>
                <w:szCs w:val="18"/>
              </w:rPr>
            </w:pPr>
          </w:p>
        </w:tc>
      </w:tr>
      <w:tr w:rsidR="00D3344B" w14:paraId="57EC01C8"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58638A34" w14:textId="77777777" w:rsidR="00D3344B" w:rsidRDefault="00D3344B">
            <w:pPr>
              <w:pStyle w:val="TableParagraph"/>
              <w:rPr>
                <w:rFonts w:ascii="Arial" w:hAnsi="Arial" w:cs="Arial"/>
                <w:sz w:val="18"/>
                <w:szCs w:val="18"/>
              </w:rPr>
            </w:pPr>
          </w:p>
          <w:p w14:paraId="7DB9DEC7"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036</w:t>
            </w:r>
          </w:p>
        </w:tc>
        <w:tc>
          <w:tcPr>
            <w:tcW w:w="3038" w:type="dxa"/>
            <w:tcBorders>
              <w:top w:val="single" w:sz="4" w:space="0" w:color="000000"/>
              <w:left w:val="single" w:sz="4" w:space="0" w:color="000000"/>
              <w:bottom w:val="single" w:sz="4" w:space="0" w:color="000000"/>
              <w:right w:val="single" w:sz="4" w:space="0" w:color="000000"/>
            </w:tcBorders>
          </w:tcPr>
          <w:p w14:paraId="5EA47C17" w14:textId="77777777" w:rsidR="00D3344B" w:rsidRDefault="00143C25">
            <w:pPr>
              <w:pStyle w:val="TableParagraph"/>
              <w:tabs>
                <w:tab w:val="left" w:pos="2066"/>
              </w:tabs>
              <w:spacing w:line="252" w:lineRule="exact"/>
              <w:ind w:right="743"/>
              <w:jc w:val="both"/>
              <w:rPr>
                <w:rFonts w:ascii="Arial" w:hAnsi="Arial" w:cs="Arial"/>
                <w:sz w:val="18"/>
                <w:szCs w:val="18"/>
              </w:rPr>
            </w:pPr>
            <w:r>
              <w:rPr>
                <w:rFonts w:ascii="Arial" w:hAnsi="Arial" w:cs="Arial"/>
                <w:spacing w:val="-2"/>
                <w:w w:val="105"/>
                <w:sz w:val="18"/>
                <w:szCs w:val="18"/>
              </w:rPr>
              <w:t>Interpretación</w:t>
            </w:r>
            <w:r>
              <w:rPr>
                <w:rFonts w:ascii="Arial" w:hAnsi="Arial" w:cs="Arial"/>
                <w:sz w:val="18"/>
                <w:szCs w:val="18"/>
              </w:rPr>
              <w:tab/>
            </w:r>
            <w:r>
              <w:rPr>
                <w:rFonts w:ascii="Arial" w:hAnsi="Arial" w:cs="Arial"/>
                <w:spacing w:val="-6"/>
                <w:w w:val="105"/>
                <w:sz w:val="18"/>
                <w:szCs w:val="18"/>
              </w:rPr>
              <w:t xml:space="preserve">de </w:t>
            </w:r>
            <w:r>
              <w:rPr>
                <w:rFonts w:ascii="Arial" w:hAnsi="Arial" w:cs="Arial"/>
                <w:w w:val="105"/>
                <w:sz w:val="18"/>
                <w:szCs w:val="18"/>
              </w:rPr>
              <w:t xml:space="preserve">Tomografía Simple (1 </w:t>
            </w:r>
            <w:r>
              <w:rPr>
                <w:rFonts w:ascii="Arial" w:hAnsi="Arial" w:cs="Arial"/>
                <w:spacing w:val="-2"/>
                <w:w w:val="105"/>
                <w:sz w:val="18"/>
                <w:szCs w:val="18"/>
              </w:rPr>
              <w:t>Región)</w:t>
            </w:r>
          </w:p>
        </w:tc>
        <w:tc>
          <w:tcPr>
            <w:tcW w:w="697" w:type="dxa"/>
            <w:tcBorders>
              <w:top w:val="single" w:sz="4" w:space="0" w:color="000000"/>
              <w:left w:val="single" w:sz="4" w:space="0" w:color="000000"/>
              <w:bottom w:val="single" w:sz="4" w:space="0" w:color="000000"/>
              <w:right w:val="single" w:sz="4" w:space="0" w:color="000000"/>
            </w:tcBorders>
          </w:tcPr>
          <w:p w14:paraId="67396BAC" w14:textId="77777777" w:rsidR="00D3344B" w:rsidRDefault="00D3344B">
            <w:pPr>
              <w:pStyle w:val="TableParagraph"/>
              <w:rPr>
                <w:rFonts w:ascii="Arial" w:hAnsi="Arial" w:cs="Arial"/>
                <w:sz w:val="18"/>
                <w:szCs w:val="18"/>
              </w:rPr>
            </w:pPr>
          </w:p>
          <w:p w14:paraId="20E4A637"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7EC941B3" w14:textId="77777777" w:rsidR="00D3344B" w:rsidRDefault="00D3344B">
            <w:pPr>
              <w:pStyle w:val="TableParagraph"/>
              <w:rPr>
                <w:rFonts w:ascii="Arial" w:hAnsi="Arial" w:cs="Arial"/>
                <w:sz w:val="18"/>
                <w:szCs w:val="18"/>
              </w:rPr>
            </w:pPr>
          </w:p>
          <w:p w14:paraId="09EA794D" w14:textId="77777777" w:rsidR="00D3344B" w:rsidRDefault="00143C25">
            <w:pPr>
              <w:pStyle w:val="TableParagraph"/>
              <w:rPr>
                <w:rFonts w:ascii="Arial" w:hAnsi="Arial" w:cs="Arial"/>
                <w:sz w:val="18"/>
                <w:szCs w:val="18"/>
              </w:rPr>
            </w:pPr>
            <w:r>
              <w:rPr>
                <w:rFonts w:ascii="Arial" w:hAnsi="Arial" w:cs="Arial"/>
                <w:spacing w:val="-4"/>
                <w:w w:val="115"/>
                <w:sz w:val="18"/>
                <w:szCs w:val="18"/>
              </w:rPr>
              <w:t>3.50</w:t>
            </w:r>
          </w:p>
        </w:tc>
        <w:tc>
          <w:tcPr>
            <w:tcW w:w="699" w:type="dxa"/>
            <w:tcBorders>
              <w:top w:val="single" w:sz="4" w:space="0" w:color="000000"/>
              <w:left w:val="single" w:sz="4" w:space="0" w:color="000000"/>
              <w:bottom w:val="single" w:sz="4" w:space="0" w:color="000000"/>
              <w:right w:val="single" w:sz="4" w:space="0" w:color="000000"/>
            </w:tcBorders>
          </w:tcPr>
          <w:p w14:paraId="033C2976" w14:textId="77777777" w:rsidR="00D3344B" w:rsidRDefault="00D3344B">
            <w:pPr>
              <w:pStyle w:val="TableParagraph"/>
              <w:rPr>
                <w:rFonts w:ascii="Arial" w:hAnsi="Arial" w:cs="Arial"/>
                <w:sz w:val="18"/>
                <w:szCs w:val="18"/>
              </w:rPr>
            </w:pPr>
          </w:p>
          <w:p w14:paraId="360F46F8" w14:textId="77777777" w:rsidR="00D3344B" w:rsidRDefault="00143C25">
            <w:pPr>
              <w:pStyle w:val="TableParagraph"/>
              <w:rPr>
                <w:rFonts w:ascii="Arial" w:hAnsi="Arial" w:cs="Arial"/>
                <w:sz w:val="18"/>
                <w:szCs w:val="18"/>
              </w:rPr>
            </w:pPr>
            <w:r>
              <w:rPr>
                <w:rFonts w:ascii="Arial" w:hAnsi="Arial" w:cs="Arial"/>
                <w:spacing w:val="-4"/>
                <w:w w:val="115"/>
                <w:sz w:val="18"/>
                <w:szCs w:val="18"/>
              </w:rPr>
              <w:t>3.00</w:t>
            </w:r>
          </w:p>
        </w:tc>
        <w:tc>
          <w:tcPr>
            <w:tcW w:w="699" w:type="dxa"/>
            <w:tcBorders>
              <w:top w:val="single" w:sz="4" w:space="0" w:color="000000"/>
              <w:left w:val="single" w:sz="4" w:space="0" w:color="000000"/>
              <w:bottom w:val="single" w:sz="4" w:space="0" w:color="000000"/>
              <w:right w:val="single" w:sz="4" w:space="0" w:color="000000"/>
            </w:tcBorders>
          </w:tcPr>
          <w:p w14:paraId="03226D4B" w14:textId="77777777" w:rsidR="00D3344B" w:rsidRDefault="00D3344B">
            <w:pPr>
              <w:pStyle w:val="TableParagraph"/>
              <w:rPr>
                <w:rFonts w:ascii="Arial" w:hAnsi="Arial" w:cs="Arial"/>
                <w:sz w:val="18"/>
                <w:szCs w:val="18"/>
              </w:rPr>
            </w:pPr>
          </w:p>
          <w:p w14:paraId="5AC78E8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34B3479B" w14:textId="77777777" w:rsidR="00D3344B" w:rsidRDefault="00D3344B">
            <w:pPr>
              <w:pStyle w:val="TableParagraph"/>
              <w:rPr>
                <w:rFonts w:ascii="Arial" w:hAnsi="Arial" w:cs="Arial"/>
                <w:sz w:val="18"/>
                <w:szCs w:val="18"/>
              </w:rPr>
            </w:pPr>
          </w:p>
          <w:p w14:paraId="5CCED42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05ACF97E" w14:textId="77777777" w:rsidR="00D3344B" w:rsidRDefault="00D3344B">
            <w:pPr>
              <w:pStyle w:val="TableParagraph"/>
              <w:rPr>
                <w:rFonts w:ascii="Arial" w:hAnsi="Arial" w:cs="Arial"/>
                <w:sz w:val="18"/>
                <w:szCs w:val="18"/>
              </w:rPr>
            </w:pPr>
          </w:p>
        </w:tc>
      </w:tr>
      <w:tr w:rsidR="00D3344B" w14:paraId="19441EAB" w14:textId="77777777">
        <w:trPr>
          <w:trHeight w:val="757"/>
        </w:trPr>
        <w:tc>
          <w:tcPr>
            <w:tcW w:w="1776" w:type="dxa"/>
            <w:tcBorders>
              <w:top w:val="single" w:sz="4" w:space="0" w:color="000000"/>
              <w:left w:val="single" w:sz="4" w:space="0" w:color="000000"/>
              <w:bottom w:val="single" w:sz="4" w:space="0" w:color="000000"/>
              <w:right w:val="single" w:sz="4" w:space="0" w:color="000000"/>
            </w:tcBorders>
          </w:tcPr>
          <w:p w14:paraId="140D398A" w14:textId="77777777" w:rsidR="00D3344B" w:rsidRDefault="00D3344B">
            <w:pPr>
              <w:pStyle w:val="TableParagraph"/>
              <w:spacing w:before="8"/>
              <w:rPr>
                <w:rFonts w:ascii="Arial" w:hAnsi="Arial" w:cs="Arial"/>
                <w:sz w:val="18"/>
                <w:szCs w:val="18"/>
              </w:rPr>
            </w:pPr>
          </w:p>
          <w:p w14:paraId="5A651B7A"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037</w:t>
            </w:r>
          </w:p>
        </w:tc>
        <w:tc>
          <w:tcPr>
            <w:tcW w:w="3038" w:type="dxa"/>
            <w:tcBorders>
              <w:top w:val="single" w:sz="4" w:space="0" w:color="000000"/>
              <w:left w:val="single" w:sz="4" w:space="0" w:color="000000"/>
              <w:bottom w:val="single" w:sz="4" w:space="0" w:color="000000"/>
              <w:right w:val="single" w:sz="4" w:space="0" w:color="000000"/>
            </w:tcBorders>
          </w:tcPr>
          <w:p w14:paraId="73DC07EF" w14:textId="77777777" w:rsidR="00D3344B" w:rsidRDefault="00143C25">
            <w:pPr>
              <w:pStyle w:val="TableParagraph"/>
              <w:rPr>
                <w:rFonts w:ascii="Arial" w:hAnsi="Arial" w:cs="Arial"/>
                <w:sz w:val="18"/>
                <w:szCs w:val="18"/>
              </w:rPr>
            </w:pPr>
            <w:r>
              <w:rPr>
                <w:rFonts w:ascii="Arial" w:hAnsi="Arial" w:cs="Arial"/>
                <w:w w:val="110"/>
                <w:sz w:val="18"/>
                <w:szCs w:val="18"/>
              </w:rPr>
              <w:t>Interpretación</w:t>
            </w:r>
            <w:r>
              <w:rPr>
                <w:rFonts w:ascii="Arial" w:hAnsi="Arial" w:cs="Arial"/>
                <w:spacing w:val="15"/>
                <w:w w:val="110"/>
                <w:sz w:val="18"/>
                <w:szCs w:val="18"/>
              </w:rPr>
              <w:t xml:space="preserve"> </w:t>
            </w:r>
            <w:r>
              <w:rPr>
                <w:rFonts w:ascii="Arial" w:hAnsi="Arial" w:cs="Arial"/>
                <w:w w:val="110"/>
                <w:sz w:val="18"/>
                <w:szCs w:val="18"/>
              </w:rPr>
              <w:t>de</w:t>
            </w:r>
            <w:r>
              <w:rPr>
                <w:rFonts w:ascii="Arial" w:hAnsi="Arial" w:cs="Arial"/>
                <w:spacing w:val="62"/>
                <w:w w:val="110"/>
                <w:sz w:val="18"/>
                <w:szCs w:val="18"/>
              </w:rPr>
              <w:t xml:space="preserve"> </w:t>
            </w:r>
            <w:r>
              <w:rPr>
                <w:rFonts w:ascii="Arial" w:hAnsi="Arial" w:cs="Arial"/>
                <w:w w:val="110"/>
                <w:sz w:val="18"/>
                <w:szCs w:val="18"/>
              </w:rPr>
              <w:t>Tomografía Contrastada</w:t>
            </w:r>
            <w:r>
              <w:rPr>
                <w:rFonts w:ascii="Arial" w:hAnsi="Arial" w:cs="Arial"/>
                <w:spacing w:val="40"/>
                <w:w w:val="110"/>
                <w:sz w:val="18"/>
                <w:szCs w:val="18"/>
              </w:rPr>
              <w:t xml:space="preserve"> </w:t>
            </w:r>
            <w:r>
              <w:rPr>
                <w:rFonts w:ascii="Arial" w:hAnsi="Arial" w:cs="Arial"/>
                <w:w w:val="110"/>
                <w:sz w:val="18"/>
                <w:szCs w:val="18"/>
              </w:rPr>
              <w:t>(1</w:t>
            </w:r>
          </w:p>
          <w:p w14:paraId="5B295C40" w14:textId="77777777" w:rsidR="00D3344B" w:rsidRDefault="00143C25">
            <w:pPr>
              <w:pStyle w:val="TableParagraph"/>
              <w:spacing w:line="233" w:lineRule="exact"/>
              <w:rPr>
                <w:rFonts w:ascii="Arial" w:hAnsi="Arial" w:cs="Arial"/>
                <w:sz w:val="18"/>
                <w:szCs w:val="18"/>
              </w:rPr>
            </w:pPr>
            <w:r>
              <w:rPr>
                <w:rFonts w:ascii="Arial" w:hAnsi="Arial" w:cs="Arial"/>
                <w:spacing w:val="-2"/>
                <w:w w:val="105"/>
                <w:sz w:val="18"/>
                <w:szCs w:val="18"/>
              </w:rPr>
              <w:t>Región)</w:t>
            </w:r>
          </w:p>
        </w:tc>
        <w:tc>
          <w:tcPr>
            <w:tcW w:w="697" w:type="dxa"/>
            <w:tcBorders>
              <w:top w:val="single" w:sz="4" w:space="0" w:color="000000"/>
              <w:left w:val="single" w:sz="4" w:space="0" w:color="000000"/>
              <w:bottom w:val="single" w:sz="4" w:space="0" w:color="000000"/>
              <w:right w:val="single" w:sz="4" w:space="0" w:color="000000"/>
            </w:tcBorders>
          </w:tcPr>
          <w:p w14:paraId="5CC4E9FA" w14:textId="77777777" w:rsidR="00D3344B" w:rsidRDefault="00D3344B">
            <w:pPr>
              <w:pStyle w:val="TableParagraph"/>
              <w:spacing w:before="8"/>
              <w:rPr>
                <w:rFonts w:ascii="Arial" w:hAnsi="Arial" w:cs="Arial"/>
                <w:sz w:val="18"/>
                <w:szCs w:val="18"/>
              </w:rPr>
            </w:pPr>
          </w:p>
          <w:p w14:paraId="0950F6C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5.25</w:t>
            </w:r>
          </w:p>
        </w:tc>
        <w:tc>
          <w:tcPr>
            <w:tcW w:w="695" w:type="dxa"/>
            <w:tcBorders>
              <w:top w:val="single" w:sz="4" w:space="0" w:color="000000"/>
              <w:left w:val="single" w:sz="4" w:space="0" w:color="000000"/>
              <w:bottom w:val="single" w:sz="4" w:space="0" w:color="000000"/>
              <w:right w:val="single" w:sz="4" w:space="0" w:color="000000"/>
            </w:tcBorders>
          </w:tcPr>
          <w:p w14:paraId="02184421" w14:textId="77777777" w:rsidR="00D3344B" w:rsidRDefault="00D3344B">
            <w:pPr>
              <w:pStyle w:val="TableParagraph"/>
              <w:spacing w:before="8"/>
              <w:rPr>
                <w:rFonts w:ascii="Arial" w:hAnsi="Arial" w:cs="Arial"/>
                <w:sz w:val="18"/>
                <w:szCs w:val="18"/>
              </w:rPr>
            </w:pPr>
          </w:p>
          <w:p w14:paraId="77FA67EC"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4.50</w:t>
            </w:r>
          </w:p>
        </w:tc>
        <w:tc>
          <w:tcPr>
            <w:tcW w:w="699" w:type="dxa"/>
            <w:tcBorders>
              <w:top w:val="single" w:sz="4" w:space="0" w:color="000000"/>
              <w:left w:val="single" w:sz="4" w:space="0" w:color="000000"/>
              <w:bottom w:val="single" w:sz="4" w:space="0" w:color="000000"/>
              <w:right w:val="single" w:sz="4" w:space="0" w:color="000000"/>
            </w:tcBorders>
          </w:tcPr>
          <w:p w14:paraId="5C71C2F1" w14:textId="77777777" w:rsidR="00D3344B" w:rsidRDefault="00D3344B">
            <w:pPr>
              <w:pStyle w:val="TableParagraph"/>
              <w:spacing w:before="8"/>
              <w:rPr>
                <w:rFonts w:ascii="Arial" w:hAnsi="Arial" w:cs="Arial"/>
                <w:sz w:val="18"/>
                <w:szCs w:val="18"/>
              </w:rPr>
            </w:pPr>
          </w:p>
          <w:p w14:paraId="1350923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3.75</w:t>
            </w:r>
          </w:p>
        </w:tc>
        <w:tc>
          <w:tcPr>
            <w:tcW w:w="699" w:type="dxa"/>
            <w:tcBorders>
              <w:top w:val="single" w:sz="4" w:space="0" w:color="000000"/>
              <w:left w:val="single" w:sz="4" w:space="0" w:color="000000"/>
              <w:bottom w:val="single" w:sz="4" w:space="0" w:color="000000"/>
              <w:right w:val="single" w:sz="4" w:space="0" w:color="000000"/>
            </w:tcBorders>
          </w:tcPr>
          <w:p w14:paraId="1505E25C" w14:textId="77777777" w:rsidR="00D3344B" w:rsidRDefault="00D3344B">
            <w:pPr>
              <w:pStyle w:val="TableParagraph"/>
              <w:spacing w:before="8"/>
              <w:rPr>
                <w:rFonts w:ascii="Arial" w:hAnsi="Arial" w:cs="Arial"/>
                <w:sz w:val="18"/>
                <w:szCs w:val="18"/>
              </w:rPr>
            </w:pPr>
          </w:p>
          <w:p w14:paraId="1DC9948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3.00</w:t>
            </w:r>
          </w:p>
        </w:tc>
        <w:tc>
          <w:tcPr>
            <w:tcW w:w="696" w:type="dxa"/>
            <w:tcBorders>
              <w:top w:val="single" w:sz="4" w:space="0" w:color="000000"/>
              <w:left w:val="single" w:sz="4" w:space="0" w:color="000000"/>
              <w:bottom w:val="single" w:sz="4" w:space="0" w:color="000000"/>
              <w:right w:val="single" w:sz="4" w:space="0" w:color="000000"/>
            </w:tcBorders>
          </w:tcPr>
          <w:p w14:paraId="5952CB5D" w14:textId="77777777" w:rsidR="00D3344B" w:rsidRDefault="00D3344B">
            <w:pPr>
              <w:pStyle w:val="TableParagraph"/>
              <w:spacing w:before="8"/>
              <w:rPr>
                <w:rFonts w:ascii="Arial" w:hAnsi="Arial" w:cs="Arial"/>
                <w:sz w:val="18"/>
                <w:szCs w:val="18"/>
              </w:rPr>
            </w:pPr>
          </w:p>
          <w:p w14:paraId="585098F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2.25</w:t>
            </w:r>
          </w:p>
        </w:tc>
        <w:tc>
          <w:tcPr>
            <w:tcW w:w="527" w:type="dxa"/>
            <w:tcBorders>
              <w:top w:val="single" w:sz="4" w:space="0" w:color="000000"/>
              <w:left w:val="single" w:sz="4" w:space="0" w:color="000000"/>
              <w:bottom w:val="single" w:sz="4" w:space="0" w:color="000000"/>
              <w:right w:val="single" w:sz="4" w:space="0" w:color="000000"/>
            </w:tcBorders>
          </w:tcPr>
          <w:p w14:paraId="2708D79B" w14:textId="77777777" w:rsidR="00D3344B" w:rsidRDefault="00D3344B">
            <w:pPr>
              <w:pStyle w:val="TableParagraph"/>
              <w:rPr>
                <w:rFonts w:ascii="Arial" w:hAnsi="Arial" w:cs="Arial"/>
                <w:sz w:val="18"/>
                <w:szCs w:val="18"/>
              </w:rPr>
            </w:pPr>
          </w:p>
        </w:tc>
      </w:tr>
      <w:tr w:rsidR="00D3344B" w14:paraId="72F6757D" w14:textId="77777777">
        <w:trPr>
          <w:trHeight w:val="563"/>
        </w:trPr>
        <w:tc>
          <w:tcPr>
            <w:tcW w:w="1776" w:type="dxa"/>
            <w:tcBorders>
              <w:top w:val="single" w:sz="4" w:space="0" w:color="000000"/>
              <w:left w:val="single" w:sz="4" w:space="0" w:color="000000"/>
              <w:bottom w:val="single" w:sz="4" w:space="0" w:color="000000"/>
              <w:right w:val="single" w:sz="4" w:space="0" w:color="000000"/>
            </w:tcBorders>
          </w:tcPr>
          <w:p w14:paraId="655932ED" w14:textId="77777777" w:rsidR="00D3344B" w:rsidRDefault="00D3344B">
            <w:pPr>
              <w:pStyle w:val="TableParagraph"/>
              <w:spacing w:before="11"/>
              <w:rPr>
                <w:rFonts w:ascii="Arial" w:hAnsi="Arial" w:cs="Arial"/>
                <w:sz w:val="18"/>
                <w:szCs w:val="18"/>
              </w:rPr>
            </w:pPr>
          </w:p>
          <w:p w14:paraId="2A039FC4" w14:textId="77777777" w:rsidR="00D3344B" w:rsidRDefault="00143C25">
            <w:pPr>
              <w:pStyle w:val="TableParagraph"/>
              <w:rPr>
                <w:rFonts w:ascii="Arial" w:hAnsi="Arial" w:cs="Arial"/>
                <w:sz w:val="18"/>
                <w:szCs w:val="18"/>
              </w:rPr>
            </w:pPr>
            <w:r>
              <w:rPr>
                <w:rFonts w:ascii="Arial" w:hAnsi="Arial" w:cs="Arial"/>
                <w:spacing w:val="-2"/>
                <w:sz w:val="18"/>
                <w:szCs w:val="18"/>
              </w:rPr>
              <w:t>02-TM-</w:t>
            </w:r>
            <w:r>
              <w:rPr>
                <w:rFonts w:ascii="Arial" w:hAnsi="Arial" w:cs="Arial"/>
                <w:spacing w:val="-5"/>
                <w:sz w:val="18"/>
                <w:szCs w:val="18"/>
              </w:rPr>
              <w:t>043</w:t>
            </w:r>
          </w:p>
        </w:tc>
        <w:tc>
          <w:tcPr>
            <w:tcW w:w="3038" w:type="dxa"/>
            <w:tcBorders>
              <w:top w:val="single" w:sz="4" w:space="0" w:color="000000"/>
              <w:left w:val="single" w:sz="4" w:space="0" w:color="000000"/>
              <w:bottom w:val="single" w:sz="4" w:space="0" w:color="000000"/>
              <w:right w:val="single" w:sz="4" w:space="0" w:color="000000"/>
            </w:tcBorders>
          </w:tcPr>
          <w:p w14:paraId="6814EABB" w14:textId="77777777" w:rsidR="00D3344B" w:rsidRDefault="00143C25">
            <w:pPr>
              <w:pStyle w:val="TableParagraph"/>
              <w:tabs>
                <w:tab w:val="left" w:pos="1560"/>
                <w:tab w:val="left" w:pos="2205"/>
              </w:tabs>
              <w:ind w:right="59"/>
              <w:rPr>
                <w:rFonts w:ascii="Arial" w:hAnsi="Arial" w:cs="Arial"/>
                <w:sz w:val="18"/>
                <w:szCs w:val="18"/>
              </w:rPr>
            </w:pPr>
            <w:r>
              <w:rPr>
                <w:rFonts w:ascii="Arial" w:hAnsi="Arial" w:cs="Arial"/>
                <w:spacing w:val="-2"/>
                <w:w w:val="110"/>
                <w:sz w:val="18"/>
                <w:szCs w:val="18"/>
              </w:rPr>
              <w:t>Tomografía</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 xml:space="preserve">corazón </w:t>
            </w:r>
            <w:r>
              <w:rPr>
                <w:rFonts w:ascii="Arial" w:hAnsi="Arial" w:cs="Arial"/>
                <w:w w:val="110"/>
                <w:sz w:val="18"/>
                <w:szCs w:val="18"/>
              </w:rPr>
              <w:t>(</w:t>
            </w:r>
            <w:proofErr w:type="spellStart"/>
            <w:r>
              <w:rPr>
                <w:rFonts w:ascii="Arial" w:hAnsi="Arial" w:cs="Arial"/>
                <w:w w:val="110"/>
                <w:sz w:val="18"/>
                <w:szCs w:val="18"/>
              </w:rPr>
              <w:t>Angiotomografia</w:t>
            </w:r>
            <w:proofErr w:type="spellEnd"/>
            <w:r>
              <w:rPr>
                <w:rFonts w:ascii="Arial" w:hAnsi="Arial" w:cs="Arial"/>
                <w:spacing w:val="40"/>
                <w:w w:val="110"/>
                <w:sz w:val="18"/>
                <w:szCs w:val="18"/>
              </w:rPr>
              <w:t xml:space="preserve"> </w:t>
            </w:r>
            <w:r>
              <w:rPr>
                <w:rFonts w:ascii="Arial" w:hAnsi="Arial" w:cs="Arial"/>
                <w:w w:val="110"/>
                <w:sz w:val="18"/>
                <w:szCs w:val="18"/>
              </w:rPr>
              <w:t>coronaria)</w:t>
            </w:r>
          </w:p>
        </w:tc>
        <w:tc>
          <w:tcPr>
            <w:tcW w:w="697" w:type="dxa"/>
            <w:tcBorders>
              <w:top w:val="single" w:sz="4" w:space="0" w:color="000000"/>
              <w:left w:val="single" w:sz="4" w:space="0" w:color="000000"/>
              <w:bottom w:val="single" w:sz="4" w:space="0" w:color="000000"/>
              <w:right w:val="single" w:sz="4" w:space="0" w:color="000000"/>
            </w:tcBorders>
          </w:tcPr>
          <w:p w14:paraId="057E018C" w14:textId="77777777" w:rsidR="00D3344B" w:rsidRDefault="00D3344B">
            <w:pPr>
              <w:pStyle w:val="TableParagraph"/>
              <w:spacing w:before="11"/>
              <w:rPr>
                <w:rFonts w:ascii="Arial" w:hAnsi="Arial" w:cs="Arial"/>
                <w:sz w:val="18"/>
                <w:szCs w:val="18"/>
              </w:rPr>
            </w:pPr>
          </w:p>
          <w:p w14:paraId="4E0E03C4"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106.00</w:t>
            </w:r>
          </w:p>
        </w:tc>
        <w:tc>
          <w:tcPr>
            <w:tcW w:w="695" w:type="dxa"/>
            <w:tcBorders>
              <w:top w:val="single" w:sz="4" w:space="0" w:color="000000"/>
              <w:left w:val="single" w:sz="4" w:space="0" w:color="000000"/>
              <w:bottom w:val="single" w:sz="4" w:space="0" w:color="000000"/>
              <w:right w:val="single" w:sz="4" w:space="0" w:color="000000"/>
            </w:tcBorders>
          </w:tcPr>
          <w:p w14:paraId="0AB360FB" w14:textId="77777777" w:rsidR="00D3344B" w:rsidRDefault="00D3344B">
            <w:pPr>
              <w:pStyle w:val="TableParagraph"/>
              <w:spacing w:before="11"/>
              <w:rPr>
                <w:rFonts w:ascii="Arial" w:hAnsi="Arial" w:cs="Arial"/>
                <w:sz w:val="18"/>
                <w:szCs w:val="18"/>
              </w:rPr>
            </w:pPr>
          </w:p>
          <w:p w14:paraId="1E9C2A71"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104.00</w:t>
            </w:r>
          </w:p>
        </w:tc>
        <w:tc>
          <w:tcPr>
            <w:tcW w:w="699" w:type="dxa"/>
            <w:tcBorders>
              <w:top w:val="single" w:sz="4" w:space="0" w:color="000000"/>
              <w:left w:val="single" w:sz="4" w:space="0" w:color="000000"/>
              <w:bottom w:val="single" w:sz="4" w:space="0" w:color="000000"/>
              <w:right w:val="single" w:sz="4" w:space="0" w:color="000000"/>
            </w:tcBorders>
          </w:tcPr>
          <w:p w14:paraId="6814FFCC" w14:textId="77777777" w:rsidR="00D3344B" w:rsidRDefault="00D3344B">
            <w:pPr>
              <w:pStyle w:val="TableParagraph"/>
              <w:spacing w:before="11"/>
              <w:rPr>
                <w:rFonts w:ascii="Arial" w:hAnsi="Arial" w:cs="Arial"/>
                <w:sz w:val="18"/>
                <w:szCs w:val="18"/>
              </w:rPr>
            </w:pPr>
          </w:p>
          <w:p w14:paraId="08A631A5"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101.25</w:t>
            </w:r>
          </w:p>
        </w:tc>
        <w:tc>
          <w:tcPr>
            <w:tcW w:w="699" w:type="dxa"/>
            <w:tcBorders>
              <w:top w:val="single" w:sz="4" w:space="0" w:color="000000"/>
              <w:left w:val="single" w:sz="4" w:space="0" w:color="000000"/>
              <w:bottom w:val="single" w:sz="4" w:space="0" w:color="000000"/>
              <w:right w:val="single" w:sz="4" w:space="0" w:color="000000"/>
            </w:tcBorders>
          </w:tcPr>
          <w:p w14:paraId="6ACB3612" w14:textId="77777777" w:rsidR="00D3344B" w:rsidRDefault="00D3344B">
            <w:pPr>
              <w:pStyle w:val="TableParagraph"/>
              <w:spacing w:before="11"/>
              <w:rPr>
                <w:rFonts w:ascii="Arial" w:hAnsi="Arial" w:cs="Arial"/>
                <w:sz w:val="18"/>
                <w:szCs w:val="18"/>
              </w:rPr>
            </w:pPr>
          </w:p>
          <w:p w14:paraId="10E6340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99.25</w:t>
            </w:r>
          </w:p>
        </w:tc>
        <w:tc>
          <w:tcPr>
            <w:tcW w:w="696" w:type="dxa"/>
            <w:tcBorders>
              <w:top w:val="single" w:sz="4" w:space="0" w:color="000000"/>
              <w:left w:val="single" w:sz="4" w:space="0" w:color="000000"/>
              <w:bottom w:val="single" w:sz="4" w:space="0" w:color="000000"/>
              <w:right w:val="single" w:sz="4" w:space="0" w:color="000000"/>
            </w:tcBorders>
          </w:tcPr>
          <w:p w14:paraId="6A676C3A" w14:textId="77777777" w:rsidR="00D3344B" w:rsidRDefault="00D3344B">
            <w:pPr>
              <w:pStyle w:val="TableParagraph"/>
              <w:spacing w:before="11"/>
              <w:rPr>
                <w:rFonts w:ascii="Arial" w:hAnsi="Arial" w:cs="Arial"/>
                <w:sz w:val="18"/>
                <w:szCs w:val="18"/>
              </w:rPr>
            </w:pPr>
          </w:p>
          <w:p w14:paraId="1CAFCBE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96.35</w:t>
            </w:r>
          </w:p>
        </w:tc>
        <w:tc>
          <w:tcPr>
            <w:tcW w:w="527" w:type="dxa"/>
            <w:tcBorders>
              <w:top w:val="single" w:sz="4" w:space="0" w:color="000000"/>
              <w:left w:val="single" w:sz="4" w:space="0" w:color="000000"/>
              <w:bottom w:val="single" w:sz="4" w:space="0" w:color="000000"/>
              <w:right w:val="single" w:sz="4" w:space="0" w:color="000000"/>
            </w:tcBorders>
          </w:tcPr>
          <w:p w14:paraId="1F2F41A7" w14:textId="77777777" w:rsidR="00D3344B" w:rsidRDefault="00D3344B">
            <w:pPr>
              <w:pStyle w:val="TableParagraph"/>
              <w:rPr>
                <w:rFonts w:ascii="Arial" w:hAnsi="Arial" w:cs="Arial"/>
                <w:sz w:val="18"/>
                <w:szCs w:val="18"/>
              </w:rPr>
            </w:pPr>
          </w:p>
        </w:tc>
      </w:tr>
      <w:tr w:rsidR="00D3344B" w14:paraId="6FA7139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40623BC" w14:textId="77777777" w:rsidR="00D3344B" w:rsidRDefault="00143C25">
            <w:pPr>
              <w:pStyle w:val="TableParagraph"/>
              <w:rPr>
                <w:rFonts w:ascii="Arial" w:hAnsi="Arial" w:cs="Arial"/>
                <w:sz w:val="18"/>
                <w:szCs w:val="18"/>
              </w:rPr>
            </w:pPr>
            <w:r>
              <w:rPr>
                <w:rFonts w:ascii="Arial" w:hAnsi="Arial" w:cs="Arial"/>
                <w:spacing w:val="-2"/>
                <w:sz w:val="18"/>
                <w:szCs w:val="18"/>
              </w:rPr>
              <w:t>02-TM-</w:t>
            </w:r>
            <w:r>
              <w:rPr>
                <w:rFonts w:ascii="Arial" w:hAnsi="Arial" w:cs="Arial"/>
                <w:spacing w:val="-5"/>
                <w:sz w:val="18"/>
                <w:szCs w:val="18"/>
              </w:rPr>
              <w:t>044</w:t>
            </w:r>
          </w:p>
        </w:tc>
        <w:tc>
          <w:tcPr>
            <w:tcW w:w="3038" w:type="dxa"/>
            <w:tcBorders>
              <w:top w:val="single" w:sz="4" w:space="0" w:color="000000"/>
              <w:left w:val="single" w:sz="4" w:space="0" w:color="000000"/>
              <w:bottom w:val="single" w:sz="4" w:space="0" w:color="000000"/>
              <w:right w:val="single" w:sz="4" w:space="0" w:color="000000"/>
            </w:tcBorders>
          </w:tcPr>
          <w:p w14:paraId="2A95CFB8" w14:textId="77777777" w:rsidR="00D3344B" w:rsidRDefault="00143C25">
            <w:pPr>
              <w:pStyle w:val="TableParagraph"/>
              <w:tabs>
                <w:tab w:val="left" w:pos="1565"/>
                <w:tab w:val="left" w:pos="2213"/>
              </w:tabs>
              <w:spacing w:line="254" w:lineRule="exact"/>
              <w:ind w:right="1"/>
              <w:rPr>
                <w:rFonts w:ascii="Arial" w:hAnsi="Arial" w:cs="Arial"/>
                <w:sz w:val="18"/>
                <w:szCs w:val="18"/>
              </w:rPr>
            </w:pPr>
            <w:r>
              <w:rPr>
                <w:rFonts w:ascii="Arial" w:hAnsi="Arial" w:cs="Arial"/>
                <w:spacing w:val="-2"/>
                <w:w w:val="110"/>
                <w:sz w:val="18"/>
                <w:szCs w:val="18"/>
              </w:rPr>
              <w:t>Tomografía</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4"/>
                <w:w w:val="110"/>
                <w:sz w:val="18"/>
                <w:szCs w:val="18"/>
              </w:rPr>
              <w:t xml:space="preserve">Corazón </w:t>
            </w:r>
            <w:r>
              <w:rPr>
                <w:rFonts w:ascii="Arial" w:hAnsi="Arial" w:cs="Arial"/>
                <w:w w:val="110"/>
                <w:sz w:val="18"/>
                <w:szCs w:val="18"/>
              </w:rPr>
              <w:t>(Protocolo TAVI)</w:t>
            </w:r>
          </w:p>
        </w:tc>
        <w:tc>
          <w:tcPr>
            <w:tcW w:w="697" w:type="dxa"/>
            <w:tcBorders>
              <w:top w:val="single" w:sz="4" w:space="0" w:color="000000"/>
              <w:left w:val="single" w:sz="4" w:space="0" w:color="000000"/>
              <w:bottom w:val="single" w:sz="4" w:space="0" w:color="000000"/>
              <w:right w:val="single" w:sz="4" w:space="0" w:color="000000"/>
            </w:tcBorders>
          </w:tcPr>
          <w:p w14:paraId="504E9963"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134.95</w:t>
            </w:r>
          </w:p>
        </w:tc>
        <w:tc>
          <w:tcPr>
            <w:tcW w:w="695" w:type="dxa"/>
            <w:tcBorders>
              <w:top w:val="single" w:sz="4" w:space="0" w:color="000000"/>
              <w:left w:val="single" w:sz="4" w:space="0" w:color="000000"/>
              <w:bottom w:val="single" w:sz="4" w:space="0" w:color="000000"/>
              <w:right w:val="single" w:sz="4" w:space="0" w:color="000000"/>
            </w:tcBorders>
          </w:tcPr>
          <w:p w14:paraId="725F591B"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133.00</w:t>
            </w:r>
          </w:p>
        </w:tc>
        <w:tc>
          <w:tcPr>
            <w:tcW w:w="699" w:type="dxa"/>
            <w:tcBorders>
              <w:top w:val="single" w:sz="4" w:space="0" w:color="000000"/>
              <w:left w:val="single" w:sz="4" w:space="0" w:color="000000"/>
              <w:bottom w:val="single" w:sz="4" w:space="0" w:color="000000"/>
              <w:right w:val="single" w:sz="4" w:space="0" w:color="000000"/>
            </w:tcBorders>
          </w:tcPr>
          <w:p w14:paraId="4EEA6176"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130.00</w:t>
            </w:r>
          </w:p>
        </w:tc>
        <w:tc>
          <w:tcPr>
            <w:tcW w:w="699" w:type="dxa"/>
            <w:tcBorders>
              <w:top w:val="single" w:sz="4" w:space="0" w:color="000000"/>
              <w:left w:val="single" w:sz="4" w:space="0" w:color="000000"/>
              <w:bottom w:val="single" w:sz="4" w:space="0" w:color="000000"/>
              <w:right w:val="single" w:sz="4" w:space="0" w:color="000000"/>
            </w:tcBorders>
          </w:tcPr>
          <w:p w14:paraId="10A9C110" w14:textId="77777777" w:rsidR="00D3344B" w:rsidRDefault="00143C25">
            <w:pPr>
              <w:pStyle w:val="TableParagraph"/>
              <w:ind w:left="5" w:right="-15"/>
              <w:rPr>
                <w:rFonts w:ascii="Arial" w:hAnsi="Arial" w:cs="Arial"/>
                <w:sz w:val="18"/>
                <w:szCs w:val="18"/>
              </w:rPr>
            </w:pPr>
            <w:r>
              <w:rPr>
                <w:rFonts w:ascii="Arial" w:hAnsi="Arial" w:cs="Arial"/>
                <w:spacing w:val="-2"/>
                <w:w w:val="115"/>
                <w:sz w:val="18"/>
                <w:szCs w:val="18"/>
              </w:rPr>
              <w:t>128.25</w:t>
            </w:r>
          </w:p>
        </w:tc>
        <w:tc>
          <w:tcPr>
            <w:tcW w:w="696" w:type="dxa"/>
            <w:tcBorders>
              <w:top w:val="single" w:sz="4" w:space="0" w:color="000000"/>
              <w:left w:val="single" w:sz="4" w:space="0" w:color="000000"/>
              <w:bottom w:val="single" w:sz="4" w:space="0" w:color="000000"/>
              <w:right w:val="single" w:sz="4" w:space="0" w:color="000000"/>
            </w:tcBorders>
          </w:tcPr>
          <w:p w14:paraId="5B604A71" w14:textId="77777777" w:rsidR="00D3344B" w:rsidRDefault="00143C25">
            <w:pPr>
              <w:pStyle w:val="TableParagraph"/>
              <w:ind w:left="5" w:right="-15"/>
              <w:rPr>
                <w:rFonts w:ascii="Arial" w:hAnsi="Arial" w:cs="Arial"/>
                <w:sz w:val="18"/>
                <w:szCs w:val="18"/>
              </w:rPr>
            </w:pPr>
            <w:r>
              <w:rPr>
                <w:rFonts w:ascii="Arial" w:hAnsi="Arial" w:cs="Arial"/>
                <w:spacing w:val="-2"/>
                <w:w w:val="115"/>
                <w:sz w:val="18"/>
                <w:szCs w:val="18"/>
              </w:rPr>
              <w:t>125.00</w:t>
            </w:r>
          </w:p>
        </w:tc>
        <w:tc>
          <w:tcPr>
            <w:tcW w:w="527" w:type="dxa"/>
            <w:tcBorders>
              <w:top w:val="single" w:sz="4" w:space="0" w:color="000000"/>
              <w:left w:val="single" w:sz="4" w:space="0" w:color="000000"/>
              <w:bottom w:val="single" w:sz="4" w:space="0" w:color="000000"/>
              <w:right w:val="single" w:sz="4" w:space="0" w:color="000000"/>
            </w:tcBorders>
          </w:tcPr>
          <w:p w14:paraId="1814C3C5" w14:textId="77777777" w:rsidR="00D3344B" w:rsidRDefault="00D3344B">
            <w:pPr>
              <w:pStyle w:val="TableParagraph"/>
              <w:rPr>
                <w:rFonts w:ascii="Arial" w:hAnsi="Arial" w:cs="Arial"/>
                <w:sz w:val="18"/>
                <w:szCs w:val="18"/>
              </w:rPr>
            </w:pPr>
          </w:p>
        </w:tc>
      </w:tr>
      <w:tr w:rsidR="00D3344B" w14:paraId="35C53A5C"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77A66196" w14:textId="77777777" w:rsidR="00D3344B" w:rsidRDefault="00143C25">
            <w:pPr>
              <w:pStyle w:val="TableParagraph"/>
              <w:spacing w:line="249" w:lineRule="exact"/>
              <w:rPr>
                <w:rFonts w:ascii="Arial" w:hAnsi="Arial" w:cs="Arial"/>
                <w:sz w:val="18"/>
                <w:szCs w:val="18"/>
              </w:rPr>
            </w:pPr>
            <w:r>
              <w:rPr>
                <w:rFonts w:ascii="Arial" w:hAnsi="Arial" w:cs="Arial"/>
                <w:spacing w:val="-2"/>
                <w:sz w:val="18"/>
                <w:szCs w:val="18"/>
              </w:rPr>
              <w:t>02-TM-045-</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4FAB572" w14:textId="77777777" w:rsidR="00D3344B" w:rsidRDefault="00143C25">
            <w:pPr>
              <w:pStyle w:val="TableParagraph"/>
              <w:tabs>
                <w:tab w:val="left" w:pos="1524"/>
              </w:tabs>
              <w:spacing w:line="249" w:lineRule="exact"/>
              <w:rPr>
                <w:rFonts w:ascii="Arial" w:hAnsi="Arial" w:cs="Arial"/>
                <w:sz w:val="18"/>
                <w:szCs w:val="18"/>
              </w:rPr>
            </w:pPr>
            <w:r>
              <w:rPr>
                <w:rFonts w:ascii="Arial" w:hAnsi="Arial" w:cs="Arial"/>
                <w:spacing w:val="-2"/>
                <w:w w:val="110"/>
                <w:sz w:val="18"/>
                <w:szCs w:val="18"/>
              </w:rPr>
              <w:t>Tomografía</w:t>
            </w:r>
            <w:r>
              <w:rPr>
                <w:rFonts w:ascii="Arial" w:hAnsi="Arial" w:cs="Arial"/>
                <w:sz w:val="18"/>
                <w:szCs w:val="18"/>
              </w:rPr>
              <w:tab/>
            </w:r>
            <w:r>
              <w:rPr>
                <w:rFonts w:ascii="Arial" w:hAnsi="Arial" w:cs="Arial"/>
                <w:spacing w:val="-2"/>
                <w:w w:val="110"/>
                <w:sz w:val="18"/>
                <w:szCs w:val="18"/>
              </w:rPr>
              <w:t>Cardiaca</w:t>
            </w:r>
          </w:p>
          <w:p w14:paraId="610FBD4A" w14:textId="77777777" w:rsidR="00D3344B" w:rsidRDefault="00143C25">
            <w:pPr>
              <w:pStyle w:val="TableParagraph"/>
              <w:spacing w:before="1" w:line="233" w:lineRule="exact"/>
              <w:rPr>
                <w:rFonts w:ascii="Arial" w:hAnsi="Arial" w:cs="Arial"/>
                <w:sz w:val="18"/>
                <w:szCs w:val="18"/>
              </w:rPr>
            </w:pPr>
            <w:r>
              <w:rPr>
                <w:rFonts w:ascii="Arial" w:hAnsi="Arial" w:cs="Arial"/>
                <w:spacing w:val="-2"/>
                <w:w w:val="110"/>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33DDA8C9" w14:textId="77777777" w:rsidR="00D3344B" w:rsidRDefault="00143C25">
            <w:pPr>
              <w:pStyle w:val="TableParagraph"/>
              <w:spacing w:line="249" w:lineRule="exact"/>
              <w:ind w:left="2" w:right="-15"/>
              <w:rPr>
                <w:rFonts w:ascii="Arial" w:hAnsi="Arial" w:cs="Arial"/>
                <w:sz w:val="18"/>
                <w:szCs w:val="18"/>
              </w:rPr>
            </w:pPr>
            <w:r>
              <w:rPr>
                <w:rFonts w:ascii="Arial" w:hAnsi="Arial" w:cs="Arial"/>
                <w:spacing w:val="-2"/>
                <w:w w:val="115"/>
                <w:sz w:val="18"/>
                <w:szCs w:val="18"/>
              </w:rPr>
              <w:t>106.00</w:t>
            </w:r>
          </w:p>
        </w:tc>
        <w:tc>
          <w:tcPr>
            <w:tcW w:w="695" w:type="dxa"/>
            <w:tcBorders>
              <w:top w:val="single" w:sz="4" w:space="0" w:color="000000"/>
              <w:left w:val="single" w:sz="4" w:space="0" w:color="000000"/>
              <w:bottom w:val="single" w:sz="4" w:space="0" w:color="000000"/>
              <w:right w:val="single" w:sz="4" w:space="0" w:color="000000"/>
            </w:tcBorders>
          </w:tcPr>
          <w:p w14:paraId="59A0E5E2" w14:textId="77777777" w:rsidR="00D3344B" w:rsidRDefault="00143C25">
            <w:pPr>
              <w:pStyle w:val="TableParagraph"/>
              <w:spacing w:line="249" w:lineRule="exact"/>
              <w:ind w:right="-15"/>
              <w:rPr>
                <w:rFonts w:ascii="Arial" w:hAnsi="Arial" w:cs="Arial"/>
                <w:sz w:val="18"/>
                <w:szCs w:val="18"/>
              </w:rPr>
            </w:pPr>
            <w:r>
              <w:rPr>
                <w:rFonts w:ascii="Arial" w:hAnsi="Arial" w:cs="Arial"/>
                <w:spacing w:val="-2"/>
                <w:w w:val="115"/>
                <w:sz w:val="18"/>
                <w:szCs w:val="18"/>
              </w:rPr>
              <w:t>104.00</w:t>
            </w:r>
          </w:p>
        </w:tc>
        <w:tc>
          <w:tcPr>
            <w:tcW w:w="699" w:type="dxa"/>
            <w:tcBorders>
              <w:top w:val="single" w:sz="4" w:space="0" w:color="000000"/>
              <w:left w:val="single" w:sz="4" w:space="0" w:color="000000"/>
              <w:bottom w:val="single" w:sz="4" w:space="0" w:color="000000"/>
              <w:right w:val="single" w:sz="4" w:space="0" w:color="000000"/>
            </w:tcBorders>
          </w:tcPr>
          <w:p w14:paraId="0C9FF828" w14:textId="77777777" w:rsidR="00D3344B" w:rsidRDefault="00143C25">
            <w:pPr>
              <w:pStyle w:val="TableParagraph"/>
              <w:spacing w:line="249" w:lineRule="exact"/>
              <w:ind w:right="-15"/>
              <w:rPr>
                <w:rFonts w:ascii="Arial" w:hAnsi="Arial" w:cs="Arial"/>
                <w:sz w:val="18"/>
                <w:szCs w:val="18"/>
              </w:rPr>
            </w:pPr>
            <w:r>
              <w:rPr>
                <w:rFonts w:ascii="Arial" w:hAnsi="Arial" w:cs="Arial"/>
                <w:spacing w:val="-2"/>
                <w:w w:val="115"/>
                <w:sz w:val="18"/>
                <w:szCs w:val="18"/>
              </w:rPr>
              <w:t>101.00</w:t>
            </w:r>
          </w:p>
        </w:tc>
        <w:tc>
          <w:tcPr>
            <w:tcW w:w="699" w:type="dxa"/>
            <w:tcBorders>
              <w:top w:val="single" w:sz="4" w:space="0" w:color="000000"/>
              <w:left w:val="single" w:sz="4" w:space="0" w:color="000000"/>
              <w:bottom w:val="single" w:sz="4" w:space="0" w:color="000000"/>
              <w:right w:val="single" w:sz="4" w:space="0" w:color="000000"/>
            </w:tcBorders>
          </w:tcPr>
          <w:p w14:paraId="6FFFBCF8"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99.25</w:t>
            </w:r>
          </w:p>
        </w:tc>
        <w:tc>
          <w:tcPr>
            <w:tcW w:w="696" w:type="dxa"/>
            <w:tcBorders>
              <w:top w:val="single" w:sz="4" w:space="0" w:color="000000"/>
              <w:left w:val="single" w:sz="4" w:space="0" w:color="000000"/>
              <w:bottom w:val="single" w:sz="4" w:space="0" w:color="000000"/>
              <w:right w:val="single" w:sz="4" w:space="0" w:color="000000"/>
            </w:tcBorders>
          </w:tcPr>
          <w:p w14:paraId="410156E7"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96.35</w:t>
            </w:r>
          </w:p>
        </w:tc>
        <w:tc>
          <w:tcPr>
            <w:tcW w:w="527" w:type="dxa"/>
            <w:tcBorders>
              <w:top w:val="single" w:sz="4" w:space="0" w:color="000000"/>
              <w:left w:val="single" w:sz="4" w:space="0" w:color="000000"/>
              <w:bottom w:val="single" w:sz="4" w:space="0" w:color="000000"/>
              <w:right w:val="single" w:sz="4" w:space="0" w:color="000000"/>
            </w:tcBorders>
          </w:tcPr>
          <w:p w14:paraId="6B6FA977" w14:textId="77777777" w:rsidR="00D3344B" w:rsidRDefault="00D3344B">
            <w:pPr>
              <w:pStyle w:val="TableParagraph"/>
              <w:rPr>
                <w:rFonts w:ascii="Arial" w:hAnsi="Arial" w:cs="Arial"/>
                <w:sz w:val="18"/>
                <w:szCs w:val="18"/>
              </w:rPr>
            </w:pPr>
          </w:p>
        </w:tc>
      </w:tr>
      <w:tr w:rsidR="00D3344B" w14:paraId="6C6CC6A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A5CA646" w14:textId="77777777" w:rsidR="00D3344B" w:rsidRDefault="00143C25">
            <w:pPr>
              <w:pStyle w:val="TableParagraph"/>
              <w:rPr>
                <w:rFonts w:ascii="Arial" w:hAnsi="Arial" w:cs="Arial"/>
                <w:sz w:val="18"/>
                <w:szCs w:val="18"/>
              </w:rPr>
            </w:pPr>
            <w:r>
              <w:rPr>
                <w:rFonts w:ascii="Arial" w:hAnsi="Arial" w:cs="Arial"/>
                <w:spacing w:val="-2"/>
                <w:sz w:val="18"/>
                <w:szCs w:val="18"/>
              </w:rPr>
              <w:t>02-TM-</w:t>
            </w:r>
            <w:r>
              <w:rPr>
                <w:rFonts w:ascii="Arial" w:hAnsi="Arial" w:cs="Arial"/>
                <w:spacing w:val="-5"/>
                <w:sz w:val="18"/>
                <w:szCs w:val="18"/>
              </w:rPr>
              <w:t>046</w:t>
            </w:r>
          </w:p>
        </w:tc>
        <w:tc>
          <w:tcPr>
            <w:tcW w:w="3038" w:type="dxa"/>
            <w:tcBorders>
              <w:top w:val="single" w:sz="4" w:space="0" w:color="000000"/>
              <w:left w:val="single" w:sz="4" w:space="0" w:color="000000"/>
              <w:bottom w:val="single" w:sz="4" w:space="0" w:color="000000"/>
              <w:right w:val="single" w:sz="4" w:space="0" w:color="000000"/>
            </w:tcBorders>
          </w:tcPr>
          <w:p w14:paraId="7F63B6E0" w14:textId="77777777" w:rsidR="00D3344B" w:rsidRDefault="00143C25">
            <w:pPr>
              <w:pStyle w:val="TableParagraph"/>
              <w:spacing w:line="252" w:lineRule="exact"/>
              <w:ind w:right="530"/>
              <w:rPr>
                <w:rFonts w:ascii="Arial" w:hAnsi="Arial" w:cs="Arial"/>
                <w:sz w:val="18"/>
                <w:szCs w:val="18"/>
              </w:rPr>
            </w:pPr>
            <w:r>
              <w:rPr>
                <w:rFonts w:ascii="Arial" w:hAnsi="Arial" w:cs="Arial"/>
                <w:spacing w:val="-2"/>
                <w:w w:val="110"/>
                <w:sz w:val="18"/>
                <w:szCs w:val="18"/>
              </w:rPr>
              <w:t xml:space="preserve">Tomografía </w:t>
            </w:r>
            <w:proofErr w:type="spellStart"/>
            <w:r>
              <w:rPr>
                <w:rFonts w:ascii="Arial" w:hAnsi="Arial" w:cs="Arial"/>
                <w:spacing w:val="-2"/>
                <w:w w:val="110"/>
                <w:sz w:val="18"/>
                <w:szCs w:val="18"/>
              </w:rPr>
              <w:t>Neuroperfucion</w:t>
            </w:r>
            <w:proofErr w:type="spellEnd"/>
            <w:r>
              <w:rPr>
                <w:rFonts w:ascii="Arial" w:hAnsi="Arial" w:cs="Arial"/>
                <w:spacing w:val="-8"/>
                <w:w w:val="110"/>
                <w:sz w:val="18"/>
                <w:szCs w:val="18"/>
              </w:rPr>
              <w:t xml:space="preserve"> </w:t>
            </w:r>
            <w:r>
              <w:rPr>
                <w:rFonts w:ascii="Arial" w:hAnsi="Arial" w:cs="Arial"/>
                <w:spacing w:val="-2"/>
                <w:w w:val="110"/>
                <w:sz w:val="18"/>
                <w:szCs w:val="18"/>
              </w:rPr>
              <w:t>Cerebral</w:t>
            </w:r>
          </w:p>
        </w:tc>
        <w:tc>
          <w:tcPr>
            <w:tcW w:w="697" w:type="dxa"/>
            <w:tcBorders>
              <w:top w:val="single" w:sz="4" w:space="0" w:color="000000"/>
              <w:left w:val="single" w:sz="4" w:space="0" w:color="000000"/>
              <w:bottom w:val="single" w:sz="4" w:space="0" w:color="000000"/>
              <w:right w:val="single" w:sz="4" w:space="0" w:color="000000"/>
            </w:tcBorders>
          </w:tcPr>
          <w:p w14:paraId="2F6B9B5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53.75</w:t>
            </w:r>
          </w:p>
        </w:tc>
        <w:tc>
          <w:tcPr>
            <w:tcW w:w="695" w:type="dxa"/>
            <w:tcBorders>
              <w:top w:val="single" w:sz="4" w:space="0" w:color="000000"/>
              <w:left w:val="single" w:sz="4" w:space="0" w:color="000000"/>
              <w:bottom w:val="single" w:sz="4" w:space="0" w:color="000000"/>
              <w:right w:val="single" w:sz="4" w:space="0" w:color="000000"/>
            </w:tcBorders>
          </w:tcPr>
          <w:p w14:paraId="4E33756E" w14:textId="77777777" w:rsidR="00D3344B" w:rsidRDefault="00143C25">
            <w:pPr>
              <w:pStyle w:val="TableParagraph"/>
              <w:rPr>
                <w:rFonts w:ascii="Arial" w:hAnsi="Arial" w:cs="Arial"/>
                <w:sz w:val="18"/>
                <w:szCs w:val="18"/>
              </w:rPr>
            </w:pPr>
            <w:r>
              <w:rPr>
                <w:rFonts w:ascii="Arial" w:hAnsi="Arial" w:cs="Arial"/>
                <w:spacing w:val="-4"/>
                <w:w w:val="115"/>
                <w:sz w:val="18"/>
                <w:szCs w:val="18"/>
              </w:rPr>
              <w:t>50.45</w:t>
            </w:r>
          </w:p>
        </w:tc>
        <w:tc>
          <w:tcPr>
            <w:tcW w:w="699" w:type="dxa"/>
            <w:tcBorders>
              <w:top w:val="single" w:sz="4" w:space="0" w:color="000000"/>
              <w:left w:val="single" w:sz="4" w:space="0" w:color="000000"/>
              <w:bottom w:val="single" w:sz="4" w:space="0" w:color="000000"/>
              <w:right w:val="single" w:sz="4" w:space="0" w:color="000000"/>
            </w:tcBorders>
          </w:tcPr>
          <w:p w14:paraId="272CDD78" w14:textId="77777777" w:rsidR="00D3344B" w:rsidRDefault="00143C25">
            <w:pPr>
              <w:pStyle w:val="TableParagraph"/>
              <w:rPr>
                <w:rFonts w:ascii="Arial" w:hAnsi="Arial" w:cs="Arial"/>
                <w:sz w:val="18"/>
                <w:szCs w:val="18"/>
              </w:rPr>
            </w:pPr>
            <w:r>
              <w:rPr>
                <w:rFonts w:ascii="Arial" w:hAnsi="Arial" w:cs="Arial"/>
                <w:spacing w:val="-4"/>
                <w:w w:val="115"/>
                <w:sz w:val="18"/>
                <w:szCs w:val="18"/>
              </w:rPr>
              <w:t>47.45</w:t>
            </w:r>
          </w:p>
        </w:tc>
        <w:tc>
          <w:tcPr>
            <w:tcW w:w="699" w:type="dxa"/>
            <w:tcBorders>
              <w:top w:val="single" w:sz="4" w:space="0" w:color="000000"/>
              <w:left w:val="single" w:sz="4" w:space="0" w:color="000000"/>
              <w:bottom w:val="single" w:sz="4" w:space="0" w:color="000000"/>
              <w:right w:val="single" w:sz="4" w:space="0" w:color="000000"/>
            </w:tcBorders>
          </w:tcPr>
          <w:p w14:paraId="7F391CA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44.25</w:t>
            </w:r>
          </w:p>
        </w:tc>
        <w:tc>
          <w:tcPr>
            <w:tcW w:w="696" w:type="dxa"/>
            <w:tcBorders>
              <w:top w:val="single" w:sz="4" w:space="0" w:color="000000"/>
              <w:left w:val="single" w:sz="4" w:space="0" w:color="000000"/>
              <w:bottom w:val="single" w:sz="4" w:space="0" w:color="000000"/>
              <w:right w:val="single" w:sz="4" w:space="0" w:color="000000"/>
            </w:tcBorders>
          </w:tcPr>
          <w:p w14:paraId="4D0C5D1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41.25</w:t>
            </w:r>
          </w:p>
        </w:tc>
        <w:tc>
          <w:tcPr>
            <w:tcW w:w="527" w:type="dxa"/>
            <w:tcBorders>
              <w:top w:val="single" w:sz="4" w:space="0" w:color="000000"/>
              <w:left w:val="single" w:sz="4" w:space="0" w:color="000000"/>
              <w:bottom w:val="single" w:sz="4" w:space="0" w:color="000000"/>
              <w:right w:val="single" w:sz="4" w:space="0" w:color="000000"/>
            </w:tcBorders>
          </w:tcPr>
          <w:p w14:paraId="6E5C77CC" w14:textId="77777777" w:rsidR="00D3344B" w:rsidRDefault="00D3344B">
            <w:pPr>
              <w:pStyle w:val="TableParagraph"/>
              <w:rPr>
                <w:rFonts w:ascii="Arial" w:hAnsi="Arial" w:cs="Arial"/>
                <w:sz w:val="18"/>
                <w:szCs w:val="18"/>
              </w:rPr>
            </w:pPr>
          </w:p>
        </w:tc>
      </w:tr>
      <w:tr w:rsidR="00D3344B" w14:paraId="5BF57705"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40D7365" w14:textId="77777777" w:rsidR="00D3344B" w:rsidRDefault="00143C25">
            <w:pPr>
              <w:pStyle w:val="TableParagraph"/>
              <w:spacing w:line="252" w:lineRule="exact"/>
              <w:rPr>
                <w:rFonts w:ascii="Arial" w:hAnsi="Arial" w:cs="Arial"/>
                <w:sz w:val="18"/>
                <w:szCs w:val="18"/>
              </w:rPr>
            </w:pPr>
            <w:r>
              <w:rPr>
                <w:rFonts w:ascii="Arial" w:hAnsi="Arial" w:cs="Arial"/>
                <w:spacing w:val="-2"/>
                <w:sz w:val="18"/>
                <w:szCs w:val="18"/>
              </w:rPr>
              <w:t>02-TM-</w:t>
            </w:r>
            <w:r>
              <w:rPr>
                <w:rFonts w:ascii="Arial" w:hAnsi="Arial" w:cs="Arial"/>
                <w:spacing w:val="-5"/>
                <w:sz w:val="18"/>
                <w:szCs w:val="18"/>
              </w:rPr>
              <w:t>47</w:t>
            </w:r>
          </w:p>
        </w:tc>
        <w:tc>
          <w:tcPr>
            <w:tcW w:w="3038" w:type="dxa"/>
            <w:tcBorders>
              <w:top w:val="single" w:sz="4" w:space="0" w:color="000000"/>
              <w:left w:val="single" w:sz="4" w:space="0" w:color="000000"/>
              <w:bottom w:val="single" w:sz="4" w:space="0" w:color="000000"/>
              <w:right w:val="single" w:sz="4" w:space="0" w:color="000000"/>
            </w:tcBorders>
          </w:tcPr>
          <w:p w14:paraId="3310C03C"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Toma</w:t>
            </w:r>
            <w:r>
              <w:rPr>
                <w:rFonts w:ascii="Arial" w:hAnsi="Arial" w:cs="Arial"/>
                <w:spacing w:val="80"/>
                <w:w w:val="110"/>
                <w:sz w:val="18"/>
                <w:szCs w:val="18"/>
              </w:rPr>
              <w:t xml:space="preserve"> </w:t>
            </w:r>
            <w:r>
              <w:rPr>
                <w:rFonts w:ascii="Arial" w:hAnsi="Arial" w:cs="Arial"/>
                <w:w w:val="110"/>
                <w:sz w:val="18"/>
                <w:szCs w:val="18"/>
              </w:rPr>
              <w:t>de</w:t>
            </w:r>
            <w:r>
              <w:rPr>
                <w:rFonts w:ascii="Arial" w:hAnsi="Arial" w:cs="Arial"/>
                <w:spacing w:val="80"/>
                <w:w w:val="110"/>
                <w:sz w:val="18"/>
                <w:szCs w:val="18"/>
              </w:rPr>
              <w:t xml:space="preserve"> </w:t>
            </w:r>
            <w:r>
              <w:rPr>
                <w:rFonts w:ascii="Arial" w:hAnsi="Arial" w:cs="Arial"/>
                <w:w w:val="110"/>
                <w:sz w:val="18"/>
                <w:szCs w:val="18"/>
              </w:rPr>
              <w:t xml:space="preserve">Biopsia por </w:t>
            </w:r>
            <w:r>
              <w:rPr>
                <w:rFonts w:ascii="Arial" w:hAnsi="Arial" w:cs="Arial"/>
                <w:spacing w:val="-2"/>
                <w:w w:val="110"/>
                <w:sz w:val="18"/>
                <w:szCs w:val="18"/>
              </w:rPr>
              <w:t>Tomografía</w:t>
            </w:r>
          </w:p>
        </w:tc>
        <w:tc>
          <w:tcPr>
            <w:tcW w:w="697" w:type="dxa"/>
            <w:tcBorders>
              <w:top w:val="single" w:sz="4" w:space="0" w:color="000000"/>
              <w:left w:val="single" w:sz="4" w:space="0" w:color="000000"/>
              <w:bottom w:val="single" w:sz="4" w:space="0" w:color="000000"/>
              <w:right w:val="single" w:sz="4" w:space="0" w:color="000000"/>
            </w:tcBorders>
          </w:tcPr>
          <w:p w14:paraId="24AB8FC5"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29.85</w:t>
            </w:r>
          </w:p>
        </w:tc>
        <w:tc>
          <w:tcPr>
            <w:tcW w:w="695" w:type="dxa"/>
            <w:tcBorders>
              <w:top w:val="single" w:sz="4" w:space="0" w:color="000000"/>
              <w:left w:val="single" w:sz="4" w:space="0" w:color="000000"/>
              <w:bottom w:val="single" w:sz="4" w:space="0" w:color="000000"/>
              <w:right w:val="single" w:sz="4" w:space="0" w:color="000000"/>
            </w:tcBorders>
          </w:tcPr>
          <w:p w14:paraId="64B74777"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26.95</w:t>
            </w:r>
          </w:p>
        </w:tc>
        <w:tc>
          <w:tcPr>
            <w:tcW w:w="699" w:type="dxa"/>
            <w:tcBorders>
              <w:top w:val="single" w:sz="4" w:space="0" w:color="000000"/>
              <w:left w:val="single" w:sz="4" w:space="0" w:color="000000"/>
              <w:bottom w:val="single" w:sz="4" w:space="0" w:color="000000"/>
              <w:right w:val="single" w:sz="4" w:space="0" w:color="000000"/>
            </w:tcBorders>
          </w:tcPr>
          <w:p w14:paraId="663D8455"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24.00</w:t>
            </w:r>
          </w:p>
        </w:tc>
        <w:tc>
          <w:tcPr>
            <w:tcW w:w="699" w:type="dxa"/>
            <w:tcBorders>
              <w:top w:val="single" w:sz="4" w:space="0" w:color="000000"/>
              <w:left w:val="single" w:sz="4" w:space="0" w:color="000000"/>
              <w:bottom w:val="single" w:sz="4" w:space="0" w:color="000000"/>
              <w:right w:val="single" w:sz="4" w:space="0" w:color="000000"/>
            </w:tcBorders>
          </w:tcPr>
          <w:p w14:paraId="610AA47E"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22.00</w:t>
            </w:r>
          </w:p>
        </w:tc>
        <w:tc>
          <w:tcPr>
            <w:tcW w:w="696" w:type="dxa"/>
            <w:tcBorders>
              <w:top w:val="single" w:sz="4" w:space="0" w:color="000000"/>
              <w:left w:val="single" w:sz="4" w:space="0" w:color="000000"/>
              <w:bottom w:val="single" w:sz="4" w:space="0" w:color="000000"/>
              <w:right w:val="single" w:sz="4" w:space="0" w:color="000000"/>
            </w:tcBorders>
          </w:tcPr>
          <w:p w14:paraId="70555A06"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19.00</w:t>
            </w:r>
          </w:p>
        </w:tc>
        <w:tc>
          <w:tcPr>
            <w:tcW w:w="527" w:type="dxa"/>
            <w:tcBorders>
              <w:top w:val="single" w:sz="4" w:space="0" w:color="000000"/>
              <w:left w:val="single" w:sz="4" w:space="0" w:color="000000"/>
              <w:bottom w:val="single" w:sz="4" w:space="0" w:color="000000"/>
              <w:right w:val="single" w:sz="4" w:space="0" w:color="000000"/>
            </w:tcBorders>
          </w:tcPr>
          <w:p w14:paraId="156B99BC" w14:textId="77777777" w:rsidR="00D3344B" w:rsidRDefault="00D3344B">
            <w:pPr>
              <w:pStyle w:val="TableParagraph"/>
              <w:rPr>
                <w:rFonts w:ascii="Arial" w:hAnsi="Arial" w:cs="Arial"/>
                <w:sz w:val="18"/>
                <w:szCs w:val="18"/>
              </w:rPr>
            </w:pPr>
          </w:p>
        </w:tc>
      </w:tr>
      <w:tr w:rsidR="00D3344B" w14:paraId="30297FA5"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2E3DDB8" w14:textId="77777777" w:rsidR="00D3344B" w:rsidRDefault="00143C25">
            <w:pPr>
              <w:pStyle w:val="TableParagraph"/>
              <w:rPr>
                <w:rFonts w:ascii="Arial" w:hAnsi="Arial" w:cs="Arial"/>
                <w:sz w:val="18"/>
                <w:szCs w:val="18"/>
              </w:rPr>
            </w:pPr>
            <w:r>
              <w:rPr>
                <w:rFonts w:ascii="Arial" w:hAnsi="Arial" w:cs="Arial"/>
                <w:w w:val="110"/>
                <w:sz w:val="18"/>
                <w:szCs w:val="18"/>
              </w:rPr>
              <w:lastRenderedPageBreak/>
              <w:t>02-USG-</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2ABDD30E" w14:textId="77777777" w:rsidR="00D3344B" w:rsidRDefault="00143C25">
            <w:pPr>
              <w:pStyle w:val="TableParagraph"/>
              <w:tabs>
                <w:tab w:val="left" w:pos="1056"/>
                <w:tab w:val="left" w:pos="1989"/>
              </w:tabs>
              <w:spacing w:line="252" w:lineRule="exact"/>
              <w:ind w:right="726"/>
              <w:rPr>
                <w:rFonts w:ascii="Arial" w:hAnsi="Arial" w:cs="Arial"/>
                <w:sz w:val="18"/>
                <w:szCs w:val="18"/>
              </w:rPr>
            </w:pPr>
            <w:r>
              <w:rPr>
                <w:rFonts w:ascii="Arial" w:hAnsi="Arial" w:cs="Arial"/>
                <w:spacing w:val="-2"/>
                <w:w w:val="115"/>
                <w:sz w:val="18"/>
                <w:szCs w:val="18"/>
              </w:rPr>
              <w:t>Biopsia</w:t>
            </w:r>
            <w:r>
              <w:rPr>
                <w:rFonts w:ascii="Arial" w:hAnsi="Arial" w:cs="Arial"/>
                <w:sz w:val="18"/>
                <w:szCs w:val="18"/>
              </w:rPr>
              <w:tab/>
            </w:r>
            <w:r>
              <w:rPr>
                <w:rFonts w:ascii="Arial" w:hAnsi="Arial" w:cs="Arial"/>
                <w:spacing w:val="-2"/>
                <w:w w:val="115"/>
                <w:sz w:val="18"/>
                <w:szCs w:val="18"/>
              </w:rPr>
              <w:t>guiada</w:t>
            </w:r>
            <w:r>
              <w:rPr>
                <w:rFonts w:ascii="Arial" w:hAnsi="Arial" w:cs="Arial"/>
                <w:sz w:val="18"/>
                <w:szCs w:val="18"/>
              </w:rPr>
              <w:tab/>
            </w:r>
            <w:r>
              <w:rPr>
                <w:rFonts w:ascii="Arial" w:hAnsi="Arial" w:cs="Arial"/>
                <w:spacing w:val="-12"/>
                <w:w w:val="115"/>
                <w:sz w:val="18"/>
                <w:szCs w:val="18"/>
              </w:rPr>
              <w:t xml:space="preserve">por </w:t>
            </w:r>
            <w:r>
              <w:rPr>
                <w:rFonts w:ascii="Arial" w:hAnsi="Arial" w:cs="Arial"/>
                <w:spacing w:val="-2"/>
                <w:w w:val="115"/>
                <w:sz w:val="18"/>
                <w:szCs w:val="18"/>
              </w:rPr>
              <w:t>ultrasonografía</w:t>
            </w:r>
          </w:p>
        </w:tc>
        <w:tc>
          <w:tcPr>
            <w:tcW w:w="697" w:type="dxa"/>
            <w:tcBorders>
              <w:top w:val="single" w:sz="4" w:space="0" w:color="000000"/>
              <w:left w:val="single" w:sz="4" w:space="0" w:color="000000"/>
              <w:bottom w:val="single" w:sz="4" w:space="0" w:color="000000"/>
              <w:right w:val="single" w:sz="4" w:space="0" w:color="000000"/>
            </w:tcBorders>
          </w:tcPr>
          <w:p w14:paraId="4F5699A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24.25</w:t>
            </w:r>
          </w:p>
        </w:tc>
        <w:tc>
          <w:tcPr>
            <w:tcW w:w="695" w:type="dxa"/>
            <w:tcBorders>
              <w:top w:val="single" w:sz="4" w:space="0" w:color="000000"/>
              <w:left w:val="single" w:sz="4" w:space="0" w:color="000000"/>
              <w:bottom w:val="single" w:sz="4" w:space="0" w:color="000000"/>
              <w:right w:val="single" w:sz="4" w:space="0" w:color="000000"/>
            </w:tcBorders>
          </w:tcPr>
          <w:p w14:paraId="48506B49" w14:textId="77777777" w:rsidR="00D3344B" w:rsidRDefault="00143C25">
            <w:pPr>
              <w:pStyle w:val="TableParagraph"/>
              <w:rPr>
                <w:rFonts w:ascii="Arial" w:hAnsi="Arial" w:cs="Arial"/>
                <w:sz w:val="18"/>
                <w:szCs w:val="18"/>
              </w:rPr>
            </w:pPr>
            <w:r>
              <w:rPr>
                <w:rFonts w:ascii="Arial" w:hAnsi="Arial" w:cs="Arial"/>
                <w:spacing w:val="-4"/>
                <w:w w:val="115"/>
                <w:sz w:val="18"/>
                <w:szCs w:val="18"/>
              </w:rPr>
              <w:t>22.50</w:t>
            </w:r>
          </w:p>
        </w:tc>
        <w:tc>
          <w:tcPr>
            <w:tcW w:w="699" w:type="dxa"/>
            <w:tcBorders>
              <w:top w:val="single" w:sz="4" w:space="0" w:color="000000"/>
              <w:left w:val="single" w:sz="4" w:space="0" w:color="000000"/>
              <w:bottom w:val="single" w:sz="4" w:space="0" w:color="000000"/>
              <w:right w:val="single" w:sz="4" w:space="0" w:color="000000"/>
            </w:tcBorders>
          </w:tcPr>
          <w:p w14:paraId="5030B964" w14:textId="77777777" w:rsidR="00D3344B" w:rsidRDefault="00143C25">
            <w:pPr>
              <w:pStyle w:val="TableParagraph"/>
              <w:rPr>
                <w:rFonts w:ascii="Arial" w:hAnsi="Arial" w:cs="Arial"/>
                <w:sz w:val="18"/>
                <w:szCs w:val="18"/>
              </w:rPr>
            </w:pPr>
            <w:r>
              <w:rPr>
                <w:rFonts w:ascii="Arial" w:hAnsi="Arial" w:cs="Arial"/>
                <w:spacing w:val="-4"/>
                <w:w w:val="115"/>
                <w:sz w:val="18"/>
                <w:szCs w:val="18"/>
              </w:rPr>
              <w:t>21.25</w:t>
            </w:r>
          </w:p>
        </w:tc>
        <w:tc>
          <w:tcPr>
            <w:tcW w:w="699" w:type="dxa"/>
            <w:tcBorders>
              <w:top w:val="single" w:sz="4" w:space="0" w:color="000000"/>
              <w:left w:val="single" w:sz="4" w:space="0" w:color="000000"/>
              <w:bottom w:val="single" w:sz="4" w:space="0" w:color="000000"/>
              <w:right w:val="single" w:sz="4" w:space="0" w:color="000000"/>
            </w:tcBorders>
          </w:tcPr>
          <w:p w14:paraId="7845246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19.50</w:t>
            </w:r>
          </w:p>
        </w:tc>
        <w:tc>
          <w:tcPr>
            <w:tcW w:w="696" w:type="dxa"/>
            <w:tcBorders>
              <w:top w:val="single" w:sz="4" w:space="0" w:color="000000"/>
              <w:left w:val="single" w:sz="4" w:space="0" w:color="000000"/>
              <w:bottom w:val="single" w:sz="4" w:space="0" w:color="000000"/>
              <w:right w:val="single" w:sz="4" w:space="0" w:color="000000"/>
            </w:tcBorders>
          </w:tcPr>
          <w:p w14:paraId="0F92F6B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18.00</w:t>
            </w:r>
          </w:p>
        </w:tc>
        <w:tc>
          <w:tcPr>
            <w:tcW w:w="527" w:type="dxa"/>
            <w:tcBorders>
              <w:top w:val="single" w:sz="4" w:space="0" w:color="000000"/>
              <w:left w:val="single" w:sz="4" w:space="0" w:color="000000"/>
              <w:bottom w:val="single" w:sz="4" w:space="0" w:color="000000"/>
              <w:right w:val="single" w:sz="4" w:space="0" w:color="000000"/>
            </w:tcBorders>
          </w:tcPr>
          <w:p w14:paraId="140F75DE" w14:textId="77777777" w:rsidR="00D3344B" w:rsidRDefault="00D3344B">
            <w:pPr>
              <w:pStyle w:val="TableParagraph"/>
              <w:rPr>
                <w:rFonts w:ascii="Arial" w:hAnsi="Arial" w:cs="Arial"/>
                <w:sz w:val="18"/>
                <w:szCs w:val="18"/>
              </w:rPr>
            </w:pPr>
          </w:p>
        </w:tc>
      </w:tr>
      <w:tr w:rsidR="00D3344B" w14:paraId="2E5BF6AA"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4312A70C"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3D9F437D" w14:textId="77777777" w:rsidR="00D3344B" w:rsidRDefault="00143C25">
            <w:pPr>
              <w:pStyle w:val="TableParagraph"/>
              <w:tabs>
                <w:tab w:val="left" w:pos="1423"/>
              </w:tabs>
              <w:spacing w:line="252" w:lineRule="exact"/>
              <w:ind w:right="601"/>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4"/>
                <w:w w:val="110"/>
                <w:sz w:val="18"/>
                <w:szCs w:val="18"/>
              </w:rPr>
              <w:t xml:space="preserve">abdominal </w:t>
            </w:r>
            <w:r>
              <w:rPr>
                <w:rFonts w:ascii="Arial" w:hAnsi="Arial" w:cs="Arial"/>
                <w:w w:val="110"/>
                <w:sz w:val="18"/>
                <w:szCs w:val="18"/>
              </w:rPr>
              <w:t>(Abdomen y pelvis)</w:t>
            </w:r>
          </w:p>
        </w:tc>
        <w:tc>
          <w:tcPr>
            <w:tcW w:w="697" w:type="dxa"/>
            <w:tcBorders>
              <w:top w:val="single" w:sz="4" w:space="0" w:color="000000"/>
              <w:left w:val="single" w:sz="4" w:space="0" w:color="000000"/>
              <w:bottom w:val="single" w:sz="4" w:space="0" w:color="000000"/>
              <w:right w:val="single" w:sz="4" w:space="0" w:color="000000"/>
            </w:tcBorders>
          </w:tcPr>
          <w:p w14:paraId="21ECDAD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12.25</w:t>
            </w:r>
          </w:p>
        </w:tc>
        <w:tc>
          <w:tcPr>
            <w:tcW w:w="695" w:type="dxa"/>
            <w:tcBorders>
              <w:top w:val="single" w:sz="4" w:space="0" w:color="000000"/>
              <w:left w:val="single" w:sz="4" w:space="0" w:color="000000"/>
              <w:bottom w:val="single" w:sz="4" w:space="0" w:color="000000"/>
              <w:right w:val="single" w:sz="4" w:space="0" w:color="000000"/>
            </w:tcBorders>
          </w:tcPr>
          <w:p w14:paraId="169542EE" w14:textId="77777777" w:rsidR="00D3344B" w:rsidRDefault="00143C25">
            <w:pPr>
              <w:pStyle w:val="TableParagraph"/>
              <w:rPr>
                <w:rFonts w:ascii="Arial" w:hAnsi="Arial" w:cs="Arial"/>
                <w:sz w:val="18"/>
                <w:szCs w:val="18"/>
              </w:rPr>
            </w:pPr>
            <w:r>
              <w:rPr>
                <w:rFonts w:ascii="Arial" w:hAnsi="Arial" w:cs="Arial"/>
                <w:spacing w:val="-4"/>
                <w:w w:val="115"/>
                <w:sz w:val="18"/>
                <w:szCs w:val="18"/>
              </w:rPr>
              <w:t>10.50</w:t>
            </w:r>
          </w:p>
        </w:tc>
        <w:tc>
          <w:tcPr>
            <w:tcW w:w="699" w:type="dxa"/>
            <w:tcBorders>
              <w:top w:val="single" w:sz="4" w:space="0" w:color="000000"/>
              <w:left w:val="single" w:sz="4" w:space="0" w:color="000000"/>
              <w:bottom w:val="single" w:sz="4" w:space="0" w:color="000000"/>
              <w:right w:val="single" w:sz="4" w:space="0" w:color="000000"/>
            </w:tcBorders>
          </w:tcPr>
          <w:p w14:paraId="7735547D" w14:textId="77777777" w:rsidR="00D3344B" w:rsidRDefault="00143C25">
            <w:pPr>
              <w:pStyle w:val="TableParagraph"/>
              <w:rPr>
                <w:rFonts w:ascii="Arial" w:hAnsi="Arial" w:cs="Arial"/>
                <w:sz w:val="18"/>
                <w:szCs w:val="18"/>
              </w:rPr>
            </w:pPr>
            <w:r>
              <w:rPr>
                <w:rFonts w:ascii="Arial" w:hAnsi="Arial" w:cs="Arial"/>
                <w:spacing w:val="-4"/>
                <w:w w:val="115"/>
                <w:sz w:val="18"/>
                <w:szCs w:val="18"/>
              </w:rPr>
              <w:t>9.00</w:t>
            </w:r>
          </w:p>
        </w:tc>
        <w:tc>
          <w:tcPr>
            <w:tcW w:w="699" w:type="dxa"/>
            <w:tcBorders>
              <w:top w:val="single" w:sz="4" w:space="0" w:color="000000"/>
              <w:left w:val="single" w:sz="4" w:space="0" w:color="000000"/>
              <w:bottom w:val="single" w:sz="4" w:space="0" w:color="000000"/>
              <w:right w:val="single" w:sz="4" w:space="0" w:color="000000"/>
            </w:tcBorders>
          </w:tcPr>
          <w:p w14:paraId="53F729C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7.50</w:t>
            </w:r>
          </w:p>
        </w:tc>
        <w:tc>
          <w:tcPr>
            <w:tcW w:w="696" w:type="dxa"/>
            <w:tcBorders>
              <w:top w:val="single" w:sz="4" w:space="0" w:color="000000"/>
              <w:left w:val="single" w:sz="4" w:space="0" w:color="000000"/>
              <w:bottom w:val="single" w:sz="4" w:space="0" w:color="000000"/>
              <w:right w:val="single" w:sz="4" w:space="0" w:color="000000"/>
            </w:tcBorders>
          </w:tcPr>
          <w:p w14:paraId="4C0BC15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527" w:type="dxa"/>
            <w:tcBorders>
              <w:top w:val="single" w:sz="4" w:space="0" w:color="000000"/>
              <w:left w:val="single" w:sz="4" w:space="0" w:color="000000"/>
              <w:bottom w:val="single" w:sz="4" w:space="0" w:color="000000"/>
              <w:right w:val="single" w:sz="4" w:space="0" w:color="000000"/>
            </w:tcBorders>
          </w:tcPr>
          <w:p w14:paraId="7A0509F5" w14:textId="77777777" w:rsidR="00D3344B" w:rsidRDefault="00D3344B">
            <w:pPr>
              <w:pStyle w:val="TableParagraph"/>
              <w:rPr>
                <w:rFonts w:ascii="Arial" w:hAnsi="Arial" w:cs="Arial"/>
                <w:sz w:val="18"/>
                <w:szCs w:val="18"/>
              </w:rPr>
            </w:pPr>
          </w:p>
        </w:tc>
      </w:tr>
      <w:tr w:rsidR="00D3344B" w14:paraId="43A9D773"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19129893"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7973F772"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8"/>
                <w:w w:val="110"/>
                <w:sz w:val="18"/>
                <w:szCs w:val="18"/>
              </w:rPr>
              <w:t xml:space="preserve"> </w:t>
            </w:r>
            <w:proofErr w:type="spellStart"/>
            <w:r>
              <w:rPr>
                <w:rFonts w:ascii="Arial" w:hAnsi="Arial" w:cs="Arial"/>
                <w:spacing w:val="-2"/>
                <w:w w:val="110"/>
                <w:sz w:val="18"/>
                <w:szCs w:val="18"/>
              </w:rPr>
              <w:t>doppler</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70E8CB8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15.75</w:t>
            </w:r>
          </w:p>
        </w:tc>
        <w:tc>
          <w:tcPr>
            <w:tcW w:w="695" w:type="dxa"/>
            <w:tcBorders>
              <w:top w:val="single" w:sz="4" w:space="0" w:color="000000"/>
              <w:left w:val="single" w:sz="4" w:space="0" w:color="000000"/>
              <w:bottom w:val="single" w:sz="4" w:space="0" w:color="000000"/>
              <w:right w:val="single" w:sz="4" w:space="0" w:color="000000"/>
            </w:tcBorders>
          </w:tcPr>
          <w:p w14:paraId="2DD497F1" w14:textId="77777777" w:rsidR="00D3344B" w:rsidRDefault="00143C25">
            <w:pPr>
              <w:pStyle w:val="TableParagraph"/>
              <w:rPr>
                <w:rFonts w:ascii="Arial" w:hAnsi="Arial" w:cs="Arial"/>
                <w:sz w:val="18"/>
                <w:szCs w:val="18"/>
              </w:rPr>
            </w:pPr>
            <w:r>
              <w:rPr>
                <w:rFonts w:ascii="Arial" w:hAnsi="Arial" w:cs="Arial"/>
                <w:spacing w:val="-4"/>
                <w:w w:val="115"/>
                <w:sz w:val="18"/>
                <w:szCs w:val="18"/>
              </w:rPr>
              <w:t>14.25</w:t>
            </w:r>
          </w:p>
        </w:tc>
        <w:tc>
          <w:tcPr>
            <w:tcW w:w="699" w:type="dxa"/>
            <w:tcBorders>
              <w:top w:val="single" w:sz="4" w:space="0" w:color="000000"/>
              <w:left w:val="single" w:sz="4" w:space="0" w:color="000000"/>
              <w:bottom w:val="single" w:sz="4" w:space="0" w:color="000000"/>
              <w:right w:val="single" w:sz="4" w:space="0" w:color="000000"/>
            </w:tcBorders>
          </w:tcPr>
          <w:p w14:paraId="4FD5BE4F" w14:textId="77777777" w:rsidR="00D3344B" w:rsidRDefault="00143C25">
            <w:pPr>
              <w:pStyle w:val="TableParagraph"/>
              <w:rPr>
                <w:rFonts w:ascii="Arial" w:hAnsi="Arial" w:cs="Arial"/>
                <w:sz w:val="18"/>
                <w:szCs w:val="18"/>
              </w:rPr>
            </w:pPr>
            <w:r>
              <w:rPr>
                <w:rFonts w:ascii="Arial" w:hAnsi="Arial" w:cs="Arial"/>
                <w:spacing w:val="-4"/>
                <w:w w:val="115"/>
                <w:sz w:val="18"/>
                <w:szCs w:val="18"/>
              </w:rPr>
              <w:t>12.50</w:t>
            </w:r>
          </w:p>
        </w:tc>
        <w:tc>
          <w:tcPr>
            <w:tcW w:w="699" w:type="dxa"/>
            <w:tcBorders>
              <w:top w:val="single" w:sz="4" w:space="0" w:color="000000"/>
              <w:left w:val="single" w:sz="4" w:space="0" w:color="000000"/>
              <w:bottom w:val="single" w:sz="4" w:space="0" w:color="000000"/>
              <w:right w:val="single" w:sz="4" w:space="0" w:color="000000"/>
            </w:tcBorders>
          </w:tcPr>
          <w:p w14:paraId="55F2BAA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11.00</w:t>
            </w:r>
          </w:p>
        </w:tc>
        <w:tc>
          <w:tcPr>
            <w:tcW w:w="696" w:type="dxa"/>
            <w:tcBorders>
              <w:top w:val="single" w:sz="4" w:space="0" w:color="000000"/>
              <w:left w:val="single" w:sz="4" w:space="0" w:color="000000"/>
              <w:bottom w:val="single" w:sz="4" w:space="0" w:color="000000"/>
              <w:right w:val="single" w:sz="4" w:space="0" w:color="000000"/>
            </w:tcBorders>
          </w:tcPr>
          <w:p w14:paraId="5BEFB6B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9.50</w:t>
            </w:r>
          </w:p>
        </w:tc>
        <w:tc>
          <w:tcPr>
            <w:tcW w:w="527" w:type="dxa"/>
            <w:tcBorders>
              <w:top w:val="single" w:sz="4" w:space="0" w:color="000000"/>
              <w:left w:val="single" w:sz="4" w:space="0" w:color="000000"/>
              <w:bottom w:val="single" w:sz="4" w:space="0" w:color="000000"/>
              <w:right w:val="single" w:sz="4" w:space="0" w:color="000000"/>
            </w:tcBorders>
          </w:tcPr>
          <w:p w14:paraId="16408137" w14:textId="77777777" w:rsidR="00D3344B" w:rsidRDefault="00D3344B">
            <w:pPr>
              <w:pStyle w:val="TableParagraph"/>
              <w:rPr>
                <w:rFonts w:ascii="Arial" w:hAnsi="Arial" w:cs="Arial"/>
                <w:sz w:val="18"/>
                <w:szCs w:val="18"/>
              </w:rPr>
            </w:pPr>
          </w:p>
        </w:tc>
      </w:tr>
      <w:tr w:rsidR="00D3344B" w14:paraId="1D6C74EE"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5BB20A8"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56E0AA9E"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 xml:space="preserve">Ultrasonido </w:t>
            </w:r>
            <w:proofErr w:type="spellStart"/>
            <w:r>
              <w:rPr>
                <w:rFonts w:ascii="Arial" w:hAnsi="Arial" w:cs="Arial"/>
                <w:w w:val="110"/>
                <w:sz w:val="18"/>
                <w:szCs w:val="18"/>
              </w:rPr>
              <w:t>endocavitano</w:t>
            </w:r>
            <w:proofErr w:type="spellEnd"/>
            <w:r>
              <w:rPr>
                <w:rFonts w:ascii="Arial" w:hAnsi="Arial" w:cs="Arial"/>
                <w:w w:val="110"/>
                <w:sz w:val="18"/>
                <w:szCs w:val="18"/>
              </w:rPr>
              <w:t xml:space="preserve"> (</w:t>
            </w:r>
            <w:proofErr w:type="spellStart"/>
            <w:r>
              <w:rPr>
                <w:rFonts w:ascii="Arial" w:hAnsi="Arial" w:cs="Arial"/>
                <w:w w:val="110"/>
                <w:sz w:val="18"/>
                <w:szCs w:val="18"/>
              </w:rPr>
              <w:t>endovaginal</w:t>
            </w:r>
            <w:proofErr w:type="spellEnd"/>
            <w:r>
              <w:rPr>
                <w:rFonts w:ascii="Arial" w:hAnsi="Arial" w:cs="Arial"/>
                <w:spacing w:val="-16"/>
                <w:w w:val="110"/>
                <w:sz w:val="18"/>
                <w:szCs w:val="18"/>
              </w:rPr>
              <w:t xml:space="preserve"> </w:t>
            </w:r>
            <w:r>
              <w:rPr>
                <w:rFonts w:ascii="Arial" w:hAnsi="Arial" w:cs="Arial"/>
                <w:w w:val="110"/>
                <w:sz w:val="18"/>
                <w:szCs w:val="18"/>
              </w:rPr>
              <w:t>o</w:t>
            </w:r>
            <w:r>
              <w:rPr>
                <w:rFonts w:ascii="Arial" w:hAnsi="Arial" w:cs="Arial"/>
                <w:spacing w:val="-15"/>
                <w:w w:val="110"/>
                <w:sz w:val="18"/>
                <w:szCs w:val="18"/>
              </w:rPr>
              <w:t xml:space="preserve"> </w:t>
            </w:r>
            <w:r>
              <w:rPr>
                <w:rFonts w:ascii="Arial" w:hAnsi="Arial" w:cs="Arial"/>
                <w:w w:val="110"/>
                <w:sz w:val="18"/>
                <w:szCs w:val="18"/>
              </w:rPr>
              <w:t>transrectal)</w:t>
            </w:r>
          </w:p>
        </w:tc>
        <w:tc>
          <w:tcPr>
            <w:tcW w:w="697" w:type="dxa"/>
            <w:tcBorders>
              <w:top w:val="single" w:sz="4" w:space="0" w:color="000000"/>
              <w:left w:val="single" w:sz="4" w:space="0" w:color="000000"/>
              <w:bottom w:val="single" w:sz="4" w:space="0" w:color="000000"/>
              <w:right w:val="single" w:sz="4" w:space="0" w:color="000000"/>
            </w:tcBorders>
          </w:tcPr>
          <w:p w14:paraId="03FE443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8.50</w:t>
            </w:r>
          </w:p>
        </w:tc>
        <w:tc>
          <w:tcPr>
            <w:tcW w:w="695" w:type="dxa"/>
            <w:tcBorders>
              <w:top w:val="single" w:sz="4" w:space="0" w:color="000000"/>
              <w:left w:val="single" w:sz="4" w:space="0" w:color="000000"/>
              <w:bottom w:val="single" w:sz="4" w:space="0" w:color="000000"/>
              <w:right w:val="single" w:sz="4" w:space="0" w:color="000000"/>
            </w:tcBorders>
          </w:tcPr>
          <w:p w14:paraId="4C8BE37F"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2DA36018" w14:textId="77777777" w:rsidR="00D3344B" w:rsidRDefault="00143C25">
            <w:pPr>
              <w:pStyle w:val="TableParagraph"/>
              <w:rPr>
                <w:rFonts w:ascii="Arial" w:hAnsi="Arial" w:cs="Arial"/>
                <w:sz w:val="18"/>
                <w:szCs w:val="18"/>
              </w:rPr>
            </w:pPr>
            <w:r>
              <w:rPr>
                <w:rFonts w:ascii="Arial" w:hAnsi="Arial" w:cs="Arial"/>
                <w:spacing w:val="-4"/>
                <w:w w:val="115"/>
                <w:sz w:val="18"/>
                <w:szCs w:val="18"/>
              </w:rPr>
              <w:t>6.75</w:t>
            </w:r>
          </w:p>
        </w:tc>
        <w:tc>
          <w:tcPr>
            <w:tcW w:w="699" w:type="dxa"/>
            <w:tcBorders>
              <w:top w:val="single" w:sz="4" w:space="0" w:color="000000"/>
              <w:left w:val="single" w:sz="4" w:space="0" w:color="000000"/>
              <w:bottom w:val="single" w:sz="4" w:space="0" w:color="000000"/>
              <w:right w:val="single" w:sz="4" w:space="0" w:color="000000"/>
            </w:tcBorders>
          </w:tcPr>
          <w:p w14:paraId="6FAA543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696" w:type="dxa"/>
            <w:tcBorders>
              <w:top w:val="single" w:sz="4" w:space="0" w:color="000000"/>
              <w:left w:val="single" w:sz="4" w:space="0" w:color="000000"/>
              <w:bottom w:val="single" w:sz="4" w:space="0" w:color="000000"/>
              <w:right w:val="single" w:sz="4" w:space="0" w:color="000000"/>
            </w:tcBorders>
          </w:tcPr>
          <w:p w14:paraId="746D46C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1F410BC0" w14:textId="77777777" w:rsidR="00D3344B" w:rsidRDefault="00D3344B">
            <w:pPr>
              <w:pStyle w:val="TableParagraph"/>
              <w:rPr>
                <w:rFonts w:ascii="Arial" w:hAnsi="Arial" w:cs="Arial"/>
                <w:sz w:val="18"/>
                <w:szCs w:val="18"/>
              </w:rPr>
            </w:pPr>
          </w:p>
        </w:tc>
      </w:tr>
      <w:tr w:rsidR="00D3344B" w14:paraId="7FDC5C5A"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64CEA06E"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005</w:t>
            </w:r>
          </w:p>
        </w:tc>
        <w:tc>
          <w:tcPr>
            <w:tcW w:w="3038" w:type="dxa"/>
            <w:tcBorders>
              <w:top w:val="single" w:sz="4" w:space="0" w:color="000000"/>
              <w:left w:val="single" w:sz="4" w:space="0" w:color="000000"/>
              <w:bottom w:val="single" w:sz="4" w:space="0" w:color="000000"/>
              <w:right w:val="single" w:sz="4" w:space="0" w:color="000000"/>
            </w:tcBorders>
          </w:tcPr>
          <w:p w14:paraId="65ED9139"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Ultrasonido</w:t>
            </w:r>
            <w:r>
              <w:rPr>
                <w:rFonts w:ascii="Arial" w:hAnsi="Arial" w:cs="Arial"/>
                <w:spacing w:val="56"/>
                <w:w w:val="110"/>
                <w:sz w:val="18"/>
                <w:szCs w:val="18"/>
              </w:rPr>
              <w:t xml:space="preserve"> </w:t>
            </w:r>
            <w:r>
              <w:rPr>
                <w:rFonts w:ascii="Arial" w:hAnsi="Arial" w:cs="Arial"/>
                <w:w w:val="110"/>
                <w:sz w:val="18"/>
                <w:szCs w:val="18"/>
              </w:rPr>
              <w:t>de</w:t>
            </w:r>
            <w:r>
              <w:rPr>
                <w:rFonts w:ascii="Arial" w:hAnsi="Arial" w:cs="Arial"/>
                <w:spacing w:val="56"/>
                <w:w w:val="110"/>
                <w:sz w:val="18"/>
                <w:szCs w:val="18"/>
              </w:rPr>
              <w:t xml:space="preserve"> </w:t>
            </w:r>
            <w:r>
              <w:rPr>
                <w:rFonts w:ascii="Arial" w:hAnsi="Arial" w:cs="Arial"/>
                <w:w w:val="110"/>
                <w:sz w:val="18"/>
                <w:szCs w:val="18"/>
              </w:rPr>
              <w:t>hígado</w:t>
            </w:r>
            <w:r>
              <w:rPr>
                <w:rFonts w:ascii="Arial" w:hAnsi="Arial" w:cs="Arial"/>
                <w:spacing w:val="58"/>
                <w:w w:val="110"/>
                <w:sz w:val="18"/>
                <w:szCs w:val="18"/>
              </w:rPr>
              <w:t xml:space="preserve"> </w:t>
            </w:r>
            <w:r>
              <w:rPr>
                <w:rFonts w:ascii="Arial" w:hAnsi="Arial" w:cs="Arial"/>
                <w:w w:val="110"/>
                <w:sz w:val="18"/>
                <w:szCs w:val="18"/>
              </w:rPr>
              <w:t>y</w:t>
            </w:r>
            <w:r>
              <w:rPr>
                <w:rFonts w:ascii="Arial" w:hAnsi="Arial" w:cs="Arial"/>
                <w:spacing w:val="55"/>
                <w:w w:val="110"/>
                <w:sz w:val="18"/>
                <w:szCs w:val="18"/>
              </w:rPr>
              <w:t xml:space="preserve"> </w:t>
            </w:r>
            <w:r>
              <w:rPr>
                <w:rFonts w:ascii="Arial" w:hAnsi="Arial" w:cs="Arial"/>
                <w:spacing w:val="-4"/>
                <w:w w:val="110"/>
                <w:sz w:val="18"/>
                <w:szCs w:val="18"/>
              </w:rPr>
              <w:t>vías</w:t>
            </w:r>
          </w:p>
          <w:p w14:paraId="65E91BCF" w14:textId="77777777" w:rsidR="00D3344B" w:rsidRDefault="00143C25">
            <w:pPr>
              <w:pStyle w:val="TableParagraph"/>
              <w:spacing w:before="1" w:line="233" w:lineRule="exact"/>
              <w:rPr>
                <w:rFonts w:ascii="Arial" w:hAnsi="Arial" w:cs="Arial"/>
                <w:sz w:val="18"/>
                <w:szCs w:val="18"/>
              </w:rPr>
            </w:pPr>
            <w:r>
              <w:rPr>
                <w:rFonts w:ascii="Arial" w:hAnsi="Arial" w:cs="Arial"/>
                <w:spacing w:val="-2"/>
                <w:w w:val="110"/>
                <w:sz w:val="18"/>
                <w:szCs w:val="18"/>
              </w:rPr>
              <w:t>biliares</w:t>
            </w:r>
          </w:p>
        </w:tc>
        <w:tc>
          <w:tcPr>
            <w:tcW w:w="697" w:type="dxa"/>
            <w:tcBorders>
              <w:top w:val="single" w:sz="4" w:space="0" w:color="000000"/>
              <w:left w:val="single" w:sz="4" w:space="0" w:color="000000"/>
              <w:bottom w:val="single" w:sz="4" w:space="0" w:color="000000"/>
              <w:right w:val="single" w:sz="4" w:space="0" w:color="000000"/>
            </w:tcBorders>
          </w:tcPr>
          <w:p w14:paraId="3ADCC7D0"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42EA5AD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33AADF1D"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3D3E378C"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16E5D1CD"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09AE5415" w14:textId="77777777" w:rsidR="00D3344B" w:rsidRDefault="00D3344B">
            <w:pPr>
              <w:pStyle w:val="TableParagraph"/>
              <w:rPr>
                <w:rFonts w:ascii="Arial" w:hAnsi="Arial" w:cs="Arial"/>
                <w:sz w:val="18"/>
                <w:szCs w:val="18"/>
              </w:rPr>
            </w:pPr>
          </w:p>
        </w:tc>
      </w:tr>
      <w:tr w:rsidR="00D3344B" w14:paraId="64D2D61A"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43CFE7C6"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006</w:t>
            </w:r>
          </w:p>
        </w:tc>
        <w:tc>
          <w:tcPr>
            <w:tcW w:w="3038" w:type="dxa"/>
            <w:tcBorders>
              <w:top w:val="single" w:sz="4" w:space="0" w:color="000000"/>
              <w:left w:val="single" w:sz="4" w:space="0" w:color="000000"/>
              <w:bottom w:val="single" w:sz="4" w:space="0" w:color="000000"/>
              <w:right w:val="single" w:sz="4" w:space="0" w:color="000000"/>
            </w:tcBorders>
          </w:tcPr>
          <w:p w14:paraId="19FB732B"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8"/>
                <w:w w:val="110"/>
                <w:sz w:val="18"/>
                <w:szCs w:val="18"/>
              </w:rPr>
              <w:t xml:space="preserve"> </w:t>
            </w:r>
            <w:r>
              <w:rPr>
                <w:rFonts w:ascii="Arial" w:hAnsi="Arial" w:cs="Arial"/>
                <w:spacing w:val="-2"/>
                <w:w w:val="110"/>
                <w:sz w:val="18"/>
                <w:szCs w:val="18"/>
              </w:rPr>
              <w:t>pélvico</w:t>
            </w:r>
          </w:p>
        </w:tc>
        <w:tc>
          <w:tcPr>
            <w:tcW w:w="697" w:type="dxa"/>
            <w:tcBorders>
              <w:top w:val="single" w:sz="4" w:space="0" w:color="000000"/>
              <w:left w:val="single" w:sz="4" w:space="0" w:color="000000"/>
              <w:bottom w:val="single" w:sz="4" w:space="0" w:color="000000"/>
              <w:right w:val="single" w:sz="4" w:space="0" w:color="000000"/>
            </w:tcBorders>
          </w:tcPr>
          <w:p w14:paraId="5E7E031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2349C50E"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60195DEF" w14:textId="77777777" w:rsidR="00D3344B" w:rsidRDefault="00143C25">
            <w:pPr>
              <w:pStyle w:val="TableParagraph"/>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48358E5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49A2646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75F2206C" w14:textId="77777777" w:rsidR="00D3344B" w:rsidRDefault="00D3344B">
            <w:pPr>
              <w:pStyle w:val="TableParagraph"/>
              <w:rPr>
                <w:rFonts w:ascii="Arial" w:hAnsi="Arial" w:cs="Arial"/>
                <w:sz w:val="18"/>
                <w:szCs w:val="18"/>
              </w:rPr>
            </w:pPr>
          </w:p>
        </w:tc>
      </w:tr>
      <w:tr w:rsidR="00D3344B" w14:paraId="41D877A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76CA1DA"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007</w:t>
            </w:r>
          </w:p>
        </w:tc>
        <w:tc>
          <w:tcPr>
            <w:tcW w:w="3038" w:type="dxa"/>
            <w:tcBorders>
              <w:top w:val="single" w:sz="4" w:space="0" w:color="000000"/>
              <w:left w:val="single" w:sz="4" w:space="0" w:color="000000"/>
              <w:bottom w:val="single" w:sz="4" w:space="0" w:color="000000"/>
              <w:right w:val="single" w:sz="4" w:space="0" w:color="000000"/>
            </w:tcBorders>
          </w:tcPr>
          <w:p w14:paraId="6D89EC14" w14:textId="77777777" w:rsidR="00D3344B" w:rsidRDefault="00143C25">
            <w:pPr>
              <w:pStyle w:val="TableParagraph"/>
              <w:tabs>
                <w:tab w:val="left" w:pos="1524"/>
                <w:tab w:val="left" w:pos="2131"/>
              </w:tabs>
              <w:spacing w:line="254" w:lineRule="exact"/>
              <w:ind w:right="1"/>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pequeñas partes</w:t>
            </w:r>
          </w:p>
        </w:tc>
        <w:tc>
          <w:tcPr>
            <w:tcW w:w="697" w:type="dxa"/>
            <w:tcBorders>
              <w:top w:val="single" w:sz="4" w:space="0" w:color="000000"/>
              <w:left w:val="single" w:sz="4" w:space="0" w:color="000000"/>
              <w:bottom w:val="single" w:sz="4" w:space="0" w:color="000000"/>
              <w:right w:val="single" w:sz="4" w:space="0" w:color="000000"/>
            </w:tcBorders>
          </w:tcPr>
          <w:p w14:paraId="5F32AAD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5.50</w:t>
            </w:r>
          </w:p>
        </w:tc>
        <w:tc>
          <w:tcPr>
            <w:tcW w:w="695" w:type="dxa"/>
            <w:tcBorders>
              <w:top w:val="single" w:sz="4" w:space="0" w:color="000000"/>
              <w:left w:val="single" w:sz="4" w:space="0" w:color="000000"/>
              <w:bottom w:val="single" w:sz="4" w:space="0" w:color="000000"/>
              <w:right w:val="single" w:sz="4" w:space="0" w:color="000000"/>
            </w:tcBorders>
          </w:tcPr>
          <w:p w14:paraId="35D0990D" w14:textId="77777777" w:rsidR="00D3344B" w:rsidRDefault="00143C25">
            <w:pPr>
              <w:pStyle w:val="TableParagraph"/>
              <w:rPr>
                <w:rFonts w:ascii="Arial" w:hAnsi="Arial" w:cs="Arial"/>
                <w:sz w:val="18"/>
                <w:szCs w:val="18"/>
              </w:rPr>
            </w:pPr>
            <w:r>
              <w:rPr>
                <w:rFonts w:ascii="Arial" w:hAnsi="Arial" w:cs="Arial"/>
                <w:spacing w:val="-4"/>
                <w:w w:val="115"/>
                <w:sz w:val="18"/>
                <w:szCs w:val="18"/>
              </w:rPr>
              <w:t>5.00</w:t>
            </w:r>
          </w:p>
        </w:tc>
        <w:tc>
          <w:tcPr>
            <w:tcW w:w="699" w:type="dxa"/>
            <w:tcBorders>
              <w:top w:val="single" w:sz="4" w:space="0" w:color="000000"/>
              <w:left w:val="single" w:sz="4" w:space="0" w:color="000000"/>
              <w:bottom w:val="single" w:sz="4" w:space="0" w:color="000000"/>
              <w:right w:val="single" w:sz="4" w:space="0" w:color="000000"/>
            </w:tcBorders>
          </w:tcPr>
          <w:p w14:paraId="1E8C623D" w14:textId="77777777" w:rsidR="00D3344B" w:rsidRDefault="00143C25">
            <w:pPr>
              <w:pStyle w:val="TableParagraph"/>
              <w:rPr>
                <w:rFonts w:ascii="Arial" w:hAnsi="Arial" w:cs="Arial"/>
                <w:sz w:val="18"/>
                <w:szCs w:val="18"/>
              </w:rPr>
            </w:pPr>
            <w:r>
              <w:rPr>
                <w:rFonts w:ascii="Arial" w:hAnsi="Arial" w:cs="Arial"/>
                <w:spacing w:val="-4"/>
                <w:w w:val="115"/>
                <w:sz w:val="18"/>
                <w:szCs w:val="18"/>
              </w:rPr>
              <w:t>4.50</w:t>
            </w:r>
          </w:p>
        </w:tc>
        <w:tc>
          <w:tcPr>
            <w:tcW w:w="699" w:type="dxa"/>
            <w:tcBorders>
              <w:top w:val="single" w:sz="4" w:space="0" w:color="000000"/>
              <w:left w:val="single" w:sz="4" w:space="0" w:color="000000"/>
              <w:bottom w:val="single" w:sz="4" w:space="0" w:color="000000"/>
              <w:right w:val="single" w:sz="4" w:space="0" w:color="000000"/>
            </w:tcBorders>
          </w:tcPr>
          <w:p w14:paraId="0AA181D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4.00</w:t>
            </w:r>
          </w:p>
        </w:tc>
        <w:tc>
          <w:tcPr>
            <w:tcW w:w="696" w:type="dxa"/>
            <w:tcBorders>
              <w:top w:val="single" w:sz="4" w:space="0" w:color="000000"/>
              <w:left w:val="single" w:sz="4" w:space="0" w:color="000000"/>
              <w:bottom w:val="single" w:sz="4" w:space="0" w:color="000000"/>
              <w:right w:val="single" w:sz="4" w:space="0" w:color="000000"/>
            </w:tcBorders>
          </w:tcPr>
          <w:p w14:paraId="70FE2F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6282753C" w14:textId="77777777" w:rsidR="00D3344B" w:rsidRDefault="00D3344B">
            <w:pPr>
              <w:pStyle w:val="TableParagraph"/>
              <w:rPr>
                <w:rFonts w:ascii="Arial" w:hAnsi="Arial" w:cs="Arial"/>
                <w:sz w:val="18"/>
                <w:szCs w:val="18"/>
              </w:rPr>
            </w:pPr>
          </w:p>
        </w:tc>
      </w:tr>
      <w:tr w:rsidR="00D3344B" w14:paraId="495E7AFA"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28734159"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008</w:t>
            </w:r>
          </w:p>
        </w:tc>
        <w:tc>
          <w:tcPr>
            <w:tcW w:w="3038" w:type="dxa"/>
            <w:tcBorders>
              <w:top w:val="single" w:sz="4" w:space="0" w:color="000000"/>
              <w:left w:val="single" w:sz="4" w:space="0" w:color="000000"/>
              <w:bottom w:val="single" w:sz="4" w:space="0" w:color="000000"/>
              <w:right w:val="single" w:sz="4" w:space="0" w:color="000000"/>
            </w:tcBorders>
          </w:tcPr>
          <w:p w14:paraId="689EBA96"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Ultrasonido</w:t>
            </w:r>
            <w:r>
              <w:rPr>
                <w:rFonts w:ascii="Arial" w:hAnsi="Arial" w:cs="Arial"/>
                <w:spacing w:val="13"/>
                <w:w w:val="110"/>
                <w:sz w:val="18"/>
                <w:szCs w:val="18"/>
              </w:rPr>
              <w:t xml:space="preserve"> </w:t>
            </w:r>
            <w:r>
              <w:rPr>
                <w:rFonts w:ascii="Arial" w:hAnsi="Arial" w:cs="Arial"/>
                <w:w w:val="110"/>
                <w:sz w:val="18"/>
                <w:szCs w:val="18"/>
              </w:rPr>
              <w:t>de</w:t>
            </w:r>
            <w:r>
              <w:rPr>
                <w:rFonts w:ascii="Arial" w:hAnsi="Arial" w:cs="Arial"/>
                <w:spacing w:val="12"/>
                <w:w w:val="110"/>
                <w:sz w:val="18"/>
                <w:szCs w:val="18"/>
              </w:rPr>
              <w:t xml:space="preserve"> </w:t>
            </w:r>
            <w:r>
              <w:rPr>
                <w:rFonts w:ascii="Arial" w:hAnsi="Arial" w:cs="Arial"/>
                <w:spacing w:val="-2"/>
                <w:w w:val="110"/>
                <w:sz w:val="18"/>
                <w:szCs w:val="18"/>
              </w:rPr>
              <w:t>próstata</w:t>
            </w:r>
          </w:p>
        </w:tc>
        <w:tc>
          <w:tcPr>
            <w:tcW w:w="697" w:type="dxa"/>
            <w:tcBorders>
              <w:top w:val="single" w:sz="4" w:space="0" w:color="000000"/>
              <w:left w:val="single" w:sz="4" w:space="0" w:color="000000"/>
              <w:bottom w:val="single" w:sz="4" w:space="0" w:color="000000"/>
              <w:right w:val="single" w:sz="4" w:space="0" w:color="000000"/>
            </w:tcBorders>
          </w:tcPr>
          <w:p w14:paraId="2C6902BB"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539A8B89"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6AE7EB2C"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5E35E01B"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53E36604"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55CD8B1B" w14:textId="77777777" w:rsidR="00D3344B" w:rsidRDefault="00D3344B">
            <w:pPr>
              <w:pStyle w:val="TableParagraph"/>
              <w:rPr>
                <w:rFonts w:ascii="Arial" w:hAnsi="Arial" w:cs="Arial"/>
                <w:sz w:val="18"/>
                <w:szCs w:val="18"/>
              </w:rPr>
            </w:pPr>
          </w:p>
        </w:tc>
      </w:tr>
      <w:tr w:rsidR="00D3344B" w14:paraId="7EBC794A"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8A09F70"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009</w:t>
            </w:r>
          </w:p>
        </w:tc>
        <w:tc>
          <w:tcPr>
            <w:tcW w:w="3038" w:type="dxa"/>
            <w:tcBorders>
              <w:top w:val="single" w:sz="4" w:space="0" w:color="000000"/>
              <w:left w:val="single" w:sz="4" w:space="0" w:color="000000"/>
              <w:bottom w:val="single" w:sz="4" w:space="0" w:color="000000"/>
              <w:right w:val="single" w:sz="4" w:space="0" w:color="000000"/>
            </w:tcBorders>
          </w:tcPr>
          <w:p w14:paraId="551164A0" w14:textId="77777777" w:rsidR="00D3344B" w:rsidRDefault="00143C25">
            <w:pPr>
              <w:pStyle w:val="TableParagraph"/>
              <w:rPr>
                <w:rFonts w:ascii="Arial" w:hAnsi="Arial" w:cs="Arial"/>
                <w:sz w:val="18"/>
                <w:szCs w:val="18"/>
              </w:rPr>
            </w:pPr>
            <w:r>
              <w:rPr>
                <w:rFonts w:ascii="Arial" w:hAnsi="Arial" w:cs="Arial"/>
                <w:spacing w:val="-2"/>
                <w:w w:val="115"/>
                <w:sz w:val="18"/>
                <w:szCs w:val="18"/>
              </w:rPr>
              <w:t>Ultrasonido</w:t>
            </w:r>
            <w:r>
              <w:rPr>
                <w:rFonts w:ascii="Arial" w:hAnsi="Arial" w:cs="Arial"/>
                <w:spacing w:val="-5"/>
                <w:w w:val="115"/>
                <w:sz w:val="18"/>
                <w:szCs w:val="18"/>
              </w:rPr>
              <w:t xml:space="preserve"> </w:t>
            </w:r>
            <w:r>
              <w:rPr>
                <w:rFonts w:ascii="Arial" w:hAnsi="Arial" w:cs="Arial"/>
                <w:spacing w:val="-2"/>
                <w:w w:val="115"/>
                <w:sz w:val="18"/>
                <w:szCs w:val="18"/>
              </w:rPr>
              <w:t>renal</w:t>
            </w:r>
          </w:p>
        </w:tc>
        <w:tc>
          <w:tcPr>
            <w:tcW w:w="697" w:type="dxa"/>
            <w:tcBorders>
              <w:top w:val="single" w:sz="4" w:space="0" w:color="000000"/>
              <w:left w:val="single" w:sz="4" w:space="0" w:color="000000"/>
              <w:bottom w:val="single" w:sz="4" w:space="0" w:color="000000"/>
              <w:right w:val="single" w:sz="4" w:space="0" w:color="000000"/>
            </w:tcBorders>
          </w:tcPr>
          <w:p w14:paraId="174E3F4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2FDDF82F"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7186ECCD" w14:textId="77777777" w:rsidR="00D3344B" w:rsidRDefault="00143C25">
            <w:pPr>
              <w:pStyle w:val="TableParagraph"/>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60376A7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48FCF42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2B308073" w14:textId="77777777" w:rsidR="00D3344B" w:rsidRDefault="00D3344B">
            <w:pPr>
              <w:pStyle w:val="TableParagraph"/>
              <w:rPr>
                <w:rFonts w:ascii="Arial" w:hAnsi="Arial" w:cs="Arial"/>
                <w:sz w:val="18"/>
                <w:szCs w:val="18"/>
              </w:rPr>
            </w:pPr>
          </w:p>
        </w:tc>
      </w:tr>
      <w:tr w:rsidR="00D3344B" w14:paraId="3EA5A0BC"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1F8610F5"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010</w:t>
            </w:r>
          </w:p>
        </w:tc>
        <w:tc>
          <w:tcPr>
            <w:tcW w:w="3038" w:type="dxa"/>
            <w:tcBorders>
              <w:top w:val="single" w:sz="4" w:space="0" w:color="000000"/>
              <w:left w:val="single" w:sz="4" w:space="0" w:color="000000"/>
              <w:bottom w:val="single" w:sz="4" w:space="0" w:color="000000"/>
              <w:right w:val="single" w:sz="4" w:space="0" w:color="000000"/>
            </w:tcBorders>
          </w:tcPr>
          <w:p w14:paraId="75455141"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8"/>
                <w:w w:val="110"/>
                <w:sz w:val="18"/>
                <w:szCs w:val="18"/>
              </w:rPr>
              <w:t xml:space="preserve"> </w:t>
            </w:r>
            <w:r>
              <w:rPr>
                <w:rFonts w:ascii="Arial" w:hAnsi="Arial" w:cs="Arial"/>
                <w:spacing w:val="-2"/>
                <w:w w:val="110"/>
                <w:sz w:val="18"/>
                <w:szCs w:val="18"/>
              </w:rPr>
              <w:t>obstétrico</w:t>
            </w:r>
          </w:p>
        </w:tc>
        <w:tc>
          <w:tcPr>
            <w:tcW w:w="697" w:type="dxa"/>
            <w:tcBorders>
              <w:top w:val="single" w:sz="4" w:space="0" w:color="000000"/>
              <w:left w:val="single" w:sz="4" w:space="0" w:color="000000"/>
              <w:bottom w:val="single" w:sz="4" w:space="0" w:color="000000"/>
              <w:right w:val="single" w:sz="4" w:space="0" w:color="000000"/>
            </w:tcBorders>
          </w:tcPr>
          <w:p w14:paraId="7F4B2B0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01BF055D"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183D7576" w14:textId="77777777" w:rsidR="00D3344B" w:rsidRDefault="00143C25">
            <w:pPr>
              <w:pStyle w:val="TableParagraph"/>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08CFFDF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2E4E01B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01A55474" w14:textId="77777777" w:rsidR="00D3344B" w:rsidRDefault="00D3344B">
            <w:pPr>
              <w:pStyle w:val="TableParagraph"/>
              <w:rPr>
                <w:rFonts w:ascii="Arial" w:hAnsi="Arial" w:cs="Arial"/>
                <w:sz w:val="18"/>
                <w:szCs w:val="18"/>
              </w:rPr>
            </w:pPr>
          </w:p>
        </w:tc>
      </w:tr>
      <w:tr w:rsidR="00D3344B" w14:paraId="3C7E2161"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731427C8"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011</w:t>
            </w:r>
          </w:p>
        </w:tc>
        <w:tc>
          <w:tcPr>
            <w:tcW w:w="3038" w:type="dxa"/>
            <w:tcBorders>
              <w:top w:val="single" w:sz="4" w:space="0" w:color="000000"/>
              <w:left w:val="single" w:sz="4" w:space="0" w:color="000000"/>
              <w:bottom w:val="single" w:sz="4" w:space="0" w:color="000000"/>
              <w:right w:val="single" w:sz="4" w:space="0" w:color="000000"/>
            </w:tcBorders>
          </w:tcPr>
          <w:p w14:paraId="67472701"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8"/>
                <w:w w:val="110"/>
                <w:sz w:val="18"/>
                <w:szCs w:val="18"/>
              </w:rPr>
              <w:t xml:space="preserve"> </w:t>
            </w:r>
            <w:r>
              <w:rPr>
                <w:rFonts w:ascii="Arial" w:hAnsi="Arial" w:cs="Arial"/>
                <w:spacing w:val="-2"/>
                <w:w w:val="110"/>
                <w:sz w:val="18"/>
                <w:szCs w:val="18"/>
              </w:rPr>
              <w:t>mamario</w:t>
            </w:r>
          </w:p>
        </w:tc>
        <w:tc>
          <w:tcPr>
            <w:tcW w:w="697" w:type="dxa"/>
            <w:tcBorders>
              <w:top w:val="single" w:sz="4" w:space="0" w:color="000000"/>
              <w:left w:val="single" w:sz="4" w:space="0" w:color="000000"/>
              <w:bottom w:val="single" w:sz="4" w:space="0" w:color="000000"/>
              <w:right w:val="single" w:sz="4" w:space="0" w:color="000000"/>
            </w:tcBorders>
          </w:tcPr>
          <w:p w14:paraId="2FB03B3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8.50</w:t>
            </w:r>
          </w:p>
        </w:tc>
        <w:tc>
          <w:tcPr>
            <w:tcW w:w="695" w:type="dxa"/>
            <w:tcBorders>
              <w:top w:val="single" w:sz="4" w:space="0" w:color="000000"/>
              <w:left w:val="single" w:sz="4" w:space="0" w:color="000000"/>
              <w:bottom w:val="single" w:sz="4" w:space="0" w:color="000000"/>
              <w:right w:val="single" w:sz="4" w:space="0" w:color="000000"/>
            </w:tcBorders>
          </w:tcPr>
          <w:p w14:paraId="16DD5FE4"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45B4614E" w14:textId="77777777" w:rsidR="00D3344B" w:rsidRDefault="00143C25">
            <w:pPr>
              <w:pStyle w:val="TableParagraph"/>
              <w:rPr>
                <w:rFonts w:ascii="Arial" w:hAnsi="Arial" w:cs="Arial"/>
                <w:sz w:val="18"/>
                <w:szCs w:val="18"/>
              </w:rPr>
            </w:pPr>
            <w:r>
              <w:rPr>
                <w:rFonts w:ascii="Arial" w:hAnsi="Arial" w:cs="Arial"/>
                <w:spacing w:val="-4"/>
                <w:w w:val="115"/>
                <w:sz w:val="18"/>
                <w:szCs w:val="18"/>
              </w:rPr>
              <w:t>6.75</w:t>
            </w:r>
          </w:p>
        </w:tc>
        <w:tc>
          <w:tcPr>
            <w:tcW w:w="699" w:type="dxa"/>
            <w:tcBorders>
              <w:top w:val="single" w:sz="4" w:space="0" w:color="000000"/>
              <w:left w:val="single" w:sz="4" w:space="0" w:color="000000"/>
              <w:bottom w:val="single" w:sz="4" w:space="0" w:color="000000"/>
              <w:right w:val="single" w:sz="4" w:space="0" w:color="000000"/>
            </w:tcBorders>
          </w:tcPr>
          <w:p w14:paraId="3405BF0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696" w:type="dxa"/>
            <w:tcBorders>
              <w:top w:val="single" w:sz="4" w:space="0" w:color="000000"/>
              <w:left w:val="single" w:sz="4" w:space="0" w:color="000000"/>
              <w:bottom w:val="single" w:sz="4" w:space="0" w:color="000000"/>
              <w:right w:val="single" w:sz="4" w:space="0" w:color="000000"/>
            </w:tcBorders>
          </w:tcPr>
          <w:p w14:paraId="5B7D891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7A02121F" w14:textId="77777777" w:rsidR="00D3344B" w:rsidRDefault="00D3344B">
            <w:pPr>
              <w:pStyle w:val="TableParagraph"/>
              <w:rPr>
                <w:rFonts w:ascii="Arial" w:hAnsi="Arial" w:cs="Arial"/>
                <w:sz w:val="18"/>
                <w:szCs w:val="18"/>
              </w:rPr>
            </w:pPr>
          </w:p>
        </w:tc>
      </w:tr>
      <w:tr w:rsidR="00D3344B" w14:paraId="093CC61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DD3524A"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012</w:t>
            </w:r>
          </w:p>
        </w:tc>
        <w:tc>
          <w:tcPr>
            <w:tcW w:w="3038" w:type="dxa"/>
            <w:tcBorders>
              <w:top w:val="single" w:sz="4" w:space="0" w:color="000000"/>
              <w:left w:val="single" w:sz="4" w:space="0" w:color="000000"/>
              <w:bottom w:val="single" w:sz="4" w:space="0" w:color="000000"/>
              <w:right w:val="single" w:sz="4" w:space="0" w:color="000000"/>
            </w:tcBorders>
          </w:tcPr>
          <w:p w14:paraId="3F08C8BC"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3"/>
                <w:w w:val="110"/>
                <w:sz w:val="18"/>
                <w:szCs w:val="18"/>
              </w:rPr>
              <w:t xml:space="preserve"> </w:t>
            </w:r>
            <w:r>
              <w:rPr>
                <w:rFonts w:ascii="Arial" w:hAnsi="Arial" w:cs="Arial"/>
                <w:w w:val="110"/>
                <w:sz w:val="18"/>
                <w:szCs w:val="18"/>
              </w:rPr>
              <w:t>de</w:t>
            </w:r>
            <w:r>
              <w:rPr>
                <w:rFonts w:ascii="Arial" w:hAnsi="Arial" w:cs="Arial"/>
                <w:spacing w:val="14"/>
                <w:w w:val="110"/>
                <w:sz w:val="18"/>
                <w:szCs w:val="18"/>
              </w:rPr>
              <w:t xml:space="preserve"> </w:t>
            </w:r>
            <w:r>
              <w:rPr>
                <w:rFonts w:ascii="Arial" w:hAnsi="Arial" w:cs="Arial"/>
                <w:spacing w:val="-2"/>
                <w:w w:val="110"/>
                <w:sz w:val="18"/>
                <w:szCs w:val="18"/>
              </w:rPr>
              <w:t>tiroides</w:t>
            </w:r>
          </w:p>
        </w:tc>
        <w:tc>
          <w:tcPr>
            <w:tcW w:w="697" w:type="dxa"/>
            <w:tcBorders>
              <w:top w:val="single" w:sz="4" w:space="0" w:color="000000"/>
              <w:left w:val="single" w:sz="4" w:space="0" w:color="000000"/>
              <w:bottom w:val="single" w:sz="4" w:space="0" w:color="000000"/>
              <w:right w:val="single" w:sz="4" w:space="0" w:color="000000"/>
            </w:tcBorders>
          </w:tcPr>
          <w:p w14:paraId="4F09A4B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8.50</w:t>
            </w:r>
          </w:p>
        </w:tc>
        <w:tc>
          <w:tcPr>
            <w:tcW w:w="695" w:type="dxa"/>
            <w:tcBorders>
              <w:top w:val="single" w:sz="4" w:space="0" w:color="000000"/>
              <w:left w:val="single" w:sz="4" w:space="0" w:color="000000"/>
              <w:bottom w:val="single" w:sz="4" w:space="0" w:color="000000"/>
              <w:right w:val="single" w:sz="4" w:space="0" w:color="000000"/>
            </w:tcBorders>
          </w:tcPr>
          <w:p w14:paraId="400016AF"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5E72FF21" w14:textId="77777777" w:rsidR="00D3344B" w:rsidRDefault="00143C25">
            <w:pPr>
              <w:pStyle w:val="TableParagraph"/>
              <w:rPr>
                <w:rFonts w:ascii="Arial" w:hAnsi="Arial" w:cs="Arial"/>
                <w:sz w:val="18"/>
                <w:szCs w:val="18"/>
              </w:rPr>
            </w:pPr>
            <w:r>
              <w:rPr>
                <w:rFonts w:ascii="Arial" w:hAnsi="Arial" w:cs="Arial"/>
                <w:spacing w:val="-4"/>
                <w:w w:val="115"/>
                <w:sz w:val="18"/>
                <w:szCs w:val="18"/>
              </w:rPr>
              <w:t>6.75</w:t>
            </w:r>
          </w:p>
        </w:tc>
        <w:tc>
          <w:tcPr>
            <w:tcW w:w="699" w:type="dxa"/>
            <w:tcBorders>
              <w:top w:val="single" w:sz="4" w:space="0" w:color="000000"/>
              <w:left w:val="single" w:sz="4" w:space="0" w:color="000000"/>
              <w:bottom w:val="single" w:sz="4" w:space="0" w:color="000000"/>
              <w:right w:val="single" w:sz="4" w:space="0" w:color="000000"/>
            </w:tcBorders>
          </w:tcPr>
          <w:p w14:paraId="7CB280B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696" w:type="dxa"/>
            <w:tcBorders>
              <w:top w:val="single" w:sz="4" w:space="0" w:color="000000"/>
              <w:left w:val="single" w:sz="4" w:space="0" w:color="000000"/>
              <w:bottom w:val="single" w:sz="4" w:space="0" w:color="000000"/>
              <w:right w:val="single" w:sz="4" w:space="0" w:color="000000"/>
            </w:tcBorders>
          </w:tcPr>
          <w:p w14:paraId="67018DC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41A8F145" w14:textId="77777777" w:rsidR="00D3344B" w:rsidRDefault="00D3344B">
            <w:pPr>
              <w:pStyle w:val="TableParagraph"/>
              <w:rPr>
                <w:rFonts w:ascii="Arial" w:hAnsi="Arial" w:cs="Arial"/>
                <w:sz w:val="18"/>
                <w:szCs w:val="18"/>
              </w:rPr>
            </w:pPr>
          </w:p>
        </w:tc>
      </w:tr>
      <w:tr w:rsidR="00D3344B" w14:paraId="3B0769D9"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7B8790DA" w14:textId="77777777" w:rsidR="00D3344B" w:rsidRDefault="00D3344B">
            <w:pPr>
              <w:pStyle w:val="TableParagraph"/>
              <w:spacing w:before="11"/>
              <w:rPr>
                <w:rFonts w:ascii="Arial" w:hAnsi="Arial" w:cs="Arial"/>
                <w:sz w:val="18"/>
                <w:szCs w:val="18"/>
              </w:rPr>
            </w:pPr>
          </w:p>
          <w:p w14:paraId="1ACD061D"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013</w:t>
            </w:r>
          </w:p>
        </w:tc>
        <w:tc>
          <w:tcPr>
            <w:tcW w:w="3038" w:type="dxa"/>
            <w:tcBorders>
              <w:top w:val="single" w:sz="4" w:space="0" w:color="000000"/>
              <w:left w:val="single" w:sz="4" w:space="0" w:color="000000"/>
              <w:bottom w:val="single" w:sz="4" w:space="0" w:color="000000"/>
              <w:right w:val="single" w:sz="4" w:space="0" w:color="000000"/>
            </w:tcBorders>
          </w:tcPr>
          <w:p w14:paraId="46705762" w14:textId="77777777" w:rsidR="00D3344B" w:rsidRDefault="00143C25">
            <w:pPr>
              <w:pStyle w:val="TableParagraph"/>
              <w:rPr>
                <w:rFonts w:ascii="Arial" w:hAnsi="Arial" w:cs="Arial"/>
                <w:sz w:val="18"/>
                <w:szCs w:val="18"/>
              </w:rPr>
            </w:pPr>
            <w:r>
              <w:rPr>
                <w:rFonts w:ascii="Arial" w:hAnsi="Arial" w:cs="Arial"/>
                <w:w w:val="105"/>
                <w:sz w:val="18"/>
                <w:szCs w:val="18"/>
              </w:rPr>
              <w:t>Ecocardiograma</w:t>
            </w:r>
            <w:r>
              <w:rPr>
                <w:rFonts w:ascii="Arial" w:hAnsi="Arial" w:cs="Arial"/>
                <w:spacing w:val="6"/>
                <w:w w:val="110"/>
                <w:sz w:val="18"/>
                <w:szCs w:val="18"/>
              </w:rPr>
              <w:t xml:space="preserve"> </w:t>
            </w:r>
            <w:r>
              <w:rPr>
                <w:rFonts w:ascii="Arial" w:hAnsi="Arial" w:cs="Arial"/>
                <w:spacing w:val="-2"/>
                <w:w w:val="110"/>
                <w:sz w:val="18"/>
                <w:szCs w:val="18"/>
              </w:rPr>
              <w:t>(Estudio</w:t>
            </w:r>
          </w:p>
          <w:p w14:paraId="5ED52410" w14:textId="77777777" w:rsidR="00D3344B" w:rsidRDefault="00143C25">
            <w:pPr>
              <w:pStyle w:val="TableParagraph"/>
              <w:tabs>
                <w:tab w:val="left" w:pos="1104"/>
                <w:tab w:val="left" w:pos="1694"/>
              </w:tabs>
              <w:spacing w:line="252" w:lineRule="exact"/>
              <w:ind w:right="632"/>
              <w:rPr>
                <w:rFonts w:ascii="Arial" w:hAnsi="Arial" w:cs="Arial"/>
                <w:sz w:val="18"/>
                <w:szCs w:val="18"/>
              </w:rPr>
            </w:pPr>
            <w:r>
              <w:rPr>
                <w:rFonts w:ascii="Arial" w:hAnsi="Arial" w:cs="Arial"/>
                <w:spacing w:val="-2"/>
                <w:w w:val="105"/>
                <w:sz w:val="18"/>
                <w:szCs w:val="18"/>
              </w:rPr>
              <w:t>realizado</w:t>
            </w:r>
            <w:r>
              <w:rPr>
                <w:rFonts w:ascii="Arial" w:hAnsi="Arial" w:cs="Arial"/>
                <w:sz w:val="18"/>
                <w:szCs w:val="18"/>
              </w:rPr>
              <w:tab/>
            </w:r>
            <w:r>
              <w:rPr>
                <w:rFonts w:ascii="Arial" w:hAnsi="Arial" w:cs="Arial"/>
                <w:spacing w:val="-4"/>
                <w:w w:val="105"/>
                <w:sz w:val="18"/>
                <w:szCs w:val="18"/>
              </w:rPr>
              <w:t>por</w:t>
            </w:r>
            <w:r>
              <w:rPr>
                <w:rFonts w:ascii="Arial" w:hAnsi="Arial" w:cs="Arial"/>
                <w:sz w:val="18"/>
                <w:szCs w:val="18"/>
              </w:rPr>
              <w:tab/>
            </w:r>
            <w:r>
              <w:rPr>
                <w:rFonts w:ascii="Arial" w:hAnsi="Arial" w:cs="Arial"/>
                <w:spacing w:val="-2"/>
                <w:w w:val="105"/>
                <w:sz w:val="18"/>
                <w:szCs w:val="18"/>
              </w:rPr>
              <w:t>médico cardiólogo)</w:t>
            </w:r>
          </w:p>
        </w:tc>
        <w:tc>
          <w:tcPr>
            <w:tcW w:w="697" w:type="dxa"/>
            <w:tcBorders>
              <w:top w:val="single" w:sz="4" w:space="0" w:color="000000"/>
              <w:left w:val="single" w:sz="4" w:space="0" w:color="000000"/>
              <w:bottom w:val="single" w:sz="4" w:space="0" w:color="000000"/>
              <w:right w:val="single" w:sz="4" w:space="0" w:color="000000"/>
            </w:tcBorders>
          </w:tcPr>
          <w:p w14:paraId="31D5755F" w14:textId="77777777" w:rsidR="00D3344B" w:rsidRDefault="00D3344B">
            <w:pPr>
              <w:pStyle w:val="TableParagraph"/>
              <w:spacing w:before="11"/>
              <w:rPr>
                <w:rFonts w:ascii="Arial" w:hAnsi="Arial" w:cs="Arial"/>
                <w:sz w:val="18"/>
                <w:szCs w:val="18"/>
              </w:rPr>
            </w:pPr>
          </w:p>
          <w:p w14:paraId="6504852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16.00</w:t>
            </w:r>
          </w:p>
        </w:tc>
        <w:tc>
          <w:tcPr>
            <w:tcW w:w="695" w:type="dxa"/>
            <w:tcBorders>
              <w:top w:val="single" w:sz="4" w:space="0" w:color="000000"/>
              <w:left w:val="single" w:sz="4" w:space="0" w:color="000000"/>
              <w:bottom w:val="single" w:sz="4" w:space="0" w:color="000000"/>
              <w:right w:val="single" w:sz="4" w:space="0" w:color="000000"/>
            </w:tcBorders>
          </w:tcPr>
          <w:p w14:paraId="7974A8CA" w14:textId="77777777" w:rsidR="00D3344B" w:rsidRDefault="00D3344B">
            <w:pPr>
              <w:pStyle w:val="TableParagraph"/>
              <w:spacing w:before="11"/>
              <w:rPr>
                <w:rFonts w:ascii="Arial" w:hAnsi="Arial" w:cs="Arial"/>
                <w:sz w:val="18"/>
                <w:szCs w:val="18"/>
              </w:rPr>
            </w:pPr>
          </w:p>
          <w:p w14:paraId="0B7C511C" w14:textId="77777777" w:rsidR="00D3344B" w:rsidRDefault="00143C25">
            <w:pPr>
              <w:pStyle w:val="TableParagraph"/>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3B405F3C" w14:textId="77777777" w:rsidR="00D3344B" w:rsidRDefault="00D3344B">
            <w:pPr>
              <w:pStyle w:val="TableParagraph"/>
              <w:spacing w:before="11"/>
              <w:rPr>
                <w:rFonts w:ascii="Arial" w:hAnsi="Arial" w:cs="Arial"/>
                <w:sz w:val="18"/>
                <w:szCs w:val="18"/>
              </w:rPr>
            </w:pPr>
          </w:p>
          <w:p w14:paraId="2F926640" w14:textId="77777777" w:rsidR="00D3344B" w:rsidRDefault="00143C25">
            <w:pPr>
              <w:pStyle w:val="TableParagraph"/>
              <w:rPr>
                <w:rFonts w:ascii="Arial" w:hAnsi="Arial" w:cs="Arial"/>
                <w:sz w:val="18"/>
                <w:szCs w:val="18"/>
              </w:rPr>
            </w:pPr>
            <w:r>
              <w:rPr>
                <w:rFonts w:ascii="Arial" w:hAnsi="Arial" w:cs="Arial"/>
                <w:spacing w:val="-4"/>
                <w:w w:val="115"/>
                <w:sz w:val="18"/>
                <w:szCs w:val="18"/>
              </w:rPr>
              <w:t>12.75</w:t>
            </w:r>
          </w:p>
        </w:tc>
        <w:tc>
          <w:tcPr>
            <w:tcW w:w="699" w:type="dxa"/>
            <w:tcBorders>
              <w:top w:val="single" w:sz="4" w:space="0" w:color="000000"/>
              <w:left w:val="single" w:sz="4" w:space="0" w:color="000000"/>
              <w:bottom w:val="single" w:sz="4" w:space="0" w:color="000000"/>
              <w:right w:val="single" w:sz="4" w:space="0" w:color="000000"/>
            </w:tcBorders>
          </w:tcPr>
          <w:p w14:paraId="1E697CD8" w14:textId="77777777" w:rsidR="00D3344B" w:rsidRDefault="00D3344B">
            <w:pPr>
              <w:pStyle w:val="TableParagraph"/>
              <w:spacing w:before="11"/>
              <w:rPr>
                <w:rFonts w:ascii="Arial" w:hAnsi="Arial" w:cs="Arial"/>
                <w:sz w:val="18"/>
                <w:szCs w:val="18"/>
              </w:rPr>
            </w:pPr>
          </w:p>
          <w:p w14:paraId="4FE72A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11.50</w:t>
            </w:r>
          </w:p>
        </w:tc>
        <w:tc>
          <w:tcPr>
            <w:tcW w:w="696" w:type="dxa"/>
            <w:tcBorders>
              <w:top w:val="single" w:sz="4" w:space="0" w:color="000000"/>
              <w:left w:val="single" w:sz="4" w:space="0" w:color="000000"/>
              <w:bottom w:val="single" w:sz="4" w:space="0" w:color="000000"/>
              <w:right w:val="single" w:sz="4" w:space="0" w:color="000000"/>
            </w:tcBorders>
          </w:tcPr>
          <w:p w14:paraId="7265E836" w14:textId="77777777" w:rsidR="00D3344B" w:rsidRDefault="00D3344B">
            <w:pPr>
              <w:pStyle w:val="TableParagraph"/>
              <w:spacing w:before="11"/>
              <w:rPr>
                <w:rFonts w:ascii="Arial" w:hAnsi="Arial" w:cs="Arial"/>
                <w:sz w:val="18"/>
                <w:szCs w:val="18"/>
              </w:rPr>
            </w:pPr>
          </w:p>
          <w:p w14:paraId="4A8A48F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9.75</w:t>
            </w:r>
          </w:p>
        </w:tc>
        <w:tc>
          <w:tcPr>
            <w:tcW w:w="527" w:type="dxa"/>
            <w:tcBorders>
              <w:top w:val="single" w:sz="4" w:space="0" w:color="000000"/>
              <w:left w:val="single" w:sz="4" w:space="0" w:color="000000"/>
              <w:bottom w:val="single" w:sz="4" w:space="0" w:color="000000"/>
              <w:right w:val="single" w:sz="4" w:space="0" w:color="000000"/>
            </w:tcBorders>
          </w:tcPr>
          <w:p w14:paraId="361E148E" w14:textId="77777777" w:rsidR="00D3344B" w:rsidRDefault="00D3344B">
            <w:pPr>
              <w:pStyle w:val="TableParagraph"/>
              <w:rPr>
                <w:rFonts w:ascii="Arial" w:hAnsi="Arial" w:cs="Arial"/>
                <w:sz w:val="18"/>
                <w:szCs w:val="18"/>
              </w:rPr>
            </w:pPr>
          </w:p>
        </w:tc>
      </w:tr>
      <w:tr w:rsidR="00D3344B" w14:paraId="5E57033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67470A4"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014</w:t>
            </w:r>
          </w:p>
        </w:tc>
        <w:tc>
          <w:tcPr>
            <w:tcW w:w="3038" w:type="dxa"/>
            <w:tcBorders>
              <w:top w:val="single" w:sz="4" w:space="0" w:color="000000"/>
              <w:left w:val="single" w:sz="4" w:space="0" w:color="000000"/>
              <w:bottom w:val="single" w:sz="4" w:space="0" w:color="000000"/>
              <w:right w:val="single" w:sz="4" w:space="0" w:color="000000"/>
            </w:tcBorders>
          </w:tcPr>
          <w:p w14:paraId="5C121001" w14:textId="77777777" w:rsidR="00D3344B" w:rsidRDefault="00143C25">
            <w:pPr>
              <w:pStyle w:val="TableParagraph"/>
              <w:tabs>
                <w:tab w:val="left" w:pos="1497"/>
                <w:tab w:val="left" w:pos="2078"/>
              </w:tabs>
              <w:spacing w:line="252" w:lineRule="exact"/>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Abdomen Superior</w:t>
            </w:r>
          </w:p>
        </w:tc>
        <w:tc>
          <w:tcPr>
            <w:tcW w:w="697" w:type="dxa"/>
            <w:tcBorders>
              <w:top w:val="single" w:sz="4" w:space="0" w:color="000000"/>
              <w:left w:val="single" w:sz="4" w:space="0" w:color="000000"/>
              <w:bottom w:val="single" w:sz="4" w:space="0" w:color="000000"/>
              <w:right w:val="single" w:sz="4" w:space="0" w:color="000000"/>
            </w:tcBorders>
          </w:tcPr>
          <w:p w14:paraId="3BFCDAB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6E5E9A7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3E58526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5D5DC91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71F7DCAE"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4CD9E5F0" w14:textId="77777777" w:rsidR="00D3344B" w:rsidRDefault="00D3344B">
            <w:pPr>
              <w:pStyle w:val="TableParagraph"/>
              <w:rPr>
                <w:rFonts w:ascii="Arial" w:hAnsi="Arial" w:cs="Arial"/>
                <w:sz w:val="18"/>
                <w:szCs w:val="18"/>
              </w:rPr>
            </w:pPr>
          </w:p>
        </w:tc>
      </w:tr>
      <w:tr w:rsidR="00D3344B" w14:paraId="56B0E21B"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B239625"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015</w:t>
            </w:r>
          </w:p>
        </w:tc>
        <w:tc>
          <w:tcPr>
            <w:tcW w:w="3038" w:type="dxa"/>
            <w:tcBorders>
              <w:top w:val="single" w:sz="4" w:space="0" w:color="000000"/>
              <w:left w:val="single" w:sz="4" w:space="0" w:color="000000"/>
              <w:bottom w:val="single" w:sz="4" w:space="0" w:color="000000"/>
              <w:right w:val="single" w:sz="4" w:space="0" w:color="000000"/>
            </w:tcBorders>
          </w:tcPr>
          <w:p w14:paraId="2F43ED9F" w14:textId="77777777" w:rsidR="00D3344B" w:rsidRDefault="00143C25">
            <w:pPr>
              <w:pStyle w:val="TableParagraph"/>
              <w:spacing w:before="1"/>
              <w:rPr>
                <w:rFonts w:ascii="Arial" w:hAnsi="Arial" w:cs="Arial"/>
                <w:sz w:val="18"/>
                <w:szCs w:val="18"/>
              </w:rPr>
            </w:pPr>
            <w:r>
              <w:rPr>
                <w:rFonts w:ascii="Arial" w:hAnsi="Arial" w:cs="Arial"/>
                <w:spacing w:val="-2"/>
                <w:w w:val="115"/>
                <w:sz w:val="18"/>
                <w:szCs w:val="18"/>
              </w:rPr>
              <w:t>Ultrasonido</w:t>
            </w:r>
            <w:r>
              <w:rPr>
                <w:rFonts w:ascii="Arial" w:hAnsi="Arial" w:cs="Arial"/>
                <w:spacing w:val="-5"/>
                <w:w w:val="115"/>
                <w:sz w:val="18"/>
                <w:szCs w:val="18"/>
              </w:rPr>
              <w:t xml:space="preserve"> 4D</w:t>
            </w:r>
          </w:p>
        </w:tc>
        <w:tc>
          <w:tcPr>
            <w:tcW w:w="697" w:type="dxa"/>
            <w:tcBorders>
              <w:top w:val="single" w:sz="4" w:space="0" w:color="000000"/>
              <w:left w:val="single" w:sz="4" w:space="0" w:color="000000"/>
              <w:bottom w:val="single" w:sz="4" w:space="0" w:color="000000"/>
              <w:right w:val="single" w:sz="4" w:space="0" w:color="000000"/>
            </w:tcBorders>
          </w:tcPr>
          <w:p w14:paraId="5BFFC0F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14.50</w:t>
            </w:r>
          </w:p>
        </w:tc>
        <w:tc>
          <w:tcPr>
            <w:tcW w:w="695" w:type="dxa"/>
            <w:tcBorders>
              <w:top w:val="single" w:sz="4" w:space="0" w:color="000000"/>
              <w:left w:val="single" w:sz="4" w:space="0" w:color="000000"/>
              <w:bottom w:val="single" w:sz="4" w:space="0" w:color="000000"/>
              <w:right w:val="single" w:sz="4" w:space="0" w:color="000000"/>
            </w:tcBorders>
          </w:tcPr>
          <w:p w14:paraId="7D9B3D5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13.00</w:t>
            </w:r>
          </w:p>
        </w:tc>
        <w:tc>
          <w:tcPr>
            <w:tcW w:w="699" w:type="dxa"/>
            <w:tcBorders>
              <w:top w:val="single" w:sz="4" w:space="0" w:color="000000"/>
              <w:left w:val="single" w:sz="4" w:space="0" w:color="000000"/>
              <w:bottom w:val="single" w:sz="4" w:space="0" w:color="000000"/>
              <w:right w:val="single" w:sz="4" w:space="0" w:color="000000"/>
            </w:tcBorders>
          </w:tcPr>
          <w:p w14:paraId="478C27F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11.50</w:t>
            </w:r>
          </w:p>
        </w:tc>
        <w:tc>
          <w:tcPr>
            <w:tcW w:w="699" w:type="dxa"/>
            <w:tcBorders>
              <w:top w:val="single" w:sz="4" w:space="0" w:color="000000"/>
              <w:left w:val="single" w:sz="4" w:space="0" w:color="000000"/>
              <w:bottom w:val="single" w:sz="4" w:space="0" w:color="000000"/>
              <w:right w:val="single" w:sz="4" w:space="0" w:color="000000"/>
            </w:tcBorders>
          </w:tcPr>
          <w:p w14:paraId="66E6ED8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9.75</w:t>
            </w:r>
          </w:p>
        </w:tc>
        <w:tc>
          <w:tcPr>
            <w:tcW w:w="696" w:type="dxa"/>
            <w:tcBorders>
              <w:top w:val="single" w:sz="4" w:space="0" w:color="000000"/>
              <w:left w:val="single" w:sz="4" w:space="0" w:color="000000"/>
              <w:bottom w:val="single" w:sz="4" w:space="0" w:color="000000"/>
              <w:right w:val="single" w:sz="4" w:space="0" w:color="000000"/>
            </w:tcBorders>
          </w:tcPr>
          <w:p w14:paraId="44340F7E"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8.25</w:t>
            </w:r>
          </w:p>
        </w:tc>
        <w:tc>
          <w:tcPr>
            <w:tcW w:w="527" w:type="dxa"/>
            <w:tcBorders>
              <w:top w:val="single" w:sz="4" w:space="0" w:color="000000"/>
              <w:left w:val="single" w:sz="4" w:space="0" w:color="000000"/>
              <w:bottom w:val="single" w:sz="4" w:space="0" w:color="000000"/>
              <w:right w:val="single" w:sz="4" w:space="0" w:color="000000"/>
            </w:tcBorders>
          </w:tcPr>
          <w:p w14:paraId="1C432360" w14:textId="77777777" w:rsidR="00D3344B" w:rsidRDefault="00D3344B">
            <w:pPr>
              <w:pStyle w:val="TableParagraph"/>
              <w:rPr>
                <w:rFonts w:ascii="Arial" w:hAnsi="Arial" w:cs="Arial"/>
                <w:sz w:val="18"/>
                <w:szCs w:val="18"/>
              </w:rPr>
            </w:pPr>
          </w:p>
        </w:tc>
      </w:tr>
      <w:tr w:rsidR="00D3344B" w14:paraId="2CDE998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ADF038B"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016</w:t>
            </w:r>
          </w:p>
        </w:tc>
        <w:tc>
          <w:tcPr>
            <w:tcW w:w="3038" w:type="dxa"/>
            <w:tcBorders>
              <w:top w:val="single" w:sz="4" w:space="0" w:color="000000"/>
              <w:left w:val="single" w:sz="4" w:space="0" w:color="000000"/>
              <w:bottom w:val="single" w:sz="4" w:space="0" w:color="000000"/>
              <w:right w:val="single" w:sz="4" w:space="0" w:color="000000"/>
            </w:tcBorders>
          </w:tcPr>
          <w:p w14:paraId="3897CE41" w14:textId="77777777" w:rsidR="00D3344B" w:rsidRDefault="00143C25">
            <w:pPr>
              <w:pStyle w:val="TableParagraph"/>
              <w:spacing w:line="254" w:lineRule="exact"/>
              <w:ind w:right="-15"/>
              <w:rPr>
                <w:rFonts w:ascii="Arial" w:hAnsi="Arial" w:cs="Arial"/>
                <w:sz w:val="18"/>
                <w:szCs w:val="18"/>
              </w:rPr>
            </w:pPr>
            <w:r>
              <w:rPr>
                <w:rFonts w:ascii="Arial" w:hAnsi="Arial" w:cs="Arial"/>
                <w:w w:val="115"/>
                <w:sz w:val="18"/>
                <w:szCs w:val="18"/>
              </w:rPr>
              <w:t>Ultrasonido</w:t>
            </w:r>
            <w:r>
              <w:rPr>
                <w:rFonts w:ascii="Arial" w:hAnsi="Arial" w:cs="Arial"/>
                <w:spacing w:val="66"/>
                <w:w w:val="115"/>
                <w:sz w:val="18"/>
                <w:szCs w:val="18"/>
              </w:rPr>
              <w:t xml:space="preserve"> </w:t>
            </w:r>
            <w:r>
              <w:rPr>
                <w:rFonts w:ascii="Arial" w:hAnsi="Arial" w:cs="Arial"/>
                <w:w w:val="115"/>
                <w:sz w:val="18"/>
                <w:szCs w:val="18"/>
              </w:rPr>
              <w:t>Doppler</w:t>
            </w:r>
            <w:r>
              <w:rPr>
                <w:rFonts w:ascii="Arial" w:hAnsi="Arial" w:cs="Arial"/>
                <w:spacing w:val="66"/>
                <w:w w:val="115"/>
                <w:sz w:val="18"/>
                <w:szCs w:val="18"/>
              </w:rPr>
              <w:t xml:space="preserve"> </w:t>
            </w:r>
            <w:r>
              <w:rPr>
                <w:rFonts w:ascii="Arial" w:hAnsi="Arial" w:cs="Arial"/>
                <w:w w:val="115"/>
                <w:sz w:val="18"/>
                <w:szCs w:val="18"/>
              </w:rPr>
              <w:t>venoso una extremidad</w:t>
            </w:r>
          </w:p>
        </w:tc>
        <w:tc>
          <w:tcPr>
            <w:tcW w:w="697" w:type="dxa"/>
            <w:tcBorders>
              <w:top w:val="single" w:sz="4" w:space="0" w:color="000000"/>
              <w:left w:val="single" w:sz="4" w:space="0" w:color="000000"/>
              <w:bottom w:val="single" w:sz="4" w:space="0" w:color="000000"/>
              <w:right w:val="single" w:sz="4" w:space="0" w:color="000000"/>
            </w:tcBorders>
          </w:tcPr>
          <w:p w14:paraId="32D05686"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19.50</w:t>
            </w:r>
          </w:p>
        </w:tc>
        <w:tc>
          <w:tcPr>
            <w:tcW w:w="695" w:type="dxa"/>
            <w:tcBorders>
              <w:top w:val="single" w:sz="4" w:space="0" w:color="000000"/>
              <w:left w:val="single" w:sz="4" w:space="0" w:color="000000"/>
              <w:bottom w:val="single" w:sz="4" w:space="0" w:color="000000"/>
              <w:right w:val="single" w:sz="4" w:space="0" w:color="000000"/>
            </w:tcBorders>
          </w:tcPr>
          <w:p w14:paraId="7D943462"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18.00</w:t>
            </w:r>
          </w:p>
        </w:tc>
        <w:tc>
          <w:tcPr>
            <w:tcW w:w="699" w:type="dxa"/>
            <w:tcBorders>
              <w:top w:val="single" w:sz="4" w:space="0" w:color="000000"/>
              <w:left w:val="single" w:sz="4" w:space="0" w:color="000000"/>
              <w:bottom w:val="single" w:sz="4" w:space="0" w:color="000000"/>
              <w:right w:val="single" w:sz="4" w:space="0" w:color="000000"/>
            </w:tcBorders>
          </w:tcPr>
          <w:p w14:paraId="39AA8E69"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16.75</w:t>
            </w:r>
          </w:p>
        </w:tc>
        <w:tc>
          <w:tcPr>
            <w:tcW w:w="699" w:type="dxa"/>
            <w:tcBorders>
              <w:top w:val="single" w:sz="4" w:space="0" w:color="000000"/>
              <w:left w:val="single" w:sz="4" w:space="0" w:color="000000"/>
              <w:bottom w:val="single" w:sz="4" w:space="0" w:color="000000"/>
              <w:right w:val="single" w:sz="4" w:space="0" w:color="000000"/>
            </w:tcBorders>
          </w:tcPr>
          <w:p w14:paraId="5F2620E5"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14.00</w:t>
            </w:r>
          </w:p>
        </w:tc>
        <w:tc>
          <w:tcPr>
            <w:tcW w:w="696" w:type="dxa"/>
            <w:tcBorders>
              <w:top w:val="single" w:sz="4" w:space="0" w:color="000000"/>
              <w:left w:val="single" w:sz="4" w:space="0" w:color="000000"/>
              <w:bottom w:val="single" w:sz="4" w:space="0" w:color="000000"/>
              <w:right w:val="single" w:sz="4" w:space="0" w:color="000000"/>
            </w:tcBorders>
          </w:tcPr>
          <w:p w14:paraId="54C8C75C"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11.25</w:t>
            </w:r>
          </w:p>
        </w:tc>
        <w:tc>
          <w:tcPr>
            <w:tcW w:w="527" w:type="dxa"/>
            <w:tcBorders>
              <w:top w:val="single" w:sz="4" w:space="0" w:color="000000"/>
              <w:left w:val="single" w:sz="4" w:space="0" w:color="000000"/>
              <w:bottom w:val="single" w:sz="4" w:space="0" w:color="000000"/>
              <w:right w:val="single" w:sz="4" w:space="0" w:color="000000"/>
            </w:tcBorders>
          </w:tcPr>
          <w:p w14:paraId="3594E9EB" w14:textId="77777777" w:rsidR="00D3344B" w:rsidRDefault="00D3344B">
            <w:pPr>
              <w:pStyle w:val="TableParagraph"/>
              <w:rPr>
                <w:rFonts w:ascii="Arial" w:hAnsi="Arial" w:cs="Arial"/>
                <w:sz w:val="18"/>
                <w:szCs w:val="18"/>
              </w:rPr>
            </w:pPr>
          </w:p>
        </w:tc>
      </w:tr>
      <w:tr w:rsidR="00D3344B" w14:paraId="005CB869"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2B418D1"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017</w:t>
            </w:r>
          </w:p>
        </w:tc>
        <w:tc>
          <w:tcPr>
            <w:tcW w:w="3038" w:type="dxa"/>
            <w:tcBorders>
              <w:top w:val="single" w:sz="4" w:space="0" w:color="000000"/>
              <w:left w:val="single" w:sz="4" w:space="0" w:color="000000"/>
              <w:bottom w:val="single" w:sz="4" w:space="0" w:color="000000"/>
              <w:right w:val="single" w:sz="4" w:space="0" w:color="000000"/>
            </w:tcBorders>
          </w:tcPr>
          <w:p w14:paraId="02290F27" w14:textId="77777777" w:rsidR="00D3344B" w:rsidRDefault="00143C25">
            <w:pPr>
              <w:pStyle w:val="TableParagraph"/>
              <w:tabs>
                <w:tab w:val="left" w:pos="1348"/>
                <w:tab w:val="left" w:pos="2343"/>
              </w:tabs>
              <w:spacing w:line="250" w:lineRule="exact"/>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2"/>
                <w:w w:val="110"/>
                <w:sz w:val="18"/>
                <w:szCs w:val="18"/>
              </w:rPr>
              <w:t>Doppler</w:t>
            </w:r>
            <w:r>
              <w:rPr>
                <w:rFonts w:ascii="Arial" w:hAnsi="Arial" w:cs="Arial"/>
                <w:sz w:val="18"/>
                <w:szCs w:val="18"/>
              </w:rPr>
              <w:tab/>
            </w:r>
            <w:r>
              <w:rPr>
                <w:rFonts w:ascii="Arial" w:hAnsi="Arial" w:cs="Arial"/>
                <w:spacing w:val="-2"/>
                <w:w w:val="110"/>
                <w:sz w:val="18"/>
                <w:szCs w:val="18"/>
              </w:rPr>
              <w:t>venoso</w:t>
            </w:r>
          </w:p>
          <w:p w14:paraId="7C36FD24"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dos</w:t>
            </w:r>
            <w:r>
              <w:rPr>
                <w:rFonts w:ascii="Arial" w:hAnsi="Arial" w:cs="Arial"/>
                <w:spacing w:val="-5"/>
                <w:w w:val="110"/>
                <w:sz w:val="18"/>
                <w:szCs w:val="18"/>
              </w:rPr>
              <w:t xml:space="preserve"> </w:t>
            </w:r>
            <w:r>
              <w:rPr>
                <w:rFonts w:ascii="Arial" w:hAnsi="Arial" w:cs="Arial"/>
                <w:spacing w:val="-2"/>
                <w:w w:val="110"/>
                <w:sz w:val="18"/>
                <w:szCs w:val="18"/>
              </w:rPr>
              <w:t>extremidades</w:t>
            </w:r>
          </w:p>
        </w:tc>
        <w:tc>
          <w:tcPr>
            <w:tcW w:w="697" w:type="dxa"/>
            <w:tcBorders>
              <w:top w:val="single" w:sz="4" w:space="0" w:color="000000"/>
              <w:left w:val="single" w:sz="4" w:space="0" w:color="000000"/>
              <w:bottom w:val="single" w:sz="4" w:space="0" w:color="000000"/>
              <w:right w:val="single" w:sz="4" w:space="0" w:color="000000"/>
            </w:tcBorders>
          </w:tcPr>
          <w:p w14:paraId="649A5433"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33.25</w:t>
            </w:r>
          </w:p>
        </w:tc>
        <w:tc>
          <w:tcPr>
            <w:tcW w:w="695" w:type="dxa"/>
            <w:tcBorders>
              <w:top w:val="single" w:sz="4" w:space="0" w:color="000000"/>
              <w:left w:val="single" w:sz="4" w:space="0" w:color="000000"/>
              <w:bottom w:val="single" w:sz="4" w:space="0" w:color="000000"/>
              <w:right w:val="single" w:sz="4" w:space="0" w:color="000000"/>
            </w:tcBorders>
          </w:tcPr>
          <w:p w14:paraId="0F9D1EB1"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31.75</w:t>
            </w:r>
          </w:p>
        </w:tc>
        <w:tc>
          <w:tcPr>
            <w:tcW w:w="699" w:type="dxa"/>
            <w:tcBorders>
              <w:top w:val="single" w:sz="4" w:space="0" w:color="000000"/>
              <w:left w:val="single" w:sz="4" w:space="0" w:color="000000"/>
              <w:bottom w:val="single" w:sz="4" w:space="0" w:color="000000"/>
              <w:right w:val="single" w:sz="4" w:space="0" w:color="000000"/>
            </w:tcBorders>
          </w:tcPr>
          <w:p w14:paraId="19AF30F0"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30.00</w:t>
            </w:r>
          </w:p>
        </w:tc>
        <w:tc>
          <w:tcPr>
            <w:tcW w:w="699" w:type="dxa"/>
            <w:tcBorders>
              <w:top w:val="single" w:sz="4" w:space="0" w:color="000000"/>
              <w:left w:val="single" w:sz="4" w:space="0" w:color="000000"/>
              <w:bottom w:val="single" w:sz="4" w:space="0" w:color="000000"/>
              <w:right w:val="single" w:sz="4" w:space="0" w:color="000000"/>
            </w:tcBorders>
          </w:tcPr>
          <w:p w14:paraId="70F52959"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27.25</w:t>
            </w:r>
          </w:p>
        </w:tc>
        <w:tc>
          <w:tcPr>
            <w:tcW w:w="696" w:type="dxa"/>
            <w:tcBorders>
              <w:top w:val="single" w:sz="4" w:space="0" w:color="000000"/>
              <w:left w:val="single" w:sz="4" w:space="0" w:color="000000"/>
              <w:bottom w:val="single" w:sz="4" w:space="0" w:color="000000"/>
              <w:right w:val="single" w:sz="4" w:space="0" w:color="000000"/>
            </w:tcBorders>
          </w:tcPr>
          <w:p w14:paraId="08402416"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24.00</w:t>
            </w:r>
          </w:p>
        </w:tc>
        <w:tc>
          <w:tcPr>
            <w:tcW w:w="527" w:type="dxa"/>
            <w:tcBorders>
              <w:top w:val="single" w:sz="4" w:space="0" w:color="000000"/>
              <w:left w:val="single" w:sz="4" w:space="0" w:color="000000"/>
              <w:bottom w:val="single" w:sz="4" w:space="0" w:color="000000"/>
              <w:right w:val="single" w:sz="4" w:space="0" w:color="000000"/>
            </w:tcBorders>
          </w:tcPr>
          <w:p w14:paraId="1FB51113" w14:textId="77777777" w:rsidR="00D3344B" w:rsidRDefault="00D3344B">
            <w:pPr>
              <w:pStyle w:val="TableParagraph"/>
              <w:rPr>
                <w:rFonts w:ascii="Arial" w:hAnsi="Arial" w:cs="Arial"/>
                <w:sz w:val="18"/>
                <w:szCs w:val="18"/>
              </w:rPr>
            </w:pPr>
          </w:p>
        </w:tc>
      </w:tr>
      <w:tr w:rsidR="00D3344B" w14:paraId="49FF43D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01B3198"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018</w:t>
            </w:r>
          </w:p>
        </w:tc>
        <w:tc>
          <w:tcPr>
            <w:tcW w:w="3038" w:type="dxa"/>
            <w:tcBorders>
              <w:top w:val="single" w:sz="4" w:space="0" w:color="000000"/>
              <w:left w:val="single" w:sz="4" w:space="0" w:color="000000"/>
              <w:bottom w:val="single" w:sz="4" w:space="0" w:color="000000"/>
              <w:right w:val="single" w:sz="4" w:space="0" w:color="000000"/>
            </w:tcBorders>
          </w:tcPr>
          <w:p w14:paraId="2E4A5675"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Ultrasonido</w:t>
            </w:r>
            <w:r>
              <w:rPr>
                <w:rFonts w:ascii="Arial" w:hAnsi="Arial" w:cs="Arial"/>
                <w:spacing w:val="-12"/>
                <w:w w:val="110"/>
                <w:sz w:val="18"/>
                <w:szCs w:val="18"/>
              </w:rPr>
              <w:t xml:space="preserve"> </w:t>
            </w:r>
            <w:r>
              <w:rPr>
                <w:rFonts w:ascii="Arial" w:hAnsi="Arial" w:cs="Arial"/>
                <w:w w:val="110"/>
                <w:sz w:val="18"/>
                <w:szCs w:val="18"/>
              </w:rPr>
              <w:t>Doppler</w:t>
            </w:r>
            <w:r>
              <w:rPr>
                <w:rFonts w:ascii="Arial" w:hAnsi="Arial" w:cs="Arial"/>
                <w:spacing w:val="-14"/>
                <w:w w:val="110"/>
                <w:sz w:val="18"/>
                <w:szCs w:val="18"/>
              </w:rPr>
              <w:t xml:space="preserve"> </w:t>
            </w:r>
            <w:r>
              <w:rPr>
                <w:rFonts w:ascii="Arial" w:hAnsi="Arial" w:cs="Arial"/>
                <w:w w:val="110"/>
                <w:sz w:val="18"/>
                <w:szCs w:val="18"/>
              </w:rPr>
              <w:t>arterial una extremidad</w:t>
            </w:r>
          </w:p>
        </w:tc>
        <w:tc>
          <w:tcPr>
            <w:tcW w:w="697" w:type="dxa"/>
            <w:tcBorders>
              <w:top w:val="single" w:sz="4" w:space="0" w:color="000000"/>
              <w:left w:val="single" w:sz="4" w:space="0" w:color="000000"/>
              <w:bottom w:val="single" w:sz="4" w:space="0" w:color="000000"/>
              <w:right w:val="single" w:sz="4" w:space="0" w:color="000000"/>
            </w:tcBorders>
          </w:tcPr>
          <w:p w14:paraId="74E39E3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22.00</w:t>
            </w:r>
          </w:p>
        </w:tc>
        <w:tc>
          <w:tcPr>
            <w:tcW w:w="695" w:type="dxa"/>
            <w:tcBorders>
              <w:top w:val="single" w:sz="4" w:space="0" w:color="000000"/>
              <w:left w:val="single" w:sz="4" w:space="0" w:color="000000"/>
              <w:bottom w:val="single" w:sz="4" w:space="0" w:color="000000"/>
              <w:right w:val="single" w:sz="4" w:space="0" w:color="000000"/>
            </w:tcBorders>
          </w:tcPr>
          <w:p w14:paraId="5B3A2C83" w14:textId="77777777" w:rsidR="00D3344B" w:rsidRDefault="00143C25">
            <w:pPr>
              <w:pStyle w:val="TableParagraph"/>
              <w:rPr>
                <w:rFonts w:ascii="Arial" w:hAnsi="Arial" w:cs="Arial"/>
                <w:sz w:val="18"/>
                <w:szCs w:val="18"/>
              </w:rPr>
            </w:pPr>
            <w:r>
              <w:rPr>
                <w:rFonts w:ascii="Arial" w:hAnsi="Arial" w:cs="Arial"/>
                <w:spacing w:val="-4"/>
                <w:w w:val="115"/>
                <w:sz w:val="18"/>
                <w:szCs w:val="18"/>
              </w:rPr>
              <w:t>20.50</w:t>
            </w:r>
          </w:p>
        </w:tc>
        <w:tc>
          <w:tcPr>
            <w:tcW w:w="699" w:type="dxa"/>
            <w:tcBorders>
              <w:top w:val="single" w:sz="4" w:space="0" w:color="000000"/>
              <w:left w:val="single" w:sz="4" w:space="0" w:color="000000"/>
              <w:bottom w:val="single" w:sz="4" w:space="0" w:color="000000"/>
              <w:right w:val="single" w:sz="4" w:space="0" w:color="000000"/>
            </w:tcBorders>
          </w:tcPr>
          <w:p w14:paraId="61CA958C" w14:textId="77777777" w:rsidR="00D3344B" w:rsidRDefault="00143C25">
            <w:pPr>
              <w:pStyle w:val="TableParagraph"/>
              <w:rPr>
                <w:rFonts w:ascii="Arial" w:hAnsi="Arial" w:cs="Arial"/>
                <w:sz w:val="18"/>
                <w:szCs w:val="18"/>
              </w:rPr>
            </w:pPr>
            <w:r>
              <w:rPr>
                <w:rFonts w:ascii="Arial" w:hAnsi="Arial" w:cs="Arial"/>
                <w:spacing w:val="-4"/>
                <w:w w:val="115"/>
                <w:sz w:val="18"/>
                <w:szCs w:val="18"/>
              </w:rPr>
              <w:t>19.00</w:t>
            </w:r>
          </w:p>
        </w:tc>
        <w:tc>
          <w:tcPr>
            <w:tcW w:w="699" w:type="dxa"/>
            <w:tcBorders>
              <w:top w:val="single" w:sz="4" w:space="0" w:color="000000"/>
              <w:left w:val="single" w:sz="4" w:space="0" w:color="000000"/>
              <w:bottom w:val="single" w:sz="4" w:space="0" w:color="000000"/>
              <w:right w:val="single" w:sz="4" w:space="0" w:color="000000"/>
            </w:tcBorders>
          </w:tcPr>
          <w:p w14:paraId="33D814A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16.00</w:t>
            </w:r>
          </w:p>
        </w:tc>
        <w:tc>
          <w:tcPr>
            <w:tcW w:w="696" w:type="dxa"/>
            <w:tcBorders>
              <w:top w:val="single" w:sz="4" w:space="0" w:color="000000"/>
              <w:left w:val="single" w:sz="4" w:space="0" w:color="000000"/>
              <w:bottom w:val="single" w:sz="4" w:space="0" w:color="000000"/>
              <w:right w:val="single" w:sz="4" w:space="0" w:color="000000"/>
            </w:tcBorders>
          </w:tcPr>
          <w:p w14:paraId="039CD04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12.75</w:t>
            </w:r>
          </w:p>
        </w:tc>
        <w:tc>
          <w:tcPr>
            <w:tcW w:w="527" w:type="dxa"/>
            <w:tcBorders>
              <w:top w:val="single" w:sz="4" w:space="0" w:color="000000"/>
              <w:left w:val="single" w:sz="4" w:space="0" w:color="000000"/>
              <w:bottom w:val="single" w:sz="4" w:space="0" w:color="000000"/>
              <w:right w:val="single" w:sz="4" w:space="0" w:color="000000"/>
            </w:tcBorders>
          </w:tcPr>
          <w:p w14:paraId="31EF7243" w14:textId="77777777" w:rsidR="00D3344B" w:rsidRDefault="00D3344B">
            <w:pPr>
              <w:pStyle w:val="TableParagraph"/>
              <w:rPr>
                <w:rFonts w:ascii="Arial" w:hAnsi="Arial" w:cs="Arial"/>
                <w:sz w:val="18"/>
                <w:szCs w:val="18"/>
              </w:rPr>
            </w:pPr>
          </w:p>
        </w:tc>
      </w:tr>
      <w:tr w:rsidR="00D3344B" w14:paraId="39320ADB"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60DA5E3A" w14:textId="77777777" w:rsidR="00D3344B" w:rsidRDefault="00143C25">
            <w:pPr>
              <w:pStyle w:val="TableParagraph"/>
              <w:spacing w:line="249"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019</w:t>
            </w:r>
          </w:p>
        </w:tc>
        <w:tc>
          <w:tcPr>
            <w:tcW w:w="3038" w:type="dxa"/>
            <w:tcBorders>
              <w:top w:val="single" w:sz="4" w:space="0" w:color="000000"/>
              <w:left w:val="single" w:sz="4" w:space="0" w:color="000000"/>
              <w:bottom w:val="single" w:sz="4" w:space="0" w:color="000000"/>
              <w:right w:val="single" w:sz="4" w:space="0" w:color="000000"/>
            </w:tcBorders>
          </w:tcPr>
          <w:p w14:paraId="345DD015" w14:textId="77777777" w:rsidR="00D3344B" w:rsidRDefault="00143C25">
            <w:pPr>
              <w:pStyle w:val="TableParagraph"/>
              <w:tabs>
                <w:tab w:val="left" w:pos="1348"/>
                <w:tab w:val="left" w:pos="2347"/>
              </w:tabs>
              <w:spacing w:line="249" w:lineRule="exact"/>
              <w:ind w:right="-15"/>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2"/>
                <w:w w:val="110"/>
                <w:sz w:val="18"/>
                <w:szCs w:val="18"/>
              </w:rPr>
              <w:t>Doppler</w:t>
            </w:r>
            <w:r>
              <w:rPr>
                <w:rFonts w:ascii="Arial" w:hAnsi="Arial" w:cs="Arial"/>
                <w:sz w:val="18"/>
                <w:szCs w:val="18"/>
              </w:rPr>
              <w:tab/>
            </w:r>
            <w:r>
              <w:rPr>
                <w:rFonts w:ascii="Arial" w:hAnsi="Arial" w:cs="Arial"/>
                <w:spacing w:val="-2"/>
                <w:w w:val="110"/>
                <w:sz w:val="18"/>
                <w:szCs w:val="18"/>
              </w:rPr>
              <w:t>arterial</w:t>
            </w:r>
          </w:p>
          <w:p w14:paraId="0E047685" w14:textId="77777777" w:rsidR="00D3344B" w:rsidRDefault="00143C25">
            <w:pPr>
              <w:pStyle w:val="TableParagraph"/>
              <w:spacing w:before="1" w:line="233" w:lineRule="exact"/>
              <w:rPr>
                <w:rFonts w:ascii="Arial" w:hAnsi="Arial" w:cs="Arial"/>
                <w:sz w:val="18"/>
                <w:szCs w:val="18"/>
              </w:rPr>
            </w:pPr>
            <w:r>
              <w:rPr>
                <w:rFonts w:ascii="Arial" w:hAnsi="Arial" w:cs="Arial"/>
                <w:w w:val="110"/>
                <w:sz w:val="18"/>
                <w:szCs w:val="18"/>
              </w:rPr>
              <w:t>dos</w:t>
            </w:r>
            <w:r>
              <w:rPr>
                <w:rFonts w:ascii="Arial" w:hAnsi="Arial" w:cs="Arial"/>
                <w:spacing w:val="-5"/>
                <w:w w:val="110"/>
                <w:sz w:val="18"/>
                <w:szCs w:val="18"/>
              </w:rPr>
              <w:t xml:space="preserve"> </w:t>
            </w:r>
            <w:r>
              <w:rPr>
                <w:rFonts w:ascii="Arial" w:hAnsi="Arial" w:cs="Arial"/>
                <w:spacing w:val="-2"/>
                <w:w w:val="110"/>
                <w:sz w:val="18"/>
                <w:szCs w:val="18"/>
              </w:rPr>
              <w:t>extremidades</w:t>
            </w:r>
          </w:p>
        </w:tc>
        <w:tc>
          <w:tcPr>
            <w:tcW w:w="697" w:type="dxa"/>
            <w:tcBorders>
              <w:top w:val="single" w:sz="4" w:space="0" w:color="000000"/>
              <w:left w:val="single" w:sz="4" w:space="0" w:color="000000"/>
              <w:bottom w:val="single" w:sz="4" w:space="0" w:color="000000"/>
              <w:right w:val="single" w:sz="4" w:space="0" w:color="000000"/>
            </w:tcBorders>
          </w:tcPr>
          <w:p w14:paraId="5C438B54"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37.00</w:t>
            </w:r>
          </w:p>
        </w:tc>
        <w:tc>
          <w:tcPr>
            <w:tcW w:w="695" w:type="dxa"/>
            <w:tcBorders>
              <w:top w:val="single" w:sz="4" w:space="0" w:color="000000"/>
              <w:left w:val="single" w:sz="4" w:space="0" w:color="000000"/>
              <w:bottom w:val="single" w:sz="4" w:space="0" w:color="000000"/>
              <w:right w:val="single" w:sz="4" w:space="0" w:color="000000"/>
            </w:tcBorders>
          </w:tcPr>
          <w:p w14:paraId="26450C8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35.50</w:t>
            </w:r>
          </w:p>
        </w:tc>
        <w:tc>
          <w:tcPr>
            <w:tcW w:w="699" w:type="dxa"/>
            <w:tcBorders>
              <w:top w:val="single" w:sz="4" w:space="0" w:color="000000"/>
              <w:left w:val="single" w:sz="4" w:space="0" w:color="000000"/>
              <w:bottom w:val="single" w:sz="4" w:space="0" w:color="000000"/>
              <w:right w:val="single" w:sz="4" w:space="0" w:color="000000"/>
            </w:tcBorders>
          </w:tcPr>
          <w:p w14:paraId="41FD756C"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338E91CB"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30.75</w:t>
            </w:r>
          </w:p>
        </w:tc>
        <w:tc>
          <w:tcPr>
            <w:tcW w:w="696" w:type="dxa"/>
            <w:tcBorders>
              <w:top w:val="single" w:sz="4" w:space="0" w:color="000000"/>
              <w:left w:val="single" w:sz="4" w:space="0" w:color="000000"/>
              <w:bottom w:val="single" w:sz="4" w:space="0" w:color="000000"/>
              <w:right w:val="single" w:sz="4" w:space="0" w:color="000000"/>
            </w:tcBorders>
          </w:tcPr>
          <w:p w14:paraId="7F7BDF40"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27.75</w:t>
            </w:r>
          </w:p>
        </w:tc>
        <w:tc>
          <w:tcPr>
            <w:tcW w:w="527" w:type="dxa"/>
            <w:tcBorders>
              <w:top w:val="single" w:sz="4" w:space="0" w:color="000000"/>
              <w:left w:val="single" w:sz="4" w:space="0" w:color="000000"/>
              <w:bottom w:val="single" w:sz="4" w:space="0" w:color="000000"/>
              <w:right w:val="single" w:sz="4" w:space="0" w:color="000000"/>
            </w:tcBorders>
          </w:tcPr>
          <w:p w14:paraId="4E309788" w14:textId="77777777" w:rsidR="00D3344B" w:rsidRDefault="00D3344B">
            <w:pPr>
              <w:pStyle w:val="TableParagraph"/>
              <w:rPr>
                <w:rFonts w:ascii="Arial" w:hAnsi="Arial" w:cs="Arial"/>
                <w:sz w:val="18"/>
                <w:szCs w:val="18"/>
              </w:rPr>
            </w:pPr>
          </w:p>
        </w:tc>
      </w:tr>
      <w:tr w:rsidR="00D3344B" w14:paraId="393C312D" w14:textId="77777777">
        <w:trPr>
          <w:trHeight w:val="374"/>
        </w:trPr>
        <w:tc>
          <w:tcPr>
            <w:tcW w:w="1776" w:type="dxa"/>
            <w:tcBorders>
              <w:top w:val="single" w:sz="4" w:space="0" w:color="000000"/>
              <w:left w:val="single" w:sz="4" w:space="0" w:color="000000"/>
              <w:bottom w:val="single" w:sz="4" w:space="0" w:color="000000"/>
              <w:right w:val="single" w:sz="4" w:space="0" w:color="000000"/>
            </w:tcBorders>
          </w:tcPr>
          <w:p w14:paraId="4FD75437"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020</w:t>
            </w:r>
          </w:p>
        </w:tc>
        <w:tc>
          <w:tcPr>
            <w:tcW w:w="3038" w:type="dxa"/>
            <w:tcBorders>
              <w:top w:val="single" w:sz="4" w:space="0" w:color="000000"/>
              <w:left w:val="single" w:sz="4" w:space="0" w:color="000000"/>
              <w:bottom w:val="single" w:sz="4" w:space="0" w:color="000000"/>
              <w:right w:val="single" w:sz="4" w:space="0" w:color="000000"/>
            </w:tcBorders>
          </w:tcPr>
          <w:p w14:paraId="12C6A7F6" w14:textId="77777777" w:rsidR="00D3344B" w:rsidRDefault="00143C25">
            <w:pPr>
              <w:pStyle w:val="TableParagraph"/>
              <w:spacing w:line="180" w:lineRule="atLeast"/>
              <w:rPr>
                <w:rFonts w:ascii="Arial" w:hAnsi="Arial" w:cs="Arial"/>
                <w:sz w:val="18"/>
                <w:szCs w:val="18"/>
              </w:rPr>
            </w:pPr>
            <w:r>
              <w:rPr>
                <w:rFonts w:ascii="Arial" w:hAnsi="Arial" w:cs="Arial"/>
                <w:w w:val="110"/>
                <w:sz w:val="18"/>
                <w:szCs w:val="18"/>
              </w:rPr>
              <w:t>Ultrasonido</w:t>
            </w:r>
            <w:r>
              <w:rPr>
                <w:rFonts w:ascii="Arial" w:hAnsi="Arial" w:cs="Arial"/>
                <w:spacing w:val="-7"/>
                <w:w w:val="110"/>
                <w:sz w:val="18"/>
                <w:szCs w:val="18"/>
              </w:rPr>
              <w:t xml:space="preserve"> </w:t>
            </w:r>
            <w:r>
              <w:rPr>
                <w:rFonts w:ascii="Arial" w:hAnsi="Arial" w:cs="Arial"/>
                <w:w w:val="110"/>
                <w:sz w:val="18"/>
                <w:szCs w:val="18"/>
              </w:rPr>
              <w:t>Doppler</w:t>
            </w:r>
            <w:r>
              <w:rPr>
                <w:rFonts w:ascii="Arial" w:hAnsi="Arial" w:cs="Arial"/>
                <w:spacing w:val="-7"/>
                <w:w w:val="110"/>
                <w:sz w:val="18"/>
                <w:szCs w:val="18"/>
              </w:rPr>
              <w:t xml:space="preserve"> </w:t>
            </w:r>
            <w:r>
              <w:rPr>
                <w:rFonts w:ascii="Arial" w:hAnsi="Arial" w:cs="Arial"/>
                <w:w w:val="110"/>
                <w:sz w:val="18"/>
                <w:szCs w:val="18"/>
              </w:rPr>
              <w:t>arterial</w:t>
            </w:r>
            <w:r>
              <w:rPr>
                <w:rFonts w:ascii="Arial" w:hAnsi="Arial" w:cs="Arial"/>
                <w:spacing w:val="-4"/>
                <w:w w:val="110"/>
                <w:sz w:val="18"/>
                <w:szCs w:val="18"/>
              </w:rPr>
              <w:t xml:space="preserve"> </w:t>
            </w:r>
            <w:r>
              <w:rPr>
                <w:rFonts w:ascii="Arial" w:hAnsi="Arial" w:cs="Arial"/>
                <w:w w:val="110"/>
                <w:sz w:val="18"/>
                <w:szCs w:val="18"/>
              </w:rPr>
              <w:t>y</w:t>
            </w:r>
            <w:r>
              <w:rPr>
                <w:rFonts w:ascii="Arial" w:hAnsi="Arial" w:cs="Arial"/>
                <w:spacing w:val="-8"/>
                <w:w w:val="110"/>
                <w:sz w:val="18"/>
                <w:szCs w:val="18"/>
              </w:rPr>
              <w:t xml:space="preserve"> </w:t>
            </w:r>
            <w:r>
              <w:rPr>
                <w:rFonts w:ascii="Arial" w:hAnsi="Arial" w:cs="Arial"/>
                <w:w w:val="110"/>
                <w:sz w:val="18"/>
                <w:szCs w:val="18"/>
              </w:rPr>
              <w:t>venoso</w:t>
            </w:r>
            <w:r>
              <w:rPr>
                <w:rFonts w:ascii="Arial" w:hAnsi="Arial" w:cs="Arial"/>
                <w:spacing w:val="-8"/>
                <w:w w:val="110"/>
                <w:sz w:val="18"/>
                <w:szCs w:val="18"/>
              </w:rPr>
              <w:t xml:space="preserve"> </w:t>
            </w:r>
            <w:r>
              <w:rPr>
                <w:rFonts w:ascii="Arial" w:hAnsi="Arial" w:cs="Arial"/>
                <w:w w:val="110"/>
                <w:sz w:val="18"/>
                <w:szCs w:val="18"/>
              </w:rPr>
              <w:t xml:space="preserve">una </w:t>
            </w:r>
            <w:r>
              <w:rPr>
                <w:rFonts w:ascii="Arial" w:hAnsi="Arial" w:cs="Arial"/>
                <w:spacing w:val="-2"/>
                <w:w w:val="110"/>
                <w:sz w:val="18"/>
                <w:szCs w:val="18"/>
              </w:rPr>
              <w:t>extremidad</w:t>
            </w:r>
          </w:p>
        </w:tc>
        <w:tc>
          <w:tcPr>
            <w:tcW w:w="697" w:type="dxa"/>
            <w:tcBorders>
              <w:top w:val="single" w:sz="4" w:space="0" w:color="000000"/>
              <w:left w:val="single" w:sz="4" w:space="0" w:color="000000"/>
              <w:bottom w:val="single" w:sz="4" w:space="0" w:color="000000"/>
              <w:right w:val="single" w:sz="4" w:space="0" w:color="000000"/>
            </w:tcBorders>
          </w:tcPr>
          <w:p w14:paraId="6A26440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35.50</w:t>
            </w:r>
          </w:p>
        </w:tc>
        <w:tc>
          <w:tcPr>
            <w:tcW w:w="695" w:type="dxa"/>
            <w:tcBorders>
              <w:top w:val="single" w:sz="4" w:space="0" w:color="000000"/>
              <w:left w:val="single" w:sz="4" w:space="0" w:color="000000"/>
              <w:bottom w:val="single" w:sz="4" w:space="0" w:color="000000"/>
              <w:right w:val="single" w:sz="4" w:space="0" w:color="000000"/>
            </w:tcBorders>
          </w:tcPr>
          <w:p w14:paraId="590BF10B" w14:textId="77777777" w:rsidR="00D3344B" w:rsidRDefault="00143C25">
            <w:pPr>
              <w:pStyle w:val="TableParagraph"/>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3A2B178D" w14:textId="77777777" w:rsidR="00D3344B" w:rsidRDefault="00143C25">
            <w:pPr>
              <w:pStyle w:val="TableParagraph"/>
              <w:rPr>
                <w:rFonts w:ascii="Arial" w:hAnsi="Arial" w:cs="Arial"/>
                <w:sz w:val="18"/>
                <w:szCs w:val="18"/>
              </w:rPr>
            </w:pPr>
            <w:r>
              <w:rPr>
                <w:rFonts w:ascii="Arial" w:hAnsi="Arial" w:cs="Arial"/>
                <w:spacing w:val="-4"/>
                <w:w w:val="115"/>
                <w:sz w:val="18"/>
                <w:szCs w:val="18"/>
              </w:rPr>
              <w:t>32.50</w:t>
            </w:r>
          </w:p>
        </w:tc>
        <w:tc>
          <w:tcPr>
            <w:tcW w:w="699" w:type="dxa"/>
            <w:tcBorders>
              <w:top w:val="single" w:sz="4" w:space="0" w:color="000000"/>
              <w:left w:val="single" w:sz="4" w:space="0" w:color="000000"/>
              <w:bottom w:val="single" w:sz="4" w:space="0" w:color="000000"/>
              <w:right w:val="single" w:sz="4" w:space="0" w:color="000000"/>
            </w:tcBorders>
          </w:tcPr>
          <w:p w14:paraId="22334CE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29.50</w:t>
            </w:r>
          </w:p>
        </w:tc>
        <w:tc>
          <w:tcPr>
            <w:tcW w:w="696" w:type="dxa"/>
            <w:tcBorders>
              <w:top w:val="single" w:sz="4" w:space="0" w:color="000000"/>
              <w:left w:val="single" w:sz="4" w:space="0" w:color="000000"/>
              <w:bottom w:val="single" w:sz="4" w:space="0" w:color="000000"/>
              <w:right w:val="single" w:sz="4" w:space="0" w:color="000000"/>
            </w:tcBorders>
          </w:tcPr>
          <w:p w14:paraId="251AC54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26.25</w:t>
            </w:r>
          </w:p>
        </w:tc>
        <w:tc>
          <w:tcPr>
            <w:tcW w:w="527" w:type="dxa"/>
            <w:tcBorders>
              <w:top w:val="single" w:sz="4" w:space="0" w:color="000000"/>
              <w:left w:val="single" w:sz="4" w:space="0" w:color="000000"/>
              <w:bottom w:val="single" w:sz="4" w:space="0" w:color="000000"/>
              <w:right w:val="single" w:sz="4" w:space="0" w:color="000000"/>
            </w:tcBorders>
          </w:tcPr>
          <w:p w14:paraId="0F0E78C7" w14:textId="77777777" w:rsidR="00D3344B" w:rsidRDefault="00D3344B">
            <w:pPr>
              <w:pStyle w:val="TableParagraph"/>
              <w:rPr>
                <w:rFonts w:ascii="Arial" w:hAnsi="Arial" w:cs="Arial"/>
                <w:sz w:val="18"/>
                <w:szCs w:val="18"/>
              </w:rPr>
            </w:pPr>
          </w:p>
        </w:tc>
      </w:tr>
      <w:tr w:rsidR="00D3344B" w14:paraId="13E3E44C"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5375EBE"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021</w:t>
            </w:r>
          </w:p>
        </w:tc>
        <w:tc>
          <w:tcPr>
            <w:tcW w:w="3038" w:type="dxa"/>
            <w:tcBorders>
              <w:top w:val="single" w:sz="4" w:space="0" w:color="000000"/>
              <w:left w:val="single" w:sz="4" w:space="0" w:color="000000"/>
              <w:bottom w:val="single" w:sz="4" w:space="0" w:color="000000"/>
              <w:right w:val="single" w:sz="4" w:space="0" w:color="000000"/>
            </w:tcBorders>
          </w:tcPr>
          <w:p w14:paraId="483A7F3B" w14:textId="77777777" w:rsidR="00D3344B" w:rsidRDefault="00143C25">
            <w:pPr>
              <w:pStyle w:val="TableParagraph"/>
              <w:spacing w:line="252" w:lineRule="exact"/>
              <w:ind w:right="272"/>
              <w:rPr>
                <w:rFonts w:ascii="Arial" w:hAnsi="Arial" w:cs="Arial"/>
                <w:sz w:val="18"/>
                <w:szCs w:val="18"/>
              </w:rPr>
            </w:pPr>
            <w:r>
              <w:rPr>
                <w:rFonts w:ascii="Arial" w:hAnsi="Arial" w:cs="Arial"/>
                <w:w w:val="110"/>
                <w:sz w:val="18"/>
                <w:szCs w:val="18"/>
              </w:rPr>
              <w:t>Ultrasonido</w:t>
            </w:r>
            <w:r>
              <w:rPr>
                <w:rFonts w:ascii="Arial" w:hAnsi="Arial" w:cs="Arial"/>
                <w:spacing w:val="-12"/>
                <w:w w:val="110"/>
                <w:sz w:val="18"/>
                <w:szCs w:val="18"/>
              </w:rPr>
              <w:t xml:space="preserve"> </w:t>
            </w:r>
            <w:r>
              <w:rPr>
                <w:rFonts w:ascii="Arial" w:hAnsi="Arial" w:cs="Arial"/>
                <w:w w:val="110"/>
                <w:sz w:val="18"/>
                <w:szCs w:val="18"/>
              </w:rPr>
              <w:t>Doppler</w:t>
            </w:r>
            <w:r>
              <w:rPr>
                <w:rFonts w:ascii="Arial" w:hAnsi="Arial" w:cs="Arial"/>
                <w:spacing w:val="-14"/>
                <w:w w:val="110"/>
                <w:sz w:val="18"/>
                <w:szCs w:val="18"/>
              </w:rPr>
              <w:t xml:space="preserve"> </w:t>
            </w:r>
            <w:r>
              <w:rPr>
                <w:rFonts w:ascii="Arial" w:hAnsi="Arial" w:cs="Arial"/>
                <w:w w:val="110"/>
                <w:sz w:val="18"/>
                <w:szCs w:val="18"/>
              </w:rPr>
              <w:t>arterial y venoso dos extremidades</w:t>
            </w:r>
          </w:p>
        </w:tc>
        <w:tc>
          <w:tcPr>
            <w:tcW w:w="697" w:type="dxa"/>
            <w:tcBorders>
              <w:top w:val="single" w:sz="4" w:space="0" w:color="000000"/>
              <w:left w:val="single" w:sz="4" w:space="0" w:color="000000"/>
              <w:bottom w:val="single" w:sz="4" w:space="0" w:color="000000"/>
              <w:right w:val="single" w:sz="4" w:space="0" w:color="000000"/>
            </w:tcBorders>
          </w:tcPr>
          <w:p w14:paraId="072FDCF8"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60.00</w:t>
            </w:r>
          </w:p>
        </w:tc>
        <w:tc>
          <w:tcPr>
            <w:tcW w:w="695" w:type="dxa"/>
            <w:tcBorders>
              <w:top w:val="single" w:sz="4" w:space="0" w:color="000000"/>
              <w:left w:val="single" w:sz="4" w:space="0" w:color="000000"/>
              <w:bottom w:val="single" w:sz="4" w:space="0" w:color="000000"/>
              <w:right w:val="single" w:sz="4" w:space="0" w:color="000000"/>
            </w:tcBorders>
          </w:tcPr>
          <w:p w14:paraId="523CC41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58.75</w:t>
            </w:r>
          </w:p>
        </w:tc>
        <w:tc>
          <w:tcPr>
            <w:tcW w:w="699" w:type="dxa"/>
            <w:tcBorders>
              <w:top w:val="single" w:sz="4" w:space="0" w:color="000000"/>
              <w:left w:val="single" w:sz="4" w:space="0" w:color="000000"/>
              <w:bottom w:val="single" w:sz="4" w:space="0" w:color="000000"/>
              <w:right w:val="single" w:sz="4" w:space="0" w:color="000000"/>
            </w:tcBorders>
          </w:tcPr>
          <w:p w14:paraId="003BE12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57.25</w:t>
            </w:r>
          </w:p>
        </w:tc>
        <w:tc>
          <w:tcPr>
            <w:tcW w:w="699" w:type="dxa"/>
            <w:tcBorders>
              <w:top w:val="single" w:sz="4" w:space="0" w:color="000000"/>
              <w:left w:val="single" w:sz="4" w:space="0" w:color="000000"/>
              <w:bottom w:val="single" w:sz="4" w:space="0" w:color="000000"/>
              <w:right w:val="single" w:sz="4" w:space="0" w:color="000000"/>
            </w:tcBorders>
          </w:tcPr>
          <w:p w14:paraId="1439687E"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54.25</w:t>
            </w:r>
          </w:p>
        </w:tc>
        <w:tc>
          <w:tcPr>
            <w:tcW w:w="696" w:type="dxa"/>
            <w:tcBorders>
              <w:top w:val="single" w:sz="4" w:space="0" w:color="000000"/>
              <w:left w:val="single" w:sz="4" w:space="0" w:color="000000"/>
              <w:bottom w:val="single" w:sz="4" w:space="0" w:color="000000"/>
              <w:right w:val="single" w:sz="4" w:space="0" w:color="000000"/>
            </w:tcBorders>
          </w:tcPr>
          <w:p w14:paraId="796A5CA6"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41.25</w:t>
            </w:r>
          </w:p>
        </w:tc>
        <w:tc>
          <w:tcPr>
            <w:tcW w:w="527" w:type="dxa"/>
            <w:tcBorders>
              <w:top w:val="single" w:sz="4" w:space="0" w:color="000000"/>
              <w:left w:val="single" w:sz="4" w:space="0" w:color="000000"/>
              <w:bottom w:val="single" w:sz="4" w:space="0" w:color="000000"/>
              <w:right w:val="single" w:sz="4" w:space="0" w:color="000000"/>
            </w:tcBorders>
          </w:tcPr>
          <w:p w14:paraId="00714154" w14:textId="77777777" w:rsidR="00D3344B" w:rsidRDefault="00D3344B">
            <w:pPr>
              <w:pStyle w:val="TableParagraph"/>
              <w:rPr>
                <w:rFonts w:ascii="Arial" w:hAnsi="Arial" w:cs="Arial"/>
                <w:sz w:val="18"/>
                <w:szCs w:val="18"/>
              </w:rPr>
            </w:pPr>
          </w:p>
        </w:tc>
      </w:tr>
      <w:tr w:rsidR="00D3344B" w14:paraId="22B1D0B4"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8B9F49B"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022</w:t>
            </w:r>
          </w:p>
        </w:tc>
        <w:tc>
          <w:tcPr>
            <w:tcW w:w="3038" w:type="dxa"/>
            <w:tcBorders>
              <w:top w:val="single" w:sz="4" w:space="0" w:color="000000"/>
              <w:left w:val="single" w:sz="4" w:space="0" w:color="000000"/>
              <w:bottom w:val="single" w:sz="4" w:space="0" w:color="000000"/>
              <w:right w:val="single" w:sz="4" w:space="0" w:color="000000"/>
            </w:tcBorders>
          </w:tcPr>
          <w:p w14:paraId="00E997BF" w14:textId="77777777" w:rsidR="00D3344B" w:rsidRDefault="00143C25">
            <w:pPr>
              <w:pStyle w:val="TableParagraph"/>
              <w:tabs>
                <w:tab w:val="left" w:pos="1629"/>
              </w:tabs>
              <w:spacing w:line="252" w:lineRule="exact"/>
              <w:ind w:right="619"/>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4"/>
                <w:w w:val="110"/>
                <w:sz w:val="18"/>
                <w:szCs w:val="18"/>
              </w:rPr>
              <w:t xml:space="preserve">Doppler </w:t>
            </w:r>
            <w:r>
              <w:rPr>
                <w:rFonts w:ascii="Arial" w:hAnsi="Arial" w:cs="Arial"/>
                <w:w w:val="110"/>
                <w:sz w:val="18"/>
                <w:szCs w:val="18"/>
              </w:rPr>
              <w:t>hepático (portal)</w:t>
            </w:r>
          </w:p>
        </w:tc>
        <w:tc>
          <w:tcPr>
            <w:tcW w:w="697" w:type="dxa"/>
            <w:tcBorders>
              <w:top w:val="single" w:sz="4" w:space="0" w:color="000000"/>
              <w:left w:val="single" w:sz="4" w:space="0" w:color="000000"/>
              <w:bottom w:val="single" w:sz="4" w:space="0" w:color="000000"/>
              <w:right w:val="single" w:sz="4" w:space="0" w:color="000000"/>
            </w:tcBorders>
          </w:tcPr>
          <w:p w14:paraId="1C6F236A"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16.50</w:t>
            </w:r>
          </w:p>
        </w:tc>
        <w:tc>
          <w:tcPr>
            <w:tcW w:w="695" w:type="dxa"/>
            <w:tcBorders>
              <w:top w:val="single" w:sz="4" w:space="0" w:color="000000"/>
              <w:left w:val="single" w:sz="4" w:space="0" w:color="000000"/>
              <w:bottom w:val="single" w:sz="4" w:space="0" w:color="000000"/>
              <w:right w:val="single" w:sz="4" w:space="0" w:color="000000"/>
            </w:tcBorders>
          </w:tcPr>
          <w:p w14:paraId="6EAE4AF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15.00</w:t>
            </w:r>
          </w:p>
        </w:tc>
        <w:tc>
          <w:tcPr>
            <w:tcW w:w="699" w:type="dxa"/>
            <w:tcBorders>
              <w:top w:val="single" w:sz="4" w:space="0" w:color="000000"/>
              <w:left w:val="single" w:sz="4" w:space="0" w:color="000000"/>
              <w:bottom w:val="single" w:sz="4" w:space="0" w:color="000000"/>
              <w:right w:val="single" w:sz="4" w:space="0" w:color="000000"/>
            </w:tcBorders>
          </w:tcPr>
          <w:p w14:paraId="2F80102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13.50</w:t>
            </w:r>
          </w:p>
        </w:tc>
        <w:tc>
          <w:tcPr>
            <w:tcW w:w="699" w:type="dxa"/>
            <w:tcBorders>
              <w:top w:val="single" w:sz="4" w:space="0" w:color="000000"/>
              <w:left w:val="single" w:sz="4" w:space="0" w:color="000000"/>
              <w:bottom w:val="single" w:sz="4" w:space="0" w:color="000000"/>
              <w:right w:val="single" w:sz="4" w:space="0" w:color="000000"/>
            </w:tcBorders>
          </w:tcPr>
          <w:p w14:paraId="5EF850D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12.00</w:t>
            </w:r>
          </w:p>
        </w:tc>
        <w:tc>
          <w:tcPr>
            <w:tcW w:w="696" w:type="dxa"/>
            <w:tcBorders>
              <w:top w:val="single" w:sz="4" w:space="0" w:color="000000"/>
              <w:left w:val="single" w:sz="4" w:space="0" w:color="000000"/>
              <w:bottom w:val="single" w:sz="4" w:space="0" w:color="000000"/>
              <w:right w:val="single" w:sz="4" w:space="0" w:color="000000"/>
            </w:tcBorders>
          </w:tcPr>
          <w:p w14:paraId="7742AD3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10.50</w:t>
            </w:r>
          </w:p>
        </w:tc>
        <w:tc>
          <w:tcPr>
            <w:tcW w:w="527" w:type="dxa"/>
            <w:tcBorders>
              <w:top w:val="single" w:sz="4" w:space="0" w:color="000000"/>
              <w:left w:val="single" w:sz="4" w:space="0" w:color="000000"/>
              <w:bottom w:val="single" w:sz="4" w:space="0" w:color="000000"/>
              <w:right w:val="single" w:sz="4" w:space="0" w:color="000000"/>
            </w:tcBorders>
          </w:tcPr>
          <w:p w14:paraId="53FCC22B" w14:textId="77777777" w:rsidR="00D3344B" w:rsidRDefault="00D3344B">
            <w:pPr>
              <w:pStyle w:val="TableParagraph"/>
              <w:rPr>
                <w:rFonts w:ascii="Arial" w:hAnsi="Arial" w:cs="Arial"/>
                <w:sz w:val="18"/>
                <w:szCs w:val="18"/>
              </w:rPr>
            </w:pPr>
          </w:p>
        </w:tc>
      </w:tr>
      <w:tr w:rsidR="00D3344B" w14:paraId="09859E9C"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1AA03E25"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023</w:t>
            </w:r>
          </w:p>
        </w:tc>
        <w:tc>
          <w:tcPr>
            <w:tcW w:w="3038" w:type="dxa"/>
            <w:tcBorders>
              <w:top w:val="single" w:sz="4" w:space="0" w:color="000000"/>
              <w:left w:val="single" w:sz="4" w:space="0" w:color="000000"/>
              <w:bottom w:val="single" w:sz="4" w:space="0" w:color="000000"/>
              <w:right w:val="single" w:sz="4" w:space="0" w:color="000000"/>
            </w:tcBorders>
          </w:tcPr>
          <w:p w14:paraId="107CC020" w14:textId="77777777" w:rsidR="00D3344B" w:rsidRDefault="00143C25">
            <w:pPr>
              <w:pStyle w:val="TableParagraph"/>
              <w:spacing w:before="1"/>
              <w:rPr>
                <w:rFonts w:ascii="Arial" w:hAnsi="Arial" w:cs="Arial"/>
                <w:sz w:val="18"/>
                <w:szCs w:val="18"/>
              </w:rPr>
            </w:pPr>
            <w:r>
              <w:rPr>
                <w:rFonts w:ascii="Arial" w:hAnsi="Arial" w:cs="Arial"/>
                <w:w w:val="110"/>
                <w:sz w:val="18"/>
                <w:szCs w:val="18"/>
              </w:rPr>
              <w:t>Ultrasonido</w:t>
            </w:r>
            <w:r>
              <w:rPr>
                <w:rFonts w:ascii="Arial" w:hAnsi="Arial" w:cs="Arial"/>
                <w:spacing w:val="14"/>
                <w:w w:val="110"/>
                <w:sz w:val="18"/>
                <w:szCs w:val="18"/>
              </w:rPr>
              <w:t xml:space="preserve"> </w:t>
            </w:r>
            <w:r>
              <w:rPr>
                <w:rFonts w:ascii="Arial" w:hAnsi="Arial" w:cs="Arial"/>
                <w:w w:val="110"/>
                <w:sz w:val="18"/>
                <w:szCs w:val="18"/>
              </w:rPr>
              <w:t>Doppler</w:t>
            </w:r>
            <w:r>
              <w:rPr>
                <w:rFonts w:ascii="Arial" w:hAnsi="Arial" w:cs="Arial"/>
                <w:spacing w:val="9"/>
                <w:w w:val="110"/>
                <w:sz w:val="18"/>
                <w:szCs w:val="18"/>
              </w:rPr>
              <w:t xml:space="preserve"> </w:t>
            </w:r>
            <w:r>
              <w:rPr>
                <w:rFonts w:ascii="Arial" w:hAnsi="Arial" w:cs="Arial"/>
                <w:spacing w:val="-2"/>
                <w:w w:val="110"/>
                <w:sz w:val="18"/>
                <w:szCs w:val="18"/>
              </w:rPr>
              <w:t>renal</w:t>
            </w:r>
          </w:p>
        </w:tc>
        <w:tc>
          <w:tcPr>
            <w:tcW w:w="697" w:type="dxa"/>
            <w:tcBorders>
              <w:top w:val="single" w:sz="4" w:space="0" w:color="000000"/>
              <w:left w:val="single" w:sz="4" w:space="0" w:color="000000"/>
              <w:bottom w:val="single" w:sz="4" w:space="0" w:color="000000"/>
              <w:right w:val="single" w:sz="4" w:space="0" w:color="000000"/>
            </w:tcBorders>
          </w:tcPr>
          <w:p w14:paraId="1CE34552"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16.50</w:t>
            </w:r>
          </w:p>
        </w:tc>
        <w:tc>
          <w:tcPr>
            <w:tcW w:w="695" w:type="dxa"/>
            <w:tcBorders>
              <w:top w:val="single" w:sz="4" w:space="0" w:color="000000"/>
              <w:left w:val="single" w:sz="4" w:space="0" w:color="000000"/>
              <w:bottom w:val="single" w:sz="4" w:space="0" w:color="000000"/>
              <w:right w:val="single" w:sz="4" w:space="0" w:color="000000"/>
            </w:tcBorders>
          </w:tcPr>
          <w:p w14:paraId="55E72F6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15.00</w:t>
            </w:r>
          </w:p>
        </w:tc>
        <w:tc>
          <w:tcPr>
            <w:tcW w:w="699" w:type="dxa"/>
            <w:tcBorders>
              <w:top w:val="single" w:sz="4" w:space="0" w:color="000000"/>
              <w:left w:val="single" w:sz="4" w:space="0" w:color="000000"/>
              <w:bottom w:val="single" w:sz="4" w:space="0" w:color="000000"/>
              <w:right w:val="single" w:sz="4" w:space="0" w:color="000000"/>
            </w:tcBorders>
          </w:tcPr>
          <w:p w14:paraId="21119F3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13.50</w:t>
            </w:r>
          </w:p>
        </w:tc>
        <w:tc>
          <w:tcPr>
            <w:tcW w:w="699" w:type="dxa"/>
            <w:tcBorders>
              <w:top w:val="single" w:sz="4" w:space="0" w:color="000000"/>
              <w:left w:val="single" w:sz="4" w:space="0" w:color="000000"/>
              <w:bottom w:val="single" w:sz="4" w:space="0" w:color="000000"/>
              <w:right w:val="single" w:sz="4" w:space="0" w:color="000000"/>
            </w:tcBorders>
          </w:tcPr>
          <w:p w14:paraId="3C15C7F0"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12.00</w:t>
            </w:r>
          </w:p>
        </w:tc>
        <w:tc>
          <w:tcPr>
            <w:tcW w:w="696" w:type="dxa"/>
            <w:tcBorders>
              <w:top w:val="single" w:sz="4" w:space="0" w:color="000000"/>
              <w:left w:val="single" w:sz="4" w:space="0" w:color="000000"/>
              <w:bottom w:val="single" w:sz="4" w:space="0" w:color="000000"/>
              <w:right w:val="single" w:sz="4" w:space="0" w:color="000000"/>
            </w:tcBorders>
          </w:tcPr>
          <w:p w14:paraId="2AA41C8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10.50</w:t>
            </w:r>
          </w:p>
        </w:tc>
        <w:tc>
          <w:tcPr>
            <w:tcW w:w="527" w:type="dxa"/>
            <w:tcBorders>
              <w:top w:val="single" w:sz="4" w:space="0" w:color="000000"/>
              <w:left w:val="single" w:sz="4" w:space="0" w:color="000000"/>
              <w:bottom w:val="single" w:sz="4" w:space="0" w:color="000000"/>
              <w:right w:val="single" w:sz="4" w:space="0" w:color="000000"/>
            </w:tcBorders>
          </w:tcPr>
          <w:p w14:paraId="74E8294E" w14:textId="77777777" w:rsidR="00D3344B" w:rsidRDefault="00D3344B">
            <w:pPr>
              <w:pStyle w:val="TableParagraph"/>
              <w:rPr>
                <w:rFonts w:ascii="Arial" w:hAnsi="Arial" w:cs="Arial"/>
                <w:sz w:val="18"/>
                <w:szCs w:val="18"/>
              </w:rPr>
            </w:pPr>
          </w:p>
        </w:tc>
      </w:tr>
      <w:tr w:rsidR="00D3344B" w14:paraId="6676CE74"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6227127"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024</w:t>
            </w:r>
          </w:p>
        </w:tc>
        <w:tc>
          <w:tcPr>
            <w:tcW w:w="3038" w:type="dxa"/>
            <w:tcBorders>
              <w:top w:val="single" w:sz="4" w:space="0" w:color="000000"/>
              <w:left w:val="single" w:sz="4" w:space="0" w:color="000000"/>
              <w:bottom w:val="single" w:sz="4" w:space="0" w:color="000000"/>
              <w:right w:val="single" w:sz="4" w:space="0" w:color="000000"/>
            </w:tcBorders>
          </w:tcPr>
          <w:p w14:paraId="525BE4FF" w14:textId="77777777" w:rsidR="00D3344B" w:rsidRDefault="00143C25">
            <w:pPr>
              <w:pStyle w:val="TableParagraph"/>
              <w:tabs>
                <w:tab w:val="left" w:pos="1452"/>
                <w:tab w:val="left" w:pos="2549"/>
              </w:tabs>
              <w:spacing w:line="252" w:lineRule="exact"/>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2"/>
                <w:w w:val="110"/>
                <w:sz w:val="18"/>
                <w:szCs w:val="18"/>
              </w:rPr>
              <w:t>Doppler</w:t>
            </w:r>
            <w:r>
              <w:rPr>
                <w:rFonts w:ascii="Arial" w:hAnsi="Arial" w:cs="Arial"/>
                <w:sz w:val="18"/>
                <w:szCs w:val="18"/>
              </w:rPr>
              <w:tab/>
            </w:r>
            <w:r>
              <w:rPr>
                <w:rFonts w:ascii="Arial" w:hAnsi="Arial" w:cs="Arial"/>
                <w:spacing w:val="-4"/>
                <w:w w:val="110"/>
                <w:sz w:val="18"/>
                <w:szCs w:val="18"/>
              </w:rPr>
              <w:t xml:space="preserve">renal </w:t>
            </w:r>
            <w:r>
              <w:rPr>
                <w:rFonts w:ascii="Arial" w:hAnsi="Arial" w:cs="Arial"/>
                <w:spacing w:val="-2"/>
                <w:w w:val="110"/>
                <w:sz w:val="18"/>
                <w:szCs w:val="18"/>
              </w:rPr>
              <w:t>(</w:t>
            </w:r>
            <w:proofErr w:type="spellStart"/>
            <w:r>
              <w:rPr>
                <w:rFonts w:ascii="Arial" w:hAnsi="Arial" w:cs="Arial"/>
                <w:spacing w:val="-2"/>
                <w:w w:val="110"/>
                <w:sz w:val="18"/>
                <w:szCs w:val="18"/>
              </w:rPr>
              <w:t>transplantado</w:t>
            </w:r>
            <w:proofErr w:type="spellEnd"/>
            <w:r>
              <w:rPr>
                <w:rFonts w:ascii="Arial" w:hAnsi="Arial" w:cs="Arial"/>
                <w:spacing w:val="-2"/>
                <w:w w:val="110"/>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2A6CDFD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15.75</w:t>
            </w:r>
          </w:p>
        </w:tc>
        <w:tc>
          <w:tcPr>
            <w:tcW w:w="695" w:type="dxa"/>
            <w:tcBorders>
              <w:top w:val="single" w:sz="4" w:space="0" w:color="000000"/>
              <w:left w:val="single" w:sz="4" w:space="0" w:color="000000"/>
              <w:bottom w:val="single" w:sz="4" w:space="0" w:color="000000"/>
              <w:right w:val="single" w:sz="4" w:space="0" w:color="000000"/>
            </w:tcBorders>
          </w:tcPr>
          <w:p w14:paraId="2DD3B603" w14:textId="77777777" w:rsidR="00D3344B" w:rsidRDefault="00143C25">
            <w:pPr>
              <w:pStyle w:val="TableParagraph"/>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2DFA5D71" w14:textId="77777777" w:rsidR="00D3344B" w:rsidRDefault="00143C25">
            <w:pPr>
              <w:pStyle w:val="TableParagraph"/>
              <w:rPr>
                <w:rFonts w:ascii="Arial" w:hAnsi="Arial" w:cs="Arial"/>
                <w:sz w:val="18"/>
                <w:szCs w:val="18"/>
              </w:rPr>
            </w:pPr>
            <w:r>
              <w:rPr>
                <w:rFonts w:ascii="Arial" w:hAnsi="Arial" w:cs="Arial"/>
                <w:spacing w:val="-4"/>
                <w:w w:val="115"/>
                <w:sz w:val="18"/>
                <w:szCs w:val="18"/>
              </w:rPr>
              <w:t>12.75</w:t>
            </w:r>
          </w:p>
        </w:tc>
        <w:tc>
          <w:tcPr>
            <w:tcW w:w="699" w:type="dxa"/>
            <w:tcBorders>
              <w:top w:val="single" w:sz="4" w:space="0" w:color="000000"/>
              <w:left w:val="single" w:sz="4" w:space="0" w:color="000000"/>
              <w:bottom w:val="single" w:sz="4" w:space="0" w:color="000000"/>
              <w:right w:val="single" w:sz="4" w:space="0" w:color="000000"/>
            </w:tcBorders>
          </w:tcPr>
          <w:p w14:paraId="78DF956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11.50</w:t>
            </w:r>
          </w:p>
        </w:tc>
        <w:tc>
          <w:tcPr>
            <w:tcW w:w="696" w:type="dxa"/>
            <w:tcBorders>
              <w:top w:val="single" w:sz="4" w:space="0" w:color="000000"/>
              <w:left w:val="single" w:sz="4" w:space="0" w:color="000000"/>
              <w:bottom w:val="single" w:sz="4" w:space="0" w:color="000000"/>
              <w:right w:val="single" w:sz="4" w:space="0" w:color="000000"/>
            </w:tcBorders>
          </w:tcPr>
          <w:p w14:paraId="3473C36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9.75</w:t>
            </w:r>
          </w:p>
        </w:tc>
        <w:tc>
          <w:tcPr>
            <w:tcW w:w="527" w:type="dxa"/>
            <w:tcBorders>
              <w:top w:val="single" w:sz="4" w:space="0" w:color="000000"/>
              <w:left w:val="single" w:sz="4" w:space="0" w:color="000000"/>
              <w:bottom w:val="single" w:sz="4" w:space="0" w:color="000000"/>
              <w:right w:val="single" w:sz="4" w:space="0" w:color="000000"/>
            </w:tcBorders>
          </w:tcPr>
          <w:p w14:paraId="581CDDD3" w14:textId="77777777" w:rsidR="00D3344B" w:rsidRDefault="00D3344B">
            <w:pPr>
              <w:pStyle w:val="TableParagraph"/>
              <w:rPr>
                <w:rFonts w:ascii="Arial" w:hAnsi="Arial" w:cs="Arial"/>
                <w:sz w:val="18"/>
                <w:szCs w:val="18"/>
              </w:rPr>
            </w:pPr>
          </w:p>
        </w:tc>
      </w:tr>
      <w:tr w:rsidR="00D3344B" w14:paraId="0699B32D"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76DB1A12" w14:textId="77777777" w:rsidR="00D3344B" w:rsidRDefault="00D3344B">
            <w:pPr>
              <w:pStyle w:val="TableParagraph"/>
              <w:spacing w:before="8"/>
              <w:rPr>
                <w:rFonts w:ascii="Arial" w:hAnsi="Arial" w:cs="Arial"/>
                <w:sz w:val="18"/>
                <w:szCs w:val="18"/>
              </w:rPr>
            </w:pPr>
          </w:p>
          <w:p w14:paraId="4E840DE3"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025</w:t>
            </w:r>
          </w:p>
        </w:tc>
        <w:tc>
          <w:tcPr>
            <w:tcW w:w="3038" w:type="dxa"/>
            <w:tcBorders>
              <w:top w:val="single" w:sz="4" w:space="0" w:color="000000"/>
              <w:left w:val="single" w:sz="4" w:space="0" w:color="000000"/>
              <w:bottom w:val="single" w:sz="4" w:space="0" w:color="000000"/>
              <w:right w:val="single" w:sz="4" w:space="0" w:color="000000"/>
            </w:tcBorders>
          </w:tcPr>
          <w:p w14:paraId="3B15A64A" w14:textId="77777777" w:rsidR="00D3344B" w:rsidRDefault="00143C25">
            <w:pPr>
              <w:pStyle w:val="TableParagraph"/>
              <w:tabs>
                <w:tab w:val="left" w:pos="1629"/>
              </w:tabs>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2"/>
                <w:w w:val="110"/>
                <w:sz w:val="18"/>
                <w:szCs w:val="18"/>
              </w:rPr>
              <w:t>Doppler</w:t>
            </w:r>
          </w:p>
          <w:p w14:paraId="48994324" w14:textId="77777777" w:rsidR="00D3344B" w:rsidRDefault="00143C25">
            <w:pPr>
              <w:pStyle w:val="TableParagraph"/>
              <w:tabs>
                <w:tab w:val="left" w:pos="1771"/>
              </w:tabs>
              <w:spacing w:line="254" w:lineRule="exact"/>
              <w:ind w:right="639"/>
              <w:rPr>
                <w:rFonts w:ascii="Arial" w:hAnsi="Arial" w:cs="Arial"/>
                <w:sz w:val="18"/>
                <w:szCs w:val="18"/>
              </w:rPr>
            </w:pPr>
            <w:r>
              <w:rPr>
                <w:rFonts w:ascii="Arial" w:hAnsi="Arial" w:cs="Arial"/>
                <w:spacing w:val="-2"/>
                <w:w w:val="110"/>
                <w:sz w:val="18"/>
                <w:szCs w:val="18"/>
              </w:rPr>
              <w:t>obstétrico</w:t>
            </w:r>
            <w:r>
              <w:rPr>
                <w:rFonts w:ascii="Arial" w:hAnsi="Arial" w:cs="Arial"/>
                <w:sz w:val="18"/>
                <w:szCs w:val="18"/>
              </w:rPr>
              <w:tab/>
            </w:r>
            <w:r>
              <w:rPr>
                <w:rFonts w:ascii="Arial" w:hAnsi="Arial" w:cs="Arial"/>
                <w:spacing w:val="-4"/>
                <w:w w:val="110"/>
                <w:sz w:val="18"/>
                <w:szCs w:val="18"/>
              </w:rPr>
              <w:t xml:space="preserve">(flujos </w:t>
            </w:r>
            <w:proofErr w:type="spellStart"/>
            <w:r>
              <w:rPr>
                <w:rFonts w:ascii="Arial" w:hAnsi="Arial" w:cs="Arial"/>
                <w:spacing w:val="-2"/>
                <w:w w:val="110"/>
                <w:sz w:val="18"/>
                <w:szCs w:val="18"/>
              </w:rPr>
              <w:t>fetoplacentarios</w:t>
            </w:r>
            <w:proofErr w:type="spellEnd"/>
            <w:r>
              <w:rPr>
                <w:rFonts w:ascii="Arial" w:hAnsi="Arial" w:cs="Arial"/>
                <w:spacing w:val="-2"/>
                <w:w w:val="110"/>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3AB1A940" w14:textId="77777777" w:rsidR="00D3344B" w:rsidRDefault="00D3344B">
            <w:pPr>
              <w:pStyle w:val="TableParagraph"/>
              <w:spacing w:before="8"/>
              <w:rPr>
                <w:rFonts w:ascii="Arial" w:hAnsi="Arial" w:cs="Arial"/>
                <w:sz w:val="18"/>
                <w:szCs w:val="18"/>
              </w:rPr>
            </w:pPr>
          </w:p>
          <w:p w14:paraId="4CB6C8AD"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17.25</w:t>
            </w:r>
          </w:p>
        </w:tc>
        <w:tc>
          <w:tcPr>
            <w:tcW w:w="695" w:type="dxa"/>
            <w:tcBorders>
              <w:top w:val="single" w:sz="4" w:space="0" w:color="000000"/>
              <w:left w:val="single" w:sz="4" w:space="0" w:color="000000"/>
              <w:bottom w:val="single" w:sz="4" w:space="0" w:color="000000"/>
              <w:right w:val="single" w:sz="4" w:space="0" w:color="000000"/>
            </w:tcBorders>
          </w:tcPr>
          <w:p w14:paraId="1B3D792E" w14:textId="77777777" w:rsidR="00D3344B" w:rsidRDefault="00D3344B">
            <w:pPr>
              <w:pStyle w:val="TableParagraph"/>
              <w:spacing w:before="8"/>
              <w:rPr>
                <w:rFonts w:ascii="Arial" w:hAnsi="Arial" w:cs="Arial"/>
                <w:sz w:val="18"/>
                <w:szCs w:val="18"/>
              </w:rPr>
            </w:pPr>
          </w:p>
          <w:p w14:paraId="205E958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16.00</w:t>
            </w:r>
          </w:p>
        </w:tc>
        <w:tc>
          <w:tcPr>
            <w:tcW w:w="699" w:type="dxa"/>
            <w:tcBorders>
              <w:top w:val="single" w:sz="4" w:space="0" w:color="000000"/>
              <w:left w:val="single" w:sz="4" w:space="0" w:color="000000"/>
              <w:bottom w:val="single" w:sz="4" w:space="0" w:color="000000"/>
              <w:right w:val="single" w:sz="4" w:space="0" w:color="000000"/>
            </w:tcBorders>
          </w:tcPr>
          <w:p w14:paraId="679A4DC1" w14:textId="77777777" w:rsidR="00D3344B" w:rsidRDefault="00D3344B">
            <w:pPr>
              <w:pStyle w:val="TableParagraph"/>
              <w:spacing w:before="8"/>
              <w:rPr>
                <w:rFonts w:ascii="Arial" w:hAnsi="Arial" w:cs="Arial"/>
                <w:sz w:val="18"/>
                <w:szCs w:val="18"/>
              </w:rPr>
            </w:pPr>
          </w:p>
          <w:p w14:paraId="25A5C16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62FA440B" w14:textId="77777777" w:rsidR="00D3344B" w:rsidRDefault="00D3344B">
            <w:pPr>
              <w:pStyle w:val="TableParagraph"/>
              <w:spacing w:before="8"/>
              <w:rPr>
                <w:rFonts w:ascii="Arial" w:hAnsi="Arial" w:cs="Arial"/>
                <w:sz w:val="18"/>
                <w:szCs w:val="18"/>
              </w:rPr>
            </w:pPr>
          </w:p>
          <w:p w14:paraId="361144D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12.75</w:t>
            </w:r>
          </w:p>
        </w:tc>
        <w:tc>
          <w:tcPr>
            <w:tcW w:w="696" w:type="dxa"/>
            <w:tcBorders>
              <w:top w:val="single" w:sz="4" w:space="0" w:color="000000"/>
              <w:left w:val="single" w:sz="4" w:space="0" w:color="000000"/>
              <w:bottom w:val="single" w:sz="4" w:space="0" w:color="000000"/>
              <w:right w:val="single" w:sz="4" w:space="0" w:color="000000"/>
            </w:tcBorders>
          </w:tcPr>
          <w:p w14:paraId="4F8AED0E" w14:textId="77777777" w:rsidR="00D3344B" w:rsidRDefault="00D3344B">
            <w:pPr>
              <w:pStyle w:val="TableParagraph"/>
              <w:spacing w:before="8"/>
              <w:rPr>
                <w:rFonts w:ascii="Arial" w:hAnsi="Arial" w:cs="Arial"/>
                <w:sz w:val="18"/>
                <w:szCs w:val="18"/>
              </w:rPr>
            </w:pPr>
          </w:p>
          <w:p w14:paraId="1FB5231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11.50</w:t>
            </w:r>
          </w:p>
        </w:tc>
        <w:tc>
          <w:tcPr>
            <w:tcW w:w="527" w:type="dxa"/>
            <w:tcBorders>
              <w:top w:val="single" w:sz="4" w:space="0" w:color="000000"/>
              <w:left w:val="single" w:sz="4" w:space="0" w:color="000000"/>
              <w:bottom w:val="single" w:sz="4" w:space="0" w:color="000000"/>
              <w:right w:val="single" w:sz="4" w:space="0" w:color="000000"/>
            </w:tcBorders>
          </w:tcPr>
          <w:p w14:paraId="030F8CD0" w14:textId="77777777" w:rsidR="00D3344B" w:rsidRDefault="00D3344B">
            <w:pPr>
              <w:pStyle w:val="TableParagraph"/>
              <w:rPr>
                <w:rFonts w:ascii="Arial" w:hAnsi="Arial" w:cs="Arial"/>
                <w:sz w:val="18"/>
                <w:szCs w:val="18"/>
              </w:rPr>
            </w:pPr>
          </w:p>
        </w:tc>
      </w:tr>
      <w:tr w:rsidR="00D3344B" w14:paraId="2046735D"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517B6DE3" w14:textId="77777777" w:rsidR="00D3344B" w:rsidRDefault="00143C25">
            <w:pPr>
              <w:pStyle w:val="TableParagraph"/>
              <w:spacing w:line="250" w:lineRule="exact"/>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026</w:t>
            </w:r>
          </w:p>
        </w:tc>
        <w:tc>
          <w:tcPr>
            <w:tcW w:w="3038" w:type="dxa"/>
            <w:tcBorders>
              <w:top w:val="single" w:sz="4" w:space="0" w:color="000000"/>
              <w:left w:val="single" w:sz="4" w:space="0" w:color="000000"/>
              <w:bottom w:val="single" w:sz="4" w:space="0" w:color="000000"/>
              <w:right w:val="single" w:sz="4" w:space="0" w:color="000000"/>
            </w:tcBorders>
          </w:tcPr>
          <w:p w14:paraId="07337234" w14:textId="77777777" w:rsidR="00D3344B" w:rsidRDefault="00143C25">
            <w:pPr>
              <w:pStyle w:val="TableParagraph"/>
              <w:tabs>
                <w:tab w:val="left" w:pos="1629"/>
              </w:tabs>
              <w:spacing w:line="252" w:lineRule="exact"/>
              <w:ind w:right="619"/>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4"/>
                <w:w w:val="110"/>
                <w:sz w:val="18"/>
                <w:szCs w:val="18"/>
              </w:rPr>
              <w:t xml:space="preserve">Doppler </w:t>
            </w:r>
            <w:r>
              <w:rPr>
                <w:rFonts w:ascii="Arial" w:hAnsi="Arial" w:cs="Arial"/>
                <w:w w:val="110"/>
                <w:sz w:val="18"/>
                <w:szCs w:val="18"/>
              </w:rPr>
              <w:t>carotideo y vertebral</w:t>
            </w:r>
          </w:p>
        </w:tc>
        <w:tc>
          <w:tcPr>
            <w:tcW w:w="697" w:type="dxa"/>
            <w:tcBorders>
              <w:top w:val="single" w:sz="4" w:space="0" w:color="000000"/>
              <w:left w:val="single" w:sz="4" w:space="0" w:color="000000"/>
              <w:bottom w:val="single" w:sz="4" w:space="0" w:color="000000"/>
              <w:right w:val="single" w:sz="4" w:space="0" w:color="000000"/>
            </w:tcBorders>
          </w:tcPr>
          <w:p w14:paraId="5BB0E9CA" w14:textId="77777777" w:rsidR="00D3344B" w:rsidRDefault="00143C25">
            <w:pPr>
              <w:pStyle w:val="TableParagraph"/>
              <w:spacing w:line="250" w:lineRule="exact"/>
              <w:ind w:left="2"/>
              <w:rPr>
                <w:rFonts w:ascii="Arial" w:hAnsi="Arial" w:cs="Arial"/>
                <w:sz w:val="18"/>
                <w:szCs w:val="18"/>
              </w:rPr>
            </w:pPr>
            <w:r>
              <w:rPr>
                <w:rFonts w:ascii="Arial" w:hAnsi="Arial" w:cs="Arial"/>
                <w:spacing w:val="-4"/>
                <w:w w:val="115"/>
                <w:sz w:val="18"/>
                <w:szCs w:val="18"/>
              </w:rPr>
              <w:t>19.00</w:t>
            </w:r>
          </w:p>
        </w:tc>
        <w:tc>
          <w:tcPr>
            <w:tcW w:w="695" w:type="dxa"/>
            <w:tcBorders>
              <w:top w:val="single" w:sz="4" w:space="0" w:color="000000"/>
              <w:left w:val="single" w:sz="4" w:space="0" w:color="000000"/>
              <w:bottom w:val="single" w:sz="4" w:space="0" w:color="000000"/>
              <w:right w:val="single" w:sz="4" w:space="0" w:color="000000"/>
            </w:tcBorders>
          </w:tcPr>
          <w:p w14:paraId="2D05CD5D"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17.25</w:t>
            </w:r>
          </w:p>
        </w:tc>
        <w:tc>
          <w:tcPr>
            <w:tcW w:w="699" w:type="dxa"/>
            <w:tcBorders>
              <w:top w:val="single" w:sz="4" w:space="0" w:color="000000"/>
              <w:left w:val="single" w:sz="4" w:space="0" w:color="000000"/>
              <w:bottom w:val="single" w:sz="4" w:space="0" w:color="000000"/>
              <w:right w:val="single" w:sz="4" w:space="0" w:color="000000"/>
            </w:tcBorders>
          </w:tcPr>
          <w:p w14:paraId="52A4409A" w14:textId="77777777" w:rsidR="00D3344B" w:rsidRDefault="00143C25">
            <w:pPr>
              <w:pStyle w:val="TableParagraph"/>
              <w:spacing w:line="250" w:lineRule="exact"/>
              <w:rPr>
                <w:rFonts w:ascii="Arial" w:hAnsi="Arial" w:cs="Arial"/>
                <w:sz w:val="18"/>
                <w:szCs w:val="18"/>
              </w:rPr>
            </w:pPr>
            <w:r>
              <w:rPr>
                <w:rFonts w:ascii="Arial" w:hAnsi="Arial" w:cs="Arial"/>
                <w:spacing w:val="-4"/>
                <w:w w:val="115"/>
                <w:sz w:val="18"/>
                <w:szCs w:val="18"/>
              </w:rPr>
              <w:t>15.75</w:t>
            </w:r>
          </w:p>
        </w:tc>
        <w:tc>
          <w:tcPr>
            <w:tcW w:w="699" w:type="dxa"/>
            <w:tcBorders>
              <w:top w:val="single" w:sz="4" w:space="0" w:color="000000"/>
              <w:left w:val="single" w:sz="4" w:space="0" w:color="000000"/>
              <w:bottom w:val="single" w:sz="4" w:space="0" w:color="000000"/>
              <w:right w:val="single" w:sz="4" w:space="0" w:color="000000"/>
            </w:tcBorders>
          </w:tcPr>
          <w:p w14:paraId="024F294B"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14.25</w:t>
            </w:r>
          </w:p>
        </w:tc>
        <w:tc>
          <w:tcPr>
            <w:tcW w:w="696" w:type="dxa"/>
            <w:tcBorders>
              <w:top w:val="single" w:sz="4" w:space="0" w:color="000000"/>
              <w:left w:val="single" w:sz="4" w:space="0" w:color="000000"/>
              <w:bottom w:val="single" w:sz="4" w:space="0" w:color="000000"/>
              <w:right w:val="single" w:sz="4" w:space="0" w:color="000000"/>
            </w:tcBorders>
          </w:tcPr>
          <w:p w14:paraId="31EFD174" w14:textId="77777777" w:rsidR="00D3344B" w:rsidRDefault="00143C25">
            <w:pPr>
              <w:pStyle w:val="TableParagraph"/>
              <w:spacing w:line="250" w:lineRule="exact"/>
              <w:ind w:left="5"/>
              <w:rPr>
                <w:rFonts w:ascii="Arial" w:hAnsi="Arial" w:cs="Arial"/>
                <w:sz w:val="18"/>
                <w:szCs w:val="18"/>
              </w:rPr>
            </w:pPr>
            <w:r>
              <w:rPr>
                <w:rFonts w:ascii="Arial" w:hAnsi="Arial" w:cs="Arial"/>
                <w:spacing w:val="-4"/>
                <w:w w:val="115"/>
                <w:sz w:val="18"/>
                <w:szCs w:val="18"/>
              </w:rPr>
              <w:t>12.75</w:t>
            </w:r>
          </w:p>
        </w:tc>
        <w:tc>
          <w:tcPr>
            <w:tcW w:w="527" w:type="dxa"/>
            <w:tcBorders>
              <w:top w:val="single" w:sz="4" w:space="0" w:color="000000"/>
              <w:left w:val="single" w:sz="4" w:space="0" w:color="000000"/>
              <w:bottom w:val="single" w:sz="4" w:space="0" w:color="000000"/>
              <w:right w:val="single" w:sz="4" w:space="0" w:color="000000"/>
            </w:tcBorders>
          </w:tcPr>
          <w:p w14:paraId="58431340" w14:textId="77777777" w:rsidR="00D3344B" w:rsidRDefault="00D3344B">
            <w:pPr>
              <w:pStyle w:val="TableParagraph"/>
              <w:rPr>
                <w:rFonts w:ascii="Arial" w:hAnsi="Arial" w:cs="Arial"/>
                <w:sz w:val="18"/>
                <w:szCs w:val="18"/>
              </w:rPr>
            </w:pPr>
          </w:p>
        </w:tc>
      </w:tr>
      <w:tr w:rsidR="00D3344B" w14:paraId="05F237F2"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49C48CF4" w14:textId="77777777" w:rsidR="00D3344B" w:rsidRDefault="00D3344B">
            <w:pPr>
              <w:pStyle w:val="TableParagraph"/>
              <w:spacing w:before="8"/>
              <w:rPr>
                <w:rFonts w:ascii="Arial" w:hAnsi="Arial" w:cs="Arial"/>
                <w:sz w:val="18"/>
                <w:szCs w:val="18"/>
              </w:rPr>
            </w:pPr>
          </w:p>
          <w:p w14:paraId="14604223"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027</w:t>
            </w:r>
          </w:p>
        </w:tc>
        <w:tc>
          <w:tcPr>
            <w:tcW w:w="3038" w:type="dxa"/>
            <w:tcBorders>
              <w:top w:val="single" w:sz="4" w:space="0" w:color="000000"/>
              <w:left w:val="single" w:sz="4" w:space="0" w:color="000000"/>
              <w:bottom w:val="single" w:sz="4" w:space="0" w:color="000000"/>
              <w:right w:val="single" w:sz="4" w:space="0" w:color="000000"/>
            </w:tcBorders>
          </w:tcPr>
          <w:p w14:paraId="4BD5F5DB" w14:textId="77777777" w:rsidR="00D3344B" w:rsidRDefault="00143C25">
            <w:pPr>
              <w:pStyle w:val="TableParagraph"/>
              <w:tabs>
                <w:tab w:val="left" w:pos="1485"/>
                <w:tab w:val="left" w:pos="2605"/>
              </w:tabs>
              <w:ind w:right="60"/>
              <w:rPr>
                <w:rFonts w:ascii="Arial" w:hAnsi="Arial" w:cs="Arial"/>
                <w:sz w:val="18"/>
                <w:szCs w:val="18"/>
              </w:rPr>
            </w:pPr>
            <w:r>
              <w:rPr>
                <w:rFonts w:ascii="Arial" w:hAnsi="Arial" w:cs="Arial"/>
                <w:spacing w:val="-2"/>
                <w:w w:val="115"/>
                <w:sz w:val="18"/>
                <w:szCs w:val="18"/>
              </w:rPr>
              <w:t>Ultrasonido</w:t>
            </w:r>
            <w:r>
              <w:rPr>
                <w:rFonts w:ascii="Arial" w:hAnsi="Arial" w:cs="Arial"/>
                <w:sz w:val="18"/>
                <w:szCs w:val="18"/>
              </w:rPr>
              <w:tab/>
            </w:r>
            <w:r>
              <w:rPr>
                <w:rFonts w:ascii="Arial" w:hAnsi="Arial" w:cs="Arial"/>
                <w:spacing w:val="-2"/>
                <w:w w:val="115"/>
                <w:sz w:val="18"/>
                <w:szCs w:val="18"/>
              </w:rPr>
              <w:t>Doppler</w:t>
            </w:r>
            <w:r>
              <w:rPr>
                <w:rFonts w:ascii="Arial" w:hAnsi="Arial" w:cs="Arial"/>
                <w:sz w:val="18"/>
                <w:szCs w:val="18"/>
              </w:rPr>
              <w:tab/>
            </w:r>
            <w:r>
              <w:rPr>
                <w:rFonts w:ascii="Arial" w:hAnsi="Arial" w:cs="Arial"/>
                <w:spacing w:val="-4"/>
                <w:w w:val="115"/>
                <w:sz w:val="18"/>
                <w:szCs w:val="18"/>
              </w:rPr>
              <w:t xml:space="preserve">una </w:t>
            </w:r>
            <w:proofErr w:type="gramStart"/>
            <w:r>
              <w:rPr>
                <w:rFonts w:ascii="Arial" w:hAnsi="Arial" w:cs="Arial"/>
                <w:w w:val="115"/>
                <w:sz w:val="18"/>
                <w:szCs w:val="18"/>
              </w:rPr>
              <w:t>región</w:t>
            </w:r>
            <w:r>
              <w:rPr>
                <w:rFonts w:ascii="Arial" w:hAnsi="Arial" w:cs="Arial"/>
                <w:spacing w:val="30"/>
                <w:w w:val="115"/>
                <w:sz w:val="18"/>
                <w:szCs w:val="18"/>
              </w:rPr>
              <w:t xml:space="preserve">  </w:t>
            </w:r>
            <w:r>
              <w:rPr>
                <w:rFonts w:ascii="Arial" w:hAnsi="Arial" w:cs="Arial"/>
                <w:w w:val="115"/>
                <w:sz w:val="18"/>
                <w:szCs w:val="18"/>
              </w:rPr>
              <w:t>(</w:t>
            </w:r>
            <w:proofErr w:type="gramEnd"/>
            <w:r>
              <w:rPr>
                <w:rFonts w:ascii="Arial" w:hAnsi="Arial" w:cs="Arial"/>
                <w:w w:val="115"/>
                <w:sz w:val="18"/>
                <w:szCs w:val="18"/>
              </w:rPr>
              <w:t>testicular,</w:t>
            </w:r>
            <w:r>
              <w:rPr>
                <w:rFonts w:ascii="Arial" w:hAnsi="Arial" w:cs="Arial"/>
                <w:spacing w:val="32"/>
                <w:w w:val="115"/>
                <w:sz w:val="18"/>
                <w:szCs w:val="18"/>
              </w:rPr>
              <w:t xml:space="preserve">  </w:t>
            </w:r>
            <w:r>
              <w:rPr>
                <w:rFonts w:ascii="Arial" w:hAnsi="Arial" w:cs="Arial"/>
                <w:spacing w:val="-2"/>
                <w:w w:val="115"/>
                <w:sz w:val="18"/>
                <w:szCs w:val="18"/>
              </w:rPr>
              <w:t>tiroideo,</w:t>
            </w:r>
          </w:p>
          <w:p w14:paraId="6A45B4CA" w14:textId="77777777" w:rsidR="00D3344B" w:rsidRDefault="00143C25">
            <w:pPr>
              <w:pStyle w:val="TableParagraph"/>
              <w:spacing w:line="233" w:lineRule="exact"/>
              <w:rPr>
                <w:rFonts w:ascii="Arial" w:hAnsi="Arial" w:cs="Arial"/>
                <w:sz w:val="18"/>
                <w:szCs w:val="18"/>
              </w:rPr>
            </w:pPr>
            <w:r>
              <w:rPr>
                <w:rFonts w:ascii="Arial" w:hAnsi="Arial" w:cs="Arial"/>
                <w:spacing w:val="-2"/>
                <w:w w:val="115"/>
                <w:sz w:val="18"/>
                <w:szCs w:val="18"/>
              </w:rPr>
              <w:t>pélvico)</w:t>
            </w:r>
          </w:p>
        </w:tc>
        <w:tc>
          <w:tcPr>
            <w:tcW w:w="697" w:type="dxa"/>
            <w:tcBorders>
              <w:top w:val="single" w:sz="4" w:space="0" w:color="000000"/>
              <w:left w:val="single" w:sz="4" w:space="0" w:color="000000"/>
              <w:bottom w:val="single" w:sz="4" w:space="0" w:color="000000"/>
              <w:right w:val="single" w:sz="4" w:space="0" w:color="000000"/>
            </w:tcBorders>
          </w:tcPr>
          <w:p w14:paraId="0F35883F" w14:textId="77777777" w:rsidR="00D3344B" w:rsidRDefault="00D3344B">
            <w:pPr>
              <w:pStyle w:val="TableParagraph"/>
              <w:spacing w:before="8"/>
              <w:rPr>
                <w:rFonts w:ascii="Arial" w:hAnsi="Arial" w:cs="Arial"/>
                <w:sz w:val="18"/>
                <w:szCs w:val="18"/>
              </w:rPr>
            </w:pPr>
          </w:p>
          <w:p w14:paraId="13B88AB8"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13.75</w:t>
            </w:r>
          </w:p>
        </w:tc>
        <w:tc>
          <w:tcPr>
            <w:tcW w:w="695" w:type="dxa"/>
            <w:tcBorders>
              <w:top w:val="single" w:sz="4" w:space="0" w:color="000000"/>
              <w:left w:val="single" w:sz="4" w:space="0" w:color="000000"/>
              <w:bottom w:val="single" w:sz="4" w:space="0" w:color="000000"/>
              <w:right w:val="single" w:sz="4" w:space="0" w:color="000000"/>
            </w:tcBorders>
          </w:tcPr>
          <w:p w14:paraId="29AE604E" w14:textId="77777777" w:rsidR="00D3344B" w:rsidRDefault="00D3344B">
            <w:pPr>
              <w:pStyle w:val="TableParagraph"/>
              <w:spacing w:before="8"/>
              <w:rPr>
                <w:rFonts w:ascii="Arial" w:hAnsi="Arial" w:cs="Arial"/>
                <w:sz w:val="18"/>
                <w:szCs w:val="18"/>
              </w:rPr>
            </w:pPr>
          </w:p>
          <w:p w14:paraId="21B1514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12.25</w:t>
            </w:r>
          </w:p>
        </w:tc>
        <w:tc>
          <w:tcPr>
            <w:tcW w:w="699" w:type="dxa"/>
            <w:tcBorders>
              <w:top w:val="single" w:sz="4" w:space="0" w:color="000000"/>
              <w:left w:val="single" w:sz="4" w:space="0" w:color="000000"/>
              <w:bottom w:val="single" w:sz="4" w:space="0" w:color="000000"/>
              <w:right w:val="single" w:sz="4" w:space="0" w:color="000000"/>
            </w:tcBorders>
          </w:tcPr>
          <w:p w14:paraId="2A88BCF5" w14:textId="77777777" w:rsidR="00D3344B" w:rsidRDefault="00D3344B">
            <w:pPr>
              <w:pStyle w:val="TableParagraph"/>
              <w:spacing w:before="8"/>
              <w:rPr>
                <w:rFonts w:ascii="Arial" w:hAnsi="Arial" w:cs="Arial"/>
                <w:sz w:val="18"/>
                <w:szCs w:val="18"/>
              </w:rPr>
            </w:pPr>
          </w:p>
          <w:p w14:paraId="5AC5CF8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10.75</w:t>
            </w:r>
          </w:p>
        </w:tc>
        <w:tc>
          <w:tcPr>
            <w:tcW w:w="699" w:type="dxa"/>
            <w:tcBorders>
              <w:top w:val="single" w:sz="4" w:space="0" w:color="000000"/>
              <w:left w:val="single" w:sz="4" w:space="0" w:color="000000"/>
              <w:bottom w:val="single" w:sz="4" w:space="0" w:color="000000"/>
              <w:right w:val="single" w:sz="4" w:space="0" w:color="000000"/>
            </w:tcBorders>
          </w:tcPr>
          <w:p w14:paraId="71B67328" w14:textId="77777777" w:rsidR="00D3344B" w:rsidRDefault="00D3344B">
            <w:pPr>
              <w:pStyle w:val="TableParagraph"/>
              <w:spacing w:before="8"/>
              <w:rPr>
                <w:rFonts w:ascii="Arial" w:hAnsi="Arial" w:cs="Arial"/>
                <w:sz w:val="18"/>
                <w:szCs w:val="18"/>
              </w:rPr>
            </w:pPr>
          </w:p>
          <w:p w14:paraId="7F6CC9E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9.00</w:t>
            </w:r>
          </w:p>
        </w:tc>
        <w:tc>
          <w:tcPr>
            <w:tcW w:w="696" w:type="dxa"/>
            <w:tcBorders>
              <w:top w:val="single" w:sz="4" w:space="0" w:color="000000"/>
              <w:left w:val="single" w:sz="4" w:space="0" w:color="000000"/>
              <w:bottom w:val="single" w:sz="4" w:space="0" w:color="000000"/>
              <w:right w:val="single" w:sz="4" w:space="0" w:color="000000"/>
            </w:tcBorders>
          </w:tcPr>
          <w:p w14:paraId="0B8B87CE" w14:textId="77777777" w:rsidR="00D3344B" w:rsidRDefault="00D3344B">
            <w:pPr>
              <w:pStyle w:val="TableParagraph"/>
              <w:spacing w:before="8"/>
              <w:rPr>
                <w:rFonts w:ascii="Arial" w:hAnsi="Arial" w:cs="Arial"/>
                <w:sz w:val="18"/>
                <w:szCs w:val="18"/>
              </w:rPr>
            </w:pPr>
          </w:p>
          <w:p w14:paraId="02E5A34F"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7.50</w:t>
            </w:r>
          </w:p>
        </w:tc>
        <w:tc>
          <w:tcPr>
            <w:tcW w:w="527" w:type="dxa"/>
            <w:tcBorders>
              <w:top w:val="single" w:sz="4" w:space="0" w:color="000000"/>
              <w:left w:val="single" w:sz="4" w:space="0" w:color="000000"/>
              <w:bottom w:val="single" w:sz="4" w:space="0" w:color="000000"/>
              <w:right w:val="single" w:sz="4" w:space="0" w:color="000000"/>
            </w:tcBorders>
          </w:tcPr>
          <w:p w14:paraId="3EB6CD64" w14:textId="77777777" w:rsidR="00D3344B" w:rsidRDefault="00D3344B">
            <w:pPr>
              <w:pStyle w:val="TableParagraph"/>
              <w:rPr>
                <w:rFonts w:ascii="Arial" w:hAnsi="Arial" w:cs="Arial"/>
                <w:sz w:val="18"/>
                <w:szCs w:val="18"/>
              </w:rPr>
            </w:pPr>
          </w:p>
        </w:tc>
      </w:tr>
      <w:tr w:rsidR="00D3344B" w14:paraId="16968832"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3858F563" w14:textId="77777777" w:rsidR="00D3344B" w:rsidRDefault="00D3344B">
            <w:pPr>
              <w:pStyle w:val="TableParagraph"/>
              <w:spacing w:before="11"/>
              <w:rPr>
                <w:rFonts w:ascii="Arial" w:hAnsi="Arial" w:cs="Arial"/>
                <w:sz w:val="18"/>
                <w:szCs w:val="18"/>
              </w:rPr>
            </w:pPr>
          </w:p>
          <w:p w14:paraId="47CAB2D4"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028</w:t>
            </w:r>
          </w:p>
        </w:tc>
        <w:tc>
          <w:tcPr>
            <w:tcW w:w="3038" w:type="dxa"/>
            <w:tcBorders>
              <w:top w:val="single" w:sz="4" w:space="0" w:color="000000"/>
              <w:left w:val="single" w:sz="4" w:space="0" w:color="000000"/>
              <w:bottom w:val="single" w:sz="4" w:space="0" w:color="000000"/>
              <w:right w:val="single" w:sz="4" w:space="0" w:color="000000"/>
            </w:tcBorders>
          </w:tcPr>
          <w:p w14:paraId="463B3D04" w14:textId="77777777" w:rsidR="00D3344B" w:rsidRDefault="00143C25">
            <w:pPr>
              <w:pStyle w:val="TableParagraph"/>
              <w:tabs>
                <w:tab w:val="left" w:pos="1941"/>
              </w:tabs>
              <w:rPr>
                <w:rFonts w:ascii="Arial" w:hAnsi="Arial" w:cs="Arial"/>
                <w:sz w:val="18"/>
                <w:szCs w:val="18"/>
              </w:rPr>
            </w:pPr>
            <w:r>
              <w:rPr>
                <w:rFonts w:ascii="Arial" w:hAnsi="Arial" w:cs="Arial"/>
                <w:spacing w:val="-2"/>
                <w:w w:val="115"/>
                <w:sz w:val="18"/>
                <w:szCs w:val="18"/>
              </w:rPr>
              <w:t>Ultrasonido</w:t>
            </w:r>
            <w:r>
              <w:rPr>
                <w:rFonts w:ascii="Arial" w:hAnsi="Arial" w:cs="Arial"/>
                <w:sz w:val="18"/>
                <w:szCs w:val="18"/>
              </w:rPr>
              <w:tab/>
            </w:r>
            <w:r>
              <w:rPr>
                <w:rFonts w:ascii="Arial" w:hAnsi="Arial" w:cs="Arial"/>
                <w:spacing w:val="-5"/>
                <w:w w:val="115"/>
                <w:sz w:val="18"/>
                <w:szCs w:val="18"/>
              </w:rPr>
              <w:t>una</w:t>
            </w:r>
          </w:p>
          <w:p w14:paraId="69A09FA9" w14:textId="77777777" w:rsidR="00D3344B" w:rsidRDefault="00143C25">
            <w:pPr>
              <w:pStyle w:val="TableParagraph"/>
              <w:tabs>
                <w:tab w:val="left" w:pos="1548"/>
              </w:tabs>
              <w:spacing w:line="252" w:lineRule="exact"/>
              <w:ind w:right="530"/>
              <w:rPr>
                <w:rFonts w:ascii="Arial" w:hAnsi="Arial" w:cs="Arial"/>
                <w:sz w:val="18"/>
                <w:szCs w:val="18"/>
              </w:rPr>
            </w:pPr>
            <w:r>
              <w:rPr>
                <w:rFonts w:ascii="Arial" w:hAnsi="Arial" w:cs="Arial"/>
                <w:spacing w:val="-2"/>
                <w:w w:val="110"/>
                <w:sz w:val="18"/>
                <w:szCs w:val="18"/>
              </w:rPr>
              <w:t>articulación</w:t>
            </w:r>
            <w:r>
              <w:rPr>
                <w:rFonts w:ascii="Arial" w:hAnsi="Arial" w:cs="Arial"/>
                <w:sz w:val="18"/>
                <w:szCs w:val="18"/>
              </w:rPr>
              <w:tab/>
            </w:r>
            <w:r>
              <w:rPr>
                <w:rFonts w:ascii="Arial" w:hAnsi="Arial" w:cs="Arial"/>
                <w:spacing w:val="-2"/>
                <w:w w:val="110"/>
                <w:sz w:val="18"/>
                <w:szCs w:val="18"/>
              </w:rPr>
              <w:t xml:space="preserve">(hombro, </w:t>
            </w:r>
            <w:r>
              <w:rPr>
                <w:rFonts w:ascii="Arial" w:hAnsi="Arial" w:cs="Arial"/>
                <w:w w:val="110"/>
                <w:sz w:val="18"/>
                <w:szCs w:val="18"/>
              </w:rPr>
              <w:t>cadera, codo, rodilla</w:t>
            </w:r>
            <w:proofErr w:type="gramStart"/>
            <w:r>
              <w:rPr>
                <w:rFonts w:ascii="Arial" w:hAnsi="Arial" w:cs="Arial"/>
                <w:w w:val="110"/>
                <w:sz w:val="18"/>
                <w:szCs w:val="18"/>
              </w:rPr>
              <w:t xml:space="preserve"> ….</w:t>
            </w:r>
            <w:proofErr w:type="gramEnd"/>
            <w:r>
              <w:rPr>
                <w:rFonts w:ascii="Arial" w:hAnsi="Arial" w:cs="Arial"/>
                <w:w w:val="110"/>
                <w:sz w:val="18"/>
                <w:szCs w:val="18"/>
              </w:rPr>
              <w:t>)</w:t>
            </w:r>
          </w:p>
        </w:tc>
        <w:tc>
          <w:tcPr>
            <w:tcW w:w="697" w:type="dxa"/>
            <w:tcBorders>
              <w:top w:val="single" w:sz="4" w:space="0" w:color="000000"/>
              <w:left w:val="single" w:sz="4" w:space="0" w:color="000000"/>
              <w:bottom w:val="single" w:sz="4" w:space="0" w:color="000000"/>
              <w:right w:val="single" w:sz="4" w:space="0" w:color="000000"/>
            </w:tcBorders>
          </w:tcPr>
          <w:p w14:paraId="521A1519" w14:textId="77777777" w:rsidR="00D3344B" w:rsidRDefault="00D3344B">
            <w:pPr>
              <w:pStyle w:val="TableParagraph"/>
              <w:spacing w:before="11"/>
              <w:rPr>
                <w:rFonts w:ascii="Arial" w:hAnsi="Arial" w:cs="Arial"/>
                <w:sz w:val="18"/>
                <w:szCs w:val="18"/>
              </w:rPr>
            </w:pPr>
          </w:p>
          <w:p w14:paraId="4DA83FD7"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14.50</w:t>
            </w:r>
          </w:p>
        </w:tc>
        <w:tc>
          <w:tcPr>
            <w:tcW w:w="695" w:type="dxa"/>
            <w:tcBorders>
              <w:top w:val="single" w:sz="4" w:space="0" w:color="000000"/>
              <w:left w:val="single" w:sz="4" w:space="0" w:color="000000"/>
              <w:bottom w:val="single" w:sz="4" w:space="0" w:color="000000"/>
              <w:right w:val="single" w:sz="4" w:space="0" w:color="000000"/>
            </w:tcBorders>
          </w:tcPr>
          <w:p w14:paraId="4AA5FA30" w14:textId="77777777" w:rsidR="00D3344B" w:rsidRDefault="00D3344B">
            <w:pPr>
              <w:pStyle w:val="TableParagraph"/>
              <w:spacing w:before="11"/>
              <w:rPr>
                <w:rFonts w:ascii="Arial" w:hAnsi="Arial" w:cs="Arial"/>
                <w:sz w:val="18"/>
                <w:szCs w:val="18"/>
              </w:rPr>
            </w:pPr>
          </w:p>
          <w:p w14:paraId="5C7BF088" w14:textId="77777777" w:rsidR="00D3344B" w:rsidRDefault="00143C25">
            <w:pPr>
              <w:pStyle w:val="TableParagraph"/>
              <w:rPr>
                <w:rFonts w:ascii="Arial" w:hAnsi="Arial" w:cs="Arial"/>
                <w:sz w:val="18"/>
                <w:szCs w:val="18"/>
              </w:rPr>
            </w:pPr>
            <w:r>
              <w:rPr>
                <w:rFonts w:ascii="Arial" w:hAnsi="Arial" w:cs="Arial"/>
                <w:spacing w:val="-4"/>
                <w:w w:val="115"/>
                <w:sz w:val="18"/>
                <w:szCs w:val="18"/>
              </w:rPr>
              <w:t>13.00</w:t>
            </w:r>
          </w:p>
        </w:tc>
        <w:tc>
          <w:tcPr>
            <w:tcW w:w="699" w:type="dxa"/>
            <w:tcBorders>
              <w:top w:val="single" w:sz="4" w:space="0" w:color="000000"/>
              <w:left w:val="single" w:sz="4" w:space="0" w:color="000000"/>
              <w:bottom w:val="single" w:sz="4" w:space="0" w:color="000000"/>
              <w:right w:val="single" w:sz="4" w:space="0" w:color="000000"/>
            </w:tcBorders>
          </w:tcPr>
          <w:p w14:paraId="19C77D3B" w14:textId="77777777" w:rsidR="00D3344B" w:rsidRDefault="00D3344B">
            <w:pPr>
              <w:pStyle w:val="TableParagraph"/>
              <w:spacing w:before="11"/>
              <w:rPr>
                <w:rFonts w:ascii="Arial" w:hAnsi="Arial" w:cs="Arial"/>
                <w:sz w:val="18"/>
                <w:szCs w:val="18"/>
              </w:rPr>
            </w:pPr>
          </w:p>
          <w:p w14:paraId="151C0286" w14:textId="77777777" w:rsidR="00D3344B" w:rsidRDefault="00143C25">
            <w:pPr>
              <w:pStyle w:val="TableParagraph"/>
              <w:rPr>
                <w:rFonts w:ascii="Arial" w:hAnsi="Arial" w:cs="Arial"/>
                <w:sz w:val="18"/>
                <w:szCs w:val="18"/>
              </w:rPr>
            </w:pPr>
            <w:r>
              <w:rPr>
                <w:rFonts w:ascii="Arial" w:hAnsi="Arial" w:cs="Arial"/>
                <w:spacing w:val="-4"/>
                <w:w w:val="115"/>
                <w:sz w:val="18"/>
                <w:szCs w:val="18"/>
              </w:rPr>
              <w:t>11.50</w:t>
            </w:r>
          </w:p>
        </w:tc>
        <w:tc>
          <w:tcPr>
            <w:tcW w:w="699" w:type="dxa"/>
            <w:tcBorders>
              <w:top w:val="single" w:sz="4" w:space="0" w:color="000000"/>
              <w:left w:val="single" w:sz="4" w:space="0" w:color="000000"/>
              <w:bottom w:val="single" w:sz="4" w:space="0" w:color="000000"/>
              <w:right w:val="single" w:sz="4" w:space="0" w:color="000000"/>
            </w:tcBorders>
          </w:tcPr>
          <w:p w14:paraId="6E998A18" w14:textId="77777777" w:rsidR="00D3344B" w:rsidRDefault="00D3344B">
            <w:pPr>
              <w:pStyle w:val="TableParagraph"/>
              <w:spacing w:before="11"/>
              <w:rPr>
                <w:rFonts w:ascii="Arial" w:hAnsi="Arial" w:cs="Arial"/>
                <w:sz w:val="18"/>
                <w:szCs w:val="18"/>
              </w:rPr>
            </w:pPr>
          </w:p>
          <w:p w14:paraId="1353BC7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9.75</w:t>
            </w:r>
          </w:p>
        </w:tc>
        <w:tc>
          <w:tcPr>
            <w:tcW w:w="696" w:type="dxa"/>
            <w:tcBorders>
              <w:top w:val="single" w:sz="4" w:space="0" w:color="000000"/>
              <w:left w:val="single" w:sz="4" w:space="0" w:color="000000"/>
              <w:bottom w:val="single" w:sz="4" w:space="0" w:color="000000"/>
              <w:right w:val="single" w:sz="4" w:space="0" w:color="000000"/>
            </w:tcBorders>
          </w:tcPr>
          <w:p w14:paraId="0E731EB2" w14:textId="77777777" w:rsidR="00D3344B" w:rsidRDefault="00D3344B">
            <w:pPr>
              <w:pStyle w:val="TableParagraph"/>
              <w:spacing w:before="11"/>
              <w:rPr>
                <w:rFonts w:ascii="Arial" w:hAnsi="Arial" w:cs="Arial"/>
                <w:sz w:val="18"/>
                <w:szCs w:val="18"/>
              </w:rPr>
            </w:pPr>
          </w:p>
          <w:p w14:paraId="716D3BD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8.25</w:t>
            </w:r>
          </w:p>
        </w:tc>
        <w:tc>
          <w:tcPr>
            <w:tcW w:w="527" w:type="dxa"/>
            <w:tcBorders>
              <w:top w:val="single" w:sz="4" w:space="0" w:color="000000"/>
              <w:left w:val="single" w:sz="4" w:space="0" w:color="000000"/>
              <w:bottom w:val="single" w:sz="4" w:space="0" w:color="000000"/>
              <w:right w:val="single" w:sz="4" w:space="0" w:color="000000"/>
            </w:tcBorders>
          </w:tcPr>
          <w:p w14:paraId="069ED679" w14:textId="77777777" w:rsidR="00D3344B" w:rsidRDefault="00D3344B">
            <w:pPr>
              <w:pStyle w:val="TableParagraph"/>
              <w:rPr>
                <w:rFonts w:ascii="Arial" w:hAnsi="Arial" w:cs="Arial"/>
                <w:sz w:val="18"/>
                <w:szCs w:val="18"/>
              </w:rPr>
            </w:pPr>
          </w:p>
        </w:tc>
      </w:tr>
      <w:tr w:rsidR="00D3344B" w14:paraId="3A696A90"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27F3AE66"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029</w:t>
            </w:r>
          </w:p>
        </w:tc>
        <w:tc>
          <w:tcPr>
            <w:tcW w:w="3038" w:type="dxa"/>
            <w:tcBorders>
              <w:top w:val="single" w:sz="4" w:space="0" w:color="000000"/>
              <w:left w:val="single" w:sz="4" w:space="0" w:color="000000"/>
              <w:bottom w:val="single" w:sz="4" w:space="0" w:color="000000"/>
              <w:right w:val="single" w:sz="4" w:space="0" w:color="000000"/>
            </w:tcBorders>
          </w:tcPr>
          <w:p w14:paraId="4A76366D" w14:textId="77777777" w:rsidR="00D3344B" w:rsidRDefault="00143C25">
            <w:pPr>
              <w:pStyle w:val="TableParagraph"/>
              <w:rPr>
                <w:rFonts w:ascii="Arial" w:hAnsi="Arial" w:cs="Arial"/>
                <w:sz w:val="18"/>
                <w:szCs w:val="18"/>
              </w:rPr>
            </w:pPr>
            <w:r>
              <w:rPr>
                <w:rFonts w:ascii="Arial" w:hAnsi="Arial" w:cs="Arial"/>
                <w:spacing w:val="-2"/>
                <w:w w:val="115"/>
                <w:sz w:val="18"/>
                <w:szCs w:val="18"/>
              </w:rPr>
              <w:t>Ultrasonido</w:t>
            </w:r>
            <w:r>
              <w:rPr>
                <w:rFonts w:ascii="Arial" w:hAnsi="Arial" w:cs="Arial"/>
                <w:spacing w:val="-8"/>
                <w:w w:val="115"/>
                <w:sz w:val="18"/>
                <w:szCs w:val="18"/>
              </w:rPr>
              <w:t xml:space="preserve"> </w:t>
            </w:r>
            <w:r>
              <w:rPr>
                <w:rFonts w:ascii="Arial" w:hAnsi="Arial" w:cs="Arial"/>
                <w:spacing w:val="-2"/>
                <w:w w:val="115"/>
                <w:sz w:val="18"/>
                <w:szCs w:val="18"/>
              </w:rPr>
              <w:t>tejidos</w:t>
            </w:r>
            <w:r>
              <w:rPr>
                <w:rFonts w:ascii="Arial" w:hAnsi="Arial" w:cs="Arial"/>
                <w:spacing w:val="-5"/>
                <w:w w:val="115"/>
                <w:sz w:val="18"/>
                <w:szCs w:val="18"/>
              </w:rPr>
              <w:t xml:space="preserve"> </w:t>
            </w:r>
            <w:r>
              <w:rPr>
                <w:rFonts w:ascii="Arial" w:hAnsi="Arial" w:cs="Arial"/>
                <w:spacing w:val="-2"/>
                <w:w w:val="115"/>
                <w:sz w:val="18"/>
                <w:szCs w:val="18"/>
              </w:rPr>
              <w:t>blandos</w:t>
            </w:r>
          </w:p>
        </w:tc>
        <w:tc>
          <w:tcPr>
            <w:tcW w:w="697" w:type="dxa"/>
            <w:tcBorders>
              <w:top w:val="single" w:sz="4" w:space="0" w:color="000000"/>
              <w:left w:val="single" w:sz="4" w:space="0" w:color="000000"/>
              <w:bottom w:val="single" w:sz="4" w:space="0" w:color="000000"/>
              <w:right w:val="single" w:sz="4" w:space="0" w:color="000000"/>
            </w:tcBorders>
          </w:tcPr>
          <w:p w14:paraId="3412D65B"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7.50</w:t>
            </w:r>
          </w:p>
        </w:tc>
        <w:tc>
          <w:tcPr>
            <w:tcW w:w="695" w:type="dxa"/>
            <w:tcBorders>
              <w:top w:val="single" w:sz="4" w:space="0" w:color="000000"/>
              <w:left w:val="single" w:sz="4" w:space="0" w:color="000000"/>
              <w:bottom w:val="single" w:sz="4" w:space="0" w:color="000000"/>
              <w:right w:val="single" w:sz="4" w:space="0" w:color="000000"/>
            </w:tcBorders>
          </w:tcPr>
          <w:p w14:paraId="51B623F8" w14:textId="77777777" w:rsidR="00D3344B" w:rsidRDefault="00143C25">
            <w:pPr>
              <w:pStyle w:val="TableParagraph"/>
              <w:rPr>
                <w:rFonts w:ascii="Arial" w:hAnsi="Arial" w:cs="Arial"/>
                <w:sz w:val="18"/>
                <w:szCs w:val="18"/>
              </w:rPr>
            </w:pPr>
            <w:r>
              <w:rPr>
                <w:rFonts w:ascii="Arial" w:hAnsi="Arial" w:cs="Arial"/>
                <w:spacing w:val="-4"/>
                <w:w w:val="115"/>
                <w:sz w:val="18"/>
                <w:szCs w:val="18"/>
              </w:rPr>
              <w:t>7.00</w:t>
            </w:r>
          </w:p>
        </w:tc>
        <w:tc>
          <w:tcPr>
            <w:tcW w:w="699" w:type="dxa"/>
            <w:tcBorders>
              <w:top w:val="single" w:sz="4" w:space="0" w:color="000000"/>
              <w:left w:val="single" w:sz="4" w:space="0" w:color="000000"/>
              <w:bottom w:val="single" w:sz="4" w:space="0" w:color="000000"/>
              <w:right w:val="single" w:sz="4" w:space="0" w:color="000000"/>
            </w:tcBorders>
          </w:tcPr>
          <w:p w14:paraId="538EC2CD"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26D406E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5.25</w:t>
            </w:r>
          </w:p>
        </w:tc>
        <w:tc>
          <w:tcPr>
            <w:tcW w:w="696" w:type="dxa"/>
            <w:tcBorders>
              <w:top w:val="single" w:sz="4" w:space="0" w:color="000000"/>
              <w:left w:val="single" w:sz="4" w:space="0" w:color="000000"/>
              <w:bottom w:val="single" w:sz="4" w:space="0" w:color="000000"/>
              <w:right w:val="single" w:sz="4" w:space="0" w:color="000000"/>
            </w:tcBorders>
          </w:tcPr>
          <w:p w14:paraId="2F1A340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527" w:type="dxa"/>
            <w:tcBorders>
              <w:top w:val="single" w:sz="4" w:space="0" w:color="000000"/>
              <w:left w:val="single" w:sz="4" w:space="0" w:color="000000"/>
              <w:bottom w:val="single" w:sz="4" w:space="0" w:color="000000"/>
              <w:right w:val="single" w:sz="4" w:space="0" w:color="000000"/>
            </w:tcBorders>
          </w:tcPr>
          <w:p w14:paraId="1B4B7F90" w14:textId="77777777" w:rsidR="00D3344B" w:rsidRDefault="00D3344B">
            <w:pPr>
              <w:pStyle w:val="TableParagraph"/>
              <w:rPr>
                <w:rFonts w:ascii="Arial" w:hAnsi="Arial" w:cs="Arial"/>
                <w:sz w:val="18"/>
                <w:szCs w:val="18"/>
              </w:rPr>
            </w:pPr>
          </w:p>
        </w:tc>
      </w:tr>
      <w:tr w:rsidR="00D3344B" w14:paraId="7DC38430"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7929F971"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030</w:t>
            </w:r>
          </w:p>
        </w:tc>
        <w:tc>
          <w:tcPr>
            <w:tcW w:w="3038" w:type="dxa"/>
            <w:tcBorders>
              <w:top w:val="single" w:sz="4" w:space="0" w:color="000000"/>
              <w:left w:val="single" w:sz="4" w:space="0" w:color="000000"/>
              <w:bottom w:val="single" w:sz="4" w:space="0" w:color="000000"/>
              <w:right w:val="single" w:sz="4" w:space="0" w:color="000000"/>
            </w:tcBorders>
          </w:tcPr>
          <w:p w14:paraId="5A5349CD" w14:textId="77777777" w:rsidR="00D3344B" w:rsidRDefault="00143C25">
            <w:pPr>
              <w:pStyle w:val="TableParagraph"/>
              <w:spacing w:before="1"/>
              <w:rPr>
                <w:rFonts w:ascii="Arial" w:hAnsi="Arial" w:cs="Arial"/>
                <w:sz w:val="18"/>
                <w:szCs w:val="18"/>
              </w:rPr>
            </w:pPr>
            <w:r>
              <w:rPr>
                <w:rFonts w:ascii="Arial" w:hAnsi="Arial" w:cs="Arial"/>
                <w:spacing w:val="-2"/>
                <w:w w:val="115"/>
                <w:sz w:val="18"/>
                <w:szCs w:val="18"/>
              </w:rPr>
              <w:t>Ultrasonido</w:t>
            </w:r>
            <w:r>
              <w:rPr>
                <w:rFonts w:ascii="Arial" w:hAnsi="Arial" w:cs="Arial"/>
                <w:spacing w:val="-5"/>
                <w:w w:val="115"/>
                <w:sz w:val="18"/>
                <w:szCs w:val="18"/>
              </w:rPr>
              <w:t xml:space="preserve"> </w:t>
            </w:r>
            <w:r>
              <w:rPr>
                <w:rFonts w:ascii="Arial" w:hAnsi="Arial" w:cs="Arial"/>
                <w:spacing w:val="-2"/>
                <w:w w:val="115"/>
                <w:sz w:val="18"/>
                <w:szCs w:val="18"/>
              </w:rPr>
              <w:t>testicular</w:t>
            </w:r>
          </w:p>
        </w:tc>
        <w:tc>
          <w:tcPr>
            <w:tcW w:w="697" w:type="dxa"/>
            <w:tcBorders>
              <w:top w:val="single" w:sz="4" w:space="0" w:color="000000"/>
              <w:left w:val="single" w:sz="4" w:space="0" w:color="000000"/>
              <w:bottom w:val="single" w:sz="4" w:space="0" w:color="000000"/>
              <w:right w:val="single" w:sz="4" w:space="0" w:color="000000"/>
            </w:tcBorders>
          </w:tcPr>
          <w:p w14:paraId="48433116"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9.00</w:t>
            </w:r>
          </w:p>
        </w:tc>
        <w:tc>
          <w:tcPr>
            <w:tcW w:w="695" w:type="dxa"/>
            <w:tcBorders>
              <w:top w:val="single" w:sz="4" w:space="0" w:color="000000"/>
              <w:left w:val="single" w:sz="4" w:space="0" w:color="000000"/>
              <w:bottom w:val="single" w:sz="4" w:space="0" w:color="000000"/>
              <w:right w:val="single" w:sz="4" w:space="0" w:color="000000"/>
            </w:tcBorders>
          </w:tcPr>
          <w:p w14:paraId="54BEFD3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3E06351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0F2EF5E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6.75</w:t>
            </w:r>
          </w:p>
        </w:tc>
        <w:tc>
          <w:tcPr>
            <w:tcW w:w="696" w:type="dxa"/>
            <w:tcBorders>
              <w:top w:val="single" w:sz="4" w:space="0" w:color="000000"/>
              <w:left w:val="single" w:sz="4" w:space="0" w:color="000000"/>
              <w:bottom w:val="single" w:sz="4" w:space="0" w:color="000000"/>
              <w:right w:val="single" w:sz="4" w:space="0" w:color="000000"/>
            </w:tcBorders>
          </w:tcPr>
          <w:p w14:paraId="179CEDF3"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6.00</w:t>
            </w:r>
          </w:p>
        </w:tc>
        <w:tc>
          <w:tcPr>
            <w:tcW w:w="527" w:type="dxa"/>
            <w:tcBorders>
              <w:top w:val="single" w:sz="4" w:space="0" w:color="000000"/>
              <w:left w:val="single" w:sz="4" w:space="0" w:color="000000"/>
              <w:bottom w:val="single" w:sz="4" w:space="0" w:color="000000"/>
              <w:right w:val="single" w:sz="4" w:space="0" w:color="000000"/>
            </w:tcBorders>
          </w:tcPr>
          <w:p w14:paraId="7A6131E1" w14:textId="77777777" w:rsidR="00D3344B" w:rsidRDefault="00D3344B">
            <w:pPr>
              <w:pStyle w:val="TableParagraph"/>
              <w:rPr>
                <w:rFonts w:ascii="Arial" w:hAnsi="Arial" w:cs="Arial"/>
                <w:sz w:val="18"/>
                <w:szCs w:val="18"/>
              </w:rPr>
            </w:pPr>
          </w:p>
        </w:tc>
      </w:tr>
      <w:tr w:rsidR="00D3344B" w14:paraId="3E76EC52"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50B32497" w14:textId="77777777" w:rsidR="00D3344B" w:rsidRDefault="00143C25">
            <w:pPr>
              <w:pStyle w:val="TableParagraph"/>
              <w:spacing w:before="1"/>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031</w:t>
            </w:r>
          </w:p>
        </w:tc>
        <w:tc>
          <w:tcPr>
            <w:tcW w:w="3038" w:type="dxa"/>
            <w:tcBorders>
              <w:top w:val="single" w:sz="4" w:space="0" w:color="000000"/>
              <w:left w:val="single" w:sz="4" w:space="0" w:color="000000"/>
              <w:bottom w:val="single" w:sz="4" w:space="0" w:color="000000"/>
              <w:right w:val="single" w:sz="4" w:space="0" w:color="000000"/>
            </w:tcBorders>
          </w:tcPr>
          <w:p w14:paraId="038F9824" w14:textId="77777777" w:rsidR="00D3344B" w:rsidRDefault="00143C25">
            <w:pPr>
              <w:pStyle w:val="TableParagraph"/>
              <w:spacing w:before="1"/>
              <w:rPr>
                <w:rFonts w:ascii="Arial" w:hAnsi="Arial" w:cs="Arial"/>
                <w:sz w:val="18"/>
                <w:szCs w:val="18"/>
              </w:rPr>
            </w:pPr>
            <w:r>
              <w:rPr>
                <w:rFonts w:ascii="Arial" w:hAnsi="Arial" w:cs="Arial"/>
                <w:spacing w:val="-2"/>
                <w:w w:val="115"/>
                <w:sz w:val="18"/>
                <w:szCs w:val="18"/>
              </w:rPr>
              <w:t>Ultrasonido</w:t>
            </w:r>
            <w:r>
              <w:rPr>
                <w:rFonts w:ascii="Arial" w:hAnsi="Arial" w:cs="Arial"/>
                <w:spacing w:val="-5"/>
                <w:w w:val="115"/>
                <w:sz w:val="18"/>
                <w:szCs w:val="18"/>
              </w:rPr>
              <w:t xml:space="preserve"> </w:t>
            </w:r>
            <w:r>
              <w:rPr>
                <w:rFonts w:ascii="Arial" w:hAnsi="Arial" w:cs="Arial"/>
                <w:spacing w:val="-2"/>
                <w:w w:val="115"/>
                <w:sz w:val="18"/>
                <w:szCs w:val="18"/>
              </w:rPr>
              <w:t>inguinal</w:t>
            </w:r>
          </w:p>
        </w:tc>
        <w:tc>
          <w:tcPr>
            <w:tcW w:w="697" w:type="dxa"/>
            <w:tcBorders>
              <w:top w:val="single" w:sz="4" w:space="0" w:color="000000"/>
              <w:left w:val="single" w:sz="4" w:space="0" w:color="000000"/>
              <w:bottom w:val="single" w:sz="4" w:space="0" w:color="000000"/>
              <w:right w:val="single" w:sz="4" w:space="0" w:color="000000"/>
            </w:tcBorders>
          </w:tcPr>
          <w:p w14:paraId="36CC440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7.50</w:t>
            </w:r>
          </w:p>
        </w:tc>
        <w:tc>
          <w:tcPr>
            <w:tcW w:w="695" w:type="dxa"/>
            <w:tcBorders>
              <w:top w:val="single" w:sz="4" w:space="0" w:color="000000"/>
              <w:left w:val="single" w:sz="4" w:space="0" w:color="000000"/>
              <w:bottom w:val="single" w:sz="4" w:space="0" w:color="000000"/>
              <w:right w:val="single" w:sz="4" w:space="0" w:color="000000"/>
            </w:tcBorders>
          </w:tcPr>
          <w:p w14:paraId="555B1EDB"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7.00</w:t>
            </w:r>
          </w:p>
        </w:tc>
        <w:tc>
          <w:tcPr>
            <w:tcW w:w="699" w:type="dxa"/>
            <w:tcBorders>
              <w:top w:val="single" w:sz="4" w:space="0" w:color="000000"/>
              <w:left w:val="single" w:sz="4" w:space="0" w:color="000000"/>
              <w:bottom w:val="single" w:sz="4" w:space="0" w:color="000000"/>
              <w:right w:val="single" w:sz="4" w:space="0" w:color="000000"/>
            </w:tcBorders>
          </w:tcPr>
          <w:p w14:paraId="23BB8EA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6D5B6C8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5.25</w:t>
            </w:r>
          </w:p>
        </w:tc>
        <w:tc>
          <w:tcPr>
            <w:tcW w:w="696" w:type="dxa"/>
            <w:tcBorders>
              <w:top w:val="single" w:sz="4" w:space="0" w:color="000000"/>
              <w:left w:val="single" w:sz="4" w:space="0" w:color="000000"/>
              <w:bottom w:val="single" w:sz="4" w:space="0" w:color="000000"/>
              <w:right w:val="single" w:sz="4" w:space="0" w:color="000000"/>
            </w:tcBorders>
          </w:tcPr>
          <w:p w14:paraId="675EB60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4.50</w:t>
            </w:r>
          </w:p>
        </w:tc>
        <w:tc>
          <w:tcPr>
            <w:tcW w:w="527" w:type="dxa"/>
            <w:tcBorders>
              <w:top w:val="single" w:sz="4" w:space="0" w:color="000000"/>
              <w:left w:val="single" w:sz="4" w:space="0" w:color="000000"/>
              <w:bottom w:val="single" w:sz="4" w:space="0" w:color="000000"/>
              <w:right w:val="single" w:sz="4" w:space="0" w:color="000000"/>
            </w:tcBorders>
          </w:tcPr>
          <w:p w14:paraId="37792B17" w14:textId="77777777" w:rsidR="00D3344B" w:rsidRDefault="00D3344B">
            <w:pPr>
              <w:pStyle w:val="TableParagraph"/>
              <w:rPr>
                <w:rFonts w:ascii="Arial" w:hAnsi="Arial" w:cs="Arial"/>
                <w:sz w:val="18"/>
                <w:szCs w:val="18"/>
              </w:rPr>
            </w:pPr>
          </w:p>
        </w:tc>
      </w:tr>
      <w:tr w:rsidR="00D3344B" w14:paraId="065BD73A"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7354CCE5"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032</w:t>
            </w:r>
          </w:p>
        </w:tc>
        <w:tc>
          <w:tcPr>
            <w:tcW w:w="3038" w:type="dxa"/>
            <w:tcBorders>
              <w:top w:val="single" w:sz="4" w:space="0" w:color="000000"/>
              <w:left w:val="single" w:sz="4" w:space="0" w:color="000000"/>
              <w:bottom w:val="single" w:sz="4" w:space="0" w:color="000000"/>
              <w:right w:val="single" w:sz="4" w:space="0" w:color="000000"/>
            </w:tcBorders>
          </w:tcPr>
          <w:p w14:paraId="1745557F" w14:textId="77777777" w:rsidR="00D3344B" w:rsidRDefault="00143C25">
            <w:pPr>
              <w:pStyle w:val="TableParagraph"/>
              <w:rPr>
                <w:rFonts w:ascii="Arial" w:hAnsi="Arial" w:cs="Arial"/>
                <w:sz w:val="18"/>
                <w:szCs w:val="18"/>
              </w:rPr>
            </w:pPr>
            <w:r>
              <w:rPr>
                <w:rFonts w:ascii="Arial" w:hAnsi="Arial" w:cs="Arial"/>
                <w:w w:val="110"/>
                <w:sz w:val="18"/>
                <w:szCs w:val="18"/>
              </w:rPr>
              <w:t>Ultrasonido</w:t>
            </w:r>
            <w:r>
              <w:rPr>
                <w:rFonts w:ascii="Arial" w:hAnsi="Arial" w:cs="Arial"/>
                <w:spacing w:val="13"/>
                <w:w w:val="110"/>
                <w:sz w:val="18"/>
                <w:szCs w:val="18"/>
              </w:rPr>
              <w:t xml:space="preserve"> </w:t>
            </w:r>
            <w:r>
              <w:rPr>
                <w:rFonts w:ascii="Arial" w:hAnsi="Arial" w:cs="Arial"/>
                <w:w w:val="110"/>
                <w:sz w:val="18"/>
                <w:szCs w:val="18"/>
              </w:rPr>
              <w:t>de</w:t>
            </w:r>
            <w:r>
              <w:rPr>
                <w:rFonts w:ascii="Arial" w:hAnsi="Arial" w:cs="Arial"/>
                <w:spacing w:val="12"/>
                <w:w w:val="110"/>
                <w:sz w:val="18"/>
                <w:szCs w:val="18"/>
              </w:rPr>
              <w:t xml:space="preserve"> </w:t>
            </w:r>
            <w:r>
              <w:rPr>
                <w:rFonts w:ascii="Arial" w:hAnsi="Arial" w:cs="Arial"/>
                <w:spacing w:val="-2"/>
                <w:w w:val="110"/>
                <w:sz w:val="18"/>
                <w:szCs w:val="18"/>
              </w:rPr>
              <w:t>cuello</w:t>
            </w:r>
          </w:p>
        </w:tc>
        <w:tc>
          <w:tcPr>
            <w:tcW w:w="697" w:type="dxa"/>
            <w:tcBorders>
              <w:top w:val="single" w:sz="4" w:space="0" w:color="000000"/>
              <w:left w:val="single" w:sz="4" w:space="0" w:color="000000"/>
              <w:bottom w:val="single" w:sz="4" w:space="0" w:color="000000"/>
              <w:right w:val="single" w:sz="4" w:space="0" w:color="000000"/>
            </w:tcBorders>
          </w:tcPr>
          <w:p w14:paraId="59ED969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8.50</w:t>
            </w:r>
          </w:p>
        </w:tc>
        <w:tc>
          <w:tcPr>
            <w:tcW w:w="695" w:type="dxa"/>
            <w:tcBorders>
              <w:top w:val="single" w:sz="4" w:space="0" w:color="000000"/>
              <w:left w:val="single" w:sz="4" w:space="0" w:color="000000"/>
              <w:bottom w:val="single" w:sz="4" w:space="0" w:color="000000"/>
              <w:right w:val="single" w:sz="4" w:space="0" w:color="000000"/>
            </w:tcBorders>
          </w:tcPr>
          <w:p w14:paraId="0AB80F0F"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522655E4" w14:textId="77777777" w:rsidR="00D3344B" w:rsidRDefault="00143C25">
            <w:pPr>
              <w:pStyle w:val="TableParagraph"/>
              <w:rPr>
                <w:rFonts w:ascii="Arial" w:hAnsi="Arial" w:cs="Arial"/>
                <w:sz w:val="18"/>
                <w:szCs w:val="18"/>
              </w:rPr>
            </w:pPr>
            <w:r>
              <w:rPr>
                <w:rFonts w:ascii="Arial" w:hAnsi="Arial" w:cs="Arial"/>
                <w:spacing w:val="-4"/>
                <w:w w:val="115"/>
                <w:sz w:val="18"/>
                <w:szCs w:val="18"/>
              </w:rPr>
              <w:t>6.75</w:t>
            </w:r>
          </w:p>
        </w:tc>
        <w:tc>
          <w:tcPr>
            <w:tcW w:w="699" w:type="dxa"/>
            <w:tcBorders>
              <w:top w:val="single" w:sz="4" w:space="0" w:color="000000"/>
              <w:left w:val="single" w:sz="4" w:space="0" w:color="000000"/>
              <w:bottom w:val="single" w:sz="4" w:space="0" w:color="000000"/>
              <w:right w:val="single" w:sz="4" w:space="0" w:color="000000"/>
            </w:tcBorders>
          </w:tcPr>
          <w:p w14:paraId="23B9E27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696" w:type="dxa"/>
            <w:tcBorders>
              <w:top w:val="single" w:sz="4" w:space="0" w:color="000000"/>
              <w:left w:val="single" w:sz="4" w:space="0" w:color="000000"/>
              <w:bottom w:val="single" w:sz="4" w:space="0" w:color="000000"/>
              <w:right w:val="single" w:sz="4" w:space="0" w:color="000000"/>
            </w:tcBorders>
          </w:tcPr>
          <w:p w14:paraId="2D31085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5.50</w:t>
            </w:r>
          </w:p>
        </w:tc>
        <w:tc>
          <w:tcPr>
            <w:tcW w:w="527" w:type="dxa"/>
            <w:tcBorders>
              <w:top w:val="single" w:sz="4" w:space="0" w:color="000000"/>
              <w:left w:val="single" w:sz="4" w:space="0" w:color="000000"/>
              <w:bottom w:val="single" w:sz="4" w:space="0" w:color="000000"/>
              <w:right w:val="single" w:sz="4" w:space="0" w:color="000000"/>
            </w:tcBorders>
          </w:tcPr>
          <w:p w14:paraId="4D1A55D6" w14:textId="77777777" w:rsidR="00D3344B" w:rsidRDefault="00D3344B">
            <w:pPr>
              <w:pStyle w:val="TableParagraph"/>
              <w:rPr>
                <w:rFonts w:ascii="Arial" w:hAnsi="Arial" w:cs="Arial"/>
                <w:sz w:val="18"/>
                <w:szCs w:val="18"/>
              </w:rPr>
            </w:pPr>
          </w:p>
        </w:tc>
      </w:tr>
      <w:tr w:rsidR="00D3344B" w14:paraId="157C1D04"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0C5C6F71"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033</w:t>
            </w:r>
          </w:p>
        </w:tc>
        <w:tc>
          <w:tcPr>
            <w:tcW w:w="3038" w:type="dxa"/>
            <w:tcBorders>
              <w:top w:val="single" w:sz="4" w:space="0" w:color="000000"/>
              <w:left w:val="single" w:sz="4" w:space="0" w:color="000000"/>
              <w:bottom w:val="single" w:sz="4" w:space="0" w:color="000000"/>
              <w:right w:val="single" w:sz="4" w:space="0" w:color="000000"/>
            </w:tcBorders>
          </w:tcPr>
          <w:p w14:paraId="512BEB56" w14:textId="77777777" w:rsidR="00D3344B" w:rsidRDefault="00143C25">
            <w:pPr>
              <w:pStyle w:val="TableParagraph"/>
              <w:rPr>
                <w:rFonts w:ascii="Arial" w:hAnsi="Arial" w:cs="Arial"/>
                <w:sz w:val="18"/>
                <w:szCs w:val="18"/>
              </w:rPr>
            </w:pPr>
            <w:r>
              <w:rPr>
                <w:rFonts w:ascii="Arial" w:hAnsi="Arial" w:cs="Arial"/>
                <w:spacing w:val="-2"/>
                <w:w w:val="115"/>
                <w:sz w:val="18"/>
                <w:szCs w:val="18"/>
              </w:rPr>
              <w:t>Ultrasonido</w:t>
            </w:r>
            <w:r>
              <w:rPr>
                <w:rFonts w:ascii="Arial" w:hAnsi="Arial" w:cs="Arial"/>
                <w:spacing w:val="-5"/>
                <w:w w:val="115"/>
                <w:sz w:val="18"/>
                <w:szCs w:val="18"/>
              </w:rPr>
              <w:t xml:space="preserve"> </w:t>
            </w:r>
            <w:proofErr w:type="spellStart"/>
            <w:r>
              <w:rPr>
                <w:rFonts w:ascii="Arial" w:hAnsi="Arial" w:cs="Arial"/>
                <w:spacing w:val="-2"/>
                <w:w w:val="115"/>
                <w:sz w:val="18"/>
                <w:szCs w:val="18"/>
              </w:rPr>
              <w:t>transfontanelar</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1CF01F4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9.00</w:t>
            </w:r>
          </w:p>
        </w:tc>
        <w:tc>
          <w:tcPr>
            <w:tcW w:w="695" w:type="dxa"/>
            <w:tcBorders>
              <w:top w:val="single" w:sz="4" w:space="0" w:color="000000"/>
              <w:left w:val="single" w:sz="4" w:space="0" w:color="000000"/>
              <w:bottom w:val="single" w:sz="4" w:space="0" w:color="000000"/>
              <w:right w:val="single" w:sz="4" w:space="0" w:color="000000"/>
            </w:tcBorders>
          </w:tcPr>
          <w:p w14:paraId="42EDBDBD" w14:textId="77777777" w:rsidR="00D3344B" w:rsidRDefault="00143C25">
            <w:pPr>
              <w:pStyle w:val="TableParagraph"/>
              <w:rPr>
                <w:rFonts w:ascii="Arial" w:hAnsi="Arial" w:cs="Arial"/>
                <w:sz w:val="18"/>
                <w:szCs w:val="18"/>
              </w:rPr>
            </w:pPr>
            <w:r>
              <w:rPr>
                <w:rFonts w:ascii="Arial" w:hAnsi="Arial" w:cs="Arial"/>
                <w:spacing w:val="-4"/>
                <w:w w:val="115"/>
                <w:sz w:val="18"/>
                <w:szCs w:val="18"/>
              </w:rPr>
              <w:t>8.50</w:t>
            </w:r>
          </w:p>
        </w:tc>
        <w:tc>
          <w:tcPr>
            <w:tcW w:w="699" w:type="dxa"/>
            <w:tcBorders>
              <w:top w:val="single" w:sz="4" w:space="0" w:color="000000"/>
              <w:left w:val="single" w:sz="4" w:space="0" w:color="000000"/>
              <w:bottom w:val="single" w:sz="4" w:space="0" w:color="000000"/>
              <w:right w:val="single" w:sz="4" w:space="0" w:color="000000"/>
            </w:tcBorders>
          </w:tcPr>
          <w:p w14:paraId="3594E3A9" w14:textId="77777777" w:rsidR="00D3344B" w:rsidRDefault="00143C25">
            <w:pPr>
              <w:pStyle w:val="TableParagraph"/>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2BEEA8B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6.75</w:t>
            </w:r>
          </w:p>
        </w:tc>
        <w:tc>
          <w:tcPr>
            <w:tcW w:w="696" w:type="dxa"/>
            <w:tcBorders>
              <w:top w:val="single" w:sz="4" w:space="0" w:color="000000"/>
              <w:left w:val="single" w:sz="4" w:space="0" w:color="000000"/>
              <w:bottom w:val="single" w:sz="4" w:space="0" w:color="000000"/>
              <w:right w:val="single" w:sz="4" w:space="0" w:color="000000"/>
            </w:tcBorders>
          </w:tcPr>
          <w:p w14:paraId="7DCBDBB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6.00</w:t>
            </w:r>
          </w:p>
        </w:tc>
        <w:tc>
          <w:tcPr>
            <w:tcW w:w="527" w:type="dxa"/>
            <w:tcBorders>
              <w:top w:val="single" w:sz="4" w:space="0" w:color="000000"/>
              <w:left w:val="single" w:sz="4" w:space="0" w:color="000000"/>
              <w:bottom w:val="single" w:sz="4" w:space="0" w:color="000000"/>
              <w:right w:val="single" w:sz="4" w:space="0" w:color="000000"/>
            </w:tcBorders>
          </w:tcPr>
          <w:p w14:paraId="10B89D6D" w14:textId="77777777" w:rsidR="00D3344B" w:rsidRDefault="00D3344B">
            <w:pPr>
              <w:pStyle w:val="TableParagraph"/>
              <w:rPr>
                <w:rFonts w:ascii="Arial" w:hAnsi="Arial" w:cs="Arial"/>
                <w:sz w:val="18"/>
                <w:szCs w:val="18"/>
              </w:rPr>
            </w:pPr>
          </w:p>
        </w:tc>
      </w:tr>
      <w:tr w:rsidR="00D3344B" w14:paraId="59DA0D5D"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571E1B1"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034</w:t>
            </w:r>
          </w:p>
        </w:tc>
        <w:tc>
          <w:tcPr>
            <w:tcW w:w="3038" w:type="dxa"/>
            <w:tcBorders>
              <w:top w:val="single" w:sz="4" w:space="0" w:color="000000"/>
              <w:left w:val="single" w:sz="4" w:space="0" w:color="000000"/>
              <w:bottom w:val="single" w:sz="4" w:space="0" w:color="000000"/>
              <w:right w:val="single" w:sz="4" w:space="0" w:color="000000"/>
            </w:tcBorders>
          </w:tcPr>
          <w:p w14:paraId="0CEC28D5" w14:textId="77777777" w:rsidR="00D3344B" w:rsidRDefault="00143C25">
            <w:pPr>
              <w:pStyle w:val="TableParagraph"/>
              <w:tabs>
                <w:tab w:val="left" w:pos="1442"/>
                <w:tab w:val="left" w:pos="2222"/>
                <w:tab w:val="left" w:pos="2640"/>
              </w:tabs>
              <w:spacing w:line="252" w:lineRule="exact"/>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4"/>
                <w:w w:val="110"/>
                <w:sz w:val="18"/>
                <w:szCs w:val="18"/>
              </w:rPr>
              <w:t>renal</w:t>
            </w:r>
            <w:r>
              <w:rPr>
                <w:rFonts w:ascii="Arial" w:hAnsi="Arial" w:cs="Arial"/>
                <w:sz w:val="18"/>
                <w:szCs w:val="18"/>
              </w:rPr>
              <w:tab/>
            </w:r>
            <w:r>
              <w:rPr>
                <w:rFonts w:ascii="Arial" w:hAnsi="Arial" w:cs="Arial"/>
                <w:spacing w:val="-10"/>
                <w:w w:val="110"/>
                <w:sz w:val="18"/>
                <w:szCs w:val="18"/>
              </w:rPr>
              <w:t>y</w:t>
            </w:r>
            <w:r>
              <w:rPr>
                <w:rFonts w:ascii="Arial" w:hAnsi="Arial" w:cs="Arial"/>
                <w:sz w:val="18"/>
                <w:szCs w:val="18"/>
              </w:rPr>
              <w:tab/>
            </w:r>
            <w:r>
              <w:rPr>
                <w:rFonts w:ascii="Arial" w:hAnsi="Arial" w:cs="Arial"/>
                <w:spacing w:val="-4"/>
                <w:w w:val="110"/>
                <w:sz w:val="18"/>
                <w:szCs w:val="18"/>
              </w:rPr>
              <w:t xml:space="preserve">vías </w:t>
            </w:r>
            <w:r>
              <w:rPr>
                <w:rFonts w:ascii="Arial" w:hAnsi="Arial" w:cs="Arial"/>
                <w:spacing w:val="-2"/>
                <w:w w:val="110"/>
                <w:sz w:val="18"/>
                <w:szCs w:val="18"/>
              </w:rPr>
              <w:t>urinarias</w:t>
            </w:r>
          </w:p>
        </w:tc>
        <w:tc>
          <w:tcPr>
            <w:tcW w:w="697" w:type="dxa"/>
            <w:tcBorders>
              <w:top w:val="single" w:sz="4" w:space="0" w:color="000000"/>
              <w:left w:val="single" w:sz="4" w:space="0" w:color="000000"/>
              <w:bottom w:val="single" w:sz="4" w:space="0" w:color="000000"/>
              <w:right w:val="single" w:sz="4" w:space="0" w:color="000000"/>
            </w:tcBorders>
          </w:tcPr>
          <w:p w14:paraId="5AE72B9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6.75</w:t>
            </w:r>
          </w:p>
        </w:tc>
        <w:tc>
          <w:tcPr>
            <w:tcW w:w="695" w:type="dxa"/>
            <w:tcBorders>
              <w:top w:val="single" w:sz="4" w:space="0" w:color="000000"/>
              <w:left w:val="single" w:sz="4" w:space="0" w:color="000000"/>
              <w:bottom w:val="single" w:sz="4" w:space="0" w:color="000000"/>
              <w:right w:val="single" w:sz="4" w:space="0" w:color="000000"/>
            </w:tcBorders>
          </w:tcPr>
          <w:p w14:paraId="717F8915" w14:textId="77777777" w:rsidR="00D3344B" w:rsidRDefault="00143C25">
            <w:pPr>
              <w:pStyle w:val="TableParagraph"/>
              <w:rPr>
                <w:rFonts w:ascii="Arial" w:hAnsi="Arial" w:cs="Arial"/>
                <w:sz w:val="18"/>
                <w:szCs w:val="18"/>
              </w:rPr>
            </w:pPr>
            <w:r>
              <w:rPr>
                <w:rFonts w:ascii="Arial" w:hAnsi="Arial" w:cs="Arial"/>
                <w:spacing w:val="-4"/>
                <w:w w:val="115"/>
                <w:sz w:val="18"/>
                <w:szCs w:val="18"/>
              </w:rPr>
              <w:t>6.00</w:t>
            </w:r>
          </w:p>
        </w:tc>
        <w:tc>
          <w:tcPr>
            <w:tcW w:w="699" w:type="dxa"/>
            <w:tcBorders>
              <w:top w:val="single" w:sz="4" w:space="0" w:color="000000"/>
              <w:left w:val="single" w:sz="4" w:space="0" w:color="000000"/>
              <w:bottom w:val="single" w:sz="4" w:space="0" w:color="000000"/>
              <w:right w:val="single" w:sz="4" w:space="0" w:color="000000"/>
            </w:tcBorders>
          </w:tcPr>
          <w:p w14:paraId="44BACCEF" w14:textId="77777777" w:rsidR="00D3344B" w:rsidRDefault="00143C25">
            <w:pPr>
              <w:pStyle w:val="TableParagraph"/>
              <w:rPr>
                <w:rFonts w:ascii="Arial" w:hAnsi="Arial" w:cs="Arial"/>
                <w:sz w:val="18"/>
                <w:szCs w:val="18"/>
              </w:rPr>
            </w:pPr>
            <w:r>
              <w:rPr>
                <w:rFonts w:ascii="Arial" w:hAnsi="Arial" w:cs="Arial"/>
                <w:spacing w:val="-4"/>
                <w:w w:val="115"/>
                <w:sz w:val="18"/>
                <w:szCs w:val="18"/>
              </w:rPr>
              <w:t>5.25</w:t>
            </w:r>
          </w:p>
        </w:tc>
        <w:tc>
          <w:tcPr>
            <w:tcW w:w="699" w:type="dxa"/>
            <w:tcBorders>
              <w:top w:val="single" w:sz="4" w:space="0" w:color="000000"/>
              <w:left w:val="single" w:sz="4" w:space="0" w:color="000000"/>
              <w:bottom w:val="single" w:sz="4" w:space="0" w:color="000000"/>
              <w:right w:val="single" w:sz="4" w:space="0" w:color="000000"/>
            </w:tcBorders>
          </w:tcPr>
          <w:p w14:paraId="4D54D2A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696" w:type="dxa"/>
            <w:tcBorders>
              <w:top w:val="single" w:sz="4" w:space="0" w:color="000000"/>
              <w:left w:val="single" w:sz="4" w:space="0" w:color="000000"/>
              <w:bottom w:val="single" w:sz="4" w:space="0" w:color="000000"/>
              <w:right w:val="single" w:sz="4" w:space="0" w:color="000000"/>
            </w:tcBorders>
          </w:tcPr>
          <w:p w14:paraId="4A2224B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3.75</w:t>
            </w:r>
          </w:p>
        </w:tc>
        <w:tc>
          <w:tcPr>
            <w:tcW w:w="527" w:type="dxa"/>
            <w:tcBorders>
              <w:top w:val="single" w:sz="4" w:space="0" w:color="000000"/>
              <w:left w:val="single" w:sz="4" w:space="0" w:color="000000"/>
              <w:bottom w:val="single" w:sz="4" w:space="0" w:color="000000"/>
              <w:right w:val="single" w:sz="4" w:space="0" w:color="000000"/>
            </w:tcBorders>
          </w:tcPr>
          <w:p w14:paraId="1AE838DC" w14:textId="77777777" w:rsidR="00D3344B" w:rsidRDefault="00D3344B">
            <w:pPr>
              <w:pStyle w:val="TableParagraph"/>
              <w:rPr>
                <w:rFonts w:ascii="Arial" w:hAnsi="Arial" w:cs="Arial"/>
                <w:sz w:val="18"/>
                <w:szCs w:val="18"/>
              </w:rPr>
            </w:pPr>
          </w:p>
        </w:tc>
      </w:tr>
      <w:tr w:rsidR="00D3344B" w14:paraId="65369C7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D3F8087"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035</w:t>
            </w:r>
          </w:p>
        </w:tc>
        <w:tc>
          <w:tcPr>
            <w:tcW w:w="3038" w:type="dxa"/>
            <w:tcBorders>
              <w:top w:val="single" w:sz="4" w:space="0" w:color="000000"/>
              <w:left w:val="single" w:sz="4" w:space="0" w:color="000000"/>
              <w:bottom w:val="single" w:sz="4" w:space="0" w:color="000000"/>
              <w:right w:val="single" w:sz="4" w:space="0" w:color="000000"/>
            </w:tcBorders>
          </w:tcPr>
          <w:p w14:paraId="2832896B" w14:textId="77777777" w:rsidR="00D3344B" w:rsidRDefault="00143C25">
            <w:pPr>
              <w:pStyle w:val="TableParagraph"/>
              <w:tabs>
                <w:tab w:val="left" w:pos="1411"/>
                <w:tab w:val="left" w:pos="2683"/>
              </w:tabs>
              <w:spacing w:line="252" w:lineRule="exact"/>
              <w:rPr>
                <w:rFonts w:ascii="Arial" w:hAnsi="Arial" w:cs="Arial"/>
                <w:sz w:val="18"/>
                <w:szCs w:val="18"/>
              </w:rPr>
            </w:pPr>
            <w:r>
              <w:rPr>
                <w:rFonts w:ascii="Arial" w:hAnsi="Arial" w:cs="Arial"/>
                <w:spacing w:val="-2"/>
                <w:w w:val="110"/>
                <w:sz w:val="18"/>
                <w:szCs w:val="18"/>
              </w:rPr>
              <w:t>Ultrasonido</w:t>
            </w:r>
            <w:r>
              <w:rPr>
                <w:rFonts w:ascii="Arial" w:hAnsi="Arial" w:cs="Arial"/>
                <w:sz w:val="18"/>
                <w:szCs w:val="18"/>
              </w:rPr>
              <w:tab/>
            </w:r>
            <w:r>
              <w:rPr>
                <w:rFonts w:ascii="Arial" w:hAnsi="Arial" w:cs="Arial"/>
                <w:spacing w:val="-2"/>
                <w:w w:val="110"/>
                <w:sz w:val="18"/>
                <w:szCs w:val="18"/>
              </w:rPr>
              <w:t>Obstétrico</w:t>
            </w:r>
            <w:r>
              <w:rPr>
                <w:rFonts w:ascii="Arial" w:hAnsi="Arial" w:cs="Arial"/>
                <w:sz w:val="18"/>
                <w:szCs w:val="18"/>
              </w:rPr>
              <w:tab/>
            </w:r>
            <w:r>
              <w:rPr>
                <w:rFonts w:ascii="Arial" w:hAnsi="Arial" w:cs="Arial"/>
                <w:spacing w:val="-6"/>
                <w:w w:val="110"/>
                <w:sz w:val="18"/>
                <w:szCs w:val="18"/>
              </w:rPr>
              <w:t xml:space="preserve">con </w:t>
            </w:r>
            <w:r>
              <w:rPr>
                <w:rFonts w:ascii="Arial" w:hAnsi="Arial" w:cs="Arial"/>
                <w:w w:val="110"/>
                <w:sz w:val="18"/>
                <w:szCs w:val="18"/>
              </w:rPr>
              <w:t>Perfil Biofísico</w:t>
            </w:r>
          </w:p>
        </w:tc>
        <w:tc>
          <w:tcPr>
            <w:tcW w:w="697" w:type="dxa"/>
            <w:tcBorders>
              <w:top w:val="single" w:sz="4" w:space="0" w:color="000000"/>
              <w:left w:val="single" w:sz="4" w:space="0" w:color="000000"/>
              <w:bottom w:val="single" w:sz="4" w:space="0" w:color="000000"/>
              <w:right w:val="single" w:sz="4" w:space="0" w:color="000000"/>
            </w:tcBorders>
          </w:tcPr>
          <w:p w14:paraId="35CEA79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7.50</w:t>
            </w:r>
          </w:p>
        </w:tc>
        <w:tc>
          <w:tcPr>
            <w:tcW w:w="695" w:type="dxa"/>
            <w:tcBorders>
              <w:top w:val="single" w:sz="4" w:space="0" w:color="000000"/>
              <w:left w:val="single" w:sz="4" w:space="0" w:color="000000"/>
              <w:bottom w:val="single" w:sz="4" w:space="0" w:color="000000"/>
              <w:right w:val="single" w:sz="4" w:space="0" w:color="000000"/>
            </w:tcBorders>
          </w:tcPr>
          <w:p w14:paraId="53FF030C" w14:textId="77777777" w:rsidR="00D3344B" w:rsidRDefault="00143C25">
            <w:pPr>
              <w:pStyle w:val="TableParagraph"/>
              <w:rPr>
                <w:rFonts w:ascii="Arial" w:hAnsi="Arial" w:cs="Arial"/>
                <w:sz w:val="18"/>
                <w:szCs w:val="18"/>
              </w:rPr>
            </w:pPr>
            <w:r>
              <w:rPr>
                <w:rFonts w:ascii="Arial" w:hAnsi="Arial" w:cs="Arial"/>
                <w:spacing w:val="-4"/>
                <w:w w:val="115"/>
                <w:sz w:val="18"/>
                <w:szCs w:val="18"/>
              </w:rPr>
              <w:t>6.50</w:t>
            </w:r>
          </w:p>
        </w:tc>
        <w:tc>
          <w:tcPr>
            <w:tcW w:w="699" w:type="dxa"/>
            <w:tcBorders>
              <w:top w:val="single" w:sz="4" w:space="0" w:color="000000"/>
              <w:left w:val="single" w:sz="4" w:space="0" w:color="000000"/>
              <w:bottom w:val="single" w:sz="4" w:space="0" w:color="000000"/>
              <w:right w:val="single" w:sz="4" w:space="0" w:color="000000"/>
            </w:tcBorders>
          </w:tcPr>
          <w:p w14:paraId="7924C4FD" w14:textId="77777777" w:rsidR="00D3344B" w:rsidRDefault="00143C25">
            <w:pPr>
              <w:pStyle w:val="TableParagraph"/>
              <w:rPr>
                <w:rFonts w:ascii="Arial" w:hAnsi="Arial" w:cs="Arial"/>
                <w:sz w:val="18"/>
                <w:szCs w:val="18"/>
              </w:rPr>
            </w:pPr>
            <w:r>
              <w:rPr>
                <w:rFonts w:ascii="Arial" w:hAnsi="Arial" w:cs="Arial"/>
                <w:spacing w:val="-4"/>
                <w:w w:val="115"/>
                <w:sz w:val="18"/>
                <w:szCs w:val="18"/>
              </w:rPr>
              <w:t>5.75</w:t>
            </w:r>
          </w:p>
        </w:tc>
        <w:tc>
          <w:tcPr>
            <w:tcW w:w="699" w:type="dxa"/>
            <w:tcBorders>
              <w:top w:val="single" w:sz="4" w:space="0" w:color="000000"/>
              <w:left w:val="single" w:sz="4" w:space="0" w:color="000000"/>
              <w:bottom w:val="single" w:sz="4" w:space="0" w:color="000000"/>
              <w:right w:val="single" w:sz="4" w:space="0" w:color="000000"/>
            </w:tcBorders>
          </w:tcPr>
          <w:p w14:paraId="12A611C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5.00</w:t>
            </w:r>
          </w:p>
        </w:tc>
        <w:tc>
          <w:tcPr>
            <w:tcW w:w="696" w:type="dxa"/>
            <w:tcBorders>
              <w:top w:val="single" w:sz="4" w:space="0" w:color="000000"/>
              <w:left w:val="single" w:sz="4" w:space="0" w:color="000000"/>
              <w:bottom w:val="single" w:sz="4" w:space="0" w:color="000000"/>
              <w:right w:val="single" w:sz="4" w:space="0" w:color="000000"/>
            </w:tcBorders>
          </w:tcPr>
          <w:p w14:paraId="0803C5B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4.50</w:t>
            </w:r>
          </w:p>
        </w:tc>
        <w:tc>
          <w:tcPr>
            <w:tcW w:w="527" w:type="dxa"/>
            <w:tcBorders>
              <w:top w:val="single" w:sz="4" w:space="0" w:color="000000"/>
              <w:left w:val="single" w:sz="4" w:space="0" w:color="000000"/>
              <w:bottom w:val="single" w:sz="4" w:space="0" w:color="000000"/>
              <w:right w:val="single" w:sz="4" w:space="0" w:color="000000"/>
            </w:tcBorders>
          </w:tcPr>
          <w:p w14:paraId="13C41A6E" w14:textId="77777777" w:rsidR="00D3344B" w:rsidRDefault="00D3344B">
            <w:pPr>
              <w:pStyle w:val="TableParagraph"/>
              <w:rPr>
                <w:rFonts w:ascii="Arial" w:hAnsi="Arial" w:cs="Arial"/>
                <w:sz w:val="18"/>
                <w:szCs w:val="18"/>
              </w:rPr>
            </w:pPr>
          </w:p>
        </w:tc>
      </w:tr>
      <w:tr w:rsidR="00D3344B" w14:paraId="4A6DB015"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B1E5FE4" w14:textId="77777777" w:rsidR="00D3344B" w:rsidRDefault="00143C25">
            <w:pPr>
              <w:pStyle w:val="TableParagraph"/>
              <w:rPr>
                <w:rFonts w:ascii="Arial" w:hAnsi="Arial" w:cs="Arial"/>
                <w:sz w:val="18"/>
                <w:szCs w:val="18"/>
              </w:rPr>
            </w:pPr>
            <w:r>
              <w:rPr>
                <w:rFonts w:ascii="Arial" w:hAnsi="Arial" w:cs="Arial"/>
                <w:w w:val="110"/>
                <w:sz w:val="18"/>
                <w:szCs w:val="18"/>
              </w:rPr>
              <w:t>02-USG-</w:t>
            </w:r>
            <w:r>
              <w:rPr>
                <w:rFonts w:ascii="Arial" w:hAnsi="Arial" w:cs="Arial"/>
                <w:spacing w:val="-5"/>
                <w:w w:val="110"/>
                <w:sz w:val="18"/>
                <w:szCs w:val="18"/>
              </w:rPr>
              <w:t>036</w:t>
            </w:r>
          </w:p>
        </w:tc>
        <w:tc>
          <w:tcPr>
            <w:tcW w:w="3038" w:type="dxa"/>
            <w:tcBorders>
              <w:top w:val="single" w:sz="4" w:space="0" w:color="000000"/>
              <w:left w:val="single" w:sz="4" w:space="0" w:color="000000"/>
              <w:bottom w:val="single" w:sz="4" w:space="0" w:color="000000"/>
              <w:right w:val="single" w:sz="4" w:space="0" w:color="000000"/>
            </w:tcBorders>
          </w:tcPr>
          <w:p w14:paraId="5751B107" w14:textId="77777777" w:rsidR="00D3344B" w:rsidRDefault="00143C25">
            <w:pPr>
              <w:pStyle w:val="TableParagraph"/>
              <w:tabs>
                <w:tab w:val="left" w:pos="1404"/>
                <w:tab w:val="left" w:pos="2666"/>
              </w:tabs>
              <w:spacing w:line="252" w:lineRule="exact"/>
              <w:ind w:right="-15"/>
              <w:rPr>
                <w:rFonts w:ascii="Arial" w:hAnsi="Arial" w:cs="Arial"/>
                <w:sz w:val="18"/>
                <w:szCs w:val="18"/>
              </w:rPr>
            </w:pPr>
            <w:r>
              <w:rPr>
                <w:rFonts w:ascii="Arial" w:hAnsi="Arial" w:cs="Arial"/>
                <w:spacing w:val="-2"/>
                <w:w w:val="115"/>
                <w:sz w:val="18"/>
                <w:szCs w:val="18"/>
              </w:rPr>
              <w:t>Ultrasonido</w:t>
            </w:r>
            <w:r>
              <w:rPr>
                <w:rFonts w:ascii="Arial" w:hAnsi="Arial" w:cs="Arial"/>
                <w:sz w:val="18"/>
                <w:szCs w:val="18"/>
              </w:rPr>
              <w:tab/>
            </w:r>
            <w:r>
              <w:rPr>
                <w:rFonts w:ascii="Arial" w:hAnsi="Arial" w:cs="Arial"/>
                <w:spacing w:val="-2"/>
                <w:w w:val="115"/>
                <w:sz w:val="18"/>
                <w:szCs w:val="18"/>
              </w:rPr>
              <w:t>Obstétrico</w:t>
            </w:r>
            <w:r>
              <w:rPr>
                <w:rFonts w:ascii="Arial" w:hAnsi="Arial" w:cs="Arial"/>
                <w:sz w:val="18"/>
                <w:szCs w:val="18"/>
              </w:rPr>
              <w:tab/>
            </w:r>
            <w:r>
              <w:rPr>
                <w:rFonts w:ascii="Arial" w:hAnsi="Arial" w:cs="Arial"/>
                <w:spacing w:val="-4"/>
                <w:w w:val="115"/>
                <w:sz w:val="18"/>
                <w:szCs w:val="18"/>
              </w:rPr>
              <w:t xml:space="preserve">con </w:t>
            </w:r>
            <w:r>
              <w:rPr>
                <w:rFonts w:ascii="Arial" w:hAnsi="Arial" w:cs="Arial"/>
                <w:w w:val="115"/>
                <w:sz w:val="18"/>
                <w:szCs w:val="18"/>
              </w:rPr>
              <w:t>Doppler Fetal</w:t>
            </w:r>
          </w:p>
        </w:tc>
        <w:tc>
          <w:tcPr>
            <w:tcW w:w="697" w:type="dxa"/>
            <w:tcBorders>
              <w:top w:val="single" w:sz="4" w:space="0" w:color="000000"/>
              <w:left w:val="single" w:sz="4" w:space="0" w:color="000000"/>
              <w:bottom w:val="single" w:sz="4" w:space="0" w:color="000000"/>
              <w:right w:val="single" w:sz="4" w:space="0" w:color="000000"/>
            </w:tcBorders>
          </w:tcPr>
          <w:p w14:paraId="7401357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9.50</w:t>
            </w:r>
          </w:p>
        </w:tc>
        <w:tc>
          <w:tcPr>
            <w:tcW w:w="695" w:type="dxa"/>
            <w:tcBorders>
              <w:top w:val="single" w:sz="4" w:space="0" w:color="000000"/>
              <w:left w:val="single" w:sz="4" w:space="0" w:color="000000"/>
              <w:bottom w:val="single" w:sz="4" w:space="0" w:color="000000"/>
              <w:right w:val="single" w:sz="4" w:space="0" w:color="000000"/>
            </w:tcBorders>
          </w:tcPr>
          <w:p w14:paraId="6D6D84A6" w14:textId="77777777" w:rsidR="00D3344B" w:rsidRDefault="00143C25">
            <w:pPr>
              <w:pStyle w:val="TableParagraph"/>
              <w:rPr>
                <w:rFonts w:ascii="Arial" w:hAnsi="Arial" w:cs="Arial"/>
                <w:sz w:val="18"/>
                <w:szCs w:val="18"/>
              </w:rPr>
            </w:pPr>
            <w:r>
              <w:rPr>
                <w:rFonts w:ascii="Arial" w:hAnsi="Arial" w:cs="Arial"/>
                <w:spacing w:val="-4"/>
                <w:w w:val="115"/>
                <w:sz w:val="18"/>
                <w:szCs w:val="18"/>
              </w:rPr>
              <w:t>9.00</w:t>
            </w:r>
          </w:p>
        </w:tc>
        <w:tc>
          <w:tcPr>
            <w:tcW w:w="699" w:type="dxa"/>
            <w:tcBorders>
              <w:top w:val="single" w:sz="4" w:space="0" w:color="000000"/>
              <w:left w:val="single" w:sz="4" w:space="0" w:color="000000"/>
              <w:bottom w:val="single" w:sz="4" w:space="0" w:color="000000"/>
              <w:right w:val="single" w:sz="4" w:space="0" w:color="000000"/>
            </w:tcBorders>
          </w:tcPr>
          <w:p w14:paraId="1D86D3E9" w14:textId="77777777" w:rsidR="00D3344B" w:rsidRDefault="00143C25">
            <w:pPr>
              <w:pStyle w:val="TableParagraph"/>
              <w:rPr>
                <w:rFonts w:ascii="Arial" w:hAnsi="Arial" w:cs="Arial"/>
                <w:sz w:val="18"/>
                <w:szCs w:val="18"/>
              </w:rPr>
            </w:pPr>
            <w:r>
              <w:rPr>
                <w:rFonts w:ascii="Arial" w:hAnsi="Arial" w:cs="Arial"/>
                <w:spacing w:val="-4"/>
                <w:w w:val="115"/>
                <w:sz w:val="18"/>
                <w:szCs w:val="18"/>
              </w:rPr>
              <w:t>8.00</w:t>
            </w:r>
          </w:p>
        </w:tc>
        <w:tc>
          <w:tcPr>
            <w:tcW w:w="699" w:type="dxa"/>
            <w:tcBorders>
              <w:top w:val="single" w:sz="4" w:space="0" w:color="000000"/>
              <w:left w:val="single" w:sz="4" w:space="0" w:color="000000"/>
              <w:bottom w:val="single" w:sz="4" w:space="0" w:color="000000"/>
              <w:right w:val="single" w:sz="4" w:space="0" w:color="000000"/>
            </w:tcBorders>
          </w:tcPr>
          <w:p w14:paraId="587C520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7.25</w:t>
            </w:r>
          </w:p>
        </w:tc>
        <w:tc>
          <w:tcPr>
            <w:tcW w:w="696" w:type="dxa"/>
            <w:tcBorders>
              <w:top w:val="single" w:sz="4" w:space="0" w:color="000000"/>
              <w:left w:val="single" w:sz="4" w:space="0" w:color="000000"/>
              <w:bottom w:val="single" w:sz="4" w:space="0" w:color="000000"/>
              <w:right w:val="single" w:sz="4" w:space="0" w:color="000000"/>
            </w:tcBorders>
          </w:tcPr>
          <w:p w14:paraId="3462F1B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6.50</w:t>
            </w:r>
          </w:p>
        </w:tc>
        <w:tc>
          <w:tcPr>
            <w:tcW w:w="527" w:type="dxa"/>
            <w:tcBorders>
              <w:top w:val="single" w:sz="4" w:space="0" w:color="000000"/>
              <w:left w:val="single" w:sz="4" w:space="0" w:color="000000"/>
              <w:bottom w:val="single" w:sz="4" w:space="0" w:color="000000"/>
              <w:right w:val="single" w:sz="4" w:space="0" w:color="000000"/>
            </w:tcBorders>
          </w:tcPr>
          <w:p w14:paraId="52DEDA68" w14:textId="77777777" w:rsidR="00D3344B" w:rsidRDefault="00D3344B">
            <w:pPr>
              <w:pStyle w:val="TableParagraph"/>
              <w:rPr>
                <w:rFonts w:ascii="Arial" w:hAnsi="Arial" w:cs="Arial"/>
                <w:sz w:val="18"/>
                <w:szCs w:val="18"/>
              </w:rPr>
            </w:pPr>
          </w:p>
        </w:tc>
      </w:tr>
      <w:tr w:rsidR="00D3344B" w14:paraId="2C905AE1"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D08E979"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09F1AA9E"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Resonancia</w:t>
            </w:r>
            <w:r>
              <w:rPr>
                <w:rFonts w:ascii="Arial" w:hAnsi="Arial" w:cs="Arial"/>
                <w:spacing w:val="75"/>
                <w:w w:val="115"/>
                <w:sz w:val="18"/>
                <w:szCs w:val="18"/>
              </w:rPr>
              <w:t xml:space="preserve"> </w:t>
            </w:r>
            <w:r>
              <w:rPr>
                <w:rFonts w:ascii="Arial" w:hAnsi="Arial" w:cs="Arial"/>
                <w:w w:val="115"/>
                <w:sz w:val="18"/>
                <w:szCs w:val="18"/>
              </w:rPr>
              <w:t>Magnética</w:t>
            </w:r>
            <w:r>
              <w:rPr>
                <w:rFonts w:ascii="Arial" w:hAnsi="Arial" w:cs="Arial"/>
                <w:spacing w:val="80"/>
                <w:w w:val="115"/>
                <w:sz w:val="18"/>
                <w:szCs w:val="18"/>
              </w:rPr>
              <w:t xml:space="preserve"> </w:t>
            </w:r>
            <w:r>
              <w:rPr>
                <w:rFonts w:ascii="Arial" w:hAnsi="Arial" w:cs="Arial"/>
                <w:w w:val="115"/>
                <w:sz w:val="18"/>
                <w:szCs w:val="18"/>
              </w:rPr>
              <w:t>de Cráneo “simple”</w:t>
            </w:r>
          </w:p>
        </w:tc>
        <w:tc>
          <w:tcPr>
            <w:tcW w:w="697" w:type="dxa"/>
            <w:tcBorders>
              <w:top w:val="single" w:sz="4" w:space="0" w:color="000000"/>
              <w:left w:val="single" w:sz="4" w:space="0" w:color="000000"/>
              <w:bottom w:val="single" w:sz="4" w:space="0" w:color="000000"/>
              <w:right w:val="single" w:sz="4" w:space="0" w:color="000000"/>
            </w:tcBorders>
          </w:tcPr>
          <w:p w14:paraId="172B12F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6A845876"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72429DED"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00B17EF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34618D5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1D785638" w14:textId="77777777" w:rsidR="00D3344B" w:rsidRDefault="00D3344B">
            <w:pPr>
              <w:pStyle w:val="TableParagraph"/>
              <w:rPr>
                <w:rFonts w:ascii="Arial" w:hAnsi="Arial" w:cs="Arial"/>
                <w:sz w:val="18"/>
                <w:szCs w:val="18"/>
              </w:rPr>
            </w:pPr>
          </w:p>
        </w:tc>
      </w:tr>
      <w:tr w:rsidR="00D3344B" w14:paraId="6517761F"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8FB323B" w14:textId="77777777" w:rsidR="00D3344B" w:rsidRDefault="00143C25">
            <w:pPr>
              <w:pStyle w:val="TableParagraph"/>
              <w:rPr>
                <w:rFonts w:ascii="Arial" w:hAnsi="Arial" w:cs="Arial"/>
                <w:sz w:val="18"/>
                <w:szCs w:val="18"/>
              </w:rPr>
            </w:pPr>
            <w:r>
              <w:rPr>
                <w:rFonts w:ascii="Arial" w:hAnsi="Arial" w:cs="Arial"/>
                <w:sz w:val="18"/>
                <w:szCs w:val="18"/>
              </w:rPr>
              <w:t>02-RMN-001-</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7C2E461"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Cráneo “contrastada”</w:t>
            </w:r>
          </w:p>
        </w:tc>
        <w:tc>
          <w:tcPr>
            <w:tcW w:w="697" w:type="dxa"/>
            <w:tcBorders>
              <w:top w:val="single" w:sz="4" w:space="0" w:color="000000"/>
              <w:left w:val="single" w:sz="4" w:space="0" w:color="000000"/>
              <w:bottom w:val="single" w:sz="4" w:space="0" w:color="000000"/>
              <w:right w:val="single" w:sz="4" w:space="0" w:color="000000"/>
            </w:tcBorders>
          </w:tcPr>
          <w:p w14:paraId="2AC01E6D"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275C167D"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12D7798D"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6F5EDC4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253589A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1EDA674" w14:textId="77777777" w:rsidR="00D3344B" w:rsidRDefault="00D3344B">
            <w:pPr>
              <w:pStyle w:val="TableParagraph"/>
              <w:rPr>
                <w:rFonts w:ascii="Arial" w:hAnsi="Arial" w:cs="Arial"/>
                <w:sz w:val="18"/>
                <w:szCs w:val="18"/>
              </w:rPr>
            </w:pPr>
          </w:p>
        </w:tc>
      </w:tr>
      <w:tr w:rsidR="00D3344B" w14:paraId="330EF21F"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01B7620"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488F94EC"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cuello “simple”</w:t>
            </w:r>
          </w:p>
        </w:tc>
        <w:tc>
          <w:tcPr>
            <w:tcW w:w="697" w:type="dxa"/>
            <w:tcBorders>
              <w:top w:val="single" w:sz="4" w:space="0" w:color="000000"/>
              <w:left w:val="single" w:sz="4" w:space="0" w:color="000000"/>
              <w:bottom w:val="single" w:sz="4" w:space="0" w:color="000000"/>
              <w:right w:val="single" w:sz="4" w:space="0" w:color="000000"/>
            </w:tcBorders>
          </w:tcPr>
          <w:p w14:paraId="4750FFC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097100D6"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4F39C42B"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762788D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5B8F35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035D72EF" w14:textId="77777777" w:rsidR="00D3344B" w:rsidRDefault="00D3344B">
            <w:pPr>
              <w:pStyle w:val="TableParagraph"/>
              <w:rPr>
                <w:rFonts w:ascii="Arial" w:hAnsi="Arial" w:cs="Arial"/>
                <w:sz w:val="18"/>
                <w:szCs w:val="18"/>
              </w:rPr>
            </w:pPr>
          </w:p>
        </w:tc>
      </w:tr>
      <w:tr w:rsidR="00D3344B" w14:paraId="3AC2046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F6B6B0C" w14:textId="77777777" w:rsidR="00D3344B" w:rsidRDefault="00143C25">
            <w:pPr>
              <w:pStyle w:val="TableParagraph"/>
              <w:rPr>
                <w:rFonts w:ascii="Arial" w:hAnsi="Arial" w:cs="Arial"/>
                <w:sz w:val="18"/>
                <w:szCs w:val="18"/>
              </w:rPr>
            </w:pPr>
            <w:r>
              <w:rPr>
                <w:rFonts w:ascii="Arial" w:hAnsi="Arial" w:cs="Arial"/>
                <w:sz w:val="18"/>
                <w:szCs w:val="18"/>
              </w:rPr>
              <w:t>02-RMN-002-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36F698C1"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Resonancia</w:t>
            </w:r>
            <w:r>
              <w:rPr>
                <w:rFonts w:ascii="Arial" w:hAnsi="Arial" w:cs="Arial"/>
                <w:spacing w:val="75"/>
                <w:w w:val="115"/>
                <w:sz w:val="18"/>
                <w:szCs w:val="18"/>
              </w:rPr>
              <w:t xml:space="preserve"> </w:t>
            </w:r>
            <w:r>
              <w:rPr>
                <w:rFonts w:ascii="Arial" w:hAnsi="Arial" w:cs="Arial"/>
                <w:w w:val="115"/>
                <w:sz w:val="18"/>
                <w:szCs w:val="18"/>
              </w:rPr>
              <w:t>Magnética</w:t>
            </w:r>
            <w:r>
              <w:rPr>
                <w:rFonts w:ascii="Arial" w:hAnsi="Arial" w:cs="Arial"/>
                <w:spacing w:val="80"/>
                <w:w w:val="115"/>
                <w:sz w:val="18"/>
                <w:szCs w:val="18"/>
              </w:rPr>
              <w:t xml:space="preserve"> </w:t>
            </w:r>
            <w:r>
              <w:rPr>
                <w:rFonts w:ascii="Arial" w:hAnsi="Arial" w:cs="Arial"/>
                <w:w w:val="115"/>
                <w:sz w:val="18"/>
                <w:szCs w:val="18"/>
              </w:rPr>
              <w:t>de cuello “contrastada”</w:t>
            </w:r>
          </w:p>
        </w:tc>
        <w:tc>
          <w:tcPr>
            <w:tcW w:w="697" w:type="dxa"/>
            <w:tcBorders>
              <w:top w:val="single" w:sz="4" w:space="0" w:color="000000"/>
              <w:left w:val="single" w:sz="4" w:space="0" w:color="000000"/>
              <w:bottom w:val="single" w:sz="4" w:space="0" w:color="000000"/>
              <w:right w:val="single" w:sz="4" w:space="0" w:color="000000"/>
            </w:tcBorders>
          </w:tcPr>
          <w:p w14:paraId="2D4F057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4B90BE61"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0AE47286"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790A25A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1552EFC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29C6629E" w14:textId="77777777" w:rsidR="00D3344B" w:rsidRDefault="00D3344B">
            <w:pPr>
              <w:pStyle w:val="TableParagraph"/>
              <w:rPr>
                <w:rFonts w:ascii="Arial" w:hAnsi="Arial" w:cs="Arial"/>
                <w:sz w:val="18"/>
                <w:szCs w:val="18"/>
              </w:rPr>
            </w:pPr>
          </w:p>
        </w:tc>
      </w:tr>
      <w:tr w:rsidR="00D3344B" w14:paraId="747C5EB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02F449F"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70686EDC"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Columna cervical “simple”</w:t>
            </w:r>
          </w:p>
        </w:tc>
        <w:tc>
          <w:tcPr>
            <w:tcW w:w="697" w:type="dxa"/>
            <w:tcBorders>
              <w:top w:val="single" w:sz="4" w:space="0" w:color="000000"/>
              <w:left w:val="single" w:sz="4" w:space="0" w:color="000000"/>
              <w:bottom w:val="single" w:sz="4" w:space="0" w:color="000000"/>
              <w:right w:val="single" w:sz="4" w:space="0" w:color="000000"/>
            </w:tcBorders>
          </w:tcPr>
          <w:p w14:paraId="7171EBB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3A6D1783"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062BC772"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588F257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069E651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0599B333" w14:textId="77777777" w:rsidR="00D3344B" w:rsidRDefault="00D3344B">
            <w:pPr>
              <w:pStyle w:val="TableParagraph"/>
              <w:rPr>
                <w:rFonts w:ascii="Arial" w:hAnsi="Arial" w:cs="Arial"/>
                <w:sz w:val="18"/>
                <w:szCs w:val="18"/>
              </w:rPr>
            </w:pPr>
          </w:p>
        </w:tc>
      </w:tr>
      <w:tr w:rsidR="00D3344B" w14:paraId="3F311A82"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6249FB8D" w14:textId="77777777" w:rsidR="00D3344B" w:rsidRDefault="00D3344B">
            <w:pPr>
              <w:pStyle w:val="TableParagraph"/>
              <w:spacing w:before="9"/>
              <w:rPr>
                <w:rFonts w:ascii="Arial" w:hAnsi="Arial" w:cs="Arial"/>
                <w:sz w:val="18"/>
                <w:szCs w:val="18"/>
              </w:rPr>
            </w:pPr>
          </w:p>
          <w:p w14:paraId="4B443A3F" w14:textId="77777777" w:rsidR="00D3344B" w:rsidRDefault="00143C25">
            <w:pPr>
              <w:pStyle w:val="TableParagraph"/>
              <w:rPr>
                <w:rFonts w:ascii="Arial" w:hAnsi="Arial" w:cs="Arial"/>
                <w:sz w:val="18"/>
                <w:szCs w:val="18"/>
              </w:rPr>
            </w:pPr>
            <w:r>
              <w:rPr>
                <w:rFonts w:ascii="Arial" w:hAnsi="Arial" w:cs="Arial"/>
                <w:sz w:val="18"/>
                <w:szCs w:val="18"/>
              </w:rPr>
              <w:t>02-RMN-003-</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37B5D8E" w14:textId="77777777" w:rsidR="00D3344B" w:rsidRDefault="00143C25">
            <w:pPr>
              <w:pStyle w:val="TableParagraph"/>
              <w:tabs>
                <w:tab w:val="left" w:pos="1416"/>
                <w:tab w:val="left" w:pos="1656"/>
                <w:tab w:val="left" w:pos="2729"/>
              </w:tabs>
              <w:ind w:right="61"/>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spacing w:val="-2"/>
                <w:w w:val="115"/>
                <w:sz w:val="18"/>
                <w:szCs w:val="18"/>
              </w:rPr>
              <w:t>Columna</w:t>
            </w:r>
            <w:r>
              <w:rPr>
                <w:rFonts w:ascii="Arial" w:hAnsi="Arial" w:cs="Arial"/>
                <w:sz w:val="18"/>
                <w:szCs w:val="18"/>
              </w:rPr>
              <w:tab/>
            </w:r>
            <w:r>
              <w:rPr>
                <w:rFonts w:ascii="Arial" w:hAnsi="Arial" w:cs="Arial"/>
                <w:sz w:val="18"/>
                <w:szCs w:val="18"/>
              </w:rPr>
              <w:tab/>
            </w:r>
            <w:r>
              <w:rPr>
                <w:rFonts w:ascii="Arial" w:hAnsi="Arial" w:cs="Arial"/>
                <w:spacing w:val="-2"/>
                <w:w w:val="115"/>
                <w:sz w:val="18"/>
                <w:szCs w:val="18"/>
              </w:rPr>
              <w:t>cervical</w:t>
            </w:r>
          </w:p>
          <w:p w14:paraId="7EC0BBD1" w14:textId="77777777" w:rsidR="00D3344B" w:rsidRDefault="00143C25">
            <w:pPr>
              <w:pStyle w:val="TableParagraph"/>
              <w:spacing w:line="233" w:lineRule="exact"/>
              <w:rPr>
                <w:rFonts w:ascii="Arial" w:hAnsi="Arial" w:cs="Arial"/>
                <w:sz w:val="18"/>
                <w:szCs w:val="18"/>
              </w:rPr>
            </w:pPr>
            <w:r>
              <w:rPr>
                <w:rFonts w:ascii="Arial" w:hAnsi="Arial" w:cs="Arial"/>
                <w:spacing w:val="-2"/>
                <w:w w:val="115"/>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42F239B6" w14:textId="77777777" w:rsidR="00D3344B" w:rsidRDefault="00D3344B">
            <w:pPr>
              <w:pStyle w:val="TableParagraph"/>
              <w:spacing w:before="9"/>
              <w:rPr>
                <w:rFonts w:ascii="Arial" w:hAnsi="Arial" w:cs="Arial"/>
                <w:sz w:val="18"/>
                <w:szCs w:val="18"/>
              </w:rPr>
            </w:pPr>
          </w:p>
          <w:p w14:paraId="619CCD7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5783199B" w14:textId="77777777" w:rsidR="00D3344B" w:rsidRDefault="00D3344B">
            <w:pPr>
              <w:pStyle w:val="TableParagraph"/>
              <w:spacing w:before="9"/>
              <w:rPr>
                <w:rFonts w:ascii="Arial" w:hAnsi="Arial" w:cs="Arial"/>
                <w:sz w:val="18"/>
                <w:szCs w:val="18"/>
              </w:rPr>
            </w:pPr>
          </w:p>
          <w:p w14:paraId="5B7A452B"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7CBC781B" w14:textId="77777777" w:rsidR="00D3344B" w:rsidRDefault="00D3344B">
            <w:pPr>
              <w:pStyle w:val="TableParagraph"/>
              <w:spacing w:before="9"/>
              <w:rPr>
                <w:rFonts w:ascii="Arial" w:hAnsi="Arial" w:cs="Arial"/>
                <w:sz w:val="18"/>
                <w:szCs w:val="18"/>
              </w:rPr>
            </w:pPr>
          </w:p>
          <w:p w14:paraId="65589CD1"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1384E541" w14:textId="77777777" w:rsidR="00D3344B" w:rsidRDefault="00D3344B">
            <w:pPr>
              <w:pStyle w:val="TableParagraph"/>
              <w:spacing w:before="9"/>
              <w:rPr>
                <w:rFonts w:ascii="Arial" w:hAnsi="Arial" w:cs="Arial"/>
                <w:sz w:val="18"/>
                <w:szCs w:val="18"/>
              </w:rPr>
            </w:pPr>
          </w:p>
          <w:p w14:paraId="6C5BB49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152C1E16" w14:textId="77777777" w:rsidR="00D3344B" w:rsidRDefault="00D3344B">
            <w:pPr>
              <w:pStyle w:val="TableParagraph"/>
              <w:spacing w:before="9"/>
              <w:rPr>
                <w:rFonts w:ascii="Arial" w:hAnsi="Arial" w:cs="Arial"/>
                <w:sz w:val="18"/>
                <w:szCs w:val="18"/>
              </w:rPr>
            </w:pPr>
          </w:p>
          <w:p w14:paraId="588AF70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6632A000" w14:textId="77777777" w:rsidR="00D3344B" w:rsidRDefault="00D3344B">
            <w:pPr>
              <w:pStyle w:val="TableParagraph"/>
              <w:rPr>
                <w:rFonts w:ascii="Arial" w:hAnsi="Arial" w:cs="Arial"/>
                <w:sz w:val="18"/>
                <w:szCs w:val="18"/>
              </w:rPr>
            </w:pPr>
          </w:p>
        </w:tc>
      </w:tr>
      <w:tr w:rsidR="00D3344B" w14:paraId="32D6114E"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9D2C664"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0611CA04" w14:textId="77777777" w:rsidR="00D3344B" w:rsidRDefault="00143C25">
            <w:pPr>
              <w:pStyle w:val="TableParagraph"/>
              <w:tabs>
                <w:tab w:val="left" w:pos="1447"/>
                <w:tab w:val="left" w:pos="2793"/>
              </w:tabs>
              <w:spacing w:line="254"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Columna toráxica simple</w:t>
            </w:r>
          </w:p>
        </w:tc>
        <w:tc>
          <w:tcPr>
            <w:tcW w:w="697" w:type="dxa"/>
            <w:tcBorders>
              <w:top w:val="single" w:sz="4" w:space="0" w:color="000000"/>
              <w:left w:val="single" w:sz="4" w:space="0" w:color="000000"/>
              <w:bottom w:val="single" w:sz="4" w:space="0" w:color="000000"/>
              <w:right w:val="single" w:sz="4" w:space="0" w:color="000000"/>
            </w:tcBorders>
          </w:tcPr>
          <w:p w14:paraId="737FAD3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0424951C"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0A791856"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62A7417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4586F16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64E7FCB1" w14:textId="77777777" w:rsidR="00D3344B" w:rsidRDefault="00D3344B">
            <w:pPr>
              <w:pStyle w:val="TableParagraph"/>
              <w:rPr>
                <w:rFonts w:ascii="Arial" w:hAnsi="Arial" w:cs="Arial"/>
                <w:sz w:val="18"/>
                <w:szCs w:val="18"/>
              </w:rPr>
            </w:pPr>
          </w:p>
        </w:tc>
      </w:tr>
      <w:tr w:rsidR="00D3344B" w14:paraId="02029E3B" w14:textId="77777777">
        <w:trPr>
          <w:trHeight w:val="756"/>
        </w:trPr>
        <w:tc>
          <w:tcPr>
            <w:tcW w:w="1776" w:type="dxa"/>
            <w:tcBorders>
              <w:top w:val="single" w:sz="4" w:space="0" w:color="000000"/>
              <w:left w:val="single" w:sz="4" w:space="0" w:color="000000"/>
              <w:bottom w:val="single" w:sz="4" w:space="0" w:color="000000"/>
              <w:right w:val="single" w:sz="4" w:space="0" w:color="000000"/>
            </w:tcBorders>
          </w:tcPr>
          <w:p w14:paraId="5962B29A" w14:textId="77777777" w:rsidR="00D3344B" w:rsidRDefault="00D3344B">
            <w:pPr>
              <w:pStyle w:val="TableParagraph"/>
              <w:spacing w:before="6"/>
              <w:rPr>
                <w:rFonts w:ascii="Arial" w:hAnsi="Arial" w:cs="Arial"/>
                <w:sz w:val="18"/>
                <w:szCs w:val="18"/>
              </w:rPr>
            </w:pPr>
          </w:p>
          <w:p w14:paraId="3A6AB2E9" w14:textId="77777777" w:rsidR="00D3344B" w:rsidRDefault="00143C25">
            <w:pPr>
              <w:pStyle w:val="TableParagraph"/>
              <w:spacing w:before="1"/>
              <w:rPr>
                <w:rFonts w:ascii="Arial" w:hAnsi="Arial" w:cs="Arial"/>
                <w:sz w:val="18"/>
                <w:szCs w:val="18"/>
              </w:rPr>
            </w:pPr>
            <w:r>
              <w:rPr>
                <w:rFonts w:ascii="Arial" w:hAnsi="Arial" w:cs="Arial"/>
                <w:sz w:val="18"/>
                <w:szCs w:val="18"/>
              </w:rPr>
              <w:t>02-RMN-004-</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2A5E5CE1" w14:textId="77777777" w:rsidR="00D3344B" w:rsidRDefault="00143C25">
            <w:pPr>
              <w:pStyle w:val="TableParagraph"/>
              <w:tabs>
                <w:tab w:val="left" w:pos="1418"/>
                <w:tab w:val="left" w:pos="1620"/>
                <w:tab w:val="left" w:pos="2731"/>
              </w:tabs>
              <w:ind w:right="58"/>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spacing w:val="-2"/>
                <w:w w:val="115"/>
                <w:sz w:val="18"/>
                <w:szCs w:val="18"/>
              </w:rPr>
              <w:t>Columna</w:t>
            </w:r>
            <w:r>
              <w:rPr>
                <w:rFonts w:ascii="Arial" w:hAnsi="Arial" w:cs="Arial"/>
                <w:sz w:val="18"/>
                <w:szCs w:val="18"/>
              </w:rPr>
              <w:tab/>
            </w:r>
            <w:r>
              <w:rPr>
                <w:rFonts w:ascii="Arial" w:hAnsi="Arial" w:cs="Arial"/>
                <w:sz w:val="18"/>
                <w:szCs w:val="18"/>
              </w:rPr>
              <w:tab/>
            </w:r>
            <w:r>
              <w:rPr>
                <w:rFonts w:ascii="Arial" w:hAnsi="Arial" w:cs="Arial"/>
                <w:spacing w:val="-2"/>
                <w:w w:val="115"/>
                <w:sz w:val="18"/>
                <w:szCs w:val="18"/>
              </w:rPr>
              <w:t>toráxica</w:t>
            </w:r>
          </w:p>
          <w:p w14:paraId="011DDB1D" w14:textId="77777777" w:rsidR="00D3344B" w:rsidRDefault="00143C25">
            <w:pPr>
              <w:pStyle w:val="TableParagraph"/>
              <w:spacing w:line="233" w:lineRule="exact"/>
              <w:rPr>
                <w:rFonts w:ascii="Arial" w:hAnsi="Arial" w:cs="Arial"/>
                <w:sz w:val="18"/>
                <w:szCs w:val="18"/>
              </w:rPr>
            </w:pPr>
            <w:r>
              <w:rPr>
                <w:rFonts w:ascii="Arial" w:hAnsi="Arial" w:cs="Arial"/>
                <w:spacing w:val="-2"/>
                <w:w w:val="115"/>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716BA3ED" w14:textId="77777777" w:rsidR="00D3344B" w:rsidRDefault="00D3344B">
            <w:pPr>
              <w:pStyle w:val="TableParagraph"/>
              <w:spacing w:before="6"/>
              <w:rPr>
                <w:rFonts w:ascii="Arial" w:hAnsi="Arial" w:cs="Arial"/>
                <w:sz w:val="18"/>
                <w:szCs w:val="18"/>
              </w:rPr>
            </w:pPr>
          </w:p>
          <w:p w14:paraId="497CA45F"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4DBABDD5" w14:textId="77777777" w:rsidR="00D3344B" w:rsidRDefault="00D3344B">
            <w:pPr>
              <w:pStyle w:val="TableParagraph"/>
              <w:spacing w:before="6"/>
              <w:rPr>
                <w:rFonts w:ascii="Arial" w:hAnsi="Arial" w:cs="Arial"/>
                <w:sz w:val="18"/>
                <w:szCs w:val="18"/>
              </w:rPr>
            </w:pPr>
          </w:p>
          <w:p w14:paraId="10116EBF"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07D24B1D" w14:textId="77777777" w:rsidR="00D3344B" w:rsidRDefault="00D3344B">
            <w:pPr>
              <w:pStyle w:val="TableParagraph"/>
              <w:spacing w:before="6"/>
              <w:rPr>
                <w:rFonts w:ascii="Arial" w:hAnsi="Arial" w:cs="Arial"/>
                <w:sz w:val="18"/>
                <w:szCs w:val="18"/>
              </w:rPr>
            </w:pPr>
          </w:p>
          <w:p w14:paraId="2998541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53DE541D" w14:textId="77777777" w:rsidR="00D3344B" w:rsidRDefault="00D3344B">
            <w:pPr>
              <w:pStyle w:val="TableParagraph"/>
              <w:spacing w:before="6"/>
              <w:rPr>
                <w:rFonts w:ascii="Arial" w:hAnsi="Arial" w:cs="Arial"/>
                <w:sz w:val="18"/>
                <w:szCs w:val="18"/>
              </w:rPr>
            </w:pPr>
          </w:p>
          <w:p w14:paraId="134DB60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274BF332" w14:textId="77777777" w:rsidR="00D3344B" w:rsidRDefault="00D3344B">
            <w:pPr>
              <w:pStyle w:val="TableParagraph"/>
              <w:spacing w:before="6"/>
              <w:rPr>
                <w:rFonts w:ascii="Arial" w:hAnsi="Arial" w:cs="Arial"/>
                <w:sz w:val="18"/>
                <w:szCs w:val="18"/>
              </w:rPr>
            </w:pPr>
          </w:p>
          <w:p w14:paraId="27BD8CC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2DCF3A76" w14:textId="77777777" w:rsidR="00D3344B" w:rsidRDefault="00D3344B">
            <w:pPr>
              <w:pStyle w:val="TableParagraph"/>
              <w:rPr>
                <w:rFonts w:ascii="Arial" w:hAnsi="Arial" w:cs="Arial"/>
                <w:sz w:val="18"/>
                <w:szCs w:val="18"/>
              </w:rPr>
            </w:pPr>
          </w:p>
        </w:tc>
      </w:tr>
      <w:tr w:rsidR="00D3344B" w14:paraId="53877F11"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97CFD59"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005</w:t>
            </w:r>
          </w:p>
        </w:tc>
        <w:tc>
          <w:tcPr>
            <w:tcW w:w="3038" w:type="dxa"/>
            <w:tcBorders>
              <w:top w:val="single" w:sz="4" w:space="0" w:color="000000"/>
              <w:left w:val="single" w:sz="4" w:space="0" w:color="000000"/>
              <w:bottom w:val="single" w:sz="4" w:space="0" w:color="000000"/>
              <w:right w:val="single" w:sz="4" w:space="0" w:color="000000"/>
            </w:tcBorders>
          </w:tcPr>
          <w:p w14:paraId="0B1016DB" w14:textId="77777777" w:rsidR="00D3344B" w:rsidRDefault="00143C25">
            <w:pPr>
              <w:pStyle w:val="TableParagraph"/>
              <w:tabs>
                <w:tab w:val="left" w:pos="1447"/>
                <w:tab w:val="left" w:pos="2793"/>
              </w:tabs>
              <w:spacing w:line="254"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Columna lumbar “simple”</w:t>
            </w:r>
          </w:p>
        </w:tc>
        <w:tc>
          <w:tcPr>
            <w:tcW w:w="697" w:type="dxa"/>
            <w:tcBorders>
              <w:top w:val="single" w:sz="4" w:space="0" w:color="000000"/>
              <w:left w:val="single" w:sz="4" w:space="0" w:color="000000"/>
              <w:bottom w:val="single" w:sz="4" w:space="0" w:color="000000"/>
              <w:right w:val="single" w:sz="4" w:space="0" w:color="000000"/>
            </w:tcBorders>
          </w:tcPr>
          <w:p w14:paraId="034979AC"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34CD721C"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489F5F9C"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2523C06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79A373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22453178" w14:textId="77777777" w:rsidR="00D3344B" w:rsidRDefault="00D3344B">
            <w:pPr>
              <w:pStyle w:val="TableParagraph"/>
              <w:rPr>
                <w:rFonts w:ascii="Arial" w:hAnsi="Arial" w:cs="Arial"/>
                <w:sz w:val="18"/>
                <w:szCs w:val="18"/>
              </w:rPr>
            </w:pPr>
          </w:p>
        </w:tc>
      </w:tr>
      <w:tr w:rsidR="00D3344B" w14:paraId="618FBE70"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10228B0B" w14:textId="77777777" w:rsidR="00D3344B" w:rsidRDefault="00D3344B">
            <w:pPr>
              <w:pStyle w:val="TableParagraph"/>
              <w:rPr>
                <w:rFonts w:ascii="Arial" w:hAnsi="Arial" w:cs="Arial"/>
                <w:sz w:val="18"/>
                <w:szCs w:val="18"/>
              </w:rPr>
            </w:pPr>
          </w:p>
          <w:p w14:paraId="183CCCA3" w14:textId="77777777" w:rsidR="00D3344B" w:rsidRDefault="00143C25">
            <w:pPr>
              <w:pStyle w:val="TableParagraph"/>
              <w:rPr>
                <w:rFonts w:ascii="Arial" w:hAnsi="Arial" w:cs="Arial"/>
                <w:sz w:val="18"/>
                <w:szCs w:val="18"/>
              </w:rPr>
            </w:pPr>
            <w:r>
              <w:rPr>
                <w:rFonts w:ascii="Arial" w:hAnsi="Arial" w:cs="Arial"/>
                <w:sz w:val="18"/>
                <w:szCs w:val="18"/>
              </w:rPr>
              <w:t>02-RMN-005-</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6F83400F" w14:textId="77777777" w:rsidR="00D3344B" w:rsidRDefault="00143C25">
            <w:pPr>
              <w:pStyle w:val="TableParagraph"/>
              <w:tabs>
                <w:tab w:val="left" w:pos="1416"/>
                <w:tab w:val="left" w:pos="1677"/>
                <w:tab w:val="left" w:pos="2729"/>
              </w:tabs>
              <w:spacing w:line="252" w:lineRule="exact"/>
              <w:ind w:right="61"/>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spacing w:val="-2"/>
                <w:w w:val="115"/>
                <w:sz w:val="18"/>
                <w:szCs w:val="18"/>
              </w:rPr>
              <w:t>Columna</w:t>
            </w:r>
            <w:r>
              <w:rPr>
                <w:rFonts w:ascii="Arial" w:hAnsi="Arial" w:cs="Arial"/>
                <w:sz w:val="18"/>
                <w:szCs w:val="18"/>
              </w:rPr>
              <w:tab/>
            </w:r>
            <w:r>
              <w:rPr>
                <w:rFonts w:ascii="Arial" w:hAnsi="Arial" w:cs="Arial"/>
                <w:sz w:val="18"/>
                <w:szCs w:val="18"/>
              </w:rPr>
              <w:tab/>
            </w:r>
            <w:r>
              <w:rPr>
                <w:rFonts w:ascii="Arial" w:hAnsi="Arial" w:cs="Arial"/>
                <w:spacing w:val="-2"/>
                <w:w w:val="115"/>
                <w:sz w:val="18"/>
                <w:szCs w:val="18"/>
              </w:rPr>
              <w:t>lumbar “contrastada”</w:t>
            </w:r>
          </w:p>
        </w:tc>
        <w:tc>
          <w:tcPr>
            <w:tcW w:w="697" w:type="dxa"/>
            <w:tcBorders>
              <w:top w:val="single" w:sz="4" w:space="0" w:color="000000"/>
              <w:left w:val="single" w:sz="4" w:space="0" w:color="000000"/>
              <w:bottom w:val="single" w:sz="4" w:space="0" w:color="000000"/>
              <w:right w:val="single" w:sz="4" w:space="0" w:color="000000"/>
            </w:tcBorders>
          </w:tcPr>
          <w:p w14:paraId="193D7E28" w14:textId="77777777" w:rsidR="00D3344B" w:rsidRDefault="00D3344B">
            <w:pPr>
              <w:pStyle w:val="TableParagraph"/>
              <w:rPr>
                <w:rFonts w:ascii="Arial" w:hAnsi="Arial" w:cs="Arial"/>
                <w:sz w:val="18"/>
                <w:szCs w:val="18"/>
              </w:rPr>
            </w:pPr>
          </w:p>
          <w:p w14:paraId="671D7E00"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7177AC0D" w14:textId="77777777" w:rsidR="00D3344B" w:rsidRDefault="00D3344B">
            <w:pPr>
              <w:pStyle w:val="TableParagraph"/>
              <w:rPr>
                <w:rFonts w:ascii="Arial" w:hAnsi="Arial" w:cs="Arial"/>
                <w:sz w:val="18"/>
                <w:szCs w:val="18"/>
              </w:rPr>
            </w:pPr>
          </w:p>
          <w:p w14:paraId="171057B3"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690133EF" w14:textId="77777777" w:rsidR="00D3344B" w:rsidRDefault="00D3344B">
            <w:pPr>
              <w:pStyle w:val="TableParagraph"/>
              <w:rPr>
                <w:rFonts w:ascii="Arial" w:hAnsi="Arial" w:cs="Arial"/>
                <w:sz w:val="18"/>
                <w:szCs w:val="18"/>
              </w:rPr>
            </w:pPr>
          </w:p>
          <w:p w14:paraId="6E3243B8"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195CD944" w14:textId="77777777" w:rsidR="00D3344B" w:rsidRDefault="00D3344B">
            <w:pPr>
              <w:pStyle w:val="TableParagraph"/>
              <w:rPr>
                <w:rFonts w:ascii="Arial" w:hAnsi="Arial" w:cs="Arial"/>
                <w:sz w:val="18"/>
                <w:szCs w:val="18"/>
              </w:rPr>
            </w:pPr>
          </w:p>
          <w:p w14:paraId="1A07BD14"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35ED64A9" w14:textId="77777777" w:rsidR="00D3344B" w:rsidRDefault="00D3344B">
            <w:pPr>
              <w:pStyle w:val="TableParagraph"/>
              <w:rPr>
                <w:rFonts w:ascii="Arial" w:hAnsi="Arial" w:cs="Arial"/>
                <w:sz w:val="18"/>
                <w:szCs w:val="18"/>
              </w:rPr>
            </w:pPr>
          </w:p>
          <w:p w14:paraId="6F3B6A4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556A140B" w14:textId="77777777" w:rsidR="00D3344B" w:rsidRDefault="00D3344B">
            <w:pPr>
              <w:pStyle w:val="TableParagraph"/>
              <w:rPr>
                <w:rFonts w:ascii="Arial" w:hAnsi="Arial" w:cs="Arial"/>
                <w:sz w:val="18"/>
                <w:szCs w:val="18"/>
              </w:rPr>
            </w:pPr>
          </w:p>
        </w:tc>
      </w:tr>
      <w:tr w:rsidR="00D3344B" w14:paraId="087881F1"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289C3B9"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006</w:t>
            </w:r>
          </w:p>
        </w:tc>
        <w:tc>
          <w:tcPr>
            <w:tcW w:w="3038" w:type="dxa"/>
            <w:tcBorders>
              <w:top w:val="single" w:sz="4" w:space="0" w:color="000000"/>
              <w:left w:val="single" w:sz="4" w:space="0" w:color="000000"/>
              <w:bottom w:val="single" w:sz="4" w:space="0" w:color="000000"/>
              <w:right w:val="single" w:sz="4" w:space="0" w:color="000000"/>
            </w:tcBorders>
          </w:tcPr>
          <w:p w14:paraId="5A2685C5"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pelvis “simple”</w:t>
            </w:r>
          </w:p>
        </w:tc>
        <w:tc>
          <w:tcPr>
            <w:tcW w:w="697" w:type="dxa"/>
            <w:tcBorders>
              <w:top w:val="single" w:sz="4" w:space="0" w:color="000000"/>
              <w:left w:val="single" w:sz="4" w:space="0" w:color="000000"/>
              <w:bottom w:val="single" w:sz="4" w:space="0" w:color="000000"/>
              <w:right w:val="single" w:sz="4" w:space="0" w:color="000000"/>
            </w:tcBorders>
          </w:tcPr>
          <w:p w14:paraId="12E6B02F"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3701B7D8"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57F698DB"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2A52FD06"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4CC1A57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3BF6DC91" w14:textId="77777777" w:rsidR="00D3344B" w:rsidRDefault="00D3344B">
            <w:pPr>
              <w:pStyle w:val="TableParagraph"/>
              <w:rPr>
                <w:rFonts w:ascii="Arial" w:hAnsi="Arial" w:cs="Arial"/>
                <w:sz w:val="18"/>
                <w:szCs w:val="18"/>
              </w:rPr>
            </w:pPr>
          </w:p>
        </w:tc>
      </w:tr>
      <w:tr w:rsidR="00D3344B" w14:paraId="4C7EA8F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121DB72C" w14:textId="77777777" w:rsidR="00D3344B" w:rsidRDefault="00143C25">
            <w:pPr>
              <w:pStyle w:val="TableParagraph"/>
              <w:rPr>
                <w:rFonts w:ascii="Arial" w:hAnsi="Arial" w:cs="Arial"/>
                <w:sz w:val="18"/>
                <w:szCs w:val="18"/>
              </w:rPr>
            </w:pPr>
            <w:r>
              <w:rPr>
                <w:rFonts w:ascii="Arial" w:hAnsi="Arial" w:cs="Arial"/>
                <w:sz w:val="18"/>
                <w:szCs w:val="18"/>
              </w:rPr>
              <w:t>02-RMN-006-</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908C471"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de pelvis “contrastada”</w:t>
            </w:r>
          </w:p>
        </w:tc>
        <w:tc>
          <w:tcPr>
            <w:tcW w:w="697" w:type="dxa"/>
            <w:tcBorders>
              <w:top w:val="single" w:sz="4" w:space="0" w:color="000000"/>
              <w:left w:val="single" w:sz="4" w:space="0" w:color="000000"/>
              <w:bottom w:val="single" w:sz="4" w:space="0" w:color="000000"/>
              <w:right w:val="single" w:sz="4" w:space="0" w:color="000000"/>
            </w:tcBorders>
          </w:tcPr>
          <w:p w14:paraId="0064D209"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36DA527A"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709AD66E"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7F212674"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35CD30F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BDB70AF" w14:textId="77777777" w:rsidR="00D3344B" w:rsidRDefault="00D3344B">
            <w:pPr>
              <w:pStyle w:val="TableParagraph"/>
              <w:rPr>
                <w:rFonts w:ascii="Arial" w:hAnsi="Arial" w:cs="Arial"/>
                <w:sz w:val="18"/>
                <w:szCs w:val="18"/>
              </w:rPr>
            </w:pPr>
          </w:p>
        </w:tc>
      </w:tr>
      <w:tr w:rsidR="00D3344B" w14:paraId="2774B82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224D8D5"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007</w:t>
            </w:r>
          </w:p>
        </w:tc>
        <w:tc>
          <w:tcPr>
            <w:tcW w:w="3038" w:type="dxa"/>
            <w:tcBorders>
              <w:top w:val="single" w:sz="4" w:space="0" w:color="000000"/>
              <w:left w:val="single" w:sz="4" w:space="0" w:color="000000"/>
              <w:bottom w:val="single" w:sz="4" w:space="0" w:color="000000"/>
              <w:right w:val="single" w:sz="4" w:space="0" w:color="000000"/>
            </w:tcBorders>
          </w:tcPr>
          <w:p w14:paraId="4A9F39B2"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hombro “simple”</w:t>
            </w:r>
          </w:p>
        </w:tc>
        <w:tc>
          <w:tcPr>
            <w:tcW w:w="697" w:type="dxa"/>
            <w:tcBorders>
              <w:top w:val="single" w:sz="4" w:space="0" w:color="000000"/>
              <w:left w:val="single" w:sz="4" w:space="0" w:color="000000"/>
              <w:bottom w:val="single" w:sz="4" w:space="0" w:color="000000"/>
              <w:right w:val="single" w:sz="4" w:space="0" w:color="000000"/>
            </w:tcBorders>
          </w:tcPr>
          <w:p w14:paraId="5975451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02E884FC"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2D42742A"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696F4713"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D06903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2FD8B3C1" w14:textId="77777777" w:rsidR="00D3344B" w:rsidRDefault="00D3344B">
            <w:pPr>
              <w:pStyle w:val="TableParagraph"/>
              <w:rPr>
                <w:rFonts w:ascii="Arial" w:hAnsi="Arial" w:cs="Arial"/>
                <w:sz w:val="18"/>
                <w:szCs w:val="18"/>
              </w:rPr>
            </w:pPr>
          </w:p>
        </w:tc>
      </w:tr>
      <w:tr w:rsidR="00D3344B" w14:paraId="456FC17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43C86244" w14:textId="77777777" w:rsidR="00D3344B" w:rsidRDefault="00143C25">
            <w:pPr>
              <w:pStyle w:val="TableParagraph"/>
              <w:rPr>
                <w:rFonts w:ascii="Arial" w:hAnsi="Arial" w:cs="Arial"/>
                <w:sz w:val="18"/>
                <w:szCs w:val="18"/>
              </w:rPr>
            </w:pPr>
            <w:r>
              <w:rPr>
                <w:rFonts w:ascii="Arial" w:hAnsi="Arial" w:cs="Arial"/>
                <w:sz w:val="18"/>
                <w:szCs w:val="18"/>
              </w:rPr>
              <w:t>02-RMN-007-</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796E9ED8"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hombro “contrastada”</w:t>
            </w:r>
          </w:p>
        </w:tc>
        <w:tc>
          <w:tcPr>
            <w:tcW w:w="697" w:type="dxa"/>
            <w:tcBorders>
              <w:top w:val="single" w:sz="4" w:space="0" w:color="000000"/>
              <w:left w:val="single" w:sz="4" w:space="0" w:color="000000"/>
              <w:bottom w:val="single" w:sz="4" w:space="0" w:color="000000"/>
              <w:right w:val="single" w:sz="4" w:space="0" w:color="000000"/>
            </w:tcBorders>
          </w:tcPr>
          <w:p w14:paraId="23D0C400"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1AFBED79"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4DD1FAA5"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0B8974EB"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3357213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30A1ACD2" w14:textId="77777777" w:rsidR="00D3344B" w:rsidRDefault="00D3344B">
            <w:pPr>
              <w:pStyle w:val="TableParagraph"/>
              <w:rPr>
                <w:rFonts w:ascii="Arial" w:hAnsi="Arial" w:cs="Arial"/>
                <w:sz w:val="18"/>
                <w:szCs w:val="18"/>
              </w:rPr>
            </w:pPr>
          </w:p>
        </w:tc>
      </w:tr>
      <w:tr w:rsidR="00D3344B" w14:paraId="192D7651"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B5DCF84"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008</w:t>
            </w:r>
          </w:p>
        </w:tc>
        <w:tc>
          <w:tcPr>
            <w:tcW w:w="3038" w:type="dxa"/>
            <w:tcBorders>
              <w:top w:val="single" w:sz="4" w:space="0" w:color="000000"/>
              <w:left w:val="single" w:sz="4" w:space="0" w:color="000000"/>
              <w:bottom w:val="single" w:sz="4" w:space="0" w:color="000000"/>
              <w:right w:val="single" w:sz="4" w:space="0" w:color="000000"/>
            </w:tcBorders>
          </w:tcPr>
          <w:p w14:paraId="08EEDA44"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de rodilla “simple”</w:t>
            </w:r>
          </w:p>
        </w:tc>
        <w:tc>
          <w:tcPr>
            <w:tcW w:w="697" w:type="dxa"/>
            <w:tcBorders>
              <w:top w:val="single" w:sz="4" w:space="0" w:color="000000"/>
              <w:left w:val="single" w:sz="4" w:space="0" w:color="000000"/>
              <w:bottom w:val="single" w:sz="4" w:space="0" w:color="000000"/>
              <w:right w:val="single" w:sz="4" w:space="0" w:color="000000"/>
            </w:tcBorders>
          </w:tcPr>
          <w:p w14:paraId="4E3817FA"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58FCB147"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7129DA5D"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6DAB1F5D"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58DF1D1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026C8B6D" w14:textId="77777777" w:rsidR="00D3344B" w:rsidRDefault="00D3344B">
            <w:pPr>
              <w:pStyle w:val="TableParagraph"/>
              <w:rPr>
                <w:rFonts w:ascii="Arial" w:hAnsi="Arial" w:cs="Arial"/>
                <w:sz w:val="18"/>
                <w:szCs w:val="18"/>
              </w:rPr>
            </w:pPr>
          </w:p>
        </w:tc>
      </w:tr>
      <w:tr w:rsidR="00D3344B" w14:paraId="1AD7D09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020D13B" w14:textId="77777777" w:rsidR="00D3344B" w:rsidRDefault="00143C25">
            <w:pPr>
              <w:pStyle w:val="TableParagraph"/>
              <w:rPr>
                <w:rFonts w:ascii="Arial" w:hAnsi="Arial" w:cs="Arial"/>
                <w:sz w:val="18"/>
                <w:szCs w:val="18"/>
              </w:rPr>
            </w:pPr>
            <w:r>
              <w:rPr>
                <w:rFonts w:ascii="Arial" w:hAnsi="Arial" w:cs="Arial"/>
                <w:sz w:val="18"/>
                <w:szCs w:val="18"/>
              </w:rPr>
              <w:lastRenderedPageBreak/>
              <w:t>02-RMN-008-</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060779B6"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rodilla “contrastada”</w:t>
            </w:r>
          </w:p>
        </w:tc>
        <w:tc>
          <w:tcPr>
            <w:tcW w:w="697" w:type="dxa"/>
            <w:tcBorders>
              <w:top w:val="single" w:sz="4" w:space="0" w:color="000000"/>
              <w:left w:val="single" w:sz="4" w:space="0" w:color="000000"/>
              <w:bottom w:val="single" w:sz="4" w:space="0" w:color="000000"/>
              <w:right w:val="single" w:sz="4" w:space="0" w:color="000000"/>
            </w:tcBorders>
          </w:tcPr>
          <w:p w14:paraId="67D4F436"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6FA9B390"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5C5A7D3E"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16839CF3"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5228DF8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05153D28" w14:textId="77777777" w:rsidR="00D3344B" w:rsidRDefault="00D3344B">
            <w:pPr>
              <w:pStyle w:val="TableParagraph"/>
              <w:rPr>
                <w:rFonts w:ascii="Arial" w:hAnsi="Arial" w:cs="Arial"/>
                <w:sz w:val="18"/>
                <w:szCs w:val="18"/>
              </w:rPr>
            </w:pPr>
          </w:p>
        </w:tc>
      </w:tr>
      <w:tr w:rsidR="00D3344B" w14:paraId="17CB6E93"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46A1F5F"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009</w:t>
            </w:r>
          </w:p>
        </w:tc>
        <w:tc>
          <w:tcPr>
            <w:tcW w:w="3038" w:type="dxa"/>
            <w:tcBorders>
              <w:top w:val="single" w:sz="4" w:space="0" w:color="000000"/>
              <w:left w:val="single" w:sz="4" w:space="0" w:color="000000"/>
              <w:bottom w:val="single" w:sz="4" w:space="0" w:color="000000"/>
              <w:right w:val="single" w:sz="4" w:space="0" w:color="000000"/>
            </w:tcBorders>
          </w:tcPr>
          <w:p w14:paraId="56427CA4"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tobillo “simple”</w:t>
            </w:r>
          </w:p>
        </w:tc>
        <w:tc>
          <w:tcPr>
            <w:tcW w:w="697" w:type="dxa"/>
            <w:tcBorders>
              <w:top w:val="single" w:sz="4" w:space="0" w:color="000000"/>
              <w:left w:val="single" w:sz="4" w:space="0" w:color="000000"/>
              <w:bottom w:val="single" w:sz="4" w:space="0" w:color="000000"/>
              <w:right w:val="single" w:sz="4" w:space="0" w:color="000000"/>
            </w:tcBorders>
          </w:tcPr>
          <w:p w14:paraId="4FB48674"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5B96F90A"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49DCD9DC"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389EB5F9"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3BB7DE4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17D66AC9" w14:textId="77777777" w:rsidR="00D3344B" w:rsidRDefault="00D3344B">
            <w:pPr>
              <w:pStyle w:val="TableParagraph"/>
              <w:rPr>
                <w:rFonts w:ascii="Arial" w:hAnsi="Arial" w:cs="Arial"/>
                <w:sz w:val="18"/>
                <w:szCs w:val="18"/>
              </w:rPr>
            </w:pPr>
          </w:p>
        </w:tc>
      </w:tr>
      <w:tr w:rsidR="00D3344B" w14:paraId="0825B44A"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25DB0CD" w14:textId="77777777" w:rsidR="00D3344B" w:rsidRDefault="00143C25">
            <w:pPr>
              <w:pStyle w:val="TableParagraph"/>
              <w:rPr>
                <w:rFonts w:ascii="Arial" w:hAnsi="Arial" w:cs="Arial"/>
                <w:sz w:val="18"/>
                <w:szCs w:val="18"/>
              </w:rPr>
            </w:pPr>
            <w:r>
              <w:rPr>
                <w:rFonts w:ascii="Arial" w:hAnsi="Arial" w:cs="Arial"/>
                <w:sz w:val="18"/>
                <w:szCs w:val="18"/>
              </w:rPr>
              <w:t>02-RMN-009-</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0F54998B"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tobillo “contrastada”</w:t>
            </w:r>
          </w:p>
        </w:tc>
        <w:tc>
          <w:tcPr>
            <w:tcW w:w="697" w:type="dxa"/>
            <w:tcBorders>
              <w:top w:val="single" w:sz="4" w:space="0" w:color="000000"/>
              <w:left w:val="single" w:sz="4" w:space="0" w:color="000000"/>
              <w:bottom w:val="single" w:sz="4" w:space="0" w:color="000000"/>
              <w:right w:val="single" w:sz="4" w:space="0" w:color="000000"/>
            </w:tcBorders>
          </w:tcPr>
          <w:p w14:paraId="3B9320B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165B07AA"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3D41CFE9"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20D1FE9B"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3321356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C0BB4D9" w14:textId="77777777" w:rsidR="00D3344B" w:rsidRDefault="00D3344B">
            <w:pPr>
              <w:pStyle w:val="TableParagraph"/>
              <w:rPr>
                <w:rFonts w:ascii="Arial" w:hAnsi="Arial" w:cs="Arial"/>
                <w:sz w:val="18"/>
                <w:szCs w:val="18"/>
              </w:rPr>
            </w:pPr>
          </w:p>
        </w:tc>
      </w:tr>
      <w:tr w:rsidR="00D3344B" w14:paraId="7A80B4D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9822AFD"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010</w:t>
            </w:r>
          </w:p>
        </w:tc>
        <w:tc>
          <w:tcPr>
            <w:tcW w:w="3038" w:type="dxa"/>
            <w:tcBorders>
              <w:top w:val="single" w:sz="4" w:space="0" w:color="000000"/>
              <w:left w:val="single" w:sz="4" w:space="0" w:color="000000"/>
              <w:bottom w:val="single" w:sz="4" w:space="0" w:color="000000"/>
              <w:right w:val="single" w:sz="4" w:space="0" w:color="000000"/>
            </w:tcBorders>
          </w:tcPr>
          <w:p w14:paraId="01B7F6EB"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Resonancia</w:t>
            </w:r>
            <w:r>
              <w:rPr>
                <w:rFonts w:ascii="Arial" w:hAnsi="Arial" w:cs="Arial"/>
                <w:spacing w:val="75"/>
                <w:w w:val="115"/>
                <w:sz w:val="18"/>
                <w:szCs w:val="18"/>
              </w:rPr>
              <w:t xml:space="preserve"> </w:t>
            </w:r>
            <w:r>
              <w:rPr>
                <w:rFonts w:ascii="Arial" w:hAnsi="Arial" w:cs="Arial"/>
                <w:w w:val="115"/>
                <w:sz w:val="18"/>
                <w:szCs w:val="18"/>
              </w:rPr>
              <w:t>Magnética</w:t>
            </w:r>
            <w:r>
              <w:rPr>
                <w:rFonts w:ascii="Arial" w:hAnsi="Arial" w:cs="Arial"/>
                <w:spacing w:val="80"/>
                <w:w w:val="115"/>
                <w:sz w:val="18"/>
                <w:szCs w:val="18"/>
              </w:rPr>
              <w:t xml:space="preserve"> </w:t>
            </w:r>
            <w:r>
              <w:rPr>
                <w:rFonts w:ascii="Arial" w:hAnsi="Arial" w:cs="Arial"/>
                <w:w w:val="115"/>
                <w:sz w:val="18"/>
                <w:szCs w:val="18"/>
              </w:rPr>
              <w:t>de muñeca “simple”</w:t>
            </w:r>
          </w:p>
        </w:tc>
        <w:tc>
          <w:tcPr>
            <w:tcW w:w="697" w:type="dxa"/>
            <w:tcBorders>
              <w:top w:val="single" w:sz="4" w:space="0" w:color="000000"/>
              <w:left w:val="single" w:sz="4" w:space="0" w:color="000000"/>
              <w:bottom w:val="single" w:sz="4" w:space="0" w:color="000000"/>
              <w:right w:val="single" w:sz="4" w:space="0" w:color="000000"/>
            </w:tcBorders>
          </w:tcPr>
          <w:p w14:paraId="0988420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4B59EA46"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537D6732"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0CECC9AD"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7301A38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20EB35EE" w14:textId="77777777" w:rsidR="00D3344B" w:rsidRDefault="00D3344B">
            <w:pPr>
              <w:pStyle w:val="TableParagraph"/>
              <w:rPr>
                <w:rFonts w:ascii="Arial" w:hAnsi="Arial" w:cs="Arial"/>
                <w:sz w:val="18"/>
                <w:szCs w:val="18"/>
              </w:rPr>
            </w:pPr>
          </w:p>
        </w:tc>
      </w:tr>
      <w:tr w:rsidR="00D3344B" w14:paraId="526F048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6A58919" w14:textId="77777777" w:rsidR="00D3344B" w:rsidRDefault="00143C25">
            <w:pPr>
              <w:pStyle w:val="TableParagraph"/>
              <w:rPr>
                <w:rFonts w:ascii="Arial" w:hAnsi="Arial" w:cs="Arial"/>
                <w:sz w:val="18"/>
                <w:szCs w:val="18"/>
              </w:rPr>
            </w:pPr>
            <w:r>
              <w:rPr>
                <w:rFonts w:ascii="Arial" w:hAnsi="Arial" w:cs="Arial"/>
                <w:sz w:val="18"/>
                <w:szCs w:val="18"/>
              </w:rPr>
              <w:t>02-RMN-010-</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07894F8A"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muñeca “contrastada”</w:t>
            </w:r>
          </w:p>
        </w:tc>
        <w:tc>
          <w:tcPr>
            <w:tcW w:w="697" w:type="dxa"/>
            <w:tcBorders>
              <w:top w:val="single" w:sz="4" w:space="0" w:color="000000"/>
              <w:left w:val="single" w:sz="4" w:space="0" w:color="000000"/>
              <w:bottom w:val="single" w:sz="4" w:space="0" w:color="000000"/>
              <w:right w:val="single" w:sz="4" w:space="0" w:color="000000"/>
            </w:tcBorders>
          </w:tcPr>
          <w:p w14:paraId="39BD113D"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254B1C2A"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4D844A47"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67226985"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2E370A7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098D6A4" w14:textId="77777777" w:rsidR="00D3344B" w:rsidRDefault="00D3344B">
            <w:pPr>
              <w:pStyle w:val="TableParagraph"/>
              <w:rPr>
                <w:rFonts w:ascii="Arial" w:hAnsi="Arial" w:cs="Arial"/>
                <w:sz w:val="18"/>
                <w:szCs w:val="18"/>
              </w:rPr>
            </w:pPr>
          </w:p>
        </w:tc>
      </w:tr>
      <w:tr w:rsidR="00D3344B" w14:paraId="7E6B852E"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80D9CAB"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011</w:t>
            </w:r>
          </w:p>
        </w:tc>
        <w:tc>
          <w:tcPr>
            <w:tcW w:w="3038" w:type="dxa"/>
            <w:tcBorders>
              <w:top w:val="single" w:sz="4" w:space="0" w:color="000000"/>
              <w:left w:val="single" w:sz="4" w:space="0" w:color="000000"/>
              <w:bottom w:val="single" w:sz="4" w:space="0" w:color="000000"/>
              <w:right w:val="single" w:sz="4" w:space="0" w:color="000000"/>
            </w:tcBorders>
          </w:tcPr>
          <w:p w14:paraId="0D3FF5A3"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codo “simple”</w:t>
            </w:r>
          </w:p>
        </w:tc>
        <w:tc>
          <w:tcPr>
            <w:tcW w:w="697" w:type="dxa"/>
            <w:tcBorders>
              <w:top w:val="single" w:sz="4" w:space="0" w:color="000000"/>
              <w:left w:val="single" w:sz="4" w:space="0" w:color="000000"/>
              <w:bottom w:val="single" w:sz="4" w:space="0" w:color="000000"/>
              <w:right w:val="single" w:sz="4" w:space="0" w:color="000000"/>
            </w:tcBorders>
          </w:tcPr>
          <w:p w14:paraId="69BF1374"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625A2D8B"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3892169F"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577AA588"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172D2F1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3B7479A5" w14:textId="77777777" w:rsidR="00D3344B" w:rsidRDefault="00D3344B">
            <w:pPr>
              <w:pStyle w:val="TableParagraph"/>
              <w:rPr>
                <w:rFonts w:ascii="Arial" w:hAnsi="Arial" w:cs="Arial"/>
                <w:sz w:val="18"/>
                <w:szCs w:val="18"/>
              </w:rPr>
            </w:pPr>
          </w:p>
        </w:tc>
      </w:tr>
      <w:tr w:rsidR="00D3344B" w14:paraId="1D70BDEE"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DE13888" w14:textId="77777777" w:rsidR="00D3344B" w:rsidRDefault="00143C25">
            <w:pPr>
              <w:pStyle w:val="TableParagraph"/>
              <w:rPr>
                <w:rFonts w:ascii="Arial" w:hAnsi="Arial" w:cs="Arial"/>
                <w:sz w:val="18"/>
                <w:szCs w:val="18"/>
              </w:rPr>
            </w:pPr>
            <w:r>
              <w:rPr>
                <w:rFonts w:ascii="Arial" w:hAnsi="Arial" w:cs="Arial"/>
                <w:sz w:val="18"/>
                <w:szCs w:val="18"/>
              </w:rPr>
              <w:t>02-RMN-011-</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442BF4E"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codo “contrastada”</w:t>
            </w:r>
          </w:p>
        </w:tc>
        <w:tc>
          <w:tcPr>
            <w:tcW w:w="697" w:type="dxa"/>
            <w:tcBorders>
              <w:top w:val="single" w:sz="4" w:space="0" w:color="000000"/>
              <w:left w:val="single" w:sz="4" w:space="0" w:color="000000"/>
              <w:bottom w:val="single" w:sz="4" w:space="0" w:color="000000"/>
              <w:right w:val="single" w:sz="4" w:space="0" w:color="000000"/>
            </w:tcBorders>
          </w:tcPr>
          <w:p w14:paraId="4FB1DD97"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758EC3EB"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00FEF4F4"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5007DB61"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5877EE8E"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0C07AC7C" w14:textId="77777777" w:rsidR="00D3344B" w:rsidRDefault="00D3344B">
            <w:pPr>
              <w:pStyle w:val="TableParagraph"/>
              <w:rPr>
                <w:rFonts w:ascii="Arial" w:hAnsi="Arial" w:cs="Arial"/>
                <w:sz w:val="18"/>
                <w:szCs w:val="18"/>
              </w:rPr>
            </w:pPr>
          </w:p>
        </w:tc>
      </w:tr>
      <w:tr w:rsidR="00D3344B" w14:paraId="5B91905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93325BC"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02-RMN-</w:t>
            </w:r>
            <w:r>
              <w:rPr>
                <w:rFonts w:ascii="Arial" w:hAnsi="Arial" w:cs="Arial"/>
                <w:spacing w:val="-5"/>
                <w:sz w:val="18"/>
                <w:szCs w:val="18"/>
              </w:rPr>
              <w:t>012</w:t>
            </w:r>
          </w:p>
        </w:tc>
        <w:tc>
          <w:tcPr>
            <w:tcW w:w="3038" w:type="dxa"/>
            <w:tcBorders>
              <w:top w:val="single" w:sz="4" w:space="0" w:color="000000"/>
              <w:left w:val="single" w:sz="4" w:space="0" w:color="000000"/>
              <w:bottom w:val="single" w:sz="4" w:space="0" w:color="000000"/>
              <w:right w:val="single" w:sz="4" w:space="0" w:color="000000"/>
            </w:tcBorders>
          </w:tcPr>
          <w:p w14:paraId="0A3B61B6"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mano “simple”</w:t>
            </w:r>
          </w:p>
        </w:tc>
        <w:tc>
          <w:tcPr>
            <w:tcW w:w="697" w:type="dxa"/>
            <w:tcBorders>
              <w:top w:val="single" w:sz="4" w:space="0" w:color="000000"/>
              <w:left w:val="single" w:sz="4" w:space="0" w:color="000000"/>
              <w:bottom w:val="single" w:sz="4" w:space="0" w:color="000000"/>
              <w:right w:val="single" w:sz="4" w:space="0" w:color="000000"/>
            </w:tcBorders>
          </w:tcPr>
          <w:p w14:paraId="23203060" w14:textId="77777777" w:rsidR="00D3344B" w:rsidRDefault="00143C25">
            <w:pPr>
              <w:pStyle w:val="TableParagraph"/>
              <w:spacing w:line="252" w:lineRule="exact"/>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24ECA1A0"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25014D4B"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3DFF0BBD" w14:textId="77777777" w:rsidR="00D3344B" w:rsidRDefault="00143C25">
            <w:pPr>
              <w:pStyle w:val="TableParagraph"/>
              <w:spacing w:line="252" w:lineRule="exact"/>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7C723529"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446E6E7D" w14:textId="77777777" w:rsidR="00D3344B" w:rsidRDefault="00D3344B">
            <w:pPr>
              <w:pStyle w:val="TableParagraph"/>
              <w:rPr>
                <w:rFonts w:ascii="Arial" w:hAnsi="Arial" w:cs="Arial"/>
                <w:sz w:val="18"/>
                <w:szCs w:val="18"/>
              </w:rPr>
            </w:pPr>
          </w:p>
        </w:tc>
      </w:tr>
      <w:tr w:rsidR="00D3344B" w14:paraId="7C17434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A5B5F20" w14:textId="77777777" w:rsidR="00D3344B" w:rsidRDefault="00143C25">
            <w:pPr>
              <w:pStyle w:val="TableParagraph"/>
              <w:rPr>
                <w:rFonts w:ascii="Arial" w:hAnsi="Arial" w:cs="Arial"/>
                <w:sz w:val="18"/>
                <w:szCs w:val="18"/>
              </w:rPr>
            </w:pPr>
            <w:r>
              <w:rPr>
                <w:rFonts w:ascii="Arial" w:hAnsi="Arial" w:cs="Arial"/>
                <w:sz w:val="18"/>
                <w:szCs w:val="18"/>
              </w:rPr>
              <w:t>02-RMN-012-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E5D42B1"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mano “contrastada”</w:t>
            </w:r>
          </w:p>
        </w:tc>
        <w:tc>
          <w:tcPr>
            <w:tcW w:w="697" w:type="dxa"/>
            <w:tcBorders>
              <w:top w:val="single" w:sz="4" w:space="0" w:color="000000"/>
              <w:left w:val="single" w:sz="4" w:space="0" w:color="000000"/>
              <w:bottom w:val="single" w:sz="4" w:space="0" w:color="000000"/>
              <w:right w:val="single" w:sz="4" w:space="0" w:color="000000"/>
            </w:tcBorders>
          </w:tcPr>
          <w:p w14:paraId="7AD441B6"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3BE9D2E9"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144D0EC9"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6B3CFC33"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1DA41FC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3C64A4E9" w14:textId="77777777" w:rsidR="00D3344B" w:rsidRDefault="00D3344B">
            <w:pPr>
              <w:pStyle w:val="TableParagraph"/>
              <w:rPr>
                <w:rFonts w:ascii="Arial" w:hAnsi="Arial" w:cs="Arial"/>
                <w:sz w:val="18"/>
                <w:szCs w:val="18"/>
              </w:rPr>
            </w:pPr>
          </w:p>
        </w:tc>
      </w:tr>
      <w:tr w:rsidR="00D3344B" w14:paraId="7DBD40FE"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37CE352"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013</w:t>
            </w:r>
          </w:p>
        </w:tc>
        <w:tc>
          <w:tcPr>
            <w:tcW w:w="3038" w:type="dxa"/>
            <w:tcBorders>
              <w:top w:val="single" w:sz="4" w:space="0" w:color="000000"/>
              <w:left w:val="single" w:sz="4" w:space="0" w:color="000000"/>
              <w:bottom w:val="single" w:sz="4" w:space="0" w:color="000000"/>
              <w:right w:val="single" w:sz="4" w:space="0" w:color="000000"/>
            </w:tcBorders>
          </w:tcPr>
          <w:p w14:paraId="09298341"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Resonancia</w:t>
            </w:r>
            <w:r>
              <w:rPr>
                <w:rFonts w:ascii="Arial" w:hAnsi="Arial" w:cs="Arial"/>
                <w:spacing w:val="75"/>
                <w:w w:val="115"/>
                <w:sz w:val="18"/>
                <w:szCs w:val="18"/>
              </w:rPr>
              <w:t xml:space="preserve"> </w:t>
            </w:r>
            <w:r>
              <w:rPr>
                <w:rFonts w:ascii="Arial" w:hAnsi="Arial" w:cs="Arial"/>
                <w:w w:val="115"/>
                <w:sz w:val="18"/>
                <w:szCs w:val="18"/>
              </w:rPr>
              <w:t>Magnética</w:t>
            </w:r>
            <w:r>
              <w:rPr>
                <w:rFonts w:ascii="Arial" w:hAnsi="Arial" w:cs="Arial"/>
                <w:spacing w:val="80"/>
                <w:w w:val="115"/>
                <w:sz w:val="18"/>
                <w:szCs w:val="18"/>
              </w:rPr>
              <w:t xml:space="preserve"> </w:t>
            </w:r>
            <w:r>
              <w:rPr>
                <w:rFonts w:ascii="Arial" w:hAnsi="Arial" w:cs="Arial"/>
                <w:w w:val="115"/>
                <w:sz w:val="18"/>
                <w:szCs w:val="18"/>
              </w:rPr>
              <w:t xml:space="preserve">de </w:t>
            </w:r>
            <w:r>
              <w:rPr>
                <w:rFonts w:ascii="Arial" w:hAnsi="Arial" w:cs="Arial"/>
                <w:spacing w:val="-4"/>
                <w:w w:val="115"/>
                <w:sz w:val="18"/>
                <w:szCs w:val="18"/>
              </w:rPr>
              <w:t>mama</w:t>
            </w:r>
          </w:p>
        </w:tc>
        <w:tc>
          <w:tcPr>
            <w:tcW w:w="697" w:type="dxa"/>
            <w:tcBorders>
              <w:top w:val="single" w:sz="4" w:space="0" w:color="000000"/>
              <w:left w:val="single" w:sz="4" w:space="0" w:color="000000"/>
              <w:bottom w:val="single" w:sz="4" w:space="0" w:color="000000"/>
              <w:right w:val="single" w:sz="4" w:space="0" w:color="000000"/>
            </w:tcBorders>
          </w:tcPr>
          <w:p w14:paraId="189D0C83"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5BF5C465"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7E7C497A"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011BD804"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243ACD5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7EE3A1A5" w14:textId="77777777" w:rsidR="00D3344B" w:rsidRDefault="00D3344B">
            <w:pPr>
              <w:pStyle w:val="TableParagraph"/>
              <w:rPr>
                <w:rFonts w:ascii="Arial" w:hAnsi="Arial" w:cs="Arial"/>
                <w:sz w:val="18"/>
                <w:szCs w:val="18"/>
              </w:rPr>
            </w:pPr>
          </w:p>
        </w:tc>
      </w:tr>
      <w:tr w:rsidR="00D3344B" w14:paraId="05382808"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60735738" w14:textId="77777777" w:rsidR="00D3344B" w:rsidRDefault="00143C25">
            <w:pPr>
              <w:pStyle w:val="TableParagraph"/>
              <w:rPr>
                <w:rFonts w:ascii="Arial" w:hAnsi="Arial" w:cs="Arial"/>
                <w:sz w:val="18"/>
                <w:szCs w:val="18"/>
              </w:rPr>
            </w:pPr>
            <w:r>
              <w:rPr>
                <w:rFonts w:ascii="Arial" w:hAnsi="Arial" w:cs="Arial"/>
                <w:sz w:val="18"/>
                <w:szCs w:val="18"/>
              </w:rPr>
              <w:t>02-RMN-013-</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3E5DE6E"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mama contrastada</w:t>
            </w:r>
          </w:p>
        </w:tc>
        <w:tc>
          <w:tcPr>
            <w:tcW w:w="697" w:type="dxa"/>
            <w:tcBorders>
              <w:top w:val="single" w:sz="4" w:space="0" w:color="000000"/>
              <w:left w:val="single" w:sz="4" w:space="0" w:color="000000"/>
              <w:bottom w:val="single" w:sz="4" w:space="0" w:color="000000"/>
              <w:right w:val="single" w:sz="4" w:space="0" w:color="000000"/>
            </w:tcBorders>
          </w:tcPr>
          <w:p w14:paraId="6492E8B1"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72F5BA1F"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57F21FB6"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7EB76B0C"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5D9294B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5B5FCC94" w14:textId="77777777" w:rsidR="00D3344B" w:rsidRDefault="00D3344B">
            <w:pPr>
              <w:pStyle w:val="TableParagraph"/>
              <w:rPr>
                <w:rFonts w:ascii="Arial" w:hAnsi="Arial" w:cs="Arial"/>
                <w:sz w:val="18"/>
                <w:szCs w:val="18"/>
              </w:rPr>
            </w:pPr>
          </w:p>
        </w:tc>
      </w:tr>
      <w:tr w:rsidR="00D3344B" w14:paraId="123CDF69"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6645B59"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014</w:t>
            </w:r>
          </w:p>
        </w:tc>
        <w:tc>
          <w:tcPr>
            <w:tcW w:w="3038" w:type="dxa"/>
            <w:tcBorders>
              <w:top w:val="single" w:sz="4" w:space="0" w:color="000000"/>
              <w:left w:val="single" w:sz="4" w:space="0" w:color="000000"/>
              <w:bottom w:val="single" w:sz="4" w:space="0" w:color="000000"/>
              <w:right w:val="single" w:sz="4" w:space="0" w:color="000000"/>
            </w:tcBorders>
          </w:tcPr>
          <w:p w14:paraId="6311581F"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spacing w:val="-2"/>
                <w:w w:val="115"/>
                <w:sz w:val="18"/>
                <w:szCs w:val="18"/>
              </w:rPr>
              <w:t>Embarazo</w:t>
            </w:r>
          </w:p>
        </w:tc>
        <w:tc>
          <w:tcPr>
            <w:tcW w:w="697" w:type="dxa"/>
            <w:tcBorders>
              <w:top w:val="single" w:sz="4" w:space="0" w:color="000000"/>
              <w:left w:val="single" w:sz="4" w:space="0" w:color="000000"/>
              <w:bottom w:val="single" w:sz="4" w:space="0" w:color="000000"/>
              <w:right w:val="single" w:sz="4" w:space="0" w:color="000000"/>
            </w:tcBorders>
          </w:tcPr>
          <w:p w14:paraId="2B6E819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496E6003"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2A662AFB"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2C8BBB7F"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07A4C89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57AFE6FA" w14:textId="77777777" w:rsidR="00D3344B" w:rsidRDefault="00D3344B">
            <w:pPr>
              <w:pStyle w:val="TableParagraph"/>
              <w:rPr>
                <w:rFonts w:ascii="Arial" w:hAnsi="Arial" w:cs="Arial"/>
                <w:sz w:val="18"/>
                <w:szCs w:val="18"/>
              </w:rPr>
            </w:pPr>
          </w:p>
        </w:tc>
      </w:tr>
      <w:tr w:rsidR="00D3344B" w14:paraId="51A46206"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445389C6"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015</w:t>
            </w:r>
          </w:p>
        </w:tc>
        <w:tc>
          <w:tcPr>
            <w:tcW w:w="3038" w:type="dxa"/>
            <w:tcBorders>
              <w:top w:val="single" w:sz="4" w:space="0" w:color="000000"/>
              <w:left w:val="single" w:sz="4" w:space="0" w:color="000000"/>
              <w:bottom w:val="single" w:sz="4" w:space="0" w:color="000000"/>
              <w:right w:val="single" w:sz="4" w:space="0" w:color="000000"/>
            </w:tcBorders>
          </w:tcPr>
          <w:p w14:paraId="53D94779" w14:textId="77777777" w:rsidR="00D3344B" w:rsidRDefault="00143C25">
            <w:pPr>
              <w:pStyle w:val="TableParagraph"/>
              <w:tabs>
                <w:tab w:val="left" w:pos="2066"/>
              </w:tabs>
              <w:spacing w:line="252" w:lineRule="exact"/>
              <w:ind w:right="743"/>
              <w:rPr>
                <w:rFonts w:ascii="Arial" w:hAnsi="Arial" w:cs="Arial"/>
                <w:sz w:val="18"/>
                <w:szCs w:val="18"/>
              </w:rPr>
            </w:pPr>
            <w:proofErr w:type="spellStart"/>
            <w:r>
              <w:rPr>
                <w:rFonts w:ascii="Arial" w:hAnsi="Arial" w:cs="Arial"/>
                <w:spacing w:val="-2"/>
                <w:w w:val="110"/>
                <w:sz w:val="18"/>
                <w:szCs w:val="18"/>
              </w:rPr>
              <w:t>Angioresonancia</w:t>
            </w:r>
            <w:proofErr w:type="spellEnd"/>
            <w:r>
              <w:rPr>
                <w:rFonts w:ascii="Arial" w:hAnsi="Arial" w:cs="Arial"/>
                <w:sz w:val="18"/>
                <w:szCs w:val="18"/>
              </w:rPr>
              <w:tab/>
            </w:r>
            <w:r>
              <w:rPr>
                <w:rFonts w:ascii="Arial" w:hAnsi="Arial" w:cs="Arial"/>
                <w:spacing w:val="-10"/>
                <w:w w:val="110"/>
                <w:sz w:val="18"/>
                <w:szCs w:val="18"/>
              </w:rPr>
              <w:t xml:space="preserve">de </w:t>
            </w:r>
            <w:r>
              <w:rPr>
                <w:rFonts w:ascii="Arial" w:hAnsi="Arial" w:cs="Arial"/>
                <w:spacing w:val="-2"/>
                <w:w w:val="110"/>
                <w:sz w:val="18"/>
                <w:szCs w:val="18"/>
              </w:rPr>
              <w:t>carótidas</w:t>
            </w:r>
          </w:p>
        </w:tc>
        <w:tc>
          <w:tcPr>
            <w:tcW w:w="697" w:type="dxa"/>
            <w:tcBorders>
              <w:top w:val="single" w:sz="4" w:space="0" w:color="000000"/>
              <w:left w:val="single" w:sz="4" w:space="0" w:color="000000"/>
              <w:bottom w:val="single" w:sz="4" w:space="0" w:color="000000"/>
              <w:right w:val="single" w:sz="4" w:space="0" w:color="000000"/>
            </w:tcBorders>
          </w:tcPr>
          <w:p w14:paraId="5197BEEE"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45847F5C"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0716D088"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114A984C"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75C1597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15935EB1" w14:textId="77777777" w:rsidR="00D3344B" w:rsidRDefault="00D3344B">
            <w:pPr>
              <w:pStyle w:val="TableParagraph"/>
              <w:rPr>
                <w:rFonts w:ascii="Arial" w:hAnsi="Arial" w:cs="Arial"/>
                <w:sz w:val="18"/>
                <w:szCs w:val="18"/>
              </w:rPr>
            </w:pPr>
          </w:p>
        </w:tc>
      </w:tr>
      <w:tr w:rsidR="00D3344B" w14:paraId="0B3942EC"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2A516316"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016</w:t>
            </w:r>
          </w:p>
        </w:tc>
        <w:tc>
          <w:tcPr>
            <w:tcW w:w="3038" w:type="dxa"/>
            <w:tcBorders>
              <w:top w:val="single" w:sz="4" w:space="0" w:color="000000"/>
              <w:left w:val="single" w:sz="4" w:space="0" w:color="000000"/>
              <w:bottom w:val="single" w:sz="4" w:space="0" w:color="000000"/>
              <w:right w:val="single" w:sz="4" w:space="0" w:color="000000"/>
            </w:tcBorders>
          </w:tcPr>
          <w:p w14:paraId="0F5313D8"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Angioresonancia</w:t>
            </w:r>
            <w:proofErr w:type="spellEnd"/>
            <w:r>
              <w:rPr>
                <w:rFonts w:ascii="Arial" w:hAnsi="Arial" w:cs="Arial"/>
                <w:spacing w:val="12"/>
                <w:w w:val="110"/>
                <w:sz w:val="18"/>
                <w:szCs w:val="18"/>
              </w:rPr>
              <w:t xml:space="preserve"> </w:t>
            </w:r>
            <w:r>
              <w:rPr>
                <w:rFonts w:ascii="Arial" w:hAnsi="Arial" w:cs="Arial"/>
                <w:w w:val="110"/>
                <w:sz w:val="18"/>
                <w:szCs w:val="18"/>
              </w:rPr>
              <w:t>de</w:t>
            </w:r>
            <w:r>
              <w:rPr>
                <w:rFonts w:ascii="Arial" w:hAnsi="Arial" w:cs="Arial"/>
                <w:spacing w:val="14"/>
                <w:w w:val="110"/>
                <w:sz w:val="18"/>
                <w:szCs w:val="18"/>
              </w:rPr>
              <w:t xml:space="preserve"> </w:t>
            </w:r>
            <w:r>
              <w:rPr>
                <w:rFonts w:ascii="Arial" w:hAnsi="Arial" w:cs="Arial"/>
                <w:spacing w:val="-2"/>
                <w:w w:val="110"/>
                <w:sz w:val="18"/>
                <w:szCs w:val="18"/>
              </w:rPr>
              <w:t>cráneo</w:t>
            </w:r>
          </w:p>
        </w:tc>
        <w:tc>
          <w:tcPr>
            <w:tcW w:w="697" w:type="dxa"/>
            <w:tcBorders>
              <w:top w:val="single" w:sz="4" w:space="0" w:color="000000"/>
              <w:left w:val="single" w:sz="4" w:space="0" w:color="000000"/>
              <w:bottom w:val="single" w:sz="4" w:space="0" w:color="000000"/>
              <w:right w:val="single" w:sz="4" w:space="0" w:color="000000"/>
            </w:tcBorders>
          </w:tcPr>
          <w:p w14:paraId="012CF893"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3548CE3C"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451C9B6E"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7583A2D0"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5609F19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5686C4D0" w14:textId="77777777" w:rsidR="00D3344B" w:rsidRDefault="00D3344B">
            <w:pPr>
              <w:pStyle w:val="TableParagraph"/>
              <w:rPr>
                <w:rFonts w:ascii="Arial" w:hAnsi="Arial" w:cs="Arial"/>
                <w:sz w:val="18"/>
                <w:szCs w:val="18"/>
              </w:rPr>
            </w:pPr>
          </w:p>
        </w:tc>
      </w:tr>
      <w:tr w:rsidR="00D3344B" w14:paraId="29423741"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EC905AB"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017</w:t>
            </w:r>
          </w:p>
        </w:tc>
        <w:tc>
          <w:tcPr>
            <w:tcW w:w="3038" w:type="dxa"/>
            <w:tcBorders>
              <w:top w:val="single" w:sz="4" w:space="0" w:color="000000"/>
              <w:left w:val="single" w:sz="4" w:space="0" w:color="000000"/>
              <w:bottom w:val="single" w:sz="4" w:space="0" w:color="000000"/>
              <w:right w:val="single" w:sz="4" w:space="0" w:color="000000"/>
            </w:tcBorders>
          </w:tcPr>
          <w:p w14:paraId="70EB31DB" w14:textId="77777777" w:rsidR="00D3344B" w:rsidRDefault="00143C25">
            <w:pPr>
              <w:pStyle w:val="TableParagraph"/>
              <w:spacing w:line="256" w:lineRule="exact"/>
              <w:rPr>
                <w:rFonts w:ascii="Arial" w:hAnsi="Arial" w:cs="Arial"/>
                <w:sz w:val="18"/>
                <w:szCs w:val="18"/>
              </w:rPr>
            </w:pPr>
            <w:proofErr w:type="spellStart"/>
            <w:r>
              <w:rPr>
                <w:rFonts w:ascii="Arial" w:hAnsi="Arial" w:cs="Arial"/>
                <w:w w:val="110"/>
                <w:sz w:val="18"/>
                <w:szCs w:val="18"/>
              </w:rPr>
              <w:t>Angioresonancia</w:t>
            </w:r>
            <w:proofErr w:type="spellEnd"/>
            <w:r>
              <w:rPr>
                <w:rFonts w:ascii="Arial" w:hAnsi="Arial" w:cs="Arial"/>
                <w:spacing w:val="40"/>
                <w:w w:val="110"/>
                <w:sz w:val="18"/>
                <w:szCs w:val="18"/>
              </w:rPr>
              <w:t xml:space="preserve"> </w:t>
            </w:r>
            <w:r>
              <w:rPr>
                <w:rFonts w:ascii="Arial" w:hAnsi="Arial" w:cs="Arial"/>
                <w:w w:val="110"/>
                <w:sz w:val="18"/>
                <w:szCs w:val="18"/>
              </w:rPr>
              <w:t>de</w:t>
            </w:r>
            <w:r>
              <w:rPr>
                <w:rFonts w:ascii="Arial" w:hAnsi="Arial" w:cs="Arial"/>
                <w:spacing w:val="40"/>
                <w:w w:val="110"/>
                <w:sz w:val="18"/>
                <w:szCs w:val="18"/>
              </w:rPr>
              <w:t xml:space="preserve"> </w:t>
            </w:r>
            <w:r>
              <w:rPr>
                <w:rFonts w:ascii="Arial" w:hAnsi="Arial" w:cs="Arial"/>
                <w:w w:val="110"/>
                <w:sz w:val="18"/>
                <w:szCs w:val="18"/>
              </w:rPr>
              <w:t>cuello</w:t>
            </w:r>
            <w:r>
              <w:rPr>
                <w:rFonts w:ascii="Arial" w:hAnsi="Arial" w:cs="Arial"/>
                <w:spacing w:val="40"/>
                <w:w w:val="110"/>
                <w:sz w:val="18"/>
                <w:szCs w:val="18"/>
              </w:rPr>
              <w:t xml:space="preserve"> </w:t>
            </w:r>
            <w:r>
              <w:rPr>
                <w:rFonts w:ascii="Arial" w:hAnsi="Arial" w:cs="Arial"/>
                <w:w w:val="110"/>
                <w:sz w:val="18"/>
                <w:szCs w:val="18"/>
              </w:rPr>
              <w:t xml:space="preserve">y </w:t>
            </w:r>
            <w:r>
              <w:rPr>
                <w:rFonts w:ascii="Arial" w:hAnsi="Arial" w:cs="Arial"/>
                <w:spacing w:val="-2"/>
                <w:w w:val="110"/>
                <w:sz w:val="18"/>
                <w:szCs w:val="18"/>
              </w:rPr>
              <w:t>cráneo</w:t>
            </w:r>
          </w:p>
        </w:tc>
        <w:tc>
          <w:tcPr>
            <w:tcW w:w="697" w:type="dxa"/>
            <w:tcBorders>
              <w:top w:val="single" w:sz="4" w:space="0" w:color="000000"/>
              <w:left w:val="single" w:sz="4" w:space="0" w:color="000000"/>
              <w:bottom w:val="single" w:sz="4" w:space="0" w:color="000000"/>
              <w:right w:val="single" w:sz="4" w:space="0" w:color="000000"/>
            </w:tcBorders>
          </w:tcPr>
          <w:p w14:paraId="09E49C5E"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93.00</w:t>
            </w:r>
          </w:p>
        </w:tc>
        <w:tc>
          <w:tcPr>
            <w:tcW w:w="695" w:type="dxa"/>
            <w:tcBorders>
              <w:top w:val="single" w:sz="4" w:space="0" w:color="000000"/>
              <w:left w:val="single" w:sz="4" w:space="0" w:color="000000"/>
              <w:bottom w:val="single" w:sz="4" w:space="0" w:color="000000"/>
              <w:right w:val="single" w:sz="4" w:space="0" w:color="000000"/>
            </w:tcBorders>
          </w:tcPr>
          <w:p w14:paraId="224F74BA" w14:textId="77777777" w:rsidR="00D3344B" w:rsidRDefault="00143C25">
            <w:pPr>
              <w:pStyle w:val="TableParagraph"/>
              <w:rPr>
                <w:rFonts w:ascii="Arial" w:hAnsi="Arial" w:cs="Arial"/>
                <w:sz w:val="18"/>
                <w:szCs w:val="18"/>
              </w:rPr>
            </w:pPr>
            <w:r>
              <w:rPr>
                <w:rFonts w:ascii="Arial" w:hAnsi="Arial" w:cs="Arial"/>
                <w:spacing w:val="-4"/>
                <w:w w:val="115"/>
                <w:sz w:val="18"/>
                <w:szCs w:val="18"/>
              </w:rPr>
              <w:t>85.25</w:t>
            </w:r>
          </w:p>
        </w:tc>
        <w:tc>
          <w:tcPr>
            <w:tcW w:w="699" w:type="dxa"/>
            <w:tcBorders>
              <w:top w:val="single" w:sz="4" w:space="0" w:color="000000"/>
              <w:left w:val="single" w:sz="4" w:space="0" w:color="000000"/>
              <w:bottom w:val="single" w:sz="4" w:space="0" w:color="000000"/>
              <w:right w:val="single" w:sz="4" w:space="0" w:color="000000"/>
            </w:tcBorders>
          </w:tcPr>
          <w:p w14:paraId="5D3DCE59" w14:textId="77777777" w:rsidR="00D3344B" w:rsidRDefault="00143C25">
            <w:pPr>
              <w:pStyle w:val="TableParagraph"/>
              <w:rPr>
                <w:rFonts w:ascii="Arial" w:hAnsi="Arial" w:cs="Arial"/>
                <w:sz w:val="18"/>
                <w:szCs w:val="18"/>
              </w:rPr>
            </w:pPr>
            <w:r>
              <w:rPr>
                <w:rFonts w:ascii="Arial" w:hAnsi="Arial" w:cs="Arial"/>
                <w:spacing w:val="-4"/>
                <w:w w:val="115"/>
                <w:sz w:val="18"/>
                <w:szCs w:val="18"/>
              </w:rPr>
              <w:t>77.50</w:t>
            </w:r>
          </w:p>
        </w:tc>
        <w:tc>
          <w:tcPr>
            <w:tcW w:w="699" w:type="dxa"/>
            <w:tcBorders>
              <w:top w:val="single" w:sz="4" w:space="0" w:color="000000"/>
              <w:left w:val="single" w:sz="4" w:space="0" w:color="000000"/>
              <w:bottom w:val="single" w:sz="4" w:space="0" w:color="000000"/>
              <w:right w:val="single" w:sz="4" w:space="0" w:color="000000"/>
            </w:tcBorders>
          </w:tcPr>
          <w:p w14:paraId="272210D0"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69.75</w:t>
            </w:r>
          </w:p>
        </w:tc>
        <w:tc>
          <w:tcPr>
            <w:tcW w:w="696" w:type="dxa"/>
            <w:tcBorders>
              <w:top w:val="single" w:sz="4" w:space="0" w:color="000000"/>
              <w:left w:val="single" w:sz="4" w:space="0" w:color="000000"/>
              <w:bottom w:val="single" w:sz="4" w:space="0" w:color="000000"/>
              <w:right w:val="single" w:sz="4" w:space="0" w:color="000000"/>
            </w:tcBorders>
          </w:tcPr>
          <w:p w14:paraId="60EBC54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62.00</w:t>
            </w:r>
          </w:p>
        </w:tc>
        <w:tc>
          <w:tcPr>
            <w:tcW w:w="527" w:type="dxa"/>
            <w:tcBorders>
              <w:top w:val="single" w:sz="4" w:space="0" w:color="000000"/>
              <w:left w:val="single" w:sz="4" w:space="0" w:color="000000"/>
              <w:bottom w:val="single" w:sz="4" w:space="0" w:color="000000"/>
              <w:right w:val="single" w:sz="4" w:space="0" w:color="000000"/>
            </w:tcBorders>
          </w:tcPr>
          <w:p w14:paraId="4FFC9DE5" w14:textId="77777777" w:rsidR="00D3344B" w:rsidRDefault="00D3344B">
            <w:pPr>
              <w:pStyle w:val="TableParagraph"/>
              <w:rPr>
                <w:rFonts w:ascii="Arial" w:hAnsi="Arial" w:cs="Arial"/>
                <w:sz w:val="18"/>
                <w:szCs w:val="18"/>
              </w:rPr>
            </w:pPr>
          </w:p>
        </w:tc>
      </w:tr>
      <w:tr w:rsidR="00D3344B" w14:paraId="528E2D62" w14:textId="77777777">
        <w:trPr>
          <w:trHeight w:val="500"/>
        </w:trPr>
        <w:tc>
          <w:tcPr>
            <w:tcW w:w="1776" w:type="dxa"/>
            <w:tcBorders>
              <w:top w:val="single" w:sz="4" w:space="0" w:color="000000"/>
              <w:left w:val="single" w:sz="4" w:space="0" w:color="000000"/>
              <w:bottom w:val="single" w:sz="4" w:space="0" w:color="000000"/>
              <w:right w:val="single" w:sz="4" w:space="0" w:color="000000"/>
            </w:tcBorders>
          </w:tcPr>
          <w:p w14:paraId="6C4E8304" w14:textId="77777777" w:rsidR="00D3344B" w:rsidRDefault="00143C25">
            <w:pPr>
              <w:pStyle w:val="TableParagraph"/>
              <w:spacing w:line="246" w:lineRule="exact"/>
              <w:rPr>
                <w:rFonts w:ascii="Arial" w:hAnsi="Arial" w:cs="Arial"/>
                <w:sz w:val="18"/>
                <w:szCs w:val="18"/>
              </w:rPr>
            </w:pPr>
            <w:r>
              <w:rPr>
                <w:rFonts w:ascii="Arial" w:hAnsi="Arial" w:cs="Arial"/>
                <w:sz w:val="18"/>
                <w:szCs w:val="18"/>
              </w:rPr>
              <w:t>02-RMN-</w:t>
            </w:r>
            <w:r>
              <w:rPr>
                <w:rFonts w:ascii="Arial" w:hAnsi="Arial" w:cs="Arial"/>
                <w:spacing w:val="-5"/>
                <w:sz w:val="18"/>
                <w:szCs w:val="18"/>
              </w:rPr>
              <w:t>018</w:t>
            </w:r>
          </w:p>
        </w:tc>
        <w:tc>
          <w:tcPr>
            <w:tcW w:w="3038" w:type="dxa"/>
            <w:tcBorders>
              <w:top w:val="single" w:sz="4" w:space="0" w:color="000000"/>
              <w:left w:val="single" w:sz="4" w:space="0" w:color="000000"/>
              <w:bottom w:val="single" w:sz="4" w:space="0" w:color="000000"/>
              <w:right w:val="single" w:sz="4" w:space="0" w:color="000000"/>
            </w:tcBorders>
          </w:tcPr>
          <w:p w14:paraId="1B051875" w14:textId="77777777" w:rsidR="00D3344B" w:rsidRDefault="00143C25">
            <w:pPr>
              <w:pStyle w:val="TableParagraph"/>
              <w:tabs>
                <w:tab w:val="left" w:pos="1980"/>
                <w:tab w:val="left" w:pos="2549"/>
              </w:tabs>
              <w:spacing w:line="246" w:lineRule="exact"/>
              <w:ind w:right="-15"/>
              <w:rPr>
                <w:rFonts w:ascii="Arial" w:hAnsi="Arial" w:cs="Arial"/>
                <w:sz w:val="18"/>
                <w:szCs w:val="18"/>
              </w:rPr>
            </w:pPr>
            <w:proofErr w:type="spellStart"/>
            <w:r>
              <w:rPr>
                <w:rFonts w:ascii="Arial" w:hAnsi="Arial" w:cs="Arial"/>
                <w:spacing w:val="-2"/>
                <w:w w:val="110"/>
                <w:sz w:val="18"/>
                <w:szCs w:val="18"/>
              </w:rPr>
              <w:t>Angioresonancia</w:t>
            </w:r>
            <w:proofErr w:type="spellEnd"/>
            <w:r>
              <w:rPr>
                <w:rFonts w:ascii="Arial" w:hAnsi="Arial" w:cs="Arial"/>
                <w:sz w:val="18"/>
                <w:szCs w:val="18"/>
              </w:rPr>
              <w:tab/>
            </w:r>
            <w:r>
              <w:rPr>
                <w:rFonts w:ascii="Arial" w:hAnsi="Arial" w:cs="Arial"/>
                <w:spacing w:val="-5"/>
                <w:w w:val="110"/>
                <w:sz w:val="18"/>
                <w:szCs w:val="18"/>
              </w:rPr>
              <w:t>de</w:t>
            </w:r>
            <w:r>
              <w:rPr>
                <w:rFonts w:ascii="Arial" w:hAnsi="Arial" w:cs="Arial"/>
                <w:sz w:val="18"/>
                <w:szCs w:val="18"/>
              </w:rPr>
              <w:tab/>
            </w:r>
            <w:r>
              <w:rPr>
                <w:rFonts w:ascii="Arial" w:hAnsi="Arial" w:cs="Arial"/>
                <w:spacing w:val="-2"/>
                <w:w w:val="110"/>
                <w:sz w:val="18"/>
                <w:szCs w:val="18"/>
              </w:rPr>
              <w:t>aorta</w:t>
            </w:r>
          </w:p>
          <w:p w14:paraId="2D87F87A" w14:textId="77777777" w:rsidR="00D3344B" w:rsidRDefault="00143C25">
            <w:pPr>
              <w:pStyle w:val="TableParagraph"/>
              <w:spacing w:before="1" w:line="233" w:lineRule="exact"/>
              <w:rPr>
                <w:rFonts w:ascii="Arial" w:hAnsi="Arial" w:cs="Arial"/>
                <w:sz w:val="18"/>
                <w:szCs w:val="18"/>
              </w:rPr>
            </w:pPr>
            <w:r>
              <w:rPr>
                <w:rFonts w:ascii="Arial" w:hAnsi="Arial" w:cs="Arial"/>
                <w:spacing w:val="-2"/>
                <w:w w:val="110"/>
                <w:sz w:val="18"/>
                <w:szCs w:val="18"/>
              </w:rPr>
              <w:t>torácica</w:t>
            </w:r>
          </w:p>
        </w:tc>
        <w:tc>
          <w:tcPr>
            <w:tcW w:w="697" w:type="dxa"/>
            <w:tcBorders>
              <w:top w:val="single" w:sz="4" w:space="0" w:color="000000"/>
              <w:left w:val="single" w:sz="4" w:space="0" w:color="000000"/>
              <w:bottom w:val="single" w:sz="4" w:space="0" w:color="000000"/>
              <w:right w:val="single" w:sz="4" w:space="0" w:color="000000"/>
            </w:tcBorders>
          </w:tcPr>
          <w:p w14:paraId="54542E18" w14:textId="77777777" w:rsidR="00D3344B" w:rsidRDefault="00143C25">
            <w:pPr>
              <w:pStyle w:val="TableParagraph"/>
              <w:spacing w:line="246" w:lineRule="exact"/>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3C793D63" w14:textId="77777777" w:rsidR="00D3344B" w:rsidRDefault="00143C25">
            <w:pPr>
              <w:pStyle w:val="TableParagraph"/>
              <w:spacing w:line="246" w:lineRule="exact"/>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1234E3AC" w14:textId="77777777" w:rsidR="00D3344B" w:rsidRDefault="00143C25">
            <w:pPr>
              <w:pStyle w:val="TableParagraph"/>
              <w:spacing w:line="246" w:lineRule="exact"/>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120EF5C2" w14:textId="77777777" w:rsidR="00D3344B" w:rsidRDefault="00143C25">
            <w:pPr>
              <w:pStyle w:val="TableParagraph"/>
              <w:spacing w:line="246" w:lineRule="exact"/>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62F6D6C3" w14:textId="77777777" w:rsidR="00D3344B" w:rsidRDefault="00143C25">
            <w:pPr>
              <w:pStyle w:val="TableParagraph"/>
              <w:spacing w:line="246" w:lineRule="exact"/>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3299D507" w14:textId="77777777" w:rsidR="00D3344B" w:rsidRDefault="00D3344B">
            <w:pPr>
              <w:pStyle w:val="TableParagraph"/>
              <w:rPr>
                <w:rFonts w:ascii="Arial" w:hAnsi="Arial" w:cs="Arial"/>
                <w:sz w:val="18"/>
                <w:szCs w:val="18"/>
              </w:rPr>
            </w:pPr>
          </w:p>
        </w:tc>
      </w:tr>
      <w:tr w:rsidR="00D3344B" w14:paraId="49C1368F"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336FD927"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019</w:t>
            </w:r>
          </w:p>
        </w:tc>
        <w:tc>
          <w:tcPr>
            <w:tcW w:w="3038" w:type="dxa"/>
            <w:tcBorders>
              <w:top w:val="single" w:sz="4" w:space="0" w:color="000000"/>
              <w:left w:val="single" w:sz="4" w:space="0" w:color="000000"/>
              <w:bottom w:val="single" w:sz="4" w:space="0" w:color="000000"/>
              <w:right w:val="single" w:sz="4" w:space="0" w:color="000000"/>
            </w:tcBorders>
          </w:tcPr>
          <w:p w14:paraId="64EA6AC2" w14:textId="77777777" w:rsidR="00D3344B" w:rsidRDefault="00143C25">
            <w:pPr>
              <w:pStyle w:val="TableParagraph"/>
              <w:spacing w:line="254" w:lineRule="exact"/>
              <w:rPr>
                <w:rFonts w:ascii="Arial" w:hAnsi="Arial" w:cs="Arial"/>
                <w:sz w:val="18"/>
                <w:szCs w:val="18"/>
              </w:rPr>
            </w:pPr>
            <w:proofErr w:type="spellStart"/>
            <w:r>
              <w:rPr>
                <w:rFonts w:ascii="Arial" w:hAnsi="Arial" w:cs="Arial"/>
                <w:w w:val="110"/>
                <w:sz w:val="18"/>
                <w:szCs w:val="18"/>
              </w:rPr>
              <w:t>Angioresonancia</w:t>
            </w:r>
            <w:proofErr w:type="spellEnd"/>
            <w:r>
              <w:rPr>
                <w:rFonts w:ascii="Arial" w:hAnsi="Arial" w:cs="Arial"/>
                <w:spacing w:val="80"/>
                <w:w w:val="110"/>
                <w:sz w:val="18"/>
                <w:szCs w:val="18"/>
              </w:rPr>
              <w:t xml:space="preserve"> </w:t>
            </w:r>
            <w:r>
              <w:rPr>
                <w:rFonts w:ascii="Arial" w:hAnsi="Arial" w:cs="Arial"/>
                <w:w w:val="110"/>
                <w:sz w:val="18"/>
                <w:szCs w:val="18"/>
              </w:rPr>
              <w:t>de</w:t>
            </w:r>
            <w:r>
              <w:rPr>
                <w:rFonts w:ascii="Arial" w:hAnsi="Arial" w:cs="Arial"/>
                <w:spacing w:val="80"/>
                <w:w w:val="110"/>
                <w:sz w:val="18"/>
                <w:szCs w:val="18"/>
              </w:rPr>
              <w:t xml:space="preserve"> </w:t>
            </w:r>
            <w:r>
              <w:rPr>
                <w:rFonts w:ascii="Arial" w:hAnsi="Arial" w:cs="Arial"/>
                <w:w w:val="110"/>
                <w:sz w:val="18"/>
                <w:szCs w:val="18"/>
              </w:rPr>
              <w:t xml:space="preserve">aorta </w:t>
            </w:r>
            <w:r>
              <w:rPr>
                <w:rFonts w:ascii="Arial" w:hAnsi="Arial" w:cs="Arial"/>
                <w:spacing w:val="-2"/>
                <w:w w:val="110"/>
                <w:sz w:val="18"/>
                <w:szCs w:val="18"/>
              </w:rPr>
              <w:t>abdominal</w:t>
            </w:r>
          </w:p>
        </w:tc>
        <w:tc>
          <w:tcPr>
            <w:tcW w:w="697" w:type="dxa"/>
            <w:tcBorders>
              <w:top w:val="single" w:sz="4" w:space="0" w:color="000000"/>
              <w:left w:val="single" w:sz="4" w:space="0" w:color="000000"/>
              <w:bottom w:val="single" w:sz="4" w:space="0" w:color="000000"/>
              <w:right w:val="single" w:sz="4" w:space="0" w:color="000000"/>
            </w:tcBorders>
          </w:tcPr>
          <w:p w14:paraId="100E7A28"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167116AB"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0B7F5233"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2E812B38"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2C63E22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0EE6DD37" w14:textId="77777777" w:rsidR="00D3344B" w:rsidRDefault="00D3344B">
            <w:pPr>
              <w:pStyle w:val="TableParagraph"/>
              <w:rPr>
                <w:rFonts w:ascii="Arial" w:hAnsi="Arial" w:cs="Arial"/>
                <w:sz w:val="18"/>
                <w:szCs w:val="18"/>
              </w:rPr>
            </w:pPr>
          </w:p>
        </w:tc>
      </w:tr>
      <w:tr w:rsidR="00D3344B" w14:paraId="696B3F81"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1456F2E7" w14:textId="77777777" w:rsidR="00D3344B" w:rsidRDefault="00143C25">
            <w:pPr>
              <w:pStyle w:val="TableParagraph"/>
              <w:spacing w:line="249" w:lineRule="exact"/>
              <w:rPr>
                <w:rFonts w:ascii="Arial" w:hAnsi="Arial" w:cs="Arial"/>
                <w:sz w:val="18"/>
                <w:szCs w:val="18"/>
              </w:rPr>
            </w:pPr>
            <w:r>
              <w:rPr>
                <w:rFonts w:ascii="Arial" w:hAnsi="Arial" w:cs="Arial"/>
                <w:sz w:val="18"/>
                <w:szCs w:val="18"/>
              </w:rPr>
              <w:t>02-RMN-</w:t>
            </w:r>
            <w:r>
              <w:rPr>
                <w:rFonts w:ascii="Arial" w:hAnsi="Arial" w:cs="Arial"/>
                <w:spacing w:val="-5"/>
                <w:sz w:val="18"/>
                <w:szCs w:val="18"/>
              </w:rPr>
              <w:t>020</w:t>
            </w:r>
          </w:p>
        </w:tc>
        <w:tc>
          <w:tcPr>
            <w:tcW w:w="3038" w:type="dxa"/>
            <w:tcBorders>
              <w:top w:val="single" w:sz="4" w:space="0" w:color="000000"/>
              <w:left w:val="single" w:sz="4" w:space="0" w:color="000000"/>
              <w:bottom w:val="single" w:sz="4" w:space="0" w:color="000000"/>
              <w:right w:val="single" w:sz="4" w:space="0" w:color="000000"/>
            </w:tcBorders>
          </w:tcPr>
          <w:p w14:paraId="66B1516C" w14:textId="77777777" w:rsidR="00D3344B" w:rsidRDefault="00143C25">
            <w:pPr>
              <w:pStyle w:val="TableParagraph"/>
              <w:tabs>
                <w:tab w:val="left" w:pos="2066"/>
              </w:tabs>
              <w:spacing w:line="249" w:lineRule="exact"/>
              <w:rPr>
                <w:rFonts w:ascii="Arial" w:hAnsi="Arial" w:cs="Arial"/>
                <w:sz w:val="18"/>
                <w:szCs w:val="18"/>
              </w:rPr>
            </w:pPr>
            <w:proofErr w:type="spellStart"/>
            <w:r>
              <w:rPr>
                <w:rFonts w:ascii="Arial" w:hAnsi="Arial" w:cs="Arial"/>
                <w:spacing w:val="-2"/>
                <w:w w:val="110"/>
                <w:sz w:val="18"/>
                <w:szCs w:val="18"/>
              </w:rPr>
              <w:t>Angioresonancia</w:t>
            </w:r>
            <w:proofErr w:type="spellEnd"/>
            <w:r>
              <w:rPr>
                <w:rFonts w:ascii="Arial" w:hAnsi="Arial" w:cs="Arial"/>
                <w:sz w:val="18"/>
                <w:szCs w:val="18"/>
              </w:rPr>
              <w:tab/>
            </w:r>
            <w:r>
              <w:rPr>
                <w:rFonts w:ascii="Arial" w:hAnsi="Arial" w:cs="Arial"/>
                <w:spacing w:val="-5"/>
                <w:w w:val="110"/>
                <w:sz w:val="18"/>
                <w:szCs w:val="18"/>
              </w:rPr>
              <w:t>de</w:t>
            </w:r>
          </w:p>
          <w:p w14:paraId="3B8D7D58" w14:textId="77777777" w:rsidR="00D3344B" w:rsidRDefault="00143C25">
            <w:pPr>
              <w:pStyle w:val="TableParagraph"/>
              <w:spacing w:before="1" w:line="233" w:lineRule="exact"/>
              <w:rPr>
                <w:rFonts w:ascii="Arial" w:hAnsi="Arial" w:cs="Arial"/>
                <w:sz w:val="18"/>
                <w:szCs w:val="18"/>
              </w:rPr>
            </w:pPr>
            <w:r>
              <w:rPr>
                <w:rFonts w:ascii="Arial" w:hAnsi="Arial" w:cs="Arial"/>
                <w:w w:val="105"/>
                <w:sz w:val="18"/>
                <w:szCs w:val="18"/>
              </w:rPr>
              <w:t>miembros</w:t>
            </w:r>
            <w:r>
              <w:rPr>
                <w:rFonts w:ascii="Arial" w:hAnsi="Arial" w:cs="Arial"/>
                <w:spacing w:val="30"/>
                <w:w w:val="110"/>
                <w:sz w:val="18"/>
                <w:szCs w:val="18"/>
              </w:rPr>
              <w:t xml:space="preserve"> </w:t>
            </w:r>
            <w:r>
              <w:rPr>
                <w:rFonts w:ascii="Arial" w:hAnsi="Arial" w:cs="Arial"/>
                <w:spacing w:val="-2"/>
                <w:w w:val="110"/>
                <w:sz w:val="18"/>
                <w:szCs w:val="18"/>
              </w:rPr>
              <w:t>inferiores</w:t>
            </w:r>
          </w:p>
        </w:tc>
        <w:tc>
          <w:tcPr>
            <w:tcW w:w="697" w:type="dxa"/>
            <w:tcBorders>
              <w:top w:val="single" w:sz="4" w:space="0" w:color="000000"/>
              <w:left w:val="single" w:sz="4" w:space="0" w:color="000000"/>
              <w:bottom w:val="single" w:sz="4" w:space="0" w:color="000000"/>
              <w:right w:val="single" w:sz="4" w:space="0" w:color="000000"/>
            </w:tcBorders>
          </w:tcPr>
          <w:p w14:paraId="3E0E5C08" w14:textId="77777777" w:rsidR="00D3344B" w:rsidRDefault="00143C25">
            <w:pPr>
              <w:pStyle w:val="TableParagraph"/>
              <w:spacing w:line="249" w:lineRule="exact"/>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47ED6830"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79C2C5A3"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4024F401" w14:textId="77777777" w:rsidR="00D3344B" w:rsidRDefault="00143C25">
            <w:pPr>
              <w:pStyle w:val="TableParagraph"/>
              <w:spacing w:line="249" w:lineRule="exact"/>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64B19284"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0B4ECF16" w14:textId="77777777" w:rsidR="00D3344B" w:rsidRDefault="00D3344B">
            <w:pPr>
              <w:pStyle w:val="TableParagraph"/>
              <w:rPr>
                <w:rFonts w:ascii="Arial" w:hAnsi="Arial" w:cs="Arial"/>
                <w:sz w:val="18"/>
                <w:szCs w:val="18"/>
              </w:rPr>
            </w:pPr>
          </w:p>
        </w:tc>
      </w:tr>
      <w:tr w:rsidR="00D3344B" w14:paraId="69FA33FD"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527020C3"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021</w:t>
            </w:r>
          </w:p>
        </w:tc>
        <w:tc>
          <w:tcPr>
            <w:tcW w:w="3038" w:type="dxa"/>
            <w:tcBorders>
              <w:top w:val="single" w:sz="4" w:space="0" w:color="000000"/>
              <w:left w:val="single" w:sz="4" w:space="0" w:color="000000"/>
              <w:bottom w:val="single" w:sz="4" w:space="0" w:color="000000"/>
              <w:right w:val="single" w:sz="4" w:space="0" w:color="000000"/>
            </w:tcBorders>
          </w:tcPr>
          <w:p w14:paraId="32A5BE12"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Angioresonancia</w:t>
            </w:r>
            <w:proofErr w:type="spellEnd"/>
            <w:r>
              <w:rPr>
                <w:rFonts w:ascii="Arial" w:hAnsi="Arial" w:cs="Arial"/>
                <w:spacing w:val="16"/>
                <w:w w:val="110"/>
                <w:sz w:val="18"/>
                <w:szCs w:val="18"/>
              </w:rPr>
              <w:t xml:space="preserve"> </w:t>
            </w:r>
            <w:r>
              <w:rPr>
                <w:rFonts w:ascii="Arial" w:hAnsi="Arial" w:cs="Arial"/>
                <w:spacing w:val="-2"/>
                <w:w w:val="110"/>
                <w:sz w:val="18"/>
                <w:szCs w:val="18"/>
              </w:rPr>
              <w:t>pulmonar</w:t>
            </w:r>
          </w:p>
        </w:tc>
        <w:tc>
          <w:tcPr>
            <w:tcW w:w="697" w:type="dxa"/>
            <w:tcBorders>
              <w:top w:val="single" w:sz="4" w:space="0" w:color="000000"/>
              <w:left w:val="single" w:sz="4" w:space="0" w:color="000000"/>
              <w:bottom w:val="single" w:sz="4" w:space="0" w:color="000000"/>
              <w:right w:val="single" w:sz="4" w:space="0" w:color="000000"/>
            </w:tcBorders>
          </w:tcPr>
          <w:p w14:paraId="1B797B3A" w14:textId="77777777" w:rsidR="00D3344B" w:rsidRDefault="00143C25">
            <w:pPr>
              <w:pStyle w:val="TableParagraph"/>
              <w:ind w:right="120"/>
              <w:jc w:val="center"/>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1E792CE0"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29BB47D2"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10BF10D8" w14:textId="77777777" w:rsidR="00D3344B" w:rsidRDefault="00143C25">
            <w:pPr>
              <w:pStyle w:val="TableParagraph"/>
              <w:ind w:right="116"/>
              <w:jc w:val="center"/>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0CF5E1D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4FE6F2B7" w14:textId="77777777" w:rsidR="00D3344B" w:rsidRDefault="00D3344B">
            <w:pPr>
              <w:pStyle w:val="TableParagraph"/>
              <w:rPr>
                <w:rFonts w:ascii="Arial" w:hAnsi="Arial" w:cs="Arial"/>
                <w:sz w:val="18"/>
                <w:szCs w:val="18"/>
              </w:rPr>
            </w:pPr>
          </w:p>
        </w:tc>
      </w:tr>
      <w:tr w:rsidR="00D3344B" w14:paraId="6D5D1036"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EA96520" w14:textId="77777777" w:rsidR="00D3344B" w:rsidRDefault="00143C25">
            <w:pPr>
              <w:pStyle w:val="TableParagraph"/>
              <w:spacing w:before="1"/>
              <w:rPr>
                <w:rFonts w:ascii="Arial" w:hAnsi="Arial" w:cs="Arial"/>
                <w:sz w:val="18"/>
                <w:szCs w:val="18"/>
              </w:rPr>
            </w:pPr>
            <w:r>
              <w:rPr>
                <w:rFonts w:ascii="Arial" w:hAnsi="Arial" w:cs="Arial"/>
                <w:sz w:val="18"/>
                <w:szCs w:val="18"/>
              </w:rPr>
              <w:t>02-RMN-</w:t>
            </w:r>
            <w:r>
              <w:rPr>
                <w:rFonts w:ascii="Arial" w:hAnsi="Arial" w:cs="Arial"/>
                <w:spacing w:val="-5"/>
                <w:sz w:val="18"/>
                <w:szCs w:val="18"/>
              </w:rPr>
              <w:t>022</w:t>
            </w:r>
          </w:p>
        </w:tc>
        <w:tc>
          <w:tcPr>
            <w:tcW w:w="3038" w:type="dxa"/>
            <w:tcBorders>
              <w:top w:val="single" w:sz="4" w:space="0" w:color="000000"/>
              <w:left w:val="single" w:sz="4" w:space="0" w:color="000000"/>
              <w:bottom w:val="single" w:sz="4" w:space="0" w:color="000000"/>
              <w:right w:val="single" w:sz="4" w:space="0" w:color="000000"/>
            </w:tcBorders>
          </w:tcPr>
          <w:p w14:paraId="03994BE7"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spacing w:val="-2"/>
                <w:w w:val="110"/>
                <w:sz w:val="18"/>
                <w:szCs w:val="18"/>
              </w:rPr>
              <w:t>Abdomen</w:t>
            </w:r>
          </w:p>
        </w:tc>
        <w:tc>
          <w:tcPr>
            <w:tcW w:w="697" w:type="dxa"/>
            <w:tcBorders>
              <w:top w:val="single" w:sz="4" w:space="0" w:color="000000"/>
              <w:left w:val="single" w:sz="4" w:space="0" w:color="000000"/>
              <w:bottom w:val="single" w:sz="4" w:space="0" w:color="000000"/>
              <w:right w:val="single" w:sz="4" w:space="0" w:color="000000"/>
            </w:tcBorders>
          </w:tcPr>
          <w:p w14:paraId="2B019724"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770FF8B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3AC5B756"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4E1727E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9626B3C"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7FB8BDFA" w14:textId="77777777" w:rsidR="00D3344B" w:rsidRDefault="00D3344B">
            <w:pPr>
              <w:pStyle w:val="TableParagraph"/>
              <w:rPr>
                <w:rFonts w:ascii="Arial" w:hAnsi="Arial" w:cs="Arial"/>
                <w:sz w:val="18"/>
                <w:szCs w:val="18"/>
              </w:rPr>
            </w:pPr>
          </w:p>
        </w:tc>
      </w:tr>
      <w:tr w:rsidR="00D3344B" w14:paraId="5742AC4A"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643D324" w14:textId="77777777" w:rsidR="00D3344B" w:rsidRDefault="00143C25">
            <w:pPr>
              <w:pStyle w:val="TableParagraph"/>
              <w:spacing w:before="1"/>
              <w:rPr>
                <w:rFonts w:ascii="Arial" w:hAnsi="Arial" w:cs="Arial"/>
                <w:sz w:val="18"/>
                <w:szCs w:val="18"/>
              </w:rPr>
            </w:pPr>
            <w:r>
              <w:rPr>
                <w:rFonts w:ascii="Arial" w:hAnsi="Arial" w:cs="Arial"/>
                <w:sz w:val="18"/>
                <w:szCs w:val="18"/>
              </w:rPr>
              <w:t>02-RMN-022-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1307D8BC"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Abdomen contrastada</w:t>
            </w:r>
          </w:p>
        </w:tc>
        <w:tc>
          <w:tcPr>
            <w:tcW w:w="697" w:type="dxa"/>
            <w:tcBorders>
              <w:top w:val="single" w:sz="4" w:space="0" w:color="000000"/>
              <w:left w:val="single" w:sz="4" w:space="0" w:color="000000"/>
              <w:bottom w:val="single" w:sz="4" w:space="0" w:color="000000"/>
              <w:right w:val="single" w:sz="4" w:space="0" w:color="000000"/>
            </w:tcBorders>
          </w:tcPr>
          <w:p w14:paraId="2F1250C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6CB2C4A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212E2D8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03947F9D"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72F0640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0B3A5104" w14:textId="77777777" w:rsidR="00D3344B" w:rsidRDefault="00D3344B">
            <w:pPr>
              <w:pStyle w:val="TableParagraph"/>
              <w:rPr>
                <w:rFonts w:ascii="Arial" w:hAnsi="Arial" w:cs="Arial"/>
                <w:sz w:val="18"/>
                <w:szCs w:val="18"/>
              </w:rPr>
            </w:pPr>
          </w:p>
        </w:tc>
      </w:tr>
      <w:tr w:rsidR="00D3344B" w14:paraId="45D57941"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33D888AC" w14:textId="77777777" w:rsidR="00D3344B" w:rsidRDefault="00143C25">
            <w:pPr>
              <w:pStyle w:val="TableParagraph"/>
              <w:spacing w:before="1"/>
              <w:rPr>
                <w:rFonts w:ascii="Arial" w:hAnsi="Arial" w:cs="Arial"/>
                <w:sz w:val="18"/>
                <w:szCs w:val="18"/>
              </w:rPr>
            </w:pPr>
            <w:r>
              <w:rPr>
                <w:rFonts w:ascii="Arial" w:hAnsi="Arial" w:cs="Arial"/>
                <w:sz w:val="18"/>
                <w:szCs w:val="18"/>
              </w:rPr>
              <w:t>02-RMN-</w:t>
            </w:r>
            <w:r>
              <w:rPr>
                <w:rFonts w:ascii="Arial" w:hAnsi="Arial" w:cs="Arial"/>
                <w:spacing w:val="-5"/>
                <w:sz w:val="18"/>
                <w:szCs w:val="18"/>
              </w:rPr>
              <w:t>023</w:t>
            </w:r>
          </w:p>
        </w:tc>
        <w:tc>
          <w:tcPr>
            <w:tcW w:w="3038" w:type="dxa"/>
            <w:tcBorders>
              <w:top w:val="single" w:sz="4" w:space="0" w:color="000000"/>
              <w:left w:val="single" w:sz="4" w:space="0" w:color="000000"/>
              <w:bottom w:val="single" w:sz="4" w:space="0" w:color="000000"/>
              <w:right w:val="single" w:sz="4" w:space="0" w:color="000000"/>
            </w:tcBorders>
          </w:tcPr>
          <w:p w14:paraId="14FFF6A5" w14:textId="77777777" w:rsidR="00D3344B" w:rsidRDefault="00143C25">
            <w:pPr>
              <w:pStyle w:val="TableParagraph"/>
              <w:spacing w:before="1"/>
              <w:rPr>
                <w:rFonts w:ascii="Arial" w:hAnsi="Arial" w:cs="Arial"/>
                <w:sz w:val="18"/>
                <w:szCs w:val="18"/>
              </w:rPr>
            </w:pPr>
            <w:proofErr w:type="spellStart"/>
            <w:r>
              <w:rPr>
                <w:rFonts w:ascii="Arial" w:hAnsi="Arial" w:cs="Arial"/>
                <w:spacing w:val="-2"/>
                <w:w w:val="115"/>
                <w:sz w:val="18"/>
                <w:szCs w:val="18"/>
              </w:rPr>
              <w:t>Colangioresonancia</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3AA5C859"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0503BED9"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7BBD4D5D"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284DF46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51A4F000"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3F9803C5" w14:textId="77777777" w:rsidR="00D3344B" w:rsidRDefault="00D3344B">
            <w:pPr>
              <w:pStyle w:val="TableParagraph"/>
              <w:rPr>
                <w:rFonts w:ascii="Arial" w:hAnsi="Arial" w:cs="Arial"/>
                <w:sz w:val="18"/>
                <w:szCs w:val="18"/>
              </w:rPr>
            </w:pPr>
          </w:p>
        </w:tc>
      </w:tr>
      <w:tr w:rsidR="00D3344B" w14:paraId="6821A5B7" w14:textId="77777777">
        <w:trPr>
          <w:trHeight w:val="302"/>
        </w:trPr>
        <w:tc>
          <w:tcPr>
            <w:tcW w:w="1776" w:type="dxa"/>
            <w:tcBorders>
              <w:top w:val="single" w:sz="4" w:space="0" w:color="000000"/>
              <w:left w:val="single" w:sz="4" w:space="0" w:color="000000"/>
              <w:bottom w:val="single" w:sz="4" w:space="0" w:color="000000"/>
              <w:right w:val="single" w:sz="4" w:space="0" w:color="000000"/>
            </w:tcBorders>
          </w:tcPr>
          <w:p w14:paraId="2999808A"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024</w:t>
            </w:r>
          </w:p>
        </w:tc>
        <w:tc>
          <w:tcPr>
            <w:tcW w:w="3038" w:type="dxa"/>
            <w:tcBorders>
              <w:top w:val="single" w:sz="4" w:space="0" w:color="000000"/>
              <w:left w:val="single" w:sz="4" w:space="0" w:color="000000"/>
              <w:bottom w:val="single" w:sz="4" w:space="0" w:color="000000"/>
              <w:right w:val="single" w:sz="4" w:space="0" w:color="000000"/>
            </w:tcBorders>
          </w:tcPr>
          <w:p w14:paraId="00E50461"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Uroresonancia</w:t>
            </w:r>
            <w:proofErr w:type="spellEnd"/>
            <w:r>
              <w:rPr>
                <w:rFonts w:ascii="Arial" w:hAnsi="Arial" w:cs="Arial"/>
                <w:spacing w:val="29"/>
                <w:w w:val="115"/>
                <w:sz w:val="18"/>
                <w:szCs w:val="18"/>
              </w:rPr>
              <w:t xml:space="preserve"> </w:t>
            </w:r>
            <w:r>
              <w:rPr>
                <w:rFonts w:ascii="Arial" w:hAnsi="Arial" w:cs="Arial"/>
                <w:spacing w:val="-2"/>
                <w:w w:val="11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6CE5B35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431DC9A1"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68CCED58"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18BA2A3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38F2C41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5458A793" w14:textId="77777777" w:rsidR="00D3344B" w:rsidRDefault="00D3344B">
            <w:pPr>
              <w:pStyle w:val="TableParagraph"/>
              <w:rPr>
                <w:rFonts w:ascii="Arial" w:hAnsi="Arial" w:cs="Arial"/>
                <w:sz w:val="18"/>
                <w:szCs w:val="18"/>
              </w:rPr>
            </w:pPr>
          </w:p>
        </w:tc>
      </w:tr>
      <w:tr w:rsidR="00D3344B" w14:paraId="0FEEF0BF"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DDF4C39" w14:textId="77777777" w:rsidR="00D3344B" w:rsidRDefault="00143C25">
            <w:pPr>
              <w:pStyle w:val="TableParagraph"/>
              <w:rPr>
                <w:rFonts w:ascii="Arial" w:hAnsi="Arial" w:cs="Arial"/>
                <w:sz w:val="18"/>
                <w:szCs w:val="18"/>
              </w:rPr>
            </w:pPr>
            <w:r>
              <w:rPr>
                <w:rFonts w:ascii="Arial" w:hAnsi="Arial" w:cs="Arial"/>
                <w:sz w:val="18"/>
                <w:szCs w:val="18"/>
              </w:rPr>
              <w:t>02-RMN-024-</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2A7C1261"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Uroresonancia</w:t>
            </w:r>
            <w:proofErr w:type="spellEnd"/>
            <w:r>
              <w:rPr>
                <w:rFonts w:ascii="Arial" w:hAnsi="Arial" w:cs="Arial"/>
                <w:spacing w:val="31"/>
                <w:w w:val="110"/>
                <w:sz w:val="18"/>
                <w:szCs w:val="18"/>
              </w:rPr>
              <w:t xml:space="preserve"> </w:t>
            </w:r>
            <w:r>
              <w:rPr>
                <w:rFonts w:ascii="Arial" w:hAnsi="Arial" w:cs="Arial"/>
                <w:spacing w:val="-2"/>
                <w:w w:val="110"/>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74D9EDD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6785A8A4"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0DA3987D"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581D9F0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036A51B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20CDBD96" w14:textId="77777777" w:rsidR="00D3344B" w:rsidRDefault="00D3344B">
            <w:pPr>
              <w:pStyle w:val="TableParagraph"/>
              <w:rPr>
                <w:rFonts w:ascii="Arial" w:hAnsi="Arial" w:cs="Arial"/>
                <w:sz w:val="18"/>
                <w:szCs w:val="18"/>
              </w:rPr>
            </w:pPr>
          </w:p>
        </w:tc>
      </w:tr>
      <w:tr w:rsidR="00D3344B" w14:paraId="2A07068D"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5C968D47"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025</w:t>
            </w:r>
          </w:p>
        </w:tc>
        <w:tc>
          <w:tcPr>
            <w:tcW w:w="3038" w:type="dxa"/>
            <w:tcBorders>
              <w:top w:val="single" w:sz="4" w:space="0" w:color="000000"/>
              <w:left w:val="single" w:sz="4" w:space="0" w:color="000000"/>
              <w:bottom w:val="single" w:sz="4" w:space="0" w:color="000000"/>
              <w:right w:val="single" w:sz="4" w:space="0" w:color="000000"/>
            </w:tcBorders>
          </w:tcPr>
          <w:p w14:paraId="16B6B7FC" w14:textId="77777777" w:rsidR="00D3344B" w:rsidRDefault="00143C25">
            <w:pPr>
              <w:pStyle w:val="TableParagraph"/>
              <w:rPr>
                <w:rFonts w:ascii="Arial" w:hAnsi="Arial" w:cs="Arial"/>
                <w:sz w:val="18"/>
                <w:szCs w:val="18"/>
              </w:rPr>
            </w:pPr>
            <w:r>
              <w:rPr>
                <w:rFonts w:ascii="Arial" w:hAnsi="Arial" w:cs="Arial"/>
                <w:w w:val="110"/>
                <w:sz w:val="18"/>
                <w:szCs w:val="18"/>
              </w:rPr>
              <w:t>Neuroeje</w:t>
            </w:r>
            <w:r>
              <w:rPr>
                <w:rFonts w:ascii="Arial" w:hAnsi="Arial" w:cs="Arial"/>
                <w:spacing w:val="-10"/>
                <w:w w:val="110"/>
                <w:sz w:val="18"/>
                <w:szCs w:val="18"/>
              </w:rPr>
              <w:t xml:space="preserve"> </w:t>
            </w:r>
            <w:r>
              <w:rPr>
                <w:rFonts w:ascii="Arial" w:hAnsi="Arial" w:cs="Arial"/>
                <w:w w:val="110"/>
                <w:sz w:val="18"/>
                <w:szCs w:val="18"/>
              </w:rPr>
              <w:t>simple</w:t>
            </w:r>
            <w:r>
              <w:rPr>
                <w:rFonts w:ascii="Arial" w:hAnsi="Arial" w:cs="Arial"/>
                <w:spacing w:val="-7"/>
                <w:w w:val="110"/>
                <w:sz w:val="18"/>
                <w:szCs w:val="18"/>
              </w:rPr>
              <w:t xml:space="preserve"> </w:t>
            </w:r>
            <w:r>
              <w:rPr>
                <w:rFonts w:ascii="Arial" w:hAnsi="Arial" w:cs="Arial"/>
                <w:w w:val="110"/>
                <w:sz w:val="18"/>
                <w:szCs w:val="18"/>
              </w:rPr>
              <w:t>(3</w:t>
            </w:r>
            <w:r>
              <w:rPr>
                <w:rFonts w:ascii="Arial" w:hAnsi="Arial" w:cs="Arial"/>
                <w:spacing w:val="-11"/>
                <w:w w:val="110"/>
                <w:sz w:val="18"/>
                <w:szCs w:val="18"/>
              </w:rPr>
              <w:t xml:space="preserve"> </w:t>
            </w:r>
            <w:r>
              <w:rPr>
                <w:rFonts w:ascii="Arial" w:hAnsi="Arial" w:cs="Arial"/>
                <w:spacing w:val="-2"/>
                <w:w w:val="110"/>
                <w:sz w:val="18"/>
                <w:szCs w:val="18"/>
              </w:rPr>
              <w:t>regiones)</w:t>
            </w:r>
          </w:p>
        </w:tc>
        <w:tc>
          <w:tcPr>
            <w:tcW w:w="697" w:type="dxa"/>
            <w:tcBorders>
              <w:top w:val="single" w:sz="4" w:space="0" w:color="000000"/>
              <w:left w:val="single" w:sz="4" w:space="0" w:color="000000"/>
              <w:bottom w:val="single" w:sz="4" w:space="0" w:color="000000"/>
              <w:right w:val="single" w:sz="4" w:space="0" w:color="000000"/>
            </w:tcBorders>
          </w:tcPr>
          <w:p w14:paraId="7ABCF431"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124.00</w:t>
            </w:r>
          </w:p>
        </w:tc>
        <w:tc>
          <w:tcPr>
            <w:tcW w:w="695" w:type="dxa"/>
            <w:tcBorders>
              <w:top w:val="single" w:sz="4" w:space="0" w:color="000000"/>
              <w:left w:val="single" w:sz="4" w:space="0" w:color="000000"/>
              <w:bottom w:val="single" w:sz="4" w:space="0" w:color="000000"/>
              <w:right w:val="single" w:sz="4" w:space="0" w:color="000000"/>
            </w:tcBorders>
          </w:tcPr>
          <w:p w14:paraId="3DF0FE1A"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108.50</w:t>
            </w:r>
          </w:p>
        </w:tc>
        <w:tc>
          <w:tcPr>
            <w:tcW w:w="699" w:type="dxa"/>
            <w:tcBorders>
              <w:top w:val="single" w:sz="4" w:space="0" w:color="000000"/>
              <w:left w:val="single" w:sz="4" w:space="0" w:color="000000"/>
              <w:bottom w:val="single" w:sz="4" w:space="0" w:color="000000"/>
              <w:right w:val="single" w:sz="4" w:space="0" w:color="000000"/>
            </w:tcBorders>
          </w:tcPr>
          <w:p w14:paraId="6151007D" w14:textId="77777777" w:rsidR="00D3344B" w:rsidRDefault="00143C25">
            <w:pPr>
              <w:pStyle w:val="TableParagraph"/>
              <w:rPr>
                <w:rFonts w:ascii="Arial" w:hAnsi="Arial" w:cs="Arial"/>
                <w:sz w:val="18"/>
                <w:szCs w:val="18"/>
              </w:rPr>
            </w:pPr>
            <w:r>
              <w:rPr>
                <w:rFonts w:ascii="Arial" w:hAnsi="Arial" w:cs="Arial"/>
                <w:spacing w:val="-4"/>
                <w:w w:val="115"/>
                <w:sz w:val="18"/>
                <w:szCs w:val="18"/>
              </w:rPr>
              <w:t>93.00</w:t>
            </w:r>
          </w:p>
        </w:tc>
        <w:tc>
          <w:tcPr>
            <w:tcW w:w="699" w:type="dxa"/>
            <w:tcBorders>
              <w:top w:val="single" w:sz="4" w:space="0" w:color="000000"/>
              <w:left w:val="single" w:sz="4" w:space="0" w:color="000000"/>
              <w:bottom w:val="single" w:sz="4" w:space="0" w:color="000000"/>
              <w:right w:val="single" w:sz="4" w:space="0" w:color="000000"/>
            </w:tcBorders>
          </w:tcPr>
          <w:p w14:paraId="7B8C9B7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77.50</w:t>
            </w:r>
          </w:p>
        </w:tc>
        <w:tc>
          <w:tcPr>
            <w:tcW w:w="696" w:type="dxa"/>
            <w:tcBorders>
              <w:top w:val="single" w:sz="4" w:space="0" w:color="000000"/>
              <w:left w:val="single" w:sz="4" w:space="0" w:color="000000"/>
              <w:bottom w:val="single" w:sz="4" w:space="0" w:color="000000"/>
              <w:right w:val="single" w:sz="4" w:space="0" w:color="000000"/>
            </w:tcBorders>
          </w:tcPr>
          <w:p w14:paraId="5C351F3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62.00</w:t>
            </w:r>
          </w:p>
        </w:tc>
        <w:tc>
          <w:tcPr>
            <w:tcW w:w="527" w:type="dxa"/>
            <w:tcBorders>
              <w:top w:val="single" w:sz="4" w:space="0" w:color="000000"/>
              <w:left w:val="single" w:sz="4" w:space="0" w:color="000000"/>
              <w:bottom w:val="single" w:sz="4" w:space="0" w:color="000000"/>
              <w:right w:val="single" w:sz="4" w:space="0" w:color="000000"/>
            </w:tcBorders>
          </w:tcPr>
          <w:p w14:paraId="7CFA511F" w14:textId="77777777" w:rsidR="00D3344B" w:rsidRDefault="00D3344B">
            <w:pPr>
              <w:pStyle w:val="TableParagraph"/>
              <w:rPr>
                <w:rFonts w:ascii="Arial" w:hAnsi="Arial" w:cs="Arial"/>
                <w:sz w:val="18"/>
                <w:szCs w:val="18"/>
              </w:rPr>
            </w:pPr>
          </w:p>
        </w:tc>
      </w:tr>
      <w:tr w:rsidR="00D3344B" w14:paraId="4464E110"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6A932576" w14:textId="77777777" w:rsidR="00D3344B" w:rsidRDefault="00143C25">
            <w:pPr>
              <w:pStyle w:val="TableParagraph"/>
              <w:rPr>
                <w:rFonts w:ascii="Arial" w:hAnsi="Arial" w:cs="Arial"/>
                <w:sz w:val="18"/>
                <w:szCs w:val="18"/>
              </w:rPr>
            </w:pPr>
            <w:r>
              <w:rPr>
                <w:rFonts w:ascii="Arial" w:hAnsi="Arial" w:cs="Arial"/>
                <w:sz w:val="18"/>
                <w:szCs w:val="18"/>
              </w:rPr>
              <w:t>02-RMN-025-</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2A1122B2" w14:textId="77777777" w:rsidR="00D3344B" w:rsidRDefault="00143C25">
            <w:pPr>
              <w:pStyle w:val="TableParagraph"/>
              <w:tabs>
                <w:tab w:val="left" w:pos="1130"/>
                <w:tab w:val="left" w:pos="1718"/>
                <w:tab w:val="left" w:pos="2829"/>
              </w:tabs>
              <w:spacing w:line="252" w:lineRule="exact"/>
              <w:ind w:right="-15"/>
              <w:rPr>
                <w:rFonts w:ascii="Arial" w:hAnsi="Arial" w:cs="Arial"/>
                <w:sz w:val="18"/>
                <w:szCs w:val="18"/>
              </w:rPr>
            </w:pPr>
            <w:r>
              <w:rPr>
                <w:rFonts w:ascii="Arial" w:hAnsi="Arial" w:cs="Arial"/>
                <w:spacing w:val="-2"/>
                <w:w w:val="110"/>
                <w:sz w:val="18"/>
                <w:szCs w:val="18"/>
              </w:rPr>
              <w:t>Neuroeje</w:t>
            </w:r>
            <w:r>
              <w:rPr>
                <w:rFonts w:ascii="Arial" w:hAnsi="Arial" w:cs="Arial"/>
                <w:sz w:val="18"/>
                <w:szCs w:val="18"/>
              </w:rPr>
              <w:tab/>
            </w:r>
            <w:r>
              <w:rPr>
                <w:rFonts w:ascii="Arial" w:hAnsi="Arial" w:cs="Arial"/>
                <w:spacing w:val="-4"/>
                <w:w w:val="110"/>
                <w:sz w:val="18"/>
                <w:szCs w:val="18"/>
              </w:rPr>
              <w:t>con</w:t>
            </w:r>
            <w:r>
              <w:rPr>
                <w:rFonts w:ascii="Arial" w:hAnsi="Arial" w:cs="Arial"/>
                <w:sz w:val="18"/>
                <w:szCs w:val="18"/>
              </w:rPr>
              <w:tab/>
            </w:r>
            <w:r>
              <w:rPr>
                <w:rFonts w:ascii="Arial" w:hAnsi="Arial" w:cs="Arial"/>
                <w:spacing w:val="-2"/>
                <w:w w:val="110"/>
                <w:sz w:val="18"/>
                <w:szCs w:val="18"/>
              </w:rPr>
              <w:t>contraste</w:t>
            </w:r>
            <w:r>
              <w:rPr>
                <w:rFonts w:ascii="Arial" w:hAnsi="Arial" w:cs="Arial"/>
                <w:sz w:val="18"/>
                <w:szCs w:val="18"/>
              </w:rPr>
              <w:tab/>
            </w:r>
            <w:r>
              <w:rPr>
                <w:rFonts w:ascii="Arial" w:hAnsi="Arial" w:cs="Arial"/>
                <w:spacing w:val="-6"/>
                <w:w w:val="110"/>
                <w:sz w:val="18"/>
                <w:szCs w:val="18"/>
              </w:rPr>
              <w:t xml:space="preserve">(3 </w:t>
            </w:r>
            <w:r>
              <w:rPr>
                <w:rFonts w:ascii="Arial" w:hAnsi="Arial" w:cs="Arial"/>
                <w:spacing w:val="-2"/>
                <w:w w:val="110"/>
                <w:sz w:val="18"/>
                <w:szCs w:val="18"/>
              </w:rPr>
              <w:t>regiones)</w:t>
            </w:r>
          </w:p>
        </w:tc>
        <w:tc>
          <w:tcPr>
            <w:tcW w:w="697" w:type="dxa"/>
            <w:tcBorders>
              <w:top w:val="single" w:sz="4" w:space="0" w:color="000000"/>
              <w:left w:val="single" w:sz="4" w:space="0" w:color="000000"/>
              <w:bottom w:val="single" w:sz="4" w:space="0" w:color="000000"/>
              <w:right w:val="single" w:sz="4" w:space="0" w:color="000000"/>
            </w:tcBorders>
          </w:tcPr>
          <w:p w14:paraId="6E6CBFAF"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178.25</w:t>
            </w:r>
          </w:p>
        </w:tc>
        <w:tc>
          <w:tcPr>
            <w:tcW w:w="695" w:type="dxa"/>
            <w:tcBorders>
              <w:top w:val="single" w:sz="4" w:space="0" w:color="000000"/>
              <w:left w:val="single" w:sz="4" w:space="0" w:color="000000"/>
              <w:bottom w:val="single" w:sz="4" w:space="0" w:color="000000"/>
              <w:right w:val="single" w:sz="4" w:space="0" w:color="000000"/>
            </w:tcBorders>
          </w:tcPr>
          <w:p w14:paraId="5D027F2E"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155.00</w:t>
            </w:r>
          </w:p>
        </w:tc>
        <w:tc>
          <w:tcPr>
            <w:tcW w:w="699" w:type="dxa"/>
            <w:tcBorders>
              <w:top w:val="single" w:sz="4" w:space="0" w:color="000000"/>
              <w:left w:val="single" w:sz="4" w:space="0" w:color="000000"/>
              <w:bottom w:val="single" w:sz="4" w:space="0" w:color="000000"/>
              <w:right w:val="single" w:sz="4" w:space="0" w:color="000000"/>
            </w:tcBorders>
          </w:tcPr>
          <w:p w14:paraId="43D5E30C"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131.50</w:t>
            </w:r>
          </w:p>
        </w:tc>
        <w:tc>
          <w:tcPr>
            <w:tcW w:w="699" w:type="dxa"/>
            <w:tcBorders>
              <w:top w:val="single" w:sz="4" w:space="0" w:color="000000"/>
              <w:left w:val="single" w:sz="4" w:space="0" w:color="000000"/>
              <w:bottom w:val="single" w:sz="4" w:space="0" w:color="000000"/>
              <w:right w:val="single" w:sz="4" w:space="0" w:color="000000"/>
            </w:tcBorders>
          </w:tcPr>
          <w:p w14:paraId="7F742D4E" w14:textId="77777777" w:rsidR="00D3344B" w:rsidRDefault="00143C25">
            <w:pPr>
              <w:pStyle w:val="TableParagraph"/>
              <w:ind w:left="5" w:right="-15"/>
              <w:rPr>
                <w:rFonts w:ascii="Arial" w:hAnsi="Arial" w:cs="Arial"/>
                <w:sz w:val="18"/>
                <w:szCs w:val="18"/>
              </w:rPr>
            </w:pPr>
            <w:r>
              <w:rPr>
                <w:rFonts w:ascii="Arial" w:hAnsi="Arial" w:cs="Arial"/>
                <w:spacing w:val="-2"/>
                <w:w w:val="115"/>
                <w:sz w:val="18"/>
                <w:szCs w:val="18"/>
              </w:rPr>
              <w:t>109.50</w:t>
            </w:r>
          </w:p>
        </w:tc>
        <w:tc>
          <w:tcPr>
            <w:tcW w:w="696" w:type="dxa"/>
            <w:tcBorders>
              <w:top w:val="single" w:sz="4" w:space="0" w:color="000000"/>
              <w:left w:val="single" w:sz="4" w:space="0" w:color="000000"/>
              <w:bottom w:val="single" w:sz="4" w:space="0" w:color="000000"/>
              <w:right w:val="single" w:sz="4" w:space="0" w:color="000000"/>
            </w:tcBorders>
          </w:tcPr>
          <w:p w14:paraId="26FB036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84.75</w:t>
            </w:r>
          </w:p>
        </w:tc>
        <w:tc>
          <w:tcPr>
            <w:tcW w:w="527" w:type="dxa"/>
            <w:tcBorders>
              <w:top w:val="single" w:sz="4" w:space="0" w:color="000000"/>
              <w:left w:val="single" w:sz="4" w:space="0" w:color="000000"/>
              <w:bottom w:val="single" w:sz="4" w:space="0" w:color="000000"/>
              <w:right w:val="single" w:sz="4" w:space="0" w:color="000000"/>
            </w:tcBorders>
          </w:tcPr>
          <w:p w14:paraId="06BE0F7D" w14:textId="77777777" w:rsidR="00D3344B" w:rsidRDefault="00D3344B">
            <w:pPr>
              <w:pStyle w:val="TableParagraph"/>
              <w:rPr>
                <w:rFonts w:ascii="Arial" w:hAnsi="Arial" w:cs="Arial"/>
                <w:sz w:val="18"/>
                <w:szCs w:val="18"/>
              </w:rPr>
            </w:pPr>
          </w:p>
        </w:tc>
      </w:tr>
      <w:tr w:rsidR="00D3344B" w14:paraId="0F381F9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D1AF48F"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026</w:t>
            </w:r>
          </w:p>
        </w:tc>
        <w:tc>
          <w:tcPr>
            <w:tcW w:w="3038" w:type="dxa"/>
            <w:tcBorders>
              <w:top w:val="single" w:sz="4" w:space="0" w:color="000000"/>
              <w:left w:val="single" w:sz="4" w:space="0" w:color="000000"/>
              <w:bottom w:val="single" w:sz="4" w:space="0" w:color="000000"/>
              <w:right w:val="single" w:sz="4" w:space="0" w:color="000000"/>
            </w:tcBorders>
          </w:tcPr>
          <w:p w14:paraId="3E24F24F" w14:textId="77777777" w:rsidR="00D3344B" w:rsidRDefault="00143C25">
            <w:pPr>
              <w:pStyle w:val="TableParagraph"/>
              <w:rPr>
                <w:rFonts w:ascii="Arial" w:hAnsi="Arial" w:cs="Arial"/>
                <w:sz w:val="18"/>
                <w:szCs w:val="18"/>
              </w:rPr>
            </w:pPr>
            <w:r>
              <w:rPr>
                <w:rFonts w:ascii="Arial" w:hAnsi="Arial" w:cs="Arial"/>
                <w:w w:val="110"/>
                <w:sz w:val="18"/>
                <w:szCs w:val="18"/>
              </w:rPr>
              <w:t>Neuroeje</w:t>
            </w:r>
            <w:r>
              <w:rPr>
                <w:rFonts w:ascii="Arial" w:hAnsi="Arial" w:cs="Arial"/>
                <w:spacing w:val="1"/>
                <w:w w:val="110"/>
                <w:sz w:val="18"/>
                <w:szCs w:val="18"/>
              </w:rPr>
              <w:t xml:space="preserve"> </w:t>
            </w:r>
            <w:r>
              <w:rPr>
                <w:rFonts w:ascii="Arial" w:hAnsi="Arial" w:cs="Arial"/>
                <w:w w:val="110"/>
                <w:sz w:val="18"/>
                <w:szCs w:val="18"/>
              </w:rPr>
              <w:t>simple</w:t>
            </w:r>
            <w:r>
              <w:rPr>
                <w:rFonts w:ascii="Arial" w:hAnsi="Arial" w:cs="Arial"/>
                <w:spacing w:val="5"/>
                <w:w w:val="110"/>
                <w:sz w:val="18"/>
                <w:szCs w:val="18"/>
              </w:rPr>
              <w:t xml:space="preserve"> </w:t>
            </w:r>
            <w:r>
              <w:rPr>
                <w:rFonts w:ascii="Arial" w:hAnsi="Arial" w:cs="Arial"/>
                <w:spacing w:val="-2"/>
                <w:w w:val="110"/>
                <w:sz w:val="18"/>
                <w:szCs w:val="18"/>
              </w:rPr>
              <w:t>pediátrico</w:t>
            </w:r>
          </w:p>
        </w:tc>
        <w:tc>
          <w:tcPr>
            <w:tcW w:w="697" w:type="dxa"/>
            <w:tcBorders>
              <w:top w:val="single" w:sz="4" w:space="0" w:color="000000"/>
              <w:left w:val="single" w:sz="4" w:space="0" w:color="000000"/>
              <w:bottom w:val="single" w:sz="4" w:space="0" w:color="000000"/>
              <w:right w:val="single" w:sz="4" w:space="0" w:color="000000"/>
            </w:tcBorders>
          </w:tcPr>
          <w:p w14:paraId="2A708AF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3A8F8CB5" w14:textId="77777777" w:rsidR="00D3344B" w:rsidRDefault="00143C25">
            <w:pPr>
              <w:pStyle w:val="TableParagraph"/>
              <w:rPr>
                <w:rFonts w:ascii="Arial" w:hAnsi="Arial" w:cs="Arial"/>
                <w:sz w:val="18"/>
                <w:szCs w:val="18"/>
              </w:rPr>
            </w:pPr>
            <w:r>
              <w:rPr>
                <w:rFonts w:ascii="Arial" w:hAnsi="Arial" w:cs="Arial"/>
                <w:spacing w:val="-4"/>
                <w:w w:val="115"/>
                <w:sz w:val="18"/>
                <w:szCs w:val="18"/>
              </w:rPr>
              <w:t>62.00</w:t>
            </w:r>
          </w:p>
        </w:tc>
        <w:tc>
          <w:tcPr>
            <w:tcW w:w="699" w:type="dxa"/>
            <w:tcBorders>
              <w:top w:val="single" w:sz="4" w:space="0" w:color="000000"/>
              <w:left w:val="single" w:sz="4" w:space="0" w:color="000000"/>
              <w:bottom w:val="single" w:sz="4" w:space="0" w:color="000000"/>
              <w:right w:val="single" w:sz="4" w:space="0" w:color="000000"/>
            </w:tcBorders>
          </w:tcPr>
          <w:p w14:paraId="3015BBF8" w14:textId="77777777" w:rsidR="00D3344B" w:rsidRDefault="00143C25">
            <w:pPr>
              <w:pStyle w:val="TableParagraph"/>
              <w:rPr>
                <w:rFonts w:ascii="Arial" w:hAnsi="Arial" w:cs="Arial"/>
                <w:sz w:val="18"/>
                <w:szCs w:val="18"/>
              </w:rPr>
            </w:pPr>
            <w:r>
              <w:rPr>
                <w:rFonts w:ascii="Arial" w:hAnsi="Arial" w:cs="Arial"/>
                <w:spacing w:val="-4"/>
                <w:w w:val="115"/>
                <w:sz w:val="18"/>
                <w:szCs w:val="18"/>
              </w:rPr>
              <w:t>46.25</w:t>
            </w:r>
          </w:p>
        </w:tc>
        <w:tc>
          <w:tcPr>
            <w:tcW w:w="699" w:type="dxa"/>
            <w:tcBorders>
              <w:top w:val="single" w:sz="4" w:space="0" w:color="000000"/>
              <w:left w:val="single" w:sz="4" w:space="0" w:color="000000"/>
              <w:bottom w:val="single" w:sz="4" w:space="0" w:color="000000"/>
              <w:right w:val="single" w:sz="4" w:space="0" w:color="000000"/>
            </w:tcBorders>
          </w:tcPr>
          <w:p w14:paraId="4CD8E61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696" w:type="dxa"/>
            <w:tcBorders>
              <w:top w:val="single" w:sz="4" w:space="0" w:color="000000"/>
              <w:left w:val="single" w:sz="4" w:space="0" w:color="000000"/>
              <w:bottom w:val="single" w:sz="4" w:space="0" w:color="000000"/>
              <w:right w:val="single" w:sz="4" w:space="0" w:color="000000"/>
            </w:tcBorders>
          </w:tcPr>
          <w:p w14:paraId="3801029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15.50</w:t>
            </w:r>
          </w:p>
        </w:tc>
        <w:tc>
          <w:tcPr>
            <w:tcW w:w="527" w:type="dxa"/>
            <w:tcBorders>
              <w:top w:val="single" w:sz="4" w:space="0" w:color="000000"/>
              <w:left w:val="single" w:sz="4" w:space="0" w:color="000000"/>
              <w:bottom w:val="single" w:sz="4" w:space="0" w:color="000000"/>
              <w:right w:val="single" w:sz="4" w:space="0" w:color="000000"/>
            </w:tcBorders>
          </w:tcPr>
          <w:p w14:paraId="19CE023A" w14:textId="77777777" w:rsidR="00D3344B" w:rsidRDefault="00D3344B">
            <w:pPr>
              <w:pStyle w:val="TableParagraph"/>
              <w:rPr>
                <w:rFonts w:ascii="Arial" w:hAnsi="Arial" w:cs="Arial"/>
                <w:sz w:val="18"/>
                <w:szCs w:val="18"/>
              </w:rPr>
            </w:pPr>
          </w:p>
        </w:tc>
      </w:tr>
      <w:tr w:rsidR="00D3344B" w14:paraId="44C92DB7"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720F0B8" w14:textId="77777777" w:rsidR="00D3344B" w:rsidRDefault="00143C25">
            <w:pPr>
              <w:pStyle w:val="TableParagraph"/>
              <w:rPr>
                <w:rFonts w:ascii="Arial" w:hAnsi="Arial" w:cs="Arial"/>
                <w:sz w:val="18"/>
                <w:szCs w:val="18"/>
              </w:rPr>
            </w:pPr>
            <w:r>
              <w:rPr>
                <w:rFonts w:ascii="Arial" w:hAnsi="Arial" w:cs="Arial"/>
                <w:sz w:val="18"/>
                <w:szCs w:val="18"/>
              </w:rPr>
              <w:lastRenderedPageBreak/>
              <w:t>02-RMN-026-</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5BFAF44"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Neuroeje</w:t>
            </w:r>
            <w:r>
              <w:rPr>
                <w:rFonts w:ascii="Arial" w:hAnsi="Arial" w:cs="Arial"/>
                <w:spacing w:val="29"/>
                <w:w w:val="110"/>
                <w:sz w:val="18"/>
                <w:szCs w:val="18"/>
              </w:rPr>
              <w:t xml:space="preserve"> </w:t>
            </w:r>
            <w:r>
              <w:rPr>
                <w:rFonts w:ascii="Arial" w:hAnsi="Arial" w:cs="Arial"/>
                <w:w w:val="110"/>
                <w:sz w:val="18"/>
                <w:szCs w:val="18"/>
              </w:rPr>
              <w:t>con</w:t>
            </w:r>
            <w:r>
              <w:rPr>
                <w:rFonts w:ascii="Arial" w:hAnsi="Arial" w:cs="Arial"/>
                <w:spacing w:val="71"/>
                <w:w w:val="110"/>
                <w:sz w:val="18"/>
                <w:szCs w:val="18"/>
              </w:rPr>
              <w:t xml:space="preserve"> </w:t>
            </w:r>
            <w:r>
              <w:rPr>
                <w:rFonts w:ascii="Arial" w:hAnsi="Arial" w:cs="Arial"/>
                <w:w w:val="110"/>
                <w:sz w:val="18"/>
                <w:szCs w:val="18"/>
              </w:rPr>
              <w:t xml:space="preserve">contraste </w:t>
            </w:r>
            <w:r>
              <w:rPr>
                <w:rFonts w:ascii="Arial" w:hAnsi="Arial" w:cs="Arial"/>
                <w:spacing w:val="-2"/>
                <w:w w:val="110"/>
                <w:sz w:val="18"/>
                <w:szCs w:val="18"/>
              </w:rPr>
              <w:t>pediátrico</w:t>
            </w:r>
          </w:p>
        </w:tc>
        <w:tc>
          <w:tcPr>
            <w:tcW w:w="697" w:type="dxa"/>
            <w:tcBorders>
              <w:top w:val="single" w:sz="4" w:space="0" w:color="000000"/>
              <w:left w:val="single" w:sz="4" w:space="0" w:color="000000"/>
              <w:bottom w:val="single" w:sz="4" w:space="0" w:color="000000"/>
              <w:right w:val="single" w:sz="4" w:space="0" w:color="000000"/>
            </w:tcBorders>
          </w:tcPr>
          <w:p w14:paraId="65B3973F"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118.00</w:t>
            </w:r>
          </w:p>
        </w:tc>
        <w:tc>
          <w:tcPr>
            <w:tcW w:w="695" w:type="dxa"/>
            <w:tcBorders>
              <w:top w:val="single" w:sz="4" w:space="0" w:color="000000"/>
              <w:left w:val="single" w:sz="4" w:space="0" w:color="000000"/>
              <w:bottom w:val="single" w:sz="4" w:space="0" w:color="000000"/>
              <w:right w:val="single" w:sz="4" w:space="0" w:color="000000"/>
            </w:tcBorders>
          </w:tcPr>
          <w:p w14:paraId="35BE3A08"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102.25</w:t>
            </w:r>
          </w:p>
        </w:tc>
        <w:tc>
          <w:tcPr>
            <w:tcW w:w="699" w:type="dxa"/>
            <w:tcBorders>
              <w:top w:val="single" w:sz="4" w:space="0" w:color="000000"/>
              <w:left w:val="single" w:sz="4" w:space="0" w:color="000000"/>
              <w:bottom w:val="single" w:sz="4" w:space="0" w:color="000000"/>
              <w:right w:val="single" w:sz="4" w:space="0" w:color="000000"/>
            </w:tcBorders>
          </w:tcPr>
          <w:p w14:paraId="5DC51F31" w14:textId="77777777" w:rsidR="00D3344B" w:rsidRDefault="00143C25">
            <w:pPr>
              <w:pStyle w:val="TableParagraph"/>
              <w:rPr>
                <w:rFonts w:ascii="Arial" w:hAnsi="Arial" w:cs="Arial"/>
                <w:sz w:val="18"/>
                <w:szCs w:val="18"/>
              </w:rPr>
            </w:pPr>
            <w:r>
              <w:rPr>
                <w:rFonts w:ascii="Arial" w:hAnsi="Arial" w:cs="Arial"/>
                <w:spacing w:val="-4"/>
                <w:w w:val="115"/>
                <w:sz w:val="18"/>
                <w:szCs w:val="18"/>
              </w:rPr>
              <w:t>87.75</w:t>
            </w:r>
          </w:p>
        </w:tc>
        <w:tc>
          <w:tcPr>
            <w:tcW w:w="699" w:type="dxa"/>
            <w:tcBorders>
              <w:top w:val="single" w:sz="4" w:space="0" w:color="000000"/>
              <w:left w:val="single" w:sz="4" w:space="0" w:color="000000"/>
              <w:bottom w:val="single" w:sz="4" w:space="0" w:color="000000"/>
              <w:right w:val="single" w:sz="4" w:space="0" w:color="000000"/>
            </w:tcBorders>
          </w:tcPr>
          <w:p w14:paraId="6E4A964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71.50</w:t>
            </w:r>
          </w:p>
        </w:tc>
        <w:tc>
          <w:tcPr>
            <w:tcW w:w="696" w:type="dxa"/>
            <w:tcBorders>
              <w:top w:val="single" w:sz="4" w:space="0" w:color="000000"/>
              <w:left w:val="single" w:sz="4" w:space="0" w:color="000000"/>
              <w:bottom w:val="single" w:sz="4" w:space="0" w:color="000000"/>
              <w:right w:val="single" w:sz="4" w:space="0" w:color="000000"/>
            </w:tcBorders>
          </w:tcPr>
          <w:p w14:paraId="3E742F2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55.75</w:t>
            </w:r>
          </w:p>
        </w:tc>
        <w:tc>
          <w:tcPr>
            <w:tcW w:w="527" w:type="dxa"/>
            <w:tcBorders>
              <w:top w:val="single" w:sz="4" w:space="0" w:color="000000"/>
              <w:left w:val="single" w:sz="4" w:space="0" w:color="000000"/>
              <w:bottom w:val="single" w:sz="4" w:space="0" w:color="000000"/>
              <w:right w:val="single" w:sz="4" w:space="0" w:color="000000"/>
            </w:tcBorders>
          </w:tcPr>
          <w:p w14:paraId="0A42EEA0" w14:textId="77777777" w:rsidR="00D3344B" w:rsidRDefault="00D3344B">
            <w:pPr>
              <w:pStyle w:val="TableParagraph"/>
              <w:rPr>
                <w:rFonts w:ascii="Arial" w:hAnsi="Arial" w:cs="Arial"/>
                <w:sz w:val="18"/>
                <w:szCs w:val="18"/>
              </w:rPr>
            </w:pPr>
          </w:p>
        </w:tc>
      </w:tr>
      <w:tr w:rsidR="00D3344B" w14:paraId="42545FFB"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74EBAB28" w14:textId="77777777" w:rsidR="00D3344B" w:rsidRDefault="00D3344B">
            <w:pPr>
              <w:pStyle w:val="TableParagraph"/>
              <w:spacing w:before="9"/>
              <w:rPr>
                <w:rFonts w:ascii="Arial" w:hAnsi="Arial" w:cs="Arial"/>
                <w:sz w:val="18"/>
                <w:szCs w:val="18"/>
              </w:rPr>
            </w:pPr>
          </w:p>
          <w:p w14:paraId="10120A08"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035</w:t>
            </w:r>
          </w:p>
        </w:tc>
        <w:tc>
          <w:tcPr>
            <w:tcW w:w="3038" w:type="dxa"/>
            <w:tcBorders>
              <w:top w:val="single" w:sz="4" w:space="0" w:color="000000"/>
              <w:left w:val="single" w:sz="4" w:space="0" w:color="000000"/>
              <w:bottom w:val="single" w:sz="4" w:space="0" w:color="000000"/>
              <w:right w:val="single" w:sz="4" w:space="0" w:color="000000"/>
            </w:tcBorders>
          </w:tcPr>
          <w:p w14:paraId="1F1788FC" w14:textId="77777777" w:rsidR="00D3344B" w:rsidRDefault="00143C25">
            <w:pPr>
              <w:pStyle w:val="TableParagraph"/>
              <w:tabs>
                <w:tab w:val="left" w:pos="1901"/>
              </w:tabs>
              <w:spacing w:line="252" w:lineRule="exact"/>
              <w:ind w:right="58"/>
              <w:jc w:val="both"/>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 xml:space="preserve">Magnética </w:t>
            </w:r>
            <w:r>
              <w:rPr>
                <w:rFonts w:ascii="Arial" w:hAnsi="Arial" w:cs="Arial"/>
                <w:w w:val="115"/>
                <w:sz w:val="18"/>
                <w:szCs w:val="18"/>
              </w:rPr>
              <w:t>Cardiaca Morfológico y funcional sin contraste</w:t>
            </w:r>
          </w:p>
        </w:tc>
        <w:tc>
          <w:tcPr>
            <w:tcW w:w="697" w:type="dxa"/>
            <w:tcBorders>
              <w:top w:val="single" w:sz="4" w:space="0" w:color="000000"/>
              <w:left w:val="single" w:sz="4" w:space="0" w:color="000000"/>
              <w:bottom w:val="single" w:sz="4" w:space="0" w:color="000000"/>
              <w:right w:val="single" w:sz="4" w:space="0" w:color="000000"/>
            </w:tcBorders>
          </w:tcPr>
          <w:p w14:paraId="64EEE83D" w14:textId="77777777" w:rsidR="00D3344B" w:rsidRDefault="00D3344B">
            <w:pPr>
              <w:pStyle w:val="TableParagraph"/>
              <w:spacing w:before="9"/>
              <w:rPr>
                <w:rFonts w:ascii="Arial" w:hAnsi="Arial" w:cs="Arial"/>
                <w:sz w:val="18"/>
                <w:szCs w:val="18"/>
              </w:rPr>
            </w:pPr>
          </w:p>
          <w:p w14:paraId="3C504AF2"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86.75</w:t>
            </w:r>
          </w:p>
        </w:tc>
        <w:tc>
          <w:tcPr>
            <w:tcW w:w="695" w:type="dxa"/>
            <w:tcBorders>
              <w:top w:val="single" w:sz="4" w:space="0" w:color="000000"/>
              <w:left w:val="single" w:sz="4" w:space="0" w:color="000000"/>
              <w:bottom w:val="single" w:sz="4" w:space="0" w:color="000000"/>
              <w:right w:val="single" w:sz="4" w:space="0" w:color="000000"/>
            </w:tcBorders>
          </w:tcPr>
          <w:p w14:paraId="6F57F722" w14:textId="77777777" w:rsidR="00D3344B" w:rsidRDefault="00D3344B">
            <w:pPr>
              <w:pStyle w:val="TableParagraph"/>
              <w:spacing w:before="9"/>
              <w:rPr>
                <w:rFonts w:ascii="Arial" w:hAnsi="Arial" w:cs="Arial"/>
                <w:sz w:val="18"/>
                <w:szCs w:val="18"/>
              </w:rPr>
            </w:pPr>
          </w:p>
          <w:p w14:paraId="1CB0CFA9" w14:textId="77777777" w:rsidR="00D3344B" w:rsidRDefault="00143C25">
            <w:pPr>
              <w:pStyle w:val="TableParagraph"/>
              <w:rPr>
                <w:rFonts w:ascii="Arial" w:hAnsi="Arial" w:cs="Arial"/>
                <w:sz w:val="18"/>
                <w:szCs w:val="18"/>
              </w:rPr>
            </w:pPr>
            <w:r>
              <w:rPr>
                <w:rFonts w:ascii="Arial" w:hAnsi="Arial" w:cs="Arial"/>
                <w:spacing w:val="-4"/>
                <w:w w:val="115"/>
                <w:sz w:val="18"/>
                <w:szCs w:val="18"/>
              </w:rPr>
              <w:t>84.85</w:t>
            </w:r>
          </w:p>
        </w:tc>
        <w:tc>
          <w:tcPr>
            <w:tcW w:w="699" w:type="dxa"/>
            <w:tcBorders>
              <w:top w:val="single" w:sz="4" w:space="0" w:color="000000"/>
              <w:left w:val="single" w:sz="4" w:space="0" w:color="000000"/>
              <w:bottom w:val="single" w:sz="4" w:space="0" w:color="000000"/>
              <w:right w:val="single" w:sz="4" w:space="0" w:color="000000"/>
            </w:tcBorders>
          </w:tcPr>
          <w:p w14:paraId="461B470F" w14:textId="77777777" w:rsidR="00D3344B" w:rsidRDefault="00D3344B">
            <w:pPr>
              <w:pStyle w:val="TableParagraph"/>
              <w:spacing w:before="9"/>
              <w:rPr>
                <w:rFonts w:ascii="Arial" w:hAnsi="Arial" w:cs="Arial"/>
                <w:sz w:val="18"/>
                <w:szCs w:val="18"/>
              </w:rPr>
            </w:pPr>
          </w:p>
          <w:p w14:paraId="1F81DAED" w14:textId="77777777" w:rsidR="00D3344B" w:rsidRDefault="00143C25">
            <w:pPr>
              <w:pStyle w:val="TableParagraph"/>
              <w:rPr>
                <w:rFonts w:ascii="Arial" w:hAnsi="Arial" w:cs="Arial"/>
                <w:sz w:val="18"/>
                <w:szCs w:val="18"/>
              </w:rPr>
            </w:pPr>
            <w:r>
              <w:rPr>
                <w:rFonts w:ascii="Arial" w:hAnsi="Arial" w:cs="Arial"/>
                <w:spacing w:val="-4"/>
                <w:w w:val="115"/>
                <w:sz w:val="18"/>
                <w:szCs w:val="18"/>
              </w:rPr>
              <w:t>81.95</w:t>
            </w:r>
          </w:p>
        </w:tc>
        <w:tc>
          <w:tcPr>
            <w:tcW w:w="699" w:type="dxa"/>
            <w:tcBorders>
              <w:top w:val="single" w:sz="4" w:space="0" w:color="000000"/>
              <w:left w:val="single" w:sz="4" w:space="0" w:color="000000"/>
              <w:bottom w:val="single" w:sz="4" w:space="0" w:color="000000"/>
              <w:right w:val="single" w:sz="4" w:space="0" w:color="000000"/>
            </w:tcBorders>
          </w:tcPr>
          <w:p w14:paraId="53B86CB8" w14:textId="77777777" w:rsidR="00D3344B" w:rsidRDefault="00D3344B">
            <w:pPr>
              <w:pStyle w:val="TableParagraph"/>
              <w:spacing w:before="9"/>
              <w:rPr>
                <w:rFonts w:ascii="Arial" w:hAnsi="Arial" w:cs="Arial"/>
                <w:sz w:val="18"/>
                <w:szCs w:val="18"/>
              </w:rPr>
            </w:pPr>
          </w:p>
          <w:p w14:paraId="652FB8A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80.00</w:t>
            </w:r>
          </w:p>
        </w:tc>
        <w:tc>
          <w:tcPr>
            <w:tcW w:w="696" w:type="dxa"/>
            <w:tcBorders>
              <w:top w:val="single" w:sz="4" w:space="0" w:color="000000"/>
              <w:left w:val="single" w:sz="4" w:space="0" w:color="000000"/>
              <w:bottom w:val="single" w:sz="4" w:space="0" w:color="000000"/>
              <w:right w:val="single" w:sz="4" w:space="0" w:color="000000"/>
            </w:tcBorders>
          </w:tcPr>
          <w:p w14:paraId="72CB57B2" w14:textId="77777777" w:rsidR="00D3344B" w:rsidRDefault="00D3344B">
            <w:pPr>
              <w:pStyle w:val="TableParagraph"/>
              <w:spacing w:before="9"/>
              <w:rPr>
                <w:rFonts w:ascii="Arial" w:hAnsi="Arial" w:cs="Arial"/>
                <w:sz w:val="18"/>
                <w:szCs w:val="18"/>
              </w:rPr>
            </w:pPr>
          </w:p>
          <w:p w14:paraId="7DF04BF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77.00</w:t>
            </w:r>
          </w:p>
        </w:tc>
        <w:tc>
          <w:tcPr>
            <w:tcW w:w="527" w:type="dxa"/>
            <w:tcBorders>
              <w:top w:val="single" w:sz="4" w:space="0" w:color="000000"/>
              <w:left w:val="single" w:sz="4" w:space="0" w:color="000000"/>
              <w:bottom w:val="single" w:sz="4" w:space="0" w:color="000000"/>
              <w:right w:val="single" w:sz="4" w:space="0" w:color="000000"/>
            </w:tcBorders>
          </w:tcPr>
          <w:p w14:paraId="069FFA5C" w14:textId="77777777" w:rsidR="00D3344B" w:rsidRDefault="00D3344B">
            <w:pPr>
              <w:pStyle w:val="TableParagraph"/>
              <w:rPr>
                <w:rFonts w:ascii="Arial" w:hAnsi="Arial" w:cs="Arial"/>
                <w:sz w:val="18"/>
                <w:szCs w:val="18"/>
              </w:rPr>
            </w:pPr>
          </w:p>
        </w:tc>
      </w:tr>
      <w:tr w:rsidR="00D3344B" w14:paraId="4BD38535"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39F301BE" w14:textId="77777777" w:rsidR="00D3344B" w:rsidRDefault="00D3344B">
            <w:pPr>
              <w:pStyle w:val="TableParagraph"/>
              <w:spacing w:before="8"/>
              <w:rPr>
                <w:rFonts w:ascii="Arial" w:hAnsi="Arial" w:cs="Arial"/>
                <w:sz w:val="18"/>
                <w:szCs w:val="18"/>
              </w:rPr>
            </w:pPr>
          </w:p>
          <w:p w14:paraId="3A969C88" w14:textId="77777777" w:rsidR="00D3344B" w:rsidRDefault="00143C25">
            <w:pPr>
              <w:pStyle w:val="TableParagraph"/>
              <w:spacing w:before="1"/>
              <w:rPr>
                <w:rFonts w:ascii="Arial" w:hAnsi="Arial" w:cs="Arial"/>
                <w:sz w:val="18"/>
                <w:szCs w:val="18"/>
              </w:rPr>
            </w:pPr>
            <w:r>
              <w:rPr>
                <w:rFonts w:ascii="Arial" w:hAnsi="Arial" w:cs="Arial"/>
                <w:spacing w:val="-2"/>
                <w:sz w:val="18"/>
                <w:szCs w:val="18"/>
              </w:rPr>
              <w:t>02-RMN-036-</w:t>
            </w:r>
            <w:r>
              <w:rPr>
                <w:rFonts w:ascii="Arial" w:hAnsi="Arial" w:cs="Arial"/>
                <w:spacing w:val="-12"/>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3EFFE453" w14:textId="77777777" w:rsidR="00D3344B" w:rsidRDefault="00143C25">
            <w:pPr>
              <w:pStyle w:val="TableParagraph"/>
              <w:tabs>
                <w:tab w:val="left" w:pos="1279"/>
                <w:tab w:val="left" w:pos="1397"/>
                <w:tab w:val="left" w:pos="2904"/>
              </w:tabs>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z w:val="18"/>
                <w:szCs w:val="18"/>
              </w:rPr>
              <w:tab/>
            </w:r>
            <w:r>
              <w:rPr>
                <w:rFonts w:ascii="Arial" w:hAnsi="Arial" w:cs="Arial"/>
                <w:spacing w:val="-2"/>
                <w:w w:val="115"/>
                <w:sz w:val="18"/>
                <w:szCs w:val="18"/>
              </w:rPr>
              <w:t>Magnética Cardiaca</w:t>
            </w:r>
            <w:r>
              <w:rPr>
                <w:rFonts w:ascii="Arial" w:hAnsi="Arial" w:cs="Arial"/>
                <w:sz w:val="18"/>
                <w:szCs w:val="18"/>
              </w:rPr>
              <w:tab/>
            </w:r>
            <w:r>
              <w:rPr>
                <w:rFonts w:ascii="Arial" w:hAnsi="Arial" w:cs="Arial"/>
                <w:spacing w:val="-2"/>
                <w:w w:val="115"/>
                <w:sz w:val="18"/>
                <w:szCs w:val="18"/>
              </w:rPr>
              <w:t>Morfológico</w:t>
            </w:r>
            <w:r>
              <w:rPr>
                <w:rFonts w:ascii="Arial" w:hAnsi="Arial" w:cs="Arial"/>
                <w:sz w:val="18"/>
                <w:szCs w:val="18"/>
              </w:rPr>
              <w:tab/>
            </w:r>
            <w:r>
              <w:rPr>
                <w:rFonts w:ascii="Arial" w:hAnsi="Arial" w:cs="Arial"/>
                <w:spacing w:val="-10"/>
                <w:w w:val="115"/>
                <w:sz w:val="18"/>
                <w:szCs w:val="18"/>
              </w:rPr>
              <w:t>y</w:t>
            </w:r>
          </w:p>
          <w:p w14:paraId="79E71299" w14:textId="77777777" w:rsidR="00D3344B" w:rsidRDefault="00143C25">
            <w:pPr>
              <w:pStyle w:val="TableParagraph"/>
              <w:spacing w:line="233" w:lineRule="exact"/>
              <w:rPr>
                <w:rFonts w:ascii="Arial" w:hAnsi="Arial" w:cs="Arial"/>
                <w:sz w:val="18"/>
                <w:szCs w:val="18"/>
              </w:rPr>
            </w:pPr>
            <w:r>
              <w:rPr>
                <w:rFonts w:ascii="Arial" w:hAnsi="Arial" w:cs="Arial"/>
                <w:w w:val="115"/>
                <w:sz w:val="18"/>
                <w:szCs w:val="18"/>
              </w:rPr>
              <w:t>funcional</w:t>
            </w:r>
            <w:r>
              <w:rPr>
                <w:rFonts w:ascii="Arial" w:hAnsi="Arial" w:cs="Arial"/>
                <w:spacing w:val="-9"/>
                <w:w w:val="115"/>
                <w:sz w:val="18"/>
                <w:szCs w:val="18"/>
              </w:rPr>
              <w:t xml:space="preserve"> </w:t>
            </w:r>
            <w:r>
              <w:rPr>
                <w:rFonts w:ascii="Arial" w:hAnsi="Arial" w:cs="Arial"/>
                <w:w w:val="115"/>
                <w:sz w:val="18"/>
                <w:szCs w:val="18"/>
              </w:rPr>
              <w:t>con</w:t>
            </w:r>
            <w:r>
              <w:rPr>
                <w:rFonts w:ascii="Arial" w:hAnsi="Arial" w:cs="Arial"/>
                <w:spacing w:val="-10"/>
                <w:w w:val="115"/>
                <w:sz w:val="18"/>
                <w:szCs w:val="18"/>
              </w:rPr>
              <w:t xml:space="preserve"> </w:t>
            </w:r>
            <w:r>
              <w:rPr>
                <w:rFonts w:ascii="Arial" w:hAnsi="Arial" w:cs="Arial"/>
                <w:spacing w:val="-2"/>
                <w:w w:val="115"/>
                <w:sz w:val="18"/>
                <w:szCs w:val="18"/>
              </w:rPr>
              <w:t>contraste</w:t>
            </w:r>
          </w:p>
        </w:tc>
        <w:tc>
          <w:tcPr>
            <w:tcW w:w="697" w:type="dxa"/>
            <w:tcBorders>
              <w:top w:val="single" w:sz="4" w:space="0" w:color="000000"/>
              <w:left w:val="single" w:sz="4" w:space="0" w:color="000000"/>
              <w:bottom w:val="single" w:sz="4" w:space="0" w:color="000000"/>
              <w:right w:val="single" w:sz="4" w:space="0" w:color="000000"/>
            </w:tcBorders>
          </w:tcPr>
          <w:p w14:paraId="30C17E9B" w14:textId="77777777" w:rsidR="00D3344B" w:rsidRDefault="00D3344B">
            <w:pPr>
              <w:pStyle w:val="TableParagraph"/>
              <w:spacing w:before="8"/>
              <w:rPr>
                <w:rFonts w:ascii="Arial" w:hAnsi="Arial" w:cs="Arial"/>
                <w:sz w:val="18"/>
                <w:szCs w:val="18"/>
              </w:rPr>
            </w:pPr>
          </w:p>
          <w:p w14:paraId="0A22C014" w14:textId="77777777" w:rsidR="00D3344B" w:rsidRDefault="00143C25">
            <w:pPr>
              <w:pStyle w:val="TableParagraph"/>
              <w:spacing w:before="1"/>
              <w:ind w:left="2" w:right="-15"/>
              <w:rPr>
                <w:rFonts w:ascii="Arial" w:hAnsi="Arial" w:cs="Arial"/>
                <w:sz w:val="18"/>
                <w:szCs w:val="18"/>
              </w:rPr>
            </w:pPr>
            <w:r>
              <w:rPr>
                <w:rFonts w:ascii="Arial" w:hAnsi="Arial" w:cs="Arial"/>
                <w:spacing w:val="-2"/>
                <w:w w:val="115"/>
                <w:sz w:val="18"/>
                <w:szCs w:val="18"/>
              </w:rPr>
              <w:t>134.95</w:t>
            </w:r>
          </w:p>
        </w:tc>
        <w:tc>
          <w:tcPr>
            <w:tcW w:w="695" w:type="dxa"/>
            <w:tcBorders>
              <w:top w:val="single" w:sz="4" w:space="0" w:color="000000"/>
              <w:left w:val="single" w:sz="4" w:space="0" w:color="000000"/>
              <w:bottom w:val="single" w:sz="4" w:space="0" w:color="000000"/>
              <w:right w:val="single" w:sz="4" w:space="0" w:color="000000"/>
            </w:tcBorders>
          </w:tcPr>
          <w:p w14:paraId="722F627B" w14:textId="77777777" w:rsidR="00D3344B" w:rsidRDefault="00D3344B">
            <w:pPr>
              <w:pStyle w:val="TableParagraph"/>
              <w:spacing w:before="8"/>
              <w:rPr>
                <w:rFonts w:ascii="Arial" w:hAnsi="Arial" w:cs="Arial"/>
                <w:sz w:val="18"/>
                <w:szCs w:val="18"/>
              </w:rPr>
            </w:pPr>
          </w:p>
          <w:p w14:paraId="1EE1F0C3" w14:textId="77777777" w:rsidR="00D3344B" w:rsidRDefault="00143C25">
            <w:pPr>
              <w:pStyle w:val="TableParagraph"/>
              <w:spacing w:before="1"/>
              <w:ind w:right="-15"/>
              <w:rPr>
                <w:rFonts w:ascii="Arial" w:hAnsi="Arial" w:cs="Arial"/>
                <w:sz w:val="18"/>
                <w:szCs w:val="18"/>
              </w:rPr>
            </w:pPr>
            <w:r>
              <w:rPr>
                <w:rFonts w:ascii="Arial" w:hAnsi="Arial" w:cs="Arial"/>
                <w:spacing w:val="-2"/>
                <w:w w:val="115"/>
                <w:sz w:val="18"/>
                <w:szCs w:val="18"/>
              </w:rPr>
              <w:t>133.00</w:t>
            </w:r>
          </w:p>
        </w:tc>
        <w:tc>
          <w:tcPr>
            <w:tcW w:w="699" w:type="dxa"/>
            <w:tcBorders>
              <w:top w:val="single" w:sz="4" w:space="0" w:color="000000"/>
              <w:left w:val="single" w:sz="4" w:space="0" w:color="000000"/>
              <w:bottom w:val="single" w:sz="4" w:space="0" w:color="000000"/>
              <w:right w:val="single" w:sz="4" w:space="0" w:color="000000"/>
            </w:tcBorders>
          </w:tcPr>
          <w:p w14:paraId="5CDE27DA" w14:textId="77777777" w:rsidR="00D3344B" w:rsidRDefault="00D3344B">
            <w:pPr>
              <w:pStyle w:val="TableParagraph"/>
              <w:spacing w:before="8"/>
              <w:rPr>
                <w:rFonts w:ascii="Arial" w:hAnsi="Arial" w:cs="Arial"/>
                <w:sz w:val="18"/>
                <w:szCs w:val="18"/>
              </w:rPr>
            </w:pPr>
          </w:p>
          <w:p w14:paraId="51ABCD2E" w14:textId="77777777" w:rsidR="00D3344B" w:rsidRDefault="00143C25">
            <w:pPr>
              <w:pStyle w:val="TableParagraph"/>
              <w:spacing w:before="1"/>
              <w:ind w:right="-15"/>
              <w:rPr>
                <w:rFonts w:ascii="Arial" w:hAnsi="Arial" w:cs="Arial"/>
                <w:sz w:val="18"/>
                <w:szCs w:val="18"/>
              </w:rPr>
            </w:pPr>
            <w:r>
              <w:rPr>
                <w:rFonts w:ascii="Arial" w:hAnsi="Arial" w:cs="Arial"/>
                <w:spacing w:val="-2"/>
                <w:w w:val="115"/>
                <w:sz w:val="18"/>
                <w:szCs w:val="18"/>
              </w:rPr>
              <w:t>130.15</w:t>
            </w:r>
          </w:p>
        </w:tc>
        <w:tc>
          <w:tcPr>
            <w:tcW w:w="699" w:type="dxa"/>
            <w:tcBorders>
              <w:top w:val="single" w:sz="4" w:space="0" w:color="000000"/>
              <w:left w:val="single" w:sz="4" w:space="0" w:color="000000"/>
              <w:bottom w:val="single" w:sz="4" w:space="0" w:color="000000"/>
              <w:right w:val="single" w:sz="4" w:space="0" w:color="000000"/>
            </w:tcBorders>
          </w:tcPr>
          <w:p w14:paraId="46EB48A2" w14:textId="77777777" w:rsidR="00D3344B" w:rsidRDefault="00D3344B">
            <w:pPr>
              <w:pStyle w:val="TableParagraph"/>
              <w:spacing w:before="8"/>
              <w:rPr>
                <w:rFonts w:ascii="Arial" w:hAnsi="Arial" w:cs="Arial"/>
                <w:sz w:val="18"/>
                <w:szCs w:val="18"/>
              </w:rPr>
            </w:pPr>
          </w:p>
          <w:p w14:paraId="4B4E5068" w14:textId="77777777" w:rsidR="00D3344B" w:rsidRDefault="00143C25">
            <w:pPr>
              <w:pStyle w:val="TableParagraph"/>
              <w:spacing w:before="1"/>
              <w:ind w:left="5" w:right="-15"/>
              <w:rPr>
                <w:rFonts w:ascii="Arial" w:hAnsi="Arial" w:cs="Arial"/>
                <w:sz w:val="18"/>
                <w:szCs w:val="18"/>
              </w:rPr>
            </w:pPr>
            <w:r>
              <w:rPr>
                <w:rFonts w:ascii="Arial" w:hAnsi="Arial" w:cs="Arial"/>
                <w:spacing w:val="-2"/>
                <w:w w:val="115"/>
                <w:sz w:val="18"/>
                <w:szCs w:val="18"/>
              </w:rPr>
              <w:t>128.25</w:t>
            </w:r>
          </w:p>
        </w:tc>
        <w:tc>
          <w:tcPr>
            <w:tcW w:w="696" w:type="dxa"/>
            <w:tcBorders>
              <w:top w:val="single" w:sz="4" w:space="0" w:color="000000"/>
              <w:left w:val="single" w:sz="4" w:space="0" w:color="000000"/>
              <w:bottom w:val="single" w:sz="4" w:space="0" w:color="000000"/>
              <w:right w:val="single" w:sz="4" w:space="0" w:color="000000"/>
            </w:tcBorders>
          </w:tcPr>
          <w:p w14:paraId="166F92A8" w14:textId="77777777" w:rsidR="00D3344B" w:rsidRDefault="00D3344B">
            <w:pPr>
              <w:pStyle w:val="TableParagraph"/>
              <w:spacing w:before="8"/>
              <w:rPr>
                <w:rFonts w:ascii="Arial" w:hAnsi="Arial" w:cs="Arial"/>
                <w:sz w:val="18"/>
                <w:szCs w:val="18"/>
              </w:rPr>
            </w:pPr>
          </w:p>
          <w:p w14:paraId="5159E796" w14:textId="77777777" w:rsidR="00D3344B" w:rsidRDefault="00143C25">
            <w:pPr>
              <w:pStyle w:val="TableParagraph"/>
              <w:spacing w:before="1"/>
              <w:ind w:left="5" w:right="-15"/>
              <w:rPr>
                <w:rFonts w:ascii="Arial" w:hAnsi="Arial" w:cs="Arial"/>
                <w:sz w:val="18"/>
                <w:szCs w:val="18"/>
              </w:rPr>
            </w:pPr>
            <w:r>
              <w:rPr>
                <w:rFonts w:ascii="Arial" w:hAnsi="Arial" w:cs="Arial"/>
                <w:spacing w:val="-2"/>
                <w:w w:val="115"/>
                <w:sz w:val="18"/>
                <w:szCs w:val="18"/>
              </w:rPr>
              <w:t>125.00</w:t>
            </w:r>
          </w:p>
        </w:tc>
        <w:tc>
          <w:tcPr>
            <w:tcW w:w="527" w:type="dxa"/>
            <w:tcBorders>
              <w:top w:val="single" w:sz="4" w:space="0" w:color="000000"/>
              <w:left w:val="single" w:sz="4" w:space="0" w:color="000000"/>
              <w:bottom w:val="single" w:sz="4" w:space="0" w:color="000000"/>
              <w:right w:val="single" w:sz="4" w:space="0" w:color="000000"/>
            </w:tcBorders>
          </w:tcPr>
          <w:p w14:paraId="011633F2" w14:textId="77777777" w:rsidR="00D3344B" w:rsidRDefault="00D3344B">
            <w:pPr>
              <w:pStyle w:val="TableParagraph"/>
              <w:rPr>
                <w:rFonts w:ascii="Arial" w:hAnsi="Arial" w:cs="Arial"/>
                <w:sz w:val="18"/>
                <w:szCs w:val="18"/>
              </w:rPr>
            </w:pPr>
          </w:p>
        </w:tc>
      </w:tr>
      <w:tr w:rsidR="00D3344B" w14:paraId="603A741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0CAA283C" w14:textId="77777777" w:rsidR="00D3344B" w:rsidRDefault="00143C25">
            <w:pPr>
              <w:pStyle w:val="TableParagraph"/>
              <w:rPr>
                <w:rFonts w:ascii="Arial" w:hAnsi="Arial" w:cs="Arial"/>
                <w:sz w:val="18"/>
                <w:szCs w:val="18"/>
              </w:rPr>
            </w:pPr>
            <w:r>
              <w:rPr>
                <w:rFonts w:ascii="Arial" w:hAnsi="Arial" w:cs="Arial"/>
                <w:spacing w:val="-2"/>
                <w:sz w:val="18"/>
                <w:szCs w:val="18"/>
              </w:rPr>
              <w:t>02-RMN-037-</w:t>
            </w:r>
            <w:r>
              <w:rPr>
                <w:rFonts w:ascii="Arial" w:hAnsi="Arial" w:cs="Arial"/>
                <w:spacing w:val="-12"/>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76D64CE7" w14:textId="77777777" w:rsidR="00D3344B" w:rsidRDefault="00143C25">
            <w:pPr>
              <w:pStyle w:val="TableParagraph"/>
              <w:spacing w:line="254" w:lineRule="exact"/>
              <w:rPr>
                <w:rFonts w:ascii="Arial" w:hAnsi="Arial" w:cs="Arial"/>
                <w:sz w:val="18"/>
                <w:szCs w:val="18"/>
              </w:rPr>
            </w:pPr>
            <w:r>
              <w:rPr>
                <w:rFonts w:ascii="Arial" w:hAnsi="Arial" w:cs="Arial"/>
                <w:w w:val="110"/>
                <w:sz w:val="18"/>
                <w:szCs w:val="18"/>
              </w:rPr>
              <w:t>Resonancia</w:t>
            </w:r>
            <w:r>
              <w:rPr>
                <w:rFonts w:ascii="Arial" w:hAnsi="Arial" w:cs="Arial"/>
                <w:spacing w:val="36"/>
                <w:w w:val="110"/>
                <w:sz w:val="18"/>
                <w:szCs w:val="18"/>
              </w:rPr>
              <w:t xml:space="preserve"> </w:t>
            </w:r>
            <w:r>
              <w:rPr>
                <w:rFonts w:ascii="Arial" w:hAnsi="Arial" w:cs="Arial"/>
                <w:w w:val="110"/>
                <w:sz w:val="18"/>
                <w:szCs w:val="18"/>
              </w:rPr>
              <w:t>Magnética</w:t>
            </w:r>
            <w:r>
              <w:rPr>
                <w:rFonts w:ascii="Arial" w:hAnsi="Arial" w:cs="Arial"/>
                <w:spacing w:val="38"/>
                <w:w w:val="110"/>
                <w:sz w:val="18"/>
                <w:szCs w:val="18"/>
              </w:rPr>
              <w:t xml:space="preserve"> </w:t>
            </w:r>
            <w:r>
              <w:rPr>
                <w:rFonts w:ascii="Arial" w:hAnsi="Arial" w:cs="Arial"/>
                <w:w w:val="110"/>
                <w:sz w:val="18"/>
                <w:szCs w:val="18"/>
              </w:rPr>
              <w:t>de Próstata Contrastada</w:t>
            </w:r>
          </w:p>
        </w:tc>
        <w:tc>
          <w:tcPr>
            <w:tcW w:w="697" w:type="dxa"/>
            <w:tcBorders>
              <w:top w:val="single" w:sz="4" w:space="0" w:color="000000"/>
              <w:left w:val="single" w:sz="4" w:space="0" w:color="000000"/>
              <w:bottom w:val="single" w:sz="4" w:space="0" w:color="000000"/>
              <w:right w:val="single" w:sz="4" w:space="0" w:color="000000"/>
            </w:tcBorders>
          </w:tcPr>
          <w:p w14:paraId="1651223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77.00</w:t>
            </w:r>
          </w:p>
        </w:tc>
        <w:tc>
          <w:tcPr>
            <w:tcW w:w="695" w:type="dxa"/>
            <w:tcBorders>
              <w:top w:val="single" w:sz="4" w:space="0" w:color="000000"/>
              <w:left w:val="single" w:sz="4" w:space="0" w:color="000000"/>
              <w:bottom w:val="single" w:sz="4" w:space="0" w:color="000000"/>
              <w:right w:val="single" w:sz="4" w:space="0" w:color="000000"/>
            </w:tcBorders>
          </w:tcPr>
          <w:p w14:paraId="419A9230"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61E71F17"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7AA0A58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7FFADC4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58.00</w:t>
            </w:r>
          </w:p>
        </w:tc>
        <w:tc>
          <w:tcPr>
            <w:tcW w:w="527" w:type="dxa"/>
            <w:tcBorders>
              <w:top w:val="single" w:sz="4" w:space="0" w:color="000000"/>
              <w:left w:val="single" w:sz="4" w:space="0" w:color="000000"/>
              <w:bottom w:val="single" w:sz="4" w:space="0" w:color="000000"/>
              <w:right w:val="single" w:sz="4" w:space="0" w:color="000000"/>
            </w:tcBorders>
          </w:tcPr>
          <w:p w14:paraId="55E2288C" w14:textId="77777777" w:rsidR="00D3344B" w:rsidRDefault="00D3344B">
            <w:pPr>
              <w:pStyle w:val="TableParagraph"/>
              <w:rPr>
                <w:rFonts w:ascii="Arial" w:hAnsi="Arial" w:cs="Arial"/>
                <w:sz w:val="18"/>
                <w:szCs w:val="18"/>
              </w:rPr>
            </w:pPr>
          </w:p>
        </w:tc>
      </w:tr>
      <w:tr w:rsidR="00D3344B" w14:paraId="75C4AB2D"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3D83E85A" w14:textId="77777777" w:rsidR="00D3344B" w:rsidRDefault="00143C25">
            <w:pPr>
              <w:pStyle w:val="TableParagraph"/>
              <w:spacing w:line="249" w:lineRule="exact"/>
              <w:rPr>
                <w:rFonts w:ascii="Arial" w:hAnsi="Arial" w:cs="Arial"/>
                <w:sz w:val="18"/>
                <w:szCs w:val="18"/>
              </w:rPr>
            </w:pPr>
            <w:r>
              <w:rPr>
                <w:rFonts w:ascii="Arial" w:hAnsi="Arial" w:cs="Arial"/>
                <w:spacing w:val="-5"/>
                <w:w w:val="115"/>
                <w:sz w:val="18"/>
                <w:szCs w:val="18"/>
              </w:rPr>
              <w:t>02-</w:t>
            </w:r>
          </w:p>
          <w:p w14:paraId="08758A4F" w14:textId="77777777" w:rsidR="00D3344B" w:rsidRDefault="00143C25">
            <w:pPr>
              <w:pStyle w:val="TableParagraph"/>
              <w:spacing w:line="252" w:lineRule="exact"/>
              <w:rPr>
                <w:rFonts w:ascii="Arial" w:hAnsi="Arial" w:cs="Arial"/>
                <w:sz w:val="18"/>
                <w:szCs w:val="18"/>
              </w:rPr>
            </w:pPr>
            <w:r>
              <w:rPr>
                <w:rFonts w:ascii="Arial" w:hAnsi="Arial" w:cs="Arial"/>
                <w:spacing w:val="-2"/>
                <w:w w:val="110"/>
                <w:sz w:val="18"/>
                <w:szCs w:val="18"/>
              </w:rPr>
              <w:t xml:space="preserve">CONTRASTE- </w:t>
            </w:r>
            <w:r>
              <w:rPr>
                <w:rFonts w:ascii="Arial" w:hAnsi="Arial" w:cs="Arial"/>
                <w:spacing w:val="-4"/>
                <w:w w:val="115"/>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2047A25D" w14:textId="77777777" w:rsidR="00D3344B" w:rsidRDefault="00143C25">
            <w:pPr>
              <w:pStyle w:val="TableParagraph"/>
              <w:tabs>
                <w:tab w:val="left" w:pos="1253"/>
              </w:tabs>
              <w:ind w:right="535"/>
              <w:rPr>
                <w:rFonts w:ascii="Arial" w:hAnsi="Arial" w:cs="Arial"/>
                <w:sz w:val="18"/>
                <w:szCs w:val="18"/>
              </w:rPr>
            </w:pPr>
            <w:r>
              <w:rPr>
                <w:rFonts w:ascii="Arial" w:hAnsi="Arial" w:cs="Arial"/>
                <w:spacing w:val="-2"/>
                <w:w w:val="110"/>
                <w:sz w:val="18"/>
                <w:szCs w:val="18"/>
              </w:rPr>
              <w:t>Contraste</w:t>
            </w:r>
            <w:r>
              <w:rPr>
                <w:rFonts w:ascii="Arial" w:hAnsi="Arial" w:cs="Arial"/>
                <w:sz w:val="18"/>
                <w:szCs w:val="18"/>
              </w:rPr>
              <w:tab/>
            </w:r>
            <w:r>
              <w:rPr>
                <w:rFonts w:ascii="Arial" w:hAnsi="Arial" w:cs="Arial"/>
                <w:spacing w:val="-4"/>
                <w:w w:val="110"/>
                <w:sz w:val="18"/>
                <w:szCs w:val="18"/>
              </w:rPr>
              <w:t xml:space="preserve">Hidrosoluble </w:t>
            </w:r>
            <w:r>
              <w:rPr>
                <w:rFonts w:ascii="Arial" w:hAnsi="Arial" w:cs="Arial"/>
                <w:w w:val="110"/>
                <w:sz w:val="18"/>
                <w:szCs w:val="18"/>
              </w:rPr>
              <w:t>Tomografía 100 ml</w:t>
            </w:r>
          </w:p>
        </w:tc>
        <w:tc>
          <w:tcPr>
            <w:tcW w:w="697" w:type="dxa"/>
            <w:tcBorders>
              <w:top w:val="single" w:sz="4" w:space="0" w:color="000000"/>
              <w:left w:val="single" w:sz="4" w:space="0" w:color="000000"/>
              <w:bottom w:val="single" w:sz="4" w:space="0" w:color="000000"/>
              <w:right w:val="single" w:sz="4" w:space="0" w:color="000000"/>
            </w:tcBorders>
          </w:tcPr>
          <w:p w14:paraId="772C7CF5"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16.50</w:t>
            </w:r>
          </w:p>
        </w:tc>
        <w:tc>
          <w:tcPr>
            <w:tcW w:w="695" w:type="dxa"/>
            <w:tcBorders>
              <w:top w:val="single" w:sz="4" w:space="0" w:color="000000"/>
              <w:left w:val="single" w:sz="4" w:space="0" w:color="000000"/>
              <w:bottom w:val="single" w:sz="4" w:space="0" w:color="000000"/>
              <w:right w:val="single" w:sz="4" w:space="0" w:color="000000"/>
            </w:tcBorders>
          </w:tcPr>
          <w:p w14:paraId="00C2C588"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15.50</w:t>
            </w:r>
          </w:p>
        </w:tc>
        <w:tc>
          <w:tcPr>
            <w:tcW w:w="699" w:type="dxa"/>
            <w:tcBorders>
              <w:top w:val="single" w:sz="4" w:space="0" w:color="000000"/>
              <w:left w:val="single" w:sz="4" w:space="0" w:color="000000"/>
              <w:bottom w:val="single" w:sz="4" w:space="0" w:color="000000"/>
              <w:right w:val="single" w:sz="4" w:space="0" w:color="000000"/>
            </w:tcBorders>
          </w:tcPr>
          <w:p w14:paraId="4B20B61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14.75</w:t>
            </w:r>
          </w:p>
        </w:tc>
        <w:tc>
          <w:tcPr>
            <w:tcW w:w="699" w:type="dxa"/>
            <w:tcBorders>
              <w:top w:val="single" w:sz="4" w:space="0" w:color="000000"/>
              <w:left w:val="single" w:sz="4" w:space="0" w:color="000000"/>
              <w:bottom w:val="single" w:sz="4" w:space="0" w:color="000000"/>
              <w:right w:val="single" w:sz="4" w:space="0" w:color="000000"/>
            </w:tcBorders>
          </w:tcPr>
          <w:p w14:paraId="40F584D7"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14.00</w:t>
            </w:r>
          </w:p>
        </w:tc>
        <w:tc>
          <w:tcPr>
            <w:tcW w:w="696" w:type="dxa"/>
            <w:tcBorders>
              <w:top w:val="single" w:sz="4" w:space="0" w:color="000000"/>
              <w:left w:val="single" w:sz="4" w:space="0" w:color="000000"/>
              <w:bottom w:val="single" w:sz="4" w:space="0" w:color="000000"/>
              <w:right w:val="single" w:sz="4" w:space="0" w:color="000000"/>
            </w:tcBorders>
          </w:tcPr>
          <w:p w14:paraId="25F6092B"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13.25</w:t>
            </w:r>
          </w:p>
        </w:tc>
        <w:tc>
          <w:tcPr>
            <w:tcW w:w="527" w:type="dxa"/>
            <w:tcBorders>
              <w:top w:val="single" w:sz="4" w:space="0" w:color="000000"/>
              <w:left w:val="single" w:sz="4" w:space="0" w:color="000000"/>
              <w:bottom w:val="single" w:sz="4" w:space="0" w:color="000000"/>
              <w:right w:val="single" w:sz="4" w:space="0" w:color="000000"/>
            </w:tcBorders>
          </w:tcPr>
          <w:p w14:paraId="6ACA8106" w14:textId="77777777" w:rsidR="00D3344B" w:rsidRDefault="00D3344B">
            <w:pPr>
              <w:pStyle w:val="TableParagraph"/>
              <w:rPr>
                <w:rFonts w:ascii="Arial" w:hAnsi="Arial" w:cs="Arial"/>
                <w:sz w:val="18"/>
                <w:szCs w:val="18"/>
              </w:rPr>
            </w:pPr>
          </w:p>
        </w:tc>
      </w:tr>
      <w:tr w:rsidR="00D3344B" w14:paraId="1C2D419F"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14E7E20C" w14:textId="77777777" w:rsidR="00D3344B" w:rsidRDefault="00143C25">
            <w:pPr>
              <w:pStyle w:val="TableParagraph"/>
              <w:ind w:right="204"/>
              <w:rPr>
                <w:rFonts w:ascii="Arial" w:hAnsi="Arial" w:cs="Arial"/>
                <w:sz w:val="18"/>
                <w:szCs w:val="18"/>
              </w:rPr>
            </w:pPr>
            <w:r>
              <w:rPr>
                <w:rFonts w:ascii="Arial" w:hAnsi="Arial" w:cs="Arial"/>
                <w:spacing w:val="-4"/>
                <w:w w:val="115"/>
                <w:sz w:val="18"/>
                <w:szCs w:val="18"/>
              </w:rPr>
              <w:t xml:space="preserve">02- </w:t>
            </w:r>
            <w:r>
              <w:rPr>
                <w:rFonts w:ascii="Arial" w:hAnsi="Arial" w:cs="Arial"/>
                <w:spacing w:val="-2"/>
                <w:w w:val="110"/>
                <w:sz w:val="18"/>
                <w:szCs w:val="18"/>
              </w:rPr>
              <w:t>CONTRASTE-</w:t>
            </w:r>
          </w:p>
          <w:p w14:paraId="1ED7B436" w14:textId="77777777" w:rsidR="00D3344B" w:rsidRDefault="00143C25">
            <w:pPr>
              <w:pStyle w:val="TableParagraph"/>
              <w:spacing w:line="233" w:lineRule="exact"/>
              <w:rPr>
                <w:rFonts w:ascii="Arial" w:hAnsi="Arial" w:cs="Arial"/>
                <w:sz w:val="18"/>
                <w:szCs w:val="18"/>
              </w:rPr>
            </w:pPr>
            <w:r>
              <w:rPr>
                <w:rFonts w:ascii="Arial" w:hAnsi="Arial" w:cs="Arial"/>
                <w:spacing w:val="-5"/>
                <w:w w:val="115"/>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54294AE4" w14:textId="77777777" w:rsidR="00D3344B" w:rsidRDefault="00143C25">
            <w:pPr>
              <w:pStyle w:val="TableParagraph"/>
              <w:tabs>
                <w:tab w:val="left" w:pos="1253"/>
              </w:tabs>
              <w:ind w:right="535"/>
              <w:rPr>
                <w:rFonts w:ascii="Arial" w:hAnsi="Arial" w:cs="Arial"/>
                <w:sz w:val="18"/>
                <w:szCs w:val="18"/>
              </w:rPr>
            </w:pPr>
            <w:r>
              <w:rPr>
                <w:rFonts w:ascii="Arial" w:hAnsi="Arial" w:cs="Arial"/>
                <w:spacing w:val="-2"/>
                <w:w w:val="110"/>
                <w:sz w:val="18"/>
                <w:szCs w:val="18"/>
              </w:rPr>
              <w:t>Contraste</w:t>
            </w:r>
            <w:r>
              <w:rPr>
                <w:rFonts w:ascii="Arial" w:hAnsi="Arial" w:cs="Arial"/>
                <w:sz w:val="18"/>
                <w:szCs w:val="18"/>
              </w:rPr>
              <w:tab/>
            </w:r>
            <w:r>
              <w:rPr>
                <w:rFonts w:ascii="Arial" w:hAnsi="Arial" w:cs="Arial"/>
                <w:spacing w:val="-4"/>
                <w:w w:val="110"/>
                <w:sz w:val="18"/>
                <w:szCs w:val="18"/>
              </w:rPr>
              <w:t xml:space="preserve">Hidrosoluble </w:t>
            </w:r>
            <w:r>
              <w:rPr>
                <w:rFonts w:ascii="Arial" w:hAnsi="Arial" w:cs="Arial"/>
                <w:w w:val="110"/>
                <w:sz w:val="18"/>
                <w:szCs w:val="18"/>
              </w:rPr>
              <w:t>Tomografía 50 ml</w:t>
            </w:r>
          </w:p>
        </w:tc>
        <w:tc>
          <w:tcPr>
            <w:tcW w:w="697" w:type="dxa"/>
            <w:tcBorders>
              <w:top w:val="single" w:sz="4" w:space="0" w:color="000000"/>
              <w:left w:val="single" w:sz="4" w:space="0" w:color="000000"/>
              <w:bottom w:val="single" w:sz="4" w:space="0" w:color="000000"/>
              <w:right w:val="single" w:sz="4" w:space="0" w:color="000000"/>
            </w:tcBorders>
          </w:tcPr>
          <w:p w14:paraId="4F2AED69" w14:textId="77777777" w:rsidR="00D3344B" w:rsidRDefault="00D3344B">
            <w:pPr>
              <w:pStyle w:val="TableParagraph"/>
              <w:spacing w:before="8"/>
              <w:rPr>
                <w:rFonts w:ascii="Arial" w:hAnsi="Arial" w:cs="Arial"/>
                <w:sz w:val="18"/>
                <w:szCs w:val="18"/>
              </w:rPr>
            </w:pPr>
          </w:p>
          <w:p w14:paraId="3CE2B427"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9.00</w:t>
            </w:r>
          </w:p>
        </w:tc>
        <w:tc>
          <w:tcPr>
            <w:tcW w:w="695" w:type="dxa"/>
            <w:tcBorders>
              <w:top w:val="single" w:sz="4" w:space="0" w:color="000000"/>
              <w:left w:val="single" w:sz="4" w:space="0" w:color="000000"/>
              <w:bottom w:val="single" w:sz="4" w:space="0" w:color="000000"/>
              <w:right w:val="single" w:sz="4" w:space="0" w:color="000000"/>
            </w:tcBorders>
          </w:tcPr>
          <w:p w14:paraId="6026224B" w14:textId="77777777" w:rsidR="00D3344B" w:rsidRDefault="00D3344B">
            <w:pPr>
              <w:pStyle w:val="TableParagraph"/>
              <w:spacing w:before="8"/>
              <w:rPr>
                <w:rFonts w:ascii="Arial" w:hAnsi="Arial" w:cs="Arial"/>
                <w:sz w:val="18"/>
                <w:szCs w:val="18"/>
              </w:rPr>
            </w:pPr>
          </w:p>
          <w:p w14:paraId="31FE8731"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8.25</w:t>
            </w:r>
          </w:p>
        </w:tc>
        <w:tc>
          <w:tcPr>
            <w:tcW w:w="699" w:type="dxa"/>
            <w:tcBorders>
              <w:top w:val="single" w:sz="4" w:space="0" w:color="000000"/>
              <w:left w:val="single" w:sz="4" w:space="0" w:color="000000"/>
              <w:bottom w:val="single" w:sz="4" w:space="0" w:color="000000"/>
              <w:right w:val="single" w:sz="4" w:space="0" w:color="000000"/>
            </w:tcBorders>
          </w:tcPr>
          <w:p w14:paraId="0C952484" w14:textId="77777777" w:rsidR="00D3344B" w:rsidRDefault="00D3344B">
            <w:pPr>
              <w:pStyle w:val="TableParagraph"/>
              <w:spacing w:before="8"/>
              <w:rPr>
                <w:rFonts w:ascii="Arial" w:hAnsi="Arial" w:cs="Arial"/>
                <w:sz w:val="18"/>
                <w:szCs w:val="18"/>
              </w:rPr>
            </w:pPr>
          </w:p>
          <w:p w14:paraId="50A69AE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7.50</w:t>
            </w:r>
          </w:p>
        </w:tc>
        <w:tc>
          <w:tcPr>
            <w:tcW w:w="699" w:type="dxa"/>
            <w:tcBorders>
              <w:top w:val="single" w:sz="4" w:space="0" w:color="000000"/>
              <w:left w:val="single" w:sz="4" w:space="0" w:color="000000"/>
              <w:bottom w:val="single" w:sz="4" w:space="0" w:color="000000"/>
              <w:right w:val="single" w:sz="4" w:space="0" w:color="000000"/>
            </w:tcBorders>
          </w:tcPr>
          <w:p w14:paraId="22910CD9" w14:textId="77777777" w:rsidR="00D3344B" w:rsidRDefault="00D3344B">
            <w:pPr>
              <w:pStyle w:val="TableParagraph"/>
              <w:spacing w:before="8"/>
              <w:rPr>
                <w:rFonts w:ascii="Arial" w:hAnsi="Arial" w:cs="Arial"/>
                <w:sz w:val="18"/>
                <w:szCs w:val="18"/>
              </w:rPr>
            </w:pPr>
          </w:p>
          <w:p w14:paraId="31A6A984"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6.75</w:t>
            </w:r>
          </w:p>
        </w:tc>
        <w:tc>
          <w:tcPr>
            <w:tcW w:w="696" w:type="dxa"/>
            <w:tcBorders>
              <w:top w:val="single" w:sz="4" w:space="0" w:color="000000"/>
              <w:left w:val="single" w:sz="4" w:space="0" w:color="000000"/>
              <w:bottom w:val="single" w:sz="4" w:space="0" w:color="000000"/>
              <w:right w:val="single" w:sz="4" w:space="0" w:color="000000"/>
            </w:tcBorders>
          </w:tcPr>
          <w:p w14:paraId="61C1E7C5" w14:textId="77777777" w:rsidR="00D3344B" w:rsidRDefault="00D3344B">
            <w:pPr>
              <w:pStyle w:val="TableParagraph"/>
              <w:spacing w:before="8"/>
              <w:rPr>
                <w:rFonts w:ascii="Arial" w:hAnsi="Arial" w:cs="Arial"/>
                <w:sz w:val="18"/>
                <w:szCs w:val="18"/>
              </w:rPr>
            </w:pPr>
          </w:p>
          <w:p w14:paraId="66E560F5"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6.25</w:t>
            </w:r>
          </w:p>
        </w:tc>
        <w:tc>
          <w:tcPr>
            <w:tcW w:w="527" w:type="dxa"/>
            <w:tcBorders>
              <w:top w:val="single" w:sz="4" w:space="0" w:color="000000"/>
              <w:left w:val="single" w:sz="4" w:space="0" w:color="000000"/>
              <w:bottom w:val="single" w:sz="4" w:space="0" w:color="000000"/>
              <w:right w:val="single" w:sz="4" w:space="0" w:color="000000"/>
            </w:tcBorders>
          </w:tcPr>
          <w:p w14:paraId="08C58288" w14:textId="77777777" w:rsidR="00D3344B" w:rsidRDefault="00D3344B">
            <w:pPr>
              <w:pStyle w:val="TableParagraph"/>
              <w:rPr>
                <w:rFonts w:ascii="Arial" w:hAnsi="Arial" w:cs="Arial"/>
                <w:sz w:val="18"/>
                <w:szCs w:val="18"/>
              </w:rPr>
            </w:pPr>
          </w:p>
        </w:tc>
      </w:tr>
      <w:tr w:rsidR="00D3344B" w14:paraId="31DD619A" w14:textId="77777777">
        <w:trPr>
          <w:trHeight w:val="757"/>
        </w:trPr>
        <w:tc>
          <w:tcPr>
            <w:tcW w:w="1776" w:type="dxa"/>
            <w:tcBorders>
              <w:top w:val="single" w:sz="4" w:space="0" w:color="000000"/>
              <w:left w:val="single" w:sz="4" w:space="0" w:color="000000"/>
              <w:bottom w:val="single" w:sz="4" w:space="0" w:color="000000"/>
              <w:right w:val="single" w:sz="4" w:space="0" w:color="000000"/>
            </w:tcBorders>
          </w:tcPr>
          <w:p w14:paraId="0F3B3CAB" w14:textId="77777777" w:rsidR="00D3344B" w:rsidRDefault="00143C25">
            <w:pPr>
              <w:pStyle w:val="TableParagraph"/>
              <w:rPr>
                <w:rFonts w:ascii="Arial" w:hAnsi="Arial" w:cs="Arial"/>
                <w:sz w:val="18"/>
                <w:szCs w:val="18"/>
              </w:rPr>
            </w:pPr>
            <w:r>
              <w:rPr>
                <w:rFonts w:ascii="Arial" w:hAnsi="Arial" w:cs="Arial"/>
                <w:spacing w:val="-5"/>
                <w:w w:val="115"/>
                <w:sz w:val="18"/>
                <w:szCs w:val="18"/>
              </w:rPr>
              <w:t>02-</w:t>
            </w:r>
          </w:p>
          <w:p w14:paraId="6E931FAB" w14:textId="77777777" w:rsidR="00D3344B" w:rsidRDefault="00143C25">
            <w:pPr>
              <w:pStyle w:val="TableParagraph"/>
              <w:spacing w:line="252" w:lineRule="exact"/>
              <w:rPr>
                <w:rFonts w:ascii="Arial" w:hAnsi="Arial" w:cs="Arial"/>
                <w:sz w:val="18"/>
                <w:szCs w:val="18"/>
              </w:rPr>
            </w:pPr>
            <w:r>
              <w:rPr>
                <w:rFonts w:ascii="Arial" w:hAnsi="Arial" w:cs="Arial"/>
                <w:spacing w:val="-2"/>
                <w:w w:val="110"/>
                <w:sz w:val="18"/>
                <w:szCs w:val="18"/>
              </w:rPr>
              <w:t xml:space="preserve">CONTRASTE- </w:t>
            </w:r>
            <w:r>
              <w:rPr>
                <w:rFonts w:ascii="Arial" w:hAnsi="Arial" w:cs="Arial"/>
                <w:spacing w:val="-4"/>
                <w:w w:val="110"/>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1D32E221" w14:textId="77777777" w:rsidR="00D3344B" w:rsidRDefault="00143C25">
            <w:pPr>
              <w:pStyle w:val="TableParagraph"/>
              <w:tabs>
                <w:tab w:val="left" w:pos="1205"/>
                <w:tab w:val="left" w:pos="1867"/>
              </w:tabs>
              <w:rPr>
                <w:rFonts w:ascii="Arial" w:hAnsi="Arial" w:cs="Arial"/>
                <w:sz w:val="18"/>
                <w:szCs w:val="18"/>
              </w:rPr>
            </w:pPr>
            <w:r>
              <w:rPr>
                <w:rFonts w:ascii="Arial" w:hAnsi="Arial" w:cs="Arial"/>
                <w:spacing w:val="-2"/>
                <w:w w:val="115"/>
                <w:sz w:val="18"/>
                <w:szCs w:val="18"/>
              </w:rPr>
              <w:t>Contraste</w:t>
            </w:r>
            <w:r>
              <w:rPr>
                <w:rFonts w:ascii="Arial" w:hAnsi="Arial" w:cs="Arial"/>
                <w:sz w:val="18"/>
                <w:szCs w:val="18"/>
              </w:rPr>
              <w:tab/>
            </w:r>
            <w:r>
              <w:rPr>
                <w:rFonts w:ascii="Arial" w:hAnsi="Arial" w:cs="Arial"/>
                <w:spacing w:val="-4"/>
                <w:w w:val="115"/>
                <w:sz w:val="18"/>
                <w:szCs w:val="18"/>
              </w:rPr>
              <w:t>para</w:t>
            </w:r>
            <w:r>
              <w:rPr>
                <w:rFonts w:ascii="Arial" w:hAnsi="Arial" w:cs="Arial"/>
                <w:sz w:val="18"/>
                <w:szCs w:val="18"/>
              </w:rPr>
              <w:tab/>
            </w:r>
            <w:r>
              <w:rPr>
                <w:rFonts w:ascii="Arial" w:hAnsi="Arial" w:cs="Arial"/>
                <w:spacing w:val="-2"/>
                <w:w w:val="115"/>
                <w:sz w:val="18"/>
                <w:szCs w:val="18"/>
              </w:rPr>
              <w:t xml:space="preserve">Resonancia </w:t>
            </w:r>
            <w:r>
              <w:rPr>
                <w:rFonts w:ascii="Arial" w:hAnsi="Arial" w:cs="Arial"/>
                <w:w w:val="115"/>
                <w:sz w:val="18"/>
                <w:szCs w:val="18"/>
              </w:rPr>
              <w:t>Magnética Pediátrico</w:t>
            </w:r>
          </w:p>
        </w:tc>
        <w:tc>
          <w:tcPr>
            <w:tcW w:w="697" w:type="dxa"/>
            <w:tcBorders>
              <w:top w:val="single" w:sz="4" w:space="0" w:color="000000"/>
              <w:left w:val="single" w:sz="4" w:space="0" w:color="000000"/>
              <w:bottom w:val="single" w:sz="4" w:space="0" w:color="000000"/>
              <w:right w:val="single" w:sz="4" w:space="0" w:color="000000"/>
            </w:tcBorders>
          </w:tcPr>
          <w:p w14:paraId="4419BAF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7.00</w:t>
            </w:r>
          </w:p>
        </w:tc>
        <w:tc>
          <w:tcPr>
            <w:tcW w:w="695" w:type="dxa"/>
            <w:tcBorders>
              <w:top w:val="single" w:sz="4" w:space="0" w:color="000000"/>
              <w:left w:val="single" w:sz="4" w:space="0" w:color="000000"/>
              <w:bottom w:val="single" w:sz="4" w:space="0" w:color="000000"/>
              <w:right w:val="single" w:sz="4" w:space="0" w:color="000000"/>
            </w:tcBorders>
          </w:tcPr>
          <w:p w14:paraId="2A2691AA" w14:textId="77777777" w:rsidR="00D3344B" w:rsidRDefault="00143C25">
            <w:pPr>
              <w:pStyle w:val="TableParagraph"/>
              <w:rPr>
                <w:rFonts w:ascii="Arial" w:hAnsi="Arial" w:cs="Arial"/>
                <w:sz w:val="18"/>
                <w:szCs w:val="18"/>
              </w:rPr>
            </w:pPr>
            <w:r>
              <w:rPr>
                <w:rFonts w:ascii="Arial" w:hAnsi="Arial" w:cs="Arial"/>
                <w:spacing w:val="-4"/>
                <w:w w:val="115"/>
                <w:sz w:val="18"/>
                <w:szCs w:val="18"/>
              </w:rPr>
              <w:t>6.25</w:t>
            </w:r>
          </w:p>
        </w:tc>
        <w:tc>
          <w:tcPr>
            <w:tcW w:w="699" w:type="dxa"/>
            <w:tcBorders>
              <w:top w:val="single" w:sz="4" w:space="0" w:color="000000"/>
              <w:left w:val="single" w:sz="4" w:space="0" w:color="000000"/>
              <w:bottom w:val="single" w:sz="4" w:space="0" w:color="000000"/>
              <w:right w:val="single" w:sz="4" w:space="0" w:color="000000"/>
            </w:tcBorders>
          </w:tcPr>
          <w:p w14:paraId="24AEEADF" w14:textId="77777777" w:rsidR="00D3344B" w:rsidRDefault="00143C25">
            <w:pPr>
              <w:pStyle w:val="TableParagraph"/>
              <w:rPr>
                <w:rFonts w:ascii="Arial" w:hAnsi="Arial" w:cs="Arial"/>
                <w:sz w:val="18"/>
                <w:szCs w:val="18"/>
              </w:rPr>
            </w:pPr>
            <w:r>
              <w:rPr>
                <w:rFonts w:ascii="Arial" w:hAnsi="Arial" w:cs="Arial"/>
                <w:spacing w:val="-4"/>
                <w:w w:val="115"/>
                <w:sz w:val="18"/>
                <w:szCs w:val="18"/>
              </w:rPr>
              <w:t>5.50</w:t>
            </w:r>
          </w:p>
        </w:tc>
        <w:tc>
          <w:tcPr>
            <w:tcW w:w="699" w:type="dxa"/>
            <w:tcBorders>
              <w:top w:val="single" w:sz="4" w:space="0" w:color="000000"/>
              <w:left w:val="single" w:sz="4" w:space="0" w:color="000000"/>
              <w:bottom w:val="single" w:sz="4" w:space="0" w:color="000000"/>
              <w:right w:val="single" w:sz="4" w:space="0" w:color="000000"/>
            </w:tcBorders>
          </w:tcPr>
          <w:p w14:paraId="657524C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4.75</w:t>
            </w:r>
          </w:p>
        </w:tc>
        <w:tc>
          <w:tcPr>
            <w:tcW w:w="696" w:type="dxa"/>
            <w:tcBorders>
              <w:top w:val="single" w:sz="4" w:space="0" w:color="000000"/>
              <w:left w:val="single" w:sz="4" w:space="0" w:color="000000"/>
              <w:bottom w:val="single" w:sz="4" w:space="0" w:color="000000"/>
              <w:right w:val="single" w:sz="4" w:space="0" w:color="000000"/>
            </w:tcBorders>
          </w:tcPr>
          <w:p w14:paraId="5A1005B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4.00</w:t>
            </w:r>
          </w:p>
        </w:tc>
        <w:tc>
          <w:tcPr>
            <w:tcW w:w="527" w:type="dxa"/>
            <w:tcBorders>
              <w:top w:val="single" w:sz="4" w:space="0" w:color="000000"/>
              <w:left w:val="single" w:sz="4" w:space="0" w:color="000000"/>
              <w:bottom w:val="single" w:sz="4" w:space="0" w:color="000000"/>
              <w:right w:val="single" w:sz="4" w:space="0" w:color="000000"/>
            </w:tcBorders>
          </w:tcPr>
          <w:p w14:paraId="33B7EBCA" w14:textId="77777777" w:rsidR="00D3344B" w:rsidRDefault="00D3344B">
            <w:pPr>
              <w:pStyle w:val="TableParagraph"/>
              <w:rPr>
                <w:rFonts w:ascii="Arial" w:hAnsi="Arial" w:cs="Arial"/>
                <w:sz w:val="18"/>
                <w:szCs w:val="18"/>
              </w:rPr>
            </w:pPr>
          </w:p>
        </w:tc>
      </w:tr>
      <w:tr w:rsidR="00D3344B" w14:paraId="67DC7C19" w14:textId="77777777">
        <w:trPr>
          <w:trHeight w:val="1012"/>
        </w:trPr>
        <w:tc>
          <w:tcPr>
            <w:tcW w:w="1776" w:type="dxa"/>
            <w:tcBorders>
              <w:top w:val="single" w:sz="4" w:space="0" w:color="000000"/>
              <w:left w:val="single" w:sz="4" w:space="0" w:color="000000"/>
              <w:bottom w:val="single" w:sz="4" w:space="0" w:color="000000"/>
              <w:right w:val="single" w:sz="4" w:space="0" w:color="000000"/>
            </w:tcBorders>
          </w:tcPr>
          <w:p w14:paraId="14F613C9" w14:textId="77777777" w:rsidR="00D3344B" w:rsidRDefault="00D3344B">
            <w:pPr>
              <w:pStyle w:val="TableParagraph"/>
              <w:spacing w:before="11"/>
              <w:rPr>
                <w:rFonts w:ascii="Arial" w:hAnsi="Arial" w:cs="Arial"/>
                <w:sz w:val="18"/>
                <w:szCs w:val="18"/>
              </w:rPr>
            </w:pPr>
          </w:p>
          <w:p w14:paraId="3F61BA65" w14:textId="77777777" w:rsidR="00D3344B" w:rsidRDefault="00143C25">
            <w:pPr>
              <w:pStyle w:val="TableParagraph"/>
              <w:ind w:right="204"/>
              <w:rPr>
                <w:rFonts w:ascii="Arial" w:hAnsi="Arial" w:cs="Arial"/>
                <w:sz w:val="18"/>
                <w:szCs w:val="18"/>
              </w:rPr>
            </w:pPr>
            <w:r>
              <w:rPr>
                <w:rFonts w:ascii="Arial" w:hAnsi="Arial" w:cs="Arial"/>
                <w:spacing w:val="-4"/>
                <w:w w:val="115"/>
                <w:sz w:val="18"/>
                <w:szCs w:val="18"/>
              </w:rPr>
              <w:t xml:space="preserve">02- </w:t>
            </w:r>
            <w:r>
              <w:rPr>
                <w:rFonts w:ascii="Arial" w:hAnsi="Arial" w:cs="Arial"/>
                <w:spacing w:val="-2"/>
                <w:w w:val="110"/>
                <w:sz w:val="18"/>
                <w:szCs w:val="18"/>
              </w:rPr>
              <w:t>CONTRASTE-</w:t>
            </w:r>
          </w:p>
          <w:p w14:paraId="23388D42" w14:textId="77777777" w:rsidR="00D3344B" w:rsidRDefault="00143C25">
            <w:pPr>
              <w:pStyle w:val="TableParagraph"/>
              <w:spacing w:line="233" w:lineRule="exact"/>
              <w:rPr>
                <w:rFonts w:ascii="Arial" w:hAnsi="Arial" w:cs="Arial"/>
                <w:sz w:val="18"/>
                <w:szCs w:val="18"/>
              </w:rPr>
            </w:pPr>
            <w:r>
              <w:rPr>
                <w:rFonts w:ascii="Arial" w:hAnsi="Arial" w:cs="Arial"/>
                <w:spacing w:val="-5"/>
                <w:w w:val="115"/>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4B8FEB47" w14:textId="77777777" w:rsidR="00D3344B" w:rsidRDefault="00143C25">
            <w:pPr>
              <w:pStyle w:val="TableParagraph"/>
              <w:tabs>
                <w:tab w:val="left" w:pos="1205"/>
                <w:tab w:val="left" w:pos="1867"/>
              </w:tabs>
              <w:spacing w:before="1"/>
              <w:rPr>
                <w:rFonts w:ascii="Arial" w:hAnsi="Arial" w:cs="Arial"/>
                <w:sz w:val="18"/>
                <w:szCs w:val="18"/>
              </w:rPr>
            </w:pPr>
            <w:r>
              <w:rPr>
                <w:rFonts w:ascii="Arial" w:hAnsi="Arial" w:cs="Arial"/>
                <w:spacing w:val="-2"/>
                <w:w w:val="115"/>
                <w:sz w:val="18"/>
                <w:szCs w:val="18"/>
              </w:rPr>
              <w:t>Contraste</w:t>
            </w:r>
            <w:r>
              <w:rPr>
                <w:rFonts w:ascii="Arial" w:hAnsi="Arial" w:cs="Arial"/>
                <w:sz w:val="18"/>
                <w:szCs w:val="18"/>
              </w:rPr>
              <w:tab/>
            </w:r>
            <w:r>
              <w:rPr>
                <w:rFonts w:ascii="Arial" w:hAnsi="Arial" w:cs="Arial"/>
                <w:spacing w:val="-4"/>
                <w:w w:val="115"/>
                <w:sz w:val="18"/>
                <w:szCs w:val="18"/>
              </w:rPr>
              <w:t>para</w:t>
            </w:r>
            <w:r>
              <w:rPr>
                <w:rFonts w:ascii="Arial" w:hAnsi="Arial" w:cs="Arial"/>
                <w:sz w:val="18"/>
                <w:szCs w:val="18"/>
              </w:rPr>
              <w:tab/>
            </w:r>
            <w:r>
              <w:rPr>
                <w:rFonts w:ascii="Arial" w:hAnsi="Arial" w:cs="Arial"/>
                <w:spacing w:val="-2"/>
                <w:w w:val="115"/>
                <w:sz w:val="18"/>
                <w:szCs w:val="18"/>
              </w:rPr>
              <w:t xml:space="preserve">Resonancia </w:t>
            </w:r>
            <w:r>
              <w:rPr>
                <w:rFonts w:ascii="Arial" w:hAnsi="Arial" w:cs="Arial"/>
                <w:w w:val="115"/>
                <w:sz w:val="18"/>
                <w:szCs w:val="18"/>
              </w:rPr>
              <w:t>Magnética Adulto</w:t>
            </w:r>
          </w:p>
        </w:tc>
        <w:tc>
          <w:tcPr>
            <w:tcW w:w="697" w:type="dxa"/>
            <w:tcBorders>
              <w:top w:val="single" w:sz="4" w:space="0" w:color="000000"/>
              <w:left w:val="single" w:sz="4" w:space="0" w:color="000000"/>
              <w:bottom w:val="single" w:sz="4" w:space="0" w:color="000000"/>
              <w:right w:val="single" w:sz="4" w:space="0" w:color="000000"/>
            </w:tcBorders>
          </w:tcPr>
          <w:p w14:paraId="6B41D583" w14:textId="77777777" w:rsidR="00D3344B" w:rsidRDefault="00D3344B">
            <w:pPr>
              <w:pStyle w:val="TableParagraph"/>
              <w:spacing w:before="11"/>
              <w:rPr>
                <w:rFonts w:ascii="Arial" w:hAnsi="Arial" w:cs="Arial"/>
                <w:sz w:val="18"/>
                <w:szCs w:val="18"/>
              </w:rPr>
            </w:pPr>
          </w:p>
          <w:p w14:paraId="57A8F0C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14.00</w:t>
            </w:r>
          </w:p>
        </w:tc>
        <w:tc>
          <w:tcPr>
            <w:tcW w:w="695" w:type="dxa"/>
            <w:tcBorders>
              <w:top w:val="single" w:sz="4" w:space="0" w:color="000000"/>
              <w:left w:val="single" w:sz="4" w:space="0" w:color="000000"/>
              <w:bottom w:val="single" w:sz="4" w:space="0" w:color="000000"/>
              <w:right w:val="single" w:sz="4" w:space="0" w:color="000000"/>
            </w:tcBorders>
          </w:tcPr>
          <w:p w14:paraId="072B1689" w14:textId="77777777" w:rsidR="00D3344B" w:rsidRDefault="00D3344B">
            <w:pPr>
              <w:pStyle w:val="TableParagraph"/>
              <w:spacing w:before="11"/>
              <w:rPr>
                <w:rFonts w:ascii="Arial" w:hAnsi="Arial" w:cs="Arial"/>
                <w:sz w:val="18"/>
                <w:szCs w:val="18"/>
              </w:rPr>
            </w:pPr>
          </w:p>
          <w:p w14:paraId="1B0C3760" w14:textId="77777777" w:rsidR="00D3344B" w:rsidRDefault="00143C25">
            <w:pPr>
              <w:pStyle w:val="TableParagraph"/>
              <w:rPr>
                <w:rFonts w:ascii="Arial" w:hAnsi="Arial" w:cs="Arial"/>
                <w:sz w:val="18"/>
                <w:szCs w:val="18"/>
              </w:rPr>
            </w:pPr>
            <w:r>
              <w:rPr>
                <w:rFonts w:ascii="Arial" w:hAnsi="Arial" w:cs="Arial"/>
                <w:spacing w:val="-4"/>
                <w:w w:val="115"/>
                <w:sz w:val="18"/>
                <w:szCs w:val="18"/>
              </w:rPr>
              <w:t>12.50</w:t>
            </w:r>
          </w:p>
        </w:tc>
        <w:tc>
          <w:tcPr>
            <w:tcW w:w="699" w:type="dxa"/>
            <w:tcBorders>
              <w:top w:val="single" w:sz="4" w:space="0" w:color="000000"/>
              <w:left w:val="single" w:sz="4" w:space="0" w:color="000000"/>
              <w:bottom w:val="single" w:sz="4" w:space="0" w:color="000000"/>
              <w:right w:val="single" w:sz="4" w:space="0" w:color="000000"/>
            </w:tcBorders>
          </w:tcPr>
          <w:p w14:paraId="3EB51ACB" w14:textId="77777777" w:rsidR="00D3344B" w:rsidRDefault="00D3344B">
            <w:pPr>
              <w:pStyle w:val="TableParagraph"/>
              <w:spacing w:before="11"/>
              <w:rPr>
                <w:rFonts w:ascii="Arial" w:hAnsi="Arial" w:cs="Arial"/>
                <w:sz w:val="18"/>
                <w:szCs w:val="18"/>
              </w:rPr>
            </w:pPr>
          </w:p>
          <w:p w14:paraId="44D1AB12" w14:textId="77777777" w:rsidR="00D3344B" w:rsidRDefault="00143C25">
            <w:pPr>
              <w:pStyle w:val="TableParagraph"/>
              <w:rPr>
                <w:rFonts w:ascii="Arial" w:hAnsi="Arial" w:cs="Arial"/>
                <w:sz w:val="18"/>
                <w:szCs w:val="18"/>
              </w:rPr>
            </w:pPr>
            <w:r>
              <w:rPr>
                <w:rFonts w:ascii="Arial" w:hAnsi="Arial" w:cs="Arial"/>
                <w:spacing w:val="-4"/>
                <w:w w:val="115"/>
                <w:sz w:val="18"/>
                <w:szCs w:val="18"/>
              </w:rPr>
              <w:t>11.00</w:t>
            </w:r>
          </w:p>
        </w:tc>
        <w:tc>
          <w:tcPr>
            <w:tcW w:w="699" w:type="dxa"/>
            <w:tcBorders>
              <w:top w:val="single" w:sz="4" w:space="0" w:color="000000"/>
              <w:left w:val="single" w:sz="4" w:space="0" w:color="000000"/>
              <w:bottom w:val="single" w:sz="4" w:space="0" w:color="000000"/>
              <w:right w:val="single" w:sz="4" w:space="0" w:color="000000"/>
            </w:tcBorders>
          </w:tcPr>
          <w:p w14:paraId="3A9CBCC3" w14:textId="77777777" w:rsidR="00D3344B" w:rsidRDefault="00D3344B">
            <w:pPr>
              <w:pStyle w:val="TableParagraph"/>
              <w:spacing w:before="11"/>
              <w:rPr>
                <w:rFonts w:ascii="Arial" w:hAnsi="Arial" w:cs="Arial"/>
                <w:sz w:val="18"/>
                <w:szCs w:val="18"/>
              </w:rPr>
            </w:pPr>
          </w:p>
          <w:p w14:paraId="2A025B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9.25</w:t>
            </w:r>
          </w:p>
        </w:tc>
        <w:tc>
          <w:tcPr>
            <w:tcW w:w="696" w:type="dxa"/>
            <w:tcBorders>
              <w:top w:val="single" w:sz="4" w:space="0" w:color="000000"/>
              <w:left w:val="single" w:sz="4" w:space="0" w:color="000000"/>
              <w:bottom w:val="single" w:sz="4" w:space="0" w:color="000000"/>
              <w:right w:val="single" w:sz="4" w:space="0" w:color="000000"/>
            </w:tcBorders>
          </w:tcPr>
          <w:p w14:paraId="378CAFAB" w14:textId="77777777" w:rsidR="00D3344B" w:rsidRDefault="00D3344B">
            <w:pPr>
              <w:pStyle w:val="TableParagraph"/>
              <w:spacing w:before="11"/>
              <w:rPr>
                <w:rFonts w:ascii="Arial" w:hAnsi="Arial" w:cs="Arial"/>
                <w:sz w:val="18"/>
                <w:szCs w:val="18"/>
              </w:rPr>
            </w:pPr>
          </w:p>
          <w:p w14:paraId="2B3C0B8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7.75</w:t>
            </w:r>
          </w:p>
        </w:tc>
        <w:tc>
          <w:tcPr>
            <w:tcW w:w="527" w:type="dxa"/>
            <w:tcBorders>
              <w:top w:val="single" w:sz="4" w:space="0" w:color="000000"/>
              <w:left w:val="single" w:sz="4" w:space="0" w:color="000000"/>
              <w:bottom w:val="single" w:sz="4" w:space="0" w:color="000000"/>
              <w:right w:val="single" w:sz="4" w:space="0" w:color="000000"/>
            </w:tcBorders>
          </w:tcPr>
          <w:p w14:paraId="39936D7F" w14:textId="77777777" w:rsidR="00D3344B" w:rsidRDefault="00D3344B">
            <w:pPr>
              <w:pStyle w:val="TableParagraph"/>
              <w:rPr>
                <w:rFonts w:ascii="Arial" w:hAnsi="Arial" w:cs="Arial"/>
                <w:sz w:val="18"/>
                <w:szCs w:val="18"/>
              </w:rPr>
            </w:pPr>
          </w:p>
        </w:tc>
      </w:tr>
      <w:tr w:rsidR="00D3344B" w14:paraId="15E9CBE1"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091B88E" w14:textId="77777777" w:rsidR="00D3344B" w:rsidRDefault="00143C25">
            <w:pPr>
              <w:pStyle w:val="TableParagraph"/>
              <w:rPr>
                <w:rFonts w:ascii="Arial" w:hAnsi="Arial" w:cs="Arial"/>
                <w:sz w:val="18"/>
                <w:szCs w:val="18"/>
              </w:rPr>
            </w:pPr>
            <w:r>
              <w:rPr>
                <w:rFonts w:ascii="Arial" w:hAnsi="Arial" w:cs="Arial"/>
                <w:w w:val="110"/>
                <w:sz w:val="18"/>
                <w:szCs w:val="18"/>
              </w:rPr>
              <w:t>05-ELE-</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4161E186" w14:textId="77777777" w:rsidR="00D3344B" w:rsidRDefault="00143C25">
            <w:pPr>
              <w:pStyle w:val="TableParagraph"/>
              <w:rPr>
                <w:rFonts w:ascii="Arial" w:hAnsi="Arial" w:cs="Arial"/>
                <w:sz w:val="18"/>
                <w:szCs w:val="18"/>
              </w:rPr>
            </w:pPr>
            <w:r>
              <w:rPr>
                <w:rFonts w:ascii="Arial" w:hAnsi="Arial" w:cs="Arial"/>
                <w:spacing w:val="-2"/>
                <w:w w:val="110"/>
                <w:sz w:val="18"/>
                <w:szCs w:val="18"/>
              </w:rPr>
              <w:t>Electrocardiograma</w:t>
            </w:r>
          </w:p>
        </w:tc>
        <w:tc>
          <w:tcPr>
            <w:tcW w:w="697" w:type="dxa"/>
            <w:tcBorders>
              <w:top w:val="single" w:sz="4" w:space="0" w:color="000000"/>
              <w:left w:val="single" w:sz="4" w:space="0" w:color="000000"/>
              <w:bottom w:val="single" w:sz="4" w:space="0" w:color="000000"/>
              <w:right w:val="single" w:sz="4" w:space="0" w:color="000000"/>
            </w:tcBorders>
          </w:tcPr>
          <w:p w14:paraId="6315A58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4.50</w:t>
            </w:r>
          </w:p>
        </w:tc>
        <w:tc>
          <w:tcPr>
            <w:tcW w:w="695" w:type="dxa"/>
            <w:tcBorders>
              <w:top w:val="single" w:sz="4" w:space="0" w:color="000000"/>
              <w:left w:val="single" w:sz="4" w:space="0" w:color="000000"/>
              <w:bottom w:val="single" w:sz="4" w:space="0" w:color="000000"/>
              <w:right w:val="single" w:sz="4" w:space="0" w:color="000000"/>
            </w:tcBorders>
          </w:tcPr>
          <w:p w14:paraId="507BE955" w14:textId="77777777" w:rsidR="00D3344B" w:rsidRDefault="00143C25">
            <w:pPr>
              <w:pStyle w:val="TableParagraph"/>
              <w:rPr>
                <w:rFonts w:ascii="Arial" w:hAnsi="Arial" w:cs="Arial"/>
                <w:sz w:val="18"/>
                <w:szCs w:val="18"/>
              </w:rPr>
            </w:pPr>
            <w:r>
              <w:rPr>
                <w:rFonts w:ascii="Arial" w:hAnsi="Arial" w:cs="Arial"/>
                <w:spacing w:val="-4"/>
                <w:w w:val="115"/>
                <w:sz w:val="18"/>
                <w:szCs w:val="18"/>
              </w:rPr>
              <w:t>4.00</w:t>
            </w:r>
          </w:p>
        </w:tc>
        <w:tc>
          <w:tcPr>
            <w:tcW w:w="699" w:type="dxa"/>
            <w:tcBorders>
              <w:top w:val="single" w:sz="4" w:space="0" w:color="000000"/>
              <w:left w:val="single" w:sz="4" w:space="0" w:color="000000"/>
              <w:bottom w:val="single" w:sz="4" w:space="0" w:color="000000"/>
              <w:right w:val="single" w:sz="4" w:space="0" w:color="000000"/>
            </w:tcBorders>
          </w:tcPr>
          <w:p w14:paraId="3CB3520C" w14:textId="77777777" w:rsidR="00D3344B" w:rsidRDefault="00143C25">
            <w:pPr>
              <w:pStyle w:val="TableParagraph"/>
              <w:rPr>
                <w:rFonts w:ascii="Arial" w:hAnsi="Arial" w:cs="Arial"/>
                <w:sz w:val="18"/>
                <w:szCs w:val="18"/>
              </w:rPr>
            </w:pPr>
            <w:r>
              <w:rPr>
                <w:rFonts w:ascii="Arial" w:hAnsi="Arial" w:cs="Arial"/>
                <w:spacing w:val="-4"/>
                <w:w w:val="115"/>
                <w:sz w:val="18"/>
                <w:szCs w:val="18"/>
              </w:rPr>
              <w:t>3.25</w:t>
            </w:r>
          </w:p>
        </w:tc>
        <w:tc>
          <w:tcPr>
            <w:tcW w:w="699" w:type="dxa"/>
            <w:tcBorders>
              <w:top w:val="single" w:sz="4" w:space="0" w:color="000000"/>
              <w:left w:val="single" w:sz="4" w:space="0" w:color="000000"/>
              <w:bottom w:val="single" w:sz="4" w:space="0" w:color="000000"/>
              <w:right w:val="single" w:sz="4" w:space="0" w:color="000000"/>
            </w:tcBorders>
          </w:tcPr>
          <w:p w14:paraId="465F6CF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2.50</w:t>
            </w:r>
          </w:p>
        </w:tc>
        <w:tc>
          <w:tcPr>
            <w:tcW w:w="696" w:type="dxa"/>
            <w:tcBorders>
              <w:top w:val="single" w:sz="4" w:space="0" w:color="000000"/>
              <w:left w:val="single" w:sz="4" w:space="0" w:color="000000"/>
              <w:bottom w:val="single" w:sz="4" w:space="0" w:color="000000"/>
              <w:right w:val="single" w:sz="4" w:space="0" w:color="000000"/>
            </w:tcBorders>
          </w:tcPr>
          <w:p w14:paraId="55E48BC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3BD2829E" w14:textId="77777777" w:rsidR="00D3344B" w:rsidRDefault="00D3344B">
            <w:pPr>
              <w:pStyle w:val="TableParagraph"/>
              <w:rPr>
                <w:rFonts w:ascii="Arial" w:hAnsi="Arial" w:cs="Arial"/>
                <w:sz w:val="18"/>
                <w:szCs w:val="18"/>
              </w:rPr>
            </w:pPr>
          </w:p>
        </w:tc>
      </w:tr>
      <w:tr w:rsidR="00D3344B" w14:paraId="604869F8"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53F4078" w14:textId="77777777" w:rsidR="00D3344B" w:rsidRDefault="00143C25">
            <w:pPr>
              <w:pStyle w:val="TableParagraph"/>
              <w:rPr>
                <w:rFonts w:ascii="Arial" w:hAnsi="Arial" w:cs="Arial"/>
                <w:sz w:val="18"/>
                <w:szCs w:val="18"/>
              </w:rPr>
            </w:pPr>
            <w:r>
              <w:rPr>
                <w:rFonts w:ascii="Arial" w:hAnsi="Arial" w:cs="Arial"/>
                <w:w w:val="115"/>
                <w:sz w:val="18"/>
                <w:szCs w:val="18"/>
              </w:rPr>
              <w:t>04-CG-</w:t>
            </w:r>
            <w:r>
              <w:rPr>
                <w:rFonts w:ascii="Arial" w:hAnsi="Arial" w:cs="Arial"/>
                <w:spacing w:val="-5"/>
                <w:w w:val="115"/>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26990B3F" w14:textId="77777777" w:rsidR="00D3344B" w:rsidRDefault="00143C25">
            <w:pPr>
              <w:pStyle w:val="TableParagraph"/>
              <w:rPr>
                <w:rFonts w:ascii="Arial" w:hAnsi="Arial" w:cs="Arial"/>
                <w:sz w:val="18"/>
                <w:szCs w:val="18"/>
              </w:rPr>
            </w:pPr>
            <w:r>
              <w:rPr>
                <w:rFonts w:ascii="Arial" w:hAnsi="Arial" w:cs="Arial"/>
                <w:w w:val="115"/>
                <w:sz w:val="18"/>
                <w:szCs w:val="18"/>
              </w:rPr>
              <w:t>Consulta</w:t>
            </w:r>
            <w:r>
              <w:rPr>
                <w:rFonts w:ascii="Arial" w:hAnsi="Arial" w:cs="Arial"/>
                <w:spacing w:val="15"/>
                <w:w w:val="115"/>
                <w:sz w:val="18"/>
                <w:szCs w:val="18"/>
              </w:rPr>
              <w:t xml:space="preserve"> </w:t>
            </w:r>
            <w:r>
              <w:rPr>
                <w:rFonts w:ascii="Arial" w:hAnsi="Arial" w:cs="Arial"/>
                <w:spacing w:val="-2"/>
                <w:w w:val="115"/>
                <w:sz w:val="18"/>
                <w:szCs w:val="18"/>
              </w:rPr>
              <w:t>General</w:t>
            </w:r>
          </w:p>
        </w:tc>
        <w:tc>
          <w:tcPr>
            <w:tcW w:w="697" w:type="dxa"/>
            <w:tcBorders>
              <w:top w:val="single" w:sz="4" w:space="0" w:color="000000"/>
              <w:left w:val="single" w:sz="4" w:space="0" w:color="000000"/>
              <w:bottom w:val="single" w:sz="4" w:space="0" w:color="000000"/>
              <w:right w:val="single" w:sz="4" w:space="0" w:color="000000"/>
            </w:tcBorders>
          </w:tcPr>
          <w:p w14:paraId="58512695"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1.25</w:t>
            </w:r>
          </w:p>
        </w:tc>
        <w:tc>
          <w:tcPr>
            <w:tcW w:w="695" w:type="dxa"/>
            <w:tcBorders>
              <w:top w:val="single" w:sz="4" w:space="0" w:color="000000"/>
              <w:left w:val="single" w:sz="4" w:space="0" w:color="000000"/>
              <w:bottom w:val="single" w:sz="4" w:space="0" w:color="000000"/>
              <w:right w:val="single" w:sz="4" w:space="0" w:color="000000"/>
            </w:tcBorders>
          </w:tcPr>
          <w:p w14:paraId="3C4212E6" w14:textId="77777777" w:rsidR="00D3344B" w:rsidRDefault="00143C25">
            <w:pPr>
              <w:pStyle w:val="TableParagraph"/>
              <w:rPr>
                <w:rFonts w:ascii="Arial" w:hAnsi="Arial" w:cs="Arial"/>
                <w:sz w:val="18"/>
                <w:szCs w:val="18"/>
              </w:rPr>
            </w:pPr>
            <w:r>
              <w:rPr>
                <w:rFonts w:ascii="Arial" w:hAnsi="Arial" w:cs="Arial"/>
                <w:spacing w:val="-4"/>
                <w:w w:val="115"/>
                <w:sz w:val="18"/>
                <w:szCs w:val="18"/>
              </w:rPr>
              <w:t>1.00</w:t>
            </w:r>
          </w:p>
        </w:tc>
        <w:tc>
          <w:tcPr>
            <w:tcW w:w="699" w:type="dxa"/>
            <w:tcBorders>
              <w:top w:val="single" w:sz="4" w:space="0" w:color="000000"/>
              <w:left w:val="single" w:sz="4" w:space="0" w:color="000000"/>
              <w:bottom w:val="single" w:sz="4" w:space="0" w:color="000000"/>
              <w:right w:val="single" w:sz="4" w:space="0" w:color="000000"/>
            </w:tcBorders>
          </w:tcPr>
          <w:p w14:paraId="4DDBC331" w14:textId="77777777" w:rsidR="00D3344B" w:rsidRDefault="00143C25">
            <w:pPr>
              <w:pStyle w:val="TableParagraph"/>
              <w:rPr>
                <w:rFonts w:ascii="Arial" w:hAnsi="Arial" w:cs="Arial"/>
                <w:sz w:val="18"/>
                <w:szCs w:val="18"/>
              </w:rPr>
            </w:pPr>
            <w:r>
              <w:rPr>
                <w:rFonts w:ascii="Arial" w:hAnsi="Arial" w:cs="Arial"/>
                <w:spacing w:val="-4"/>
                <w:w w:val="115"/>
                <w:sz w:val="18"/>
                <w:szCs w:val="18"/>
              </w:rPr>
              <w:t>0.75</w:t>
            </w:r>
          </w:p>
        </w:tc>
        <w:tc>
          <w:tcPr>
            <w:tcW w:w="699" w:type="dxa"/>
            <w:tcBorders>
              <w:top w:val="single" w:sz="4" w:space="0" w:color="000000"/>
              <w:left w:val="single" w:sz="4" w:space="0" w:color="000000"/>
              <w:bottom w:val="single" w:sz="4" w:space="0" w:color="000000"/>
              <w:right w:val="single" w:sz="4" w:space="0" w:color="000000"/>
            </w:tcBorders>
          </w:tcPr>
          <w:p w14:paraId="02DC0D24"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0.50</w:t>
            </w:r>
          </w:p>
        </w:tc>
        <w:tc>
          <w:tcPr>
            <w:tcW w:w="696" w:type="dxa"/>
            <w:tcBorders>
              <w:top w:val="single" w:sz="4" w:space="0" w:color="000000"/>
              <w:left w:val="single" w:sz="4" w:space="0" w:color="000000"/>
              <w:bottom w:val="single" w:sz="4" w:space="0" w:color="000000"/>
              <w:right w:val="single" w:sz="4" w:space="0" w:color="000000"/>
            </w:tcBorders>
          </w:tcPr>
          <w:p w14:paraId="4EF0C57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0.25</w:t>
            </w:r>
          </w:p>
        </w:tc>
        <w:tc>
          <w:tcPr>
            <w:tcW w:w="527" w:type="dxa"/>
            <w:tcBorders>
              <w:top w:val="single" w:sz="4" w:space="0" w:color="000000"/>
              <w:left w:val="single" w:sz="4" w:space="0" w:color="000000"/>
              <w:bottom w:val="single" w:sz="4" w:space="0" w:color="000000"/>
              <w:right w:val="single" w:sz="4" w:space="0" w:color="000000"/>
            </w:tcBorders>
          </w:tcPr>
          <w:p w14:paraId="05D53B16" w14:textId="77777777" w:rsidR="00D3344B" w:rsidRDefault="00D3344B">
            <w:pPr>
              <w:pStyle w:val="TableParagraph"/>
              <w:rPr>
                <w:rFonts w:ascii="Arial" w:hAnsi="Arial" w:cs="Arial"/>
                <w:sz w:val="18"/>
                <w:szCs w:val="18"/>
              </w:rPr>
            </w:pPr>
          </w:p>
        </w:tc>
      </w:tr>
      <w:tr w:rsidR="00D3344B" w14:paraId="1CB798D3" w14:textId="77777777">
        <w:trPr>
          <w:trHeight w:val="297"/>
        </w:trPr>
        <w:tc>
          <w:tcPr>
            <w:tcW w:w="1776" w:type="dxa"/>
            <w:tcBorders>
              <w:top w:val="single" w:sz="4" w:space="0" w:color="000000"/>
              <w:left w:val="single" w:sz="4" w:space="0" w:color="000000"/>
              <w:bottom w:val="single" w:sz="4" w:space="0" w:color="000000"/>
              <w:right w:val="single" w:sz="4" w:space="0" w:color="000000"/>
            </w:tcBorders>
          </w:tcPr>
          <w:p w14:paraId="55164B06" w14:textId="77777777" w:rsidR="00D3344B" w:rsidRDefault="00143C25">
            <w:pPr>
              <w:pStyle w:val="TableParagraph"/>
              <w:rPr>
                <w:rFonts w:ascii="Arial" w:hAnsi="Arial" w:cs="Arial"/>
                <w:sz w:val="18"/>
                <w:szCs w:val="18"/>
              </w:rPr>
            </w:pPr>
            <w:r>
              <w:rPr>
                <w:rFonts w:ascii="Arial" w:hAnsi="Arial" w:cs="Arial"/>
                <w:w w:val="110"/>
                <w:sz w:val="18"/>
                <w:szCs w:val="18"/>
              </w:rPr>
              <w:t>05-CCAR-</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53490FA7" w14:textId="77777777" w:rsidR="00D3344B" w:rsidRDefault="00143C25">
            <w:pPr>
              <w:pStyle w:val="TableParagraph"/>
              <w:rPr>
                <w:rFonts w:ascii="Arial" w:hAnsi="Arial" w:cs="Arial"/>
                <w:sz w:val="18"/>
                <w:szCs w:val="18"/>
              </w:rPr>
            </w:pPr>
            <w:r>
              <w:rPr>
                <w:rFonts w:ascii="Arial" w:hAnsi="Arial" w:cs="Arial"/>
                <w:w w:val="115"/>
                <w:sz w:val="18"/>
                <w:szCs w:val="18"/>
              </w:rPr>
              <w:t>Consulta</w:t>
            </w:r>
            <w:r>
              <w:rPr>
                <w:rFonts w:ascii="Arial" w:hAnsi="Arial" w:cs="Arial"/>
                <w:spacing w:val="17"/>
                <w:w w:val="115"/>
                <w:sz w:val="18"/>
                <w:szCs w:val="18"/>
              </w:rPr>
              <w:t xml:space="preserve"> </w:t>
            </w:r>
            <w:r>
              <w:rPr>
                <w:rFonts w:ascii="Arial" w:hAnsi="Arial" w:cs="Arial"/>
                <w:spacing w:val="-2"/>
                <w:w w:val="115"/>
                <w:sz w:val="18"/>
                <w:szCs w:val="18"/>
              </w:rPr>
              <w:t>Cardiólogo</w:t>
            </w:r>
          </w:p>
        </w:tc>
        <w:tc>
          <w:tcPr>
            <w:tcW w:w="697" w:type="dxa"/>
            <w:tcBorders>
              <w:top w:val="single" w:sz="4" w:space="0" w:color="000000"/>
              <w:left w:val="single" w:sz="4" w:space="0" w:color="000000"/>
              <w:bottom w:val="single" w:sz="4" w:space="0" w:color="000000"/>
              <w:right w:val="single" w:sz="4" w:space="0" w:color="000000"/>
            </w:tcBorders>
          </w:tcPr>
          <w:p w14:paraId="34EA57C7"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2.75</w:t>
            </w:r>
          </w:p>
        </w:tc>
        <w:tc>
          <w:tcPr>
            <w:tcW w:w="695" w:type="dxa"/>
            <w:tcBorders>
              <w:top w:val="single" w:sz="4" w:space="0" w:color="000000"/>
              <w:left w:val="single" w:sz="4" w:space="0" w:color="000000"/>
              <w:bottom w:val="single" w:sz="4" w:space="0" w:color="000000"/>
              <w:right w:val="single" w:sz="4" w:space="0" w:color="000000"/>
            </w:tcBorders>
          </w:tcPr>
          <w:p w14:paraId="1D364C87" w14:textId="77777777" w:rsidR="00D3344B" w:rsidRDefault="00143C25">
            <w:pPr>
              <w:pStyle w:val="TableParagraph"/>
              <w:rPr>
                <w:rFonts w:ascii="Arial" w:hAnsi="Arial" w:cs="Arial"/>
                <w:sz w:val="18"/>
                <w:szCs w:val="18"/>
              </w:rPr>
            </w:pPr>
            <w:r>
              <w:rPr>
                <w:rFonts w:ascii="Arial" w:hAnsi="Arial" w:cs="Arial"/>
                <w:spacing w:val="-4"/>
                <w:w w:val="115"/>
                <w:sz w:val="18"/>
                <w:szCs w:val="18"/>
              </w:rPr>
              <w:t>2.50</w:t>
            </w:r>
          </w:p>
        </w:tc>
        <w:tc>
          <w:tcPr>
            <w:tcW w:w="699" w:type="dxa"/>
            <w:tcBorders>
              <w:top w:val="single" w:sz="4" w:space="0" w:color="000000"/>
              <w:left w:val="single" w:sz="4" w:space="0" w:color="000000"/>
              <w:bottom w:val="single" w:sz="4" w:space="0" w:color="000000"/>
              <w:right w:val="single" w:sz="4" w:space="0" w:color="000000"/>
            </w:tcBorders>
          </w:tcPr>
          <w:p w14:paraId="4722ABB6" w14:textId="77777777" w:rsidR="00D3344B" w:rsidRDefault="00143C25">
            <w:pPr>
              <w:pStyle w:val="TableParagraph"/>
              <w:rPr>
                <w:rFonts w:ascii="Arial" w:hAnsi="Arial" w:cs="Arial"/>
                <w:sz w:val="18"/>
                <w:szCs w:val="18"/>
              </w:rPr>
            </w:pPr>
            <w:r>
              <w:rPr>
                <w:rFonts w:ascii="Arial" w:hAnsi="Arial" w:cs="Arial"/>
                <w:spacing w:val="-4"/>
                <w:w w:val="115"/>
                <w:sz w:val="18"/>
                <w:szCs w:val="18"/>
              </w:rPr>
              <w:t>2.25</w:t>
            </w:r>
          </w:p>
        </w:tc>
        <w:tc>
          <w:tcPr>
            <w:tcW w:w="699" w:type="dxa"/>
            <w:tcBorders>
              <w:top w:val="single" w:sz="4" w:space="0" w:color="000000"/>
              <w:left w:val="single" w:sz="4" w:space="0" w:color="000000"/>
              <w:bottom w:val="single" w:sz="4" w:space="0" w:color="000000"/>
              <w:right w:val="single" w:sz="4" w:space="0" w:color="000000"/>
            </w:tcBorders>
          </w:tcPr>
          <w:p w14:paraId="182248B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2.00</w:t>
            </w:r>
          </w:p>
        </w:tc>
        <w:tc>
          <w:tcPr>
            <w:tcW w:w="696" w:type="dxa"/>
            <w:tcBorders>
              <w:top w:val="single" w:sz="4" w:space="0" w:color="000000"/>
              <w:left w:val="single" w:sz="4" w:space="0" w:color="000000"/>
              <w:bottom w:val="single" w:sz="4" w:space="0" w:color="000000"/>
              <w:right w:val="single" w:sz="4" w:space="0" w:color="000000"/>
            </w:tcBorders>
          </w:tcPr>
          <w:p w14:paraId="764BBDD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1.50</w:t>
            </w:r>
          </w:p>
        </w:tc>
        <w:tc>
          <w:tcPr>
            <w:tcW w:w="527" w:type="dxa"/>
            <w:tcBorders>
              <w:top w:val="single" w:sz="4" w:space="0" w:color="000000"/>
              <w:left w:val="single" w:sz="4" w:space="0" w:color="000000"/>
              <w:bottom w:val="single" w:sz="4" w:space="0" w:color="000000"/>
              <w:right w:val="single" w:sz="4" w:space="0" w:color="000000"/>
            </w:tcBorders>
          </w:tcPr>
          <w:p w14:paraId="52BFA206" w14:textId="77777777" w:rsidR="00D3344B" w:rsidRDefault="00D3344B">
            <w:pPr>
              <w:pStyle w:val="TableParagraph"/>
              <w:rPr>
                <w:rFonts w:ascii="Arial" w:hAnsi="Arial" w:cs="Arial"/>
                <w:sz w:val="18"/>
                <w:szCs w:val="18"/>
              </w:rPr>
            </w:pPr>
          </w:p>
        </w:tc>
      </w:tr>
      <w:tr w:rsidR="00D3344B" w14:paraId="3871B996"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A6E858F" w14:textId="77777777" w:rsidR="00D3344B" w:rsidRDefault="00143C25">
            <w:pPr>
              <w:pStyle w:val="TableParagraph"/>
              <w:spacing w:before="1"/>
              <w:rPr>
                <w:rFonts w:ascii="Arial" w:hAnsi="Arial" w:cs="Arial"/>
                <w:sz w:val="18"/>
                <w:szCs w:val="18"/>
              </w:rPr>
            </w:pPr>
            <w:r>
              <w:rPr>
                <w:rFonts w:ascii="Arial" w:hAnsi="Arial" w:cs="Arial"/>
                <w:sz w:val="18"/>
                <w:szCs w:val="18"/>
              </w:rPr>
              <w:t>02-TBIOP-</w:t>
            </w:r>
            <w:r>
              <w:rPr>
                <w:rFonts w:ascii="Arial" w:hAnsi="Arial" w:cs="Arial"/>
                <w:spacing w:val="-5"/>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0D068D8D" w14:textId="77777777" w:rsidR="00D3344B" w:rsidRDefault="00143C25">
            <w:pPr>
              <w:pStyle w:val="TableParagraph"/>
              <w:spacing w:before="1"/>
              <w:rPr>
                <w:rFonts w:ascii="Arial" w:hAnsi="Arial" w:cs="Arial"/>
                <w:sz w:val="18"/>
                <w:szCs w:val="18"/>
              </w:rPr>
            </w:pPr>
            <w:r>
              <w:rPr>
                <w:rFonts w:ascii="Arial" w:hAnsi="Arial" w:cs="Arial"/>
                <w:w w:val="115"/>
                <w:sz w:val="18"/>
                <w:szCs w:val="18"/>
              </w:rPr>
              <w:t>Toma</w:t>
            </w:r>
            <w:r>
              <w:rPr>
                <w:rFonts w:ascii="Arial" w:hAnsi="Arial" w:cs="Arial"/>
                <w:spacing w:val="-7"/>
                <w:w w:val="115"/>
                <w:sz w:val="18"/>
                <w:szCs w:val="18"/>
              </w:rPr>
              <w:t xml:space="preserve"> </w:t>
            </w:r>
            <w:r>
              <w:rPr>
                <w:rFonts w:ascii="Arial" w:hAnsi="Arial" w:cs="Arial"/>
                <w:w w:val="115"/>
                <w:sz w:val="18"/>
                <w:szCs w:val="18"/>
              </w:rPr>
              <w:t>de</w:t>
            </w:r>
            <w:r>
              <w:rPr>
                <w:rFonts w:ascii="Arial" w:hAnsi="Arial" w:cs="Arial"/>
                <w:spacing w:val="-8"/>
                <w:w w:val="115"/>
                <w:sz w:val="18"/>
                <w:szCs w:val="18"/>
              </w:rPr>
              <w:t xml:space="preserve"> </w:t>
            </w:r>
            <w:r>
              <w:rPr>
                <w:rFonts w:ascii="Arial" w:hAnsi="Arial" w:cs="Arial"/>
                <w:w w:val="115"/>
                <w:sz w:val="18"/>
                <w:szCs w:val="18"/>
              </w:rPr>
              <w:t>Biopsia</w:t>
            </w:r>
            <w:r>
              <w:rPr>
                <w:rFonts w:ascii="Arial" w:hAnsi="Arial" w:cs="Arial"/>
                <w:spacing w:val="-8"/>
                <w:w w:val="115"/>
                <w:sz w:val="18"/>
                <w:szCs w:val="18"/>
              </w:rPr>
              <w:t xml:space="preserve"> </w:t>
            </w:r>
            <w:r>
              <w:rPr>
                <w:rFonts w:ascii="Arial" w:hAnsi="Arial" w:cs="Arial"/>
                <w:w w:val="115"/>
                <w:sz w:val="18"/>
                <w:szCs w:val="18"/>
              </w:rPr>
              <w:t>con</w:t>
            </w:r>
            <w:r>
              <w:rPr>
                <w:rFonts w:ascii="Arial" w:hAnsi="Arial" w:cs="Arial"/>
                <w:spacing w:val="-9"/>
                <w:w w:val="115"/>
                <w:sz w:val="18"/>
                <w:szCs w:val="18"/>
              </w:rPr>
              <w:t xml:space="preserve"> </w:t>
            </w:r>
            <w:r>
              <w:rPr>
                <w:rFonts w:ascii="Arial" w:hAnsi="Arial" w:cs="Arial"/>
                <w:spacing w:val="-4"/>
                <w:w w:val="115"/>
                <w:sz w:val="18"/>
                <w:szCs w:val="18"/>
              </w:rPr>
              <w:t>BAFF</w:t>
            </w:r>
          </w:p>
        </w:tc>
        <w:tc>
          <w:tcPr>
            <w:tcW w:w="697" w:type="dxa"/>
            <w:tcBorders>
              <w:top w:val="single" w:sz="4" w:space="0" w:color="000000"/>
              <w:left w:val="single" w:sz="4" w:space="0" w:color="000000"/>
              <w:bottom w:val="single" w:sz="4" w:space="0" w:color="000000"/>
              <w:right w:val="single" w:sz="4" w:space="0" w:color="000000"/>
            </w:tcBorders>
          </w:tcPr>
          <w:p w14:paraId="4F712274"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6.50</w:t>
            </w:r>
          </w:p>
        </w:tc>
        <w:tc>
          <w:tcPr>
            <w:tcW w:w="695" w:type="dxa"/>
            <w:tcBorders>
              <w:top w:val="single" w:sz="4" w:space="0" w:color="000000"/>
              <w:left w:val="single" w:sz="4" w:space="0" w:color="000000"/>
              <w:bottom w:val="single" w:sz="4" w:space="0" w:color="000000"/>
              <w:right w:val="single" w:sz="4" w:space="0" w:color="000000"/>
            </w:tcBorders>
          </w:tcPr>
          <w:p w14:paraId="424399E0"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5.50</w:t>
            </w:r>
          </w:p>
        </w:tc>
        <w:tc>
          <w:tcPr>
            <w:tcW w:w="699" w:type="dxa"/>
            <w:tcBorders>
              <w:top w:val="single" w:sz="4" w:space="0" w:color="000000"/>
              <w:left w:val="single" w:sz="4" w:space="0" w:color="000000"/>
              <w:bottom w:val="single" w:sz="4" w:space="0" w:color="000000"/>
              <w:right w:val="single" w:sz="4" w:space="0" w:color="000000"/>
            </w:tcBorders>
          </w:tcPr>
          <w:p w14:paraId="36730922"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4.75</w:t>
            </w:r>
          </w:p>
        </w:tc>
        <w:tc>
          <w:tcPr>
            <w:tcW w:w="699" w:type="dxa"/>
            <w:tcBorders>
              <w:top w:val="single" w:sz="4" w:space="0" w:color="000000"/>
              <w:left w:val="single" w:sz="4" w:space="0" w:color="000000"/>
              <w:bottom w:val="single" w:sz="4" w:space="0" w:color="000000"/>
              <w:right w:val="single" w:sz="4" w:space="0" w:color="000000"/>
            </w:tcBorders>
          </w:tcPr>
          <w:p w14:paraId="76322042"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4.00</w:t>
            </w:r>
          </w:p>
        </w:tc>
        <w:tc>
          <w:tcPr>
            <w:tcW w:w="696" w:type="dxa"/>
            <w:tcBorders>
              <w:top w:val="single" w:sz="4" w:space="0" w:color="000000"/>
              <w:left w:val="single" w:sz="4" w:space="0" w:color="000000"/>
              <w:bottom w:val="single" w:sz="4" w:space="0" w:color="000000"/>
              <w:right w:val="single" w:sz="4" w:space="0" w:color="000000"/>
            </w:tcBorders>
          </w:tcPr>
          <w:p w14:paraId="7C0C8C0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3.25</w:t>
            </w:r>
          </w:p>
        </w:tc>
        <w:tc>
          <w:tcPr>
            <w:tcW w:w="527" w:type="dxa"/>
            <w:tcBorders>
              <w:top w:val="single" w:sz="4" w:space="0" w:color="000000"/>
              <w:left w:val="single" w:sz="4" w:space="0" w:color="000000"/>
              <w:bottom w:val="single" w:sz="4" w:space="0" w:color="000000"/>
              <w:right w:val="single" w:sz="4" w:space="0" w:color="000000"/>
            </w:tcBorders>
          </w:tcPr>
          <w:p w14:paraId="08657CCF" w14:textId="77777777" w:rsidR="00D3344B" w:rsidRDefault="00D3344B">
            <w:pPr>
              <w:pStyle w:val="TableParagraph"/>
              <w:rPr>
                <w:rFonts w:ascii="Arial" w:hAnsi="Arial" w:cs="Arial"/>
                <w:sz w:val="18"/>
                <w:szCs w:val="18"/>
              </w:rPr>
            </w:pPr>
          </w:p>
        </w:tc>
      </w:tr>
      <w:tr w:rsidR="00D3344B" w14:paraId="66B7B816"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DE985A8" w14:textId="77777777" w:rsidR="00D3344B" w:rsidRDefault="00143C25">
            <w:pPr>
              <w:pStyle w:val="TableParagraph"/>
              <w:rPr>
                <w:rFonts w:ascii="Arial" w:hAnsi="Arial" w:cs="Arial"/>
                <w:sz w:val="18"/>
                <w:szCs w:val="18"/>
              </w:rPr>
            </w:pPr>
            <w:r>
              <w:rPr>
                <w:rFonts w:ascii="Arial" w:hAnsi="Arial" w:cs="Arial"/>
                <w:sz w:val="18"/>
                <w:szCs w:val="18"/>
              </w:rPr>
              <w:t>02-TBIOP-</w:t>
            </w:r>
            <w:r>
              <w:rPr>
                <w:rFonts w:ascii="Arial" w:hAnsi="Arial" w:cs="Arial"/>
                <w:spacing w:val="-5"/>
                <w:sz w:val="18"/>
                <w:szCs w:val="18"/>
              </w:rPr>
              <w:t>002</w:t>
            </w:r>
          </w:p>
        </w:tc>
        <w:tc>
          <w:tcPr>
            <w:tcW w:w="3038" w:type="dxa"/>
            <w:tcBorders>
              <w:top w:val="single" w:sz="4" w:space="0" w:color="000000"/>
              <w:left w:val="single" w:sz="4" w:space="0" w:color="000000"/>
              <w:bottom w:val="single" w:sz="4" w:space="0" w:color="000000"/>
              <w:right w:val="single" w:sz="4" w:space="0" w:color="000000"/>
            </w:tcBorders>
          </w:tcPr>
          <w:p w14:paraId="02B979E4" w14:textId="77777777" w:rsidR="00D3344B" w:rsidRDefault="00143C25">
            <w:pPr>
              <w:pStyle w:val="TableParagraph"/>
              <w:rPr>
                <w:rFonts w:ascii="Arial" w:hAnsi="Arial" w:cs="Arial"/>
                <w:sz w:val="18"/>
                <w:szCs w:val="18"/>
              </w:rPr>
            </w:pPr>
            <w:r>
              <w:rPr>
                <w:rFonts w:ascii="Arial" w:hAnsi="Arial" w:cs="Arial"/>
                <w:w w:val="115"/>
                <w:sz w:val="18"/>
                <w:szCs w:val="18"/>
              </w:rPr>
              <w:t>Toma</w:t>
            </w:r>
            <w:r>
              <w:rPr>
                <w:rFonts w:ascii="Arial" w:hAnsi="Arial" w:cs="Arial"/>
                <w:spacing w:val="73"/>
                <w:w w:val="115"/>
                <w:sz w:val="18"/>
                <w:szCs w:val="18"/>
              </w:rPr>
              <w:t xml:space="preserve"> </w:t>
            </w:r>
            <w:r>
              <w:rPr>
                <w:rFonts w:ascii="Arial" w:hAnsi="Arial" w:cs="Arial"/>
                <w:w w:val="115"/>
                <w:sz w:val="18"/>
                <w:szCs w:val="18"/>
              </w:rPr>
              <w:t>de</w:t>
            </w:r>
            <w:r>
              <w:rPr>
                <w:rFonts w:ascii="Arial" w:hAnsi="Arial" w:cs="Arial"/>
                <w:spacing w:val="79"/>
                <w:w w:val="150"/>
                <w:sz w:val="18"/>
                <w:szCs w:val="18"/>
              </w:rPr>
              <w:t xml:space="preserve"> </w:t>
            </w:r>
            <w:r>
              <w:rPr>
                <w:rFonts w:ascii="Arial" w:hAnsi="Arial" w:cs="Arial"/>
                <w:w w:val="115"/>
                <w:sz w:val="18"/>
                <w:szCs w:val="18"/>
              </w:rPr>
              <w:t>Biopsia</w:t>
            </w:r>
            <w:r>
              <w:rPr>
                <w:rFonts w:ascii="Arial" w:hAnsi="Arial" w:cs="Arial"/>
                <w:spacing w:val="-15"/>
                <w:w w:val="115"/>
                <w:sz w:val="18"/>
                <w:szCs w:val="18"/>
              </w:rPr>
              <w:t xml:space="preserve"> </w:t>
            </w:r>
            <w:r>
              <w:rPr>
                <w:rFonts w:ascii="Arial" w:hAnsi="Arial" w:cs="Arial"/>
                <w:spacing w:val="-5"/>
                <w:w w:val="115"/>
                <w:sz w:val="18"/>
                <w:szCs w:val="18"/>
              </w:rPr>
              <w:t>con</w:t>
            </w:r>
          </w:p>
          <w:p w14:paraId="2085DD0C" w14:textId="77777777" w:rsidR="00D3344B" w:rsidRDefault="00143C25">
            <w:pPr>
              <w:pStyle w:val="TableParagraph"/>
              <w:spacing w:before="2" w:line="233" w:lineRule="exact"/>
              <w:rPr>
                <w:rFonts w:ascii="Arial" w:hAnsi="Arial" w:cs="Arial"/>
                <w:sz w:val="18"/>
                <w:szCs w:val="18"/>
              </w:rPr>
            </w:pPr>
            <w:r>
              <w:rPr>
                <w:rFonts w:ascii="Arial" w:hAnsi="Arial" w:cs="Arial"/>
                <w:spacing w:val="-2"/>
                <w:w w:val="115"/>
                <w:sz w:val="18"/>
                <w:szCs w:val="18"/>
              </w:rPr>
              <w:t>TRUCUT</w:t>
            </w:r>
          </w:p>
        </w:tc>
        <w:tc>
          <w:tcPr>
            <w:tcW w:w="697" w:type="dxa"/>
            <w:tcBorders>
              <w:top w:val="single" w:sz="4" w:space="0" w:color="000000"/>
              <w:left w:val="single" w:sz="4" w:space="0" w:color="000000"/>
              <w:bottom w:val="single" w:sz="4" w:space="0" w:color="000000"/>
              <w:right w:val="single" w:sz="4" w:space="0" w:color="000000"/>
            </w:tcBorders>
          </w:tcPr>
          <w:p w14:paraId="4A7DD833"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22.00</w:t>
            </w:r>
          </w:p>
        </w:tc>
        <w:tc>
          <w:tcPr>
            <w:tcW w:w="695" w:type="dxa"/>
            <w:tcBorders>
              <w:top w:val="single" w:sz="4" w:space="0" w:color="000000"/>
              <w:left w:val="single" w:sz="4" w:space="0" w:color="000000"/>
              <w:bottom w:val="single" w:sz="4" w:space="0" w:color="000000"/>
              <w:right w:val="single" w:sz="4" w:space="0" w:color="000000"/>
            </w:tcBorders>
          </w:tcPr>
          <w:p w14:paraId="58DBE7E7" w14:textId="77777777" w:rsidR="00D3344B" w:rsidRDefault="00143C25">
            <w:pPr>
              <w:pStyle w:val="TableParagraph"/>
              <w:rPr>
                <w:rFonts w:ascii="Arial" w:hAnsi="Arial" w:cs="Arial"/>
                <w:sz w:val="18"/>
                <w:szCs w:val="18"/>
              </w:rPr>
            </w:pPr>
            <w:r>
              <w:rPr>
                <w:rFonts w:ascii="Arial" w:hAnsi="Arial" w:cs="Arial"/>
                <w:spacing w:val="-4"/>
                <w:w w:val="115"/>
                <w:sz w:val="18"/>
                <w:szCs w:val="18"/>
              </w:rPr>
              <w:t>20.25</w:t>
            </w:r>
          </w:p>
        </w:tc>
        <w:tc>
          <w:tcPr>
            <w:tcW w:w="699" w:type="dxa"/>
            <w:tcBorders>
              <w:top w:val="single" w:sz="4" w:space="0" w:color="000000"/>
              <w:left w:val="single" w:sz="4" w:space="0" w:color="000000"/>
              <w:bottom w:val="single" w:sz="4" w:space="0" w:color="000000"/>
              <w:right w:val="single" w:sz="4" w:space="0" w:color="000000"/>
            </w:tcBorders>
          </w:tcPr>
          <w:p w14:paraId="075C7EC9" w14:textId="77777777" w:rsidR="00D3344B" w:rsidRDefault="00143C25">
            <w:pPr>
              <w:pStyle w:val="TableParagraph"/>
              <w:rPr>
                <w:rFonts w:ascii="Arial" w:hAnsi="Arial" w:cs="Arial"/>
                <w:sz w:val="18"/>
                <w:szCs w:val="18"/>
              </w:rPr>
            </w:pPr>
            <w:r>
              <w:rPr>
                <w:rFonts w:ascii="Arial" w:hAnsi="Arial" w:cs="Arial"/>
                <w:spacing w:val="-4"/>
                <w:w w:val="115"/>
                <w:sz w:val="18"/>
                <w:szCs w:val="18"/>
              </w:rPr>
              <w:t>18.75</w:t>
            </w:r>
          </w:p>
        </w:tc>
        <w:tc>
          <w:tcPr>
            <w:tcW w:w="699" w:type="dxa"/>
            <w:tcBorders>
              <w:top w:val="single" w:sz="4" w:space="0" w:color="000000"/>
              <w:left w:val="single" w:sz="4" w:space="0" w:color="000000"/>
              <w:bottom w:val="single" w:sz="4" w:space="0" w:color="000000"/>
              <w:right w:val="single" w:sz="4" w:space="0" w:color="000000"/>
            </w:tcBorders>
          </w:tcPr>
          <w:p w14:paraId="02788DC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17.25</w:t>
            </w:r>
          </w:p>
        </w:tc>
        <w:tc>
          <w:tcPr>
            <w:tcW w:w="696" w:type="dxa"/>
            <w:tcBorders>
              <w:top w:val="single" w:sz="4" w:space="0" w:color="000000"/>
              <w:left w:val="single" w:sz="4" w:space="0" w:color="000000"/>
              <w:bottom w:val="single" w:sz="4" w:space="0" w:color="000000"/>
              <w:right w:val="single" w:sz="4" w:space="0" w:color="000000"/>
            </w:tcBorders>
          </w:tcPr>
          <w:p w14:paraId="65E4044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15.50</w:t>
            </w:r>
          </w:p>
        </w:tc>
        <w:tc>
          <w:tcPr>
            <w:tcW w:w="527" w:type="dxa"/>
            <w:tcBorders>
              <w:top w:val="single" w:sz="4" w:space="0" w:color="000000"/>
              <w:left w:val="single" w:sz="4" w:space="0" w:color="000000"/>
              <w:bottom w:val="single" w:sz="4" w:space="0" w:color="000000"/>
              <w:right w:val="single" w:sz="4" w:space="0" w:color="000000"/>
            </w:tcBorders>
          </w:tcPr>
          <w:p w14:paraId="7785E539" w14:textId="77777777" w:rsidR="00D3344B" w:rsidRDefault="00D3344B">
            <w:pPr>
              <w:pStyle w:val="TableParagraph"/>
              <w:rPr>
                <w:rFonts w:ascii="Arial" w:hAnsi="Arial" w:cs="Arial"/>
                <w:sz w:val="18"/>
                <w:szCs w:val="18"/>
              </w:rPr>
            </w:pPr>
          </w:p>
        </w:tc>
      </w:tr>
      <w:tr w:rsidR="00D3344B" w14:paraId="2B60B133"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11E11EA" w14:textId="77777777" w:rsidR="00D3344B" w:rsidRDefault="00143C25">
            <w:pPr>
              <w:pStyle w:val="TableParagraph"/>
              <w:rPr>
                <w:rFonts w:ascii="Arial" w:hAnsi="Arial" w:cs="Arial"/>
                <w:sz w:val="18"/>
                <w:szCs w:val="18"/>
              </w:rPr>
            </w:pPr>
            <w:r>
              <w:rPr>
                <w:rFonts w:ascii="Arial" w:hAnsi="Arial" w:cs="Arial"/>
                <w:sz w:val="18"/>
                <w:szCs w:val="18"/>
              </w:rPr>
              <w:t>02-TBIOP-</w:t>
            </w:r>
            <w:r>
              <w:rPr>
                <w:rFonts w:ascii="Arial" w:hAnsi="Arial" w:cs="Arial"/>
                <w:spacing w:val="-5"/>
                <w:sz w:val="18"/>
                <w:szCs w:val="18"/>
              </w:rPr>
              <w:t>003</w:t>
            </w:r>
          </w:p>
        </w:tc>
        <w:tc>
          <w:tcPr>
            <w:tcW w:w="3038" w:type="dxa"/>
            <w:tcBorders>
              <w:top w:val="single" w:sz="4" w:space="0" w:color="000000"/>
              <w:left w:val="single" w:sz="4" w:space="0" w:color="000000"/>
              <w:bottom w:val="single" w:sz="4" w:space="0" w:color="000000"/>
              <w:right w:val="single" w:sz="4" w:space="0" w:color="000000"/>
            </w:tcBorders>
          </w:tcPr>
          <w:p w14:paraId="69A20364" w14:textId="77777777" w:rsidR="00D3344B" w:rsidRDefault="00143C25">
            <w:pPr>
              <w:pStyle w:val="TableParagraph"/>
              <w:spacing w:line="254" w:lineRule="exact"/>
              <w:rPr>
                <w:rFonts w:ascii="Arial" w:hAnsi="Arial" w:cs="Arial"/>
                <w:sz w:val="18"/>
                <w:szCs w:val="18"/>
              </w:rPr>
            </w:pPr>
            <w:r>
              <w:rPr>
                <w:rFonts w:ascii="Arial" w:hAnsi="Arial" w:cs="Arial"/>
                <w:w w:val="115"/>
                <w:sz w:val="18"/>
                <w:szCs w:val="18"/>
              </w:rPr>
              <w:t>Toma</w:t>
            </w:r>
            <w:r>
              <w:rPr>
                <w:rFonts w:ascii="Arial" w:hAnsi="Arial" w:cs="Arial"/>
                <w:spacing w:val="58"/>
                <w:w w:val="115"/>
                <w:sz w:val="18"/>
                <w:szCs w:val="18"/>
              </w:rPr>
              <w:t xml:space="preserve"> </w:t>
            </w:r>
            <w:r>
              <w:rPr>
                <w:rFonts w:ascii="Arial" w:hAnsi="Arial" w:cs="Arial"/>
                <w:w w:val="115"/>
                <w:sz w:val="18"/>
                <w:szCs w:val="18"/>
              </w:rPr>
              <w:t>de</w:t>
            </w:r>
            <w:r>
              <w:rPr>
                <w:rFonts w:ascii="Arial" w:hAnsi="Arial" w:cs="Arial"/>
                <w:spacing w:val="80"/>
                <w:w w:val="115"/>
                <w:sz w:val="18"/>
                <w:szCs w:val="18"/>
              </w:rPr>
              <w:t xml:space="preserve"> </w:t>
            </w:r>
            <w:r>
              <w:rPr>
                <w:rFonts w:ascii="Arial" w:hAnsi="Arial" w:cs="Arial"/>
                <w:w w:val="115"/>
                <w:sz w:val="18"/>
                <w:szCs w:val="18"/>
              </w:rPr>
              <w:t>Biopsia</w:t>
            </w:r>
            <w:r>
              <w:rPr>
                <w:rFonts w:ascii="Arial" w:hAnsi="Arial" w:cs="Arial"/>
                <w:spacing w:val="-16"/>
                <w:w w:val="115"/>
                <w:sz w:val="18"/>
                <w:szCs w:val="18"/>
              </w:rPr>
              <w:t xml:space="preserve"> </w:t>
            </w:r>
            <w:r>
              <w:rPr>
                <w:rFonts w:ascii="Arial" w:hAnsi="Arial" w:cs="Arial"/>
                <w:w w:val="115"/>
                <w:sz w:val="18"/>
                <w:szCs w:val="18"/>
              </w:rPr>
              <w:t xml:space="preserve">con </w:t>
            </w:r>
            <w:r>
              <w:rPr>
                <w:rFonts w:ascii="Arial" w:hAnsi="Arial" w:cs="Arial"/>
                <w:spacing w:val="-2"/>
                <w:w w:val="115"/>
                <w:sz w:val="18"/>
                <w:szCs w:val="18"/>
              </w:rPr>
              <w:t>MAMOTOME</w:t>
            </w:r>
          </w:p>
        </w:tc>
        <w:tc>
          <w:tcPr>
            <w:tcW w:w="697" w:type="dxa"/>
            <w:tcBorders>
              <w:top w:val="single" w:sz="4" w:space="0" w:color="000000"/>
              <w:left w:val="single" w:sz="4" w:space="0" w:color="000000"/>
              <w:bottom w:val="single" w:sz="4" w:space="0" w:color="000000"/>
              <w:right w:val="single" w:sz="4" w:space="0" w:color="000000"/>
            </w:tcBorders>
          </w:tcPr>
          <w:p w14:paraId="0768F4D0" w14:textId="77777777" w:rsidR="00D3344B" w:rsidRDefault="00143C25">
            <w:pPr>
              <w:pStyle w:val="TableParagraph"/>
              <w:ind w:left="2" w:right="-15"/>
              <w:rPr>
                <w:rFonts w:ascii="Arial" w:hAnsi="Arial" w:cs="Arial"/>
                <w:sz w:val="18"/>
                <w:szCs w:val="18"/>
              </w:rPr>
            </w:pPr>
            <w:r>
              <w:rPr>
                <w:rFonts w:ascii="Arial" w:hAnsi="Arial" w:cs="Arial"/>
                <w:spacing w:val="-2"/>
                <w:w w:val="115"/>
                <w:sz w:val="18"/>
                <w:szCs w:val="18"/>
              </w:rPr>
              <w:t>116.00</w:t>
            </w:r>
          </w:p>
        </w:tc>
        <w:tc>
          <w:tcPr>
            <w:tcW w:w="695" w:type="dxa"/>
            <w:tcBorders>
              <w:top w:val="single" w:sz="4" w:space="0" w:color="000000"/>
              <w:left w:val="single" w:sz="4" w:space="0" w:color="000000"/>
              <w:bottom w:val="single" w:sz="4" w:space="0" w:color="000000"/>
              <w:right w:val="single" w:sz="4" w:space="0" w:color="000000"/>
            </w:tcBorders>
          </w:tcPr>
          <w:p w14:paraId="60848F1A"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108.75</w:t>
            </w:r>
          </w:p>
        </w:tc>
        <w:tc>
          <w:tcPr>
            <w:tcW w:w="699" w:type="dxa"/>
            <w:tcBorders>
              <w:top w:val="single" w:sz="4" w:space="0" w:color="000000"/>
              <w:left w:val="single" w:sz="4" w:space="0" w:color="000000"/>
              <w:bottom w:val="single" w:sz="4" w:space="0" w:color="000000"/>
              <w:right w:val="single" w:sz="4" w:space="0" w:color="000000"/>
            </w:tcBorders>
          </w:tcPr>
          <w:p w14:paraId="5872B37B" w14:textId="77777777" w:rsidR="00D3344B" w:rsidRDefault="00143C25">
            <w:pPr>
              <w:pStyle w:val="TableParagraph"/>
              <w:ind w:right="-15"/>
              <w:rPr>
                <w:rFonts w:ascii="Arial" w:hAnsi="Arial" w:cs="Arial"/>
                <w:sz w:val="18"/>
                <w:szCs w:val="18"/>
              </w:rPr>
            </w:pPr>
            <w:r>
              <w:rPr>
                <w:rFonts w:ascii="Arial" w:hAnsi="Arial" w:cs="Arial"/>
                <w:spacing w:val="-2"/>
                <w:w w:val="115"/>
                <w:sz w:val="18"/>
                <w:szCs w:val="18"/>
              </w:rPr>
              <w:t>100.75</w:t>
            </w:r>
          </w:p>
        </w:tc>
        <w:tc>
          <w:tcPr>
            <w:tcW w:w="699" w:type="dxa"/>
            <w:tcBorders>
              <w:top w:val="single" w:sz="4" w:space="0" w:color="000000"/>
              <w:left w:val="single" w:sz="4" w:space="0" w:color="000000"/>
              <w:bottom w:val="single" w:sz="4" w:space="0" w:color="000000"/>
              <w:right w:val="single" w:sz="4" w:space="0" w:color="000000"/>
            </w:tcBorders>
          </w:tcPr>
          <w:p w14:paraId="435C6A1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92.75</w:t>
            </w:r>
          </w:p>
        </w:tc>
        <w:tc>
          <w:tcPr>
            <w:tcW w:w="696" w:type="dxa"/>
            <w:tcBorders>
              <w:top w:val="single" w:sz="4" w:space="0" w:color="000000"/>
              <w:left w:val="single" w:sz="4" w:space="0" w:color="000000"/>
              <w:bottom w:val="single" w:sz="4" w:space="0" w:color="000000"/>
              <w:right w:val="single" w:sz="4" w:space="0" w:color="000000"/>
            </w:tcBorders>
          </w:tcPr>
          <w:p w14:paraId="4B600B7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85.50</w:t>
            </w:r>
          </w:p>
        </w:tc>
        <w:tc>
          <w:tcPr>
            <w:tcW w:w="527" w:type="dxa"/>
            <w:tcBorders>
              <w:top w:val="single" w:sz="4" w:space="0" w:color="000000"/>
              <w:left w:val="single" w:sz="4" w:space="0" w:color="000000"/>
              <w:bottom w:val="single" w:sz="4" w:space="0" w:color="000000"/>
              <w:right w:val="single" w:sz="4" w:space="0" w:color="000000"/>
            </w:tcBorders>
          </w:tcPr>
          <w:p w14:paraId="3EA3C245" w14:textId="77777777" w:rsidR="00D3344B" w:rsidRDefault="00D3344B">
            <w:pPr>
              <w:pStyle w:val="TableParagraph"/>
              <w:rPr>
                <w:rFonts w:ascii="Arial" w:hAnsi="Arial" w:cs="Arial"/>
                <w:sz w:val="18"/>
                <w:szCs w:val="18"/>
              </w:rPr>
            </w:pPr>
          </w:p>
        </w:tc>
      </w:tr>
      <w:tr w:rsidR="00D3344B" w14:paraId="19DA5C77" w14:textId="77777777">
        <w:trPr>
          <w:trHeight w:val="504"/>
        </w:trPr>
        <w:tc>
          <w:tcPr>
            <w:tcW w:w="1776" w:type="dxa"/>
            <w:tcBorders>
              <w:top w:val="single" w:sz="4" w:space="0" w:color="000000"/>
              <w:left w:val="single" w:sz="4" w:space="0" w:color="000000"/>
              <w:bottom w:val="single" w:sz="4" w:space="0" w:color="000000"/>
              <w:right w:val="single" w:sz="4" w:space="0" w:color="000000"/>
            </w:tcBorders>
          </w:tcPr>
          <w:p w14:paraId="377ACD17" w14:textId="77777777" w:rsidR="00D3344B" w:rsidRDefault="00143C25">
            <w:pPr>
              <w:pStyle w:val="TableParagraph"/>
              <w:spacing w:line="249" w:lineRule="exact"/>
              <w:rPr>
                <w:rFonts w:ascii="Arial" w:hAnsi="Arial" w:cs="Arial"/>
                <w:sz w:val="18"/>
                <w:szCs w:val="18"/>
              </w:rPr>
            </w:pPr>
            <w:r>
              <w:rPr>
                <w:rFonts w:ascii="Arial" w:hAnsi="Arial" w:cs="Arial"/>
                <w:sz w:val="18"/>
                <w:szCs w:val="18"/>
              </w:rPr>
              <w:t>02-TBIOP-</w:t>
            </w:r>
            <w:r>
              <w:rPr>
                <w:rFonts w:ascii="Arial" w:hAnsi="Arial" w:cs="Arial"/>
                <w:spacing w:val="-5"/>
                <w:sz w:val="18"/>
                <w:szCs w:val="18"/>
              </w:rPr>
              <w:t>004</w:t>
            </w:r>
          </w:p>
        </w:tc>
        <w:tc>
          <w:tcPr>
            <w:tcW w:w="3038" w:type="dxa"/>
            <w:tcBorders>
              <w:top w:val="single" w:sz="4" w:space="0" w:color="000000"/>
              <w:left w:val="single" w:sz="4" w:space="0" w:color="000000"/>
              <w:bottom w:val="single" w:sz="4" w:space="0" w:color="000000"/>
              <w:right w:val="single" w:sz="4" w:space="0" w:color="000000"/>
            </w:tcBorders>
          </w:tcPr>
          <w:p w14:paraId="7D1AC3D8" w14:textId="77777777" w:rsidR="00D3344B" w:rsidRDefault="00143C25">
            <w:pPr>
              <w:pStyle w:val="TableParagraph"/>
              <w:spacing w:line="249" w:lineRule="exact"/>
              <w:rPr>
                <w:rFonts w:ascii="Arial" w:hAnsi="Arial" w:cs="Arial"/>
                <w:sz w:val="18"/>
                <w:szCs w:val="18"/>
              </w:rPr>
            </w:pPr>
            <w:proofErr w:type="gramStart"/>
            <w:r>
              <w:rPr>
                <w:rFonts w:ascii="Arial" w:hAnsi="Arial" w:cs="Arial"/>
                <w:w w:val="110"/>
                <w:sz w:val="18"/>
                <w:szCs w:val="18"/>
              </w:rPr>
              <w:t>Toma</w:t>
            </w:r>
            <w:r>
              <w:rPr>
                <w:rFonts w:ascii="Arial" w:hAnsi="Arial" w:cs="Arial"/>
                <w:spacing w:val="22"/>
                <w:w w:val="110"/>
                <w:sz w:val="18"/>
                <w:szCs w:val="18"/>
              </w:rPr>
              <w:t xml:space="preserve">  </w:t>
            </w:r>
            <w:r>
              <w:rPr>
                <w:rFonts w:ascii="Arial" w:hAnsi="Arial" w:cs="Arial"/>
                <w:w w:val="110"/>
                <w:sz w:val="18"/>
                <w:szCs w:val="18"/>
              </w:rPr>
              <w:t>de</w:t>
            </w:r>
            <w:proofErr w:type="gramEnd"/>
            <w:r>
              <w:rPr>
                <w:rFonts w:ascii="Arial" w:hAnsi="Arial" w:cs="Arial"/>
                <w:spacing w:val="28"/>
                <w:w w:val="110"/>
                <w:sz w:val="18"/>
                <w:szCs w:val="18"/>
              </w:rPr>
              <w:t xml:space="preserve">  </w:t>
            </w:r>
            <w:r>
              <w:rPr>
                <w:rFonts w:ascii="Arial" w:hAnsi="Arial" w:cs="Arial"/>
                <w:w w:val="110"/>
                <w:sz w:val="18"/>
                <w:szCs w:val="18"/>
              </w:rPr>
              <w:t>Biopsia</w:t>
            </w:r>
            <w:r>
              <w:rPr>
                <w:rFonts w:ascii="Arial" w:hAnsi="Arial" w:cs="Arial"/>
                <w:spacing w:val="18"/>
                <w:w w:val="110"/>
                <w:sz w:val="18"/>
                <w:szCs w:val="18"/>
              </w:rPr>
              <w:t xml:space="preserve"> </w:t>
            </w:r>
            <w:r>
              <w:rPr>
                <w:rFonts w:ascii="Arial" w:hAnsi="Arial" w:cs="Arial"/>
                <w:spacing w:val="-5"/>
                <w:w w:val="110"/>
                <w:sz w:val="18"/>
                <w:szCs w:val="18"/>
              </w:rPr>
              <w:t>con</w:t>
            </w:r>
          </w:p>
          <w:p w14:paraId="06D8232B" w14:textId="77777777" w:rsidR="00D3344B" w:rsidRDefault="00143C25">
            <w:pPr>
              <w:pStyle w:val="TableParagraph"/>
              <w:spacing w:before="1" w:line="233" w:lineRule="exact"/>
              <w:rPr>
                <w:rFonts w:ascii="Arial" w:hAnsi="Arial" w:cs="Arial"/>
                <w:sz w:val="18"/>
                <w:szCs w:val="18"/>
              </w:rPr>
            </w:pPr>
            <w:proofErr w:type="spellStart"/>
            <w:r>
              <w:rPr>
                <w:rFonts w:ascii="Arial" w:hAnsi="Arial" w:cs="Arial"/>
                <w:spacing w:val="-2"/>
                <w:w w:val="110"/>
                <w:sz w:val="18"/>
                <w:szCs w:val="18"/>
              </w:rPr>
              <w:t>Esterotaxia</w:t>
            </w:r>
            <w:proofErr w:type="spellEnd"/>
          </w:p>
        </w:tc>
        <w:tc>
          <w:tcPr>
            <w:tcW w:w="697" w:type="dxa"/>
            <w:tcBorders>
              <w:top w:val="single" w:sz="4" w:space="0" w:color="000000"/>
              <w:left w:val="single" w:sz="4" w:space="0" w:color="000000"/>
              <w:bottom w:val="single" w:sz="4" w:space="0" w:color="000000"/>
              <w:right w:val="single" w:sz="4" w:space="0" w:color="000000"/>
            </w:tcBorders>
          </w:tcPr>
          <w:p w14:paraId="2CC9D91A" w14:textId="77777777" w:rsidR="00D3344B" w:rsidRDefault="00143C25">
            <w:pPr>
              <w:pStyle w:val="TableParagraph"/>
              <w:spacing w:line="249" w:lineRule="exact"/>
              <w:ind w:left="2"/>
              <w:rPr>
                <w:rFonts w:ascii="Arial" w:hAnsi="Arial" w:cs="Arial"/>
                <w:sz w:val="18"/>
                <w:szCs w:val="18"/>
              </w:rPr>
            </w:pPr>
            <w:r>
              <w:rPr>
                <w:rFonts w:ascii="Arial" w:hAnsi="Arial" w:cs="Arial"/>
                <w:spacing w:val="-4"/>
                <w:w w:val="115"/>
                <w:sz w:val="18"/>
                <w:szCs w:val="18"/>
              </w:rPr>
              <w:t>29.50</w:t>
            </w:r>
          </w:p>
        </w:tc>
        <w:tc>
          <w:tcPr>
            <w:tcW w:w="695" w:type="dxa"/>
            <w:tcBorders>
              <w:top w:val="single" w:sz="4" w:space="0" w:color="000000"/>
              <w:left w:val="single" w:sz="4" w:space="0" w:color="000000"/>
              <w:bottom w:val="single" w:sz="4" w:space="0" w:color="000000"/>
              <w:right w:val="single" w:sz="4" w:space="0" w:color="000000"/>
            </w:tcBorders>
          </w:tcPr>
          <w:p w14:paraId="569A81ED"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28.00</w:t>
            </w:r>
          </w:p>
        </w:tc>
        <w:tc>
          <w:tcPr>
            <w:tcW w:w="699" w:type="dxa"/>
            <w:tcBorders>
              <w:top w:val="single" w:sz="4" w:space="0" w:color="000000"/>
              <w:left w:val="single" w:sz="4" w:space="0" w:color="000000"/>
              <w:bottom w:val="single" w:sz="4" w:space="0" w:color="000000"/>
              <w:right w:val="single" w:sz="4" w:space="0" w:color="000000"/>
            </w:tcBorders>
          </w:tcPr>
          <w:p w14:paraId="007745E1" w14:textId="77777777" w:rsidR="00D3344B" w:rsidRDefault="00143C25">
            <w:pPr>
              <w:pStyle w:val="TableParagraph"/>
              <w:spacing w:line="249" w:lineRule="exact"/>
              <w:rPr>
                <w:rFonts w:ascii="Arial" w:hAnsi="Arial" w:cs="Arial"/>
                <w:sz w:val="18"/>
                <w:szCs w:val="18"/>
              </w:rPr>
            </w:pPr>
            <w:r>
              <w:rPr>
                <w:rFonts w:ascii="Arial" w:hAnsi="Arial" w:cs="Arial"/>
                <w:spacing w:val="-4"/>
                <w:w w:val="115"/>
                <w:sz w:val="18"/>
                <w:szCs w:val="18"/>
              </w:rPr>
              <w:t>26.25</w:t>
            </w:r>
          </w:p>
        </w:tc>
        <w:tc>
          <w:tcPr>
            <w:tcW w:w="699" w:type="dxa"/>
            <w:tcBorders>
              <w:top w:val="single" w:sz="4" w:space="0" w:color="000000"/>
              <w:left w:val="single" w:sz="4" w:space="0" w:color="000000"/>
              <w:bottom w:val="single" w:sz="4" w:space="0" w:color="000000"/>
              <w:right w:val="single" w:sz="4" w:space="0" w:color="000000"/>
            </w:tcBorders>
          </w:tcPr>
          <w:p w14:paraId="7AC087F9"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24.75</w:t>
            </w:r>
          </w:p>
        </w:tc>
        <w:tc>
          <w:tcPr>
            <w:tcW w:w="696" w:type="dxa"/>
            <w:tcBorders>
              <w:top w:val="single" w:sz="4" w:space="0" w:color="000000"/>
              <w:left w:val="single" w:sz="4" w:space="0" w:color="000000"/>
              <w:bottom w:val="single" w:sz="4" w:space="0" w:color="000000"/>
              <w:right w:val="single" w:sz="4" w:space="0" w:color="000000"/>
            </w:tcBorders>
          </w:tcPr>
          <w:p w14:paraId="472D6759" w14:textId="77777777" w:rsidR="00D3344B" w:rsidRDefault="00143C25">
            <w:pPr>
              <w:pStyle w:val="TableParagraph"/>
              <w:spacing w:line="249" w:lineRule="exact"/>
              <w:ind w:left="5"/>
              <w:rPr>
                <w:rFonts w:ascii="Arial" w:hAnsi="Arial" w:cs="Arial"/>
                <w:sz w:val="18"/>
                <w:szCs w:val="18"/>
              </w:rPr>
            </w:pPr>
            <w:r>
              <w:rPr>
                <w:rFonts w:ascii="Arial" w:hAnsi="Arial" w:cs="Arial"/>
                <w:spacing w:val="-4"/>
                <w:w w:val="115"/>
                <w:sz w:val="18"/>
                <w:szCs w:val="18"/>
              </w:rPr>
              <w:t>23.50</w:t>
            </w:r>
          </w:p>
        </w:tc>
        <w:tc>
          <w:tcPr>
            <w:tcW w:w="527" w:type="dxa"/>
            <w:tcBorders>
              <w:top w:val="single" w:sz="4" w:space="0" w:color="000000"/>
              <w:left w:val="single" w:sz="4" w:space="0" w:color="000000"/>
              <w:bottom w:val="single" w:sz="4" w:space="0" w:color="000000"/>
              <w:right w:val="single" w:sz="4" w:space="0" w:color="000000"/>
            </w:tcBorders>
          </w:tcPr>
          <w:p w14:paraId="33E2AB82" w14:textId="77777777" w:rsidR="00D3344B" w:rsidRDefault="00D3344B">
            <w:pPr>
              <w:pStyle w:val="TableParagraph"/>
              <w:rPr>
                <w:rFonts w:ascii="Arial" w:hAnsi="Arial" w:cs="Arial"/>
                <w:sz w:val="18"/>
                <w:szCs w:val="18"/>
              </w:rPr>
            </w:pPr>
          </w:p>
        </w:tc>
      </w:tr>
      <w:tr w:rsidR="00D3344B" w14:paraId="35B97F3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91A0A95" w14:textId="77777777" w:rsidR="00D3344B" w:rsidRDefault="00143C25">
            <w:pPr>
              <w:pStyle w:val="TableParagraph"/>
              <w:rPr>
                <w:rFonts w:ascii="Arial" w:hAnsi="Arial" w:cs="Arial"/>
                <w:sz w:val="18"/>
                <w:szCs w:val="18"/>
              </w:rPr>
            </w:pPr>
            <w:r>
              <w:rPr>
                <w:rFonts w:ascii="Arial" w:hAnsi="Arial" w:cs="Arial"/>
                <w:sz w:val="18"/>
                <w:szCs w:val="18"/>
              </w:rPr>
              <w:t>05-HOT-</w:t>
            </w:r>
            <w:r>
              <w:rPr>
                <w:rFonts w:ascii="Arial" w:hAnsi="Arial" w:cs="Arial"/>
                <w:spacing w:val="-5"/>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2714EFAA" w14:textId="77777777" w:rsidR="00D3344B" w:rsidRDefault="00143C25">
            <w:pPr>
              <w:pStyle w:val="TableParagraph"/>
              <w:rPr>
                <w:rFonts w:ascii="Arial" w:hAnsi="Arial" w:cs="Arial"/>
                <w:sz w:val="18"/>
                <w:szCs w:val="18"/>
              </w:rPr>
            </w:pPr>
            <w:r>
              <w:rPr>
                <w:rFonts w:ascii="Arial" w:hAnsi="Arial" w:cs="Arial"/>
                <w:spacing w:val="-2"/>
                <w:w w:val="110"/>
                <w:sz w:val="18"/>
                <w:szCs w:val="18"/>
              </w:rPr>
              <w:t>Holter</w:t>
            </w:r>
          </w:p>
        </w:tc>
        <w:tc>
          <w:tcPr>
            <w:tcW w:w="697" w:type="dxa"/>
            <w:tcBorders>
              <w:top w:val="single" w:sz="4" w:space="0" w:color="000000"/>
              <w:left w:val="single" w:sz="4" w:space="0" w:color="000000"/>
              <w:bottom w:val="single" w:sz="4" w:space="0" w:color="000000"/>
              <w:right w:val="single" w:sz="4" w:space="0" w:color="000000"/>
            </w:tcBorders>
          </w:tcPr>
          <w:p w14:paraId="693B180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16.50</w:t>
            </w:r>
          </w:p>
        </w:tc>
        <w:tc>
          <w:tcPr>
            <w:tcW w:w="695" w:type="dxa"/>
            <w:tcBorders>
              <w:top w:val="single" w:sz="4" w:space="0" w:color="000000"/>
              <w:left w:val="single" w:sz="4" w:space="0" w:color="000000"/>
              <w:bottom w:val="single" w:sz="4" w:space="0" w:color="000000"/>
              <w:right w:val="single" w:sz="4" w:space="0" w:color="000000"/>
            </w:tcBorders>
          </w:tcPr>
          <w:p w14:paraId="1B16E658" w14:textId="77777777" w:rsidR="00D3344B" w:rsidRDefault="00143C25">
            <w:pPr>
              <w:pStyle w:val="TableParagraph"/>
              <w:rPr>
                <w:rFonts w:ascii="Arial" w:hAnsi="Arial" w:cs="Arial"/>
                <w:sz w:val="18"/>
                <w:szCs w:val="18"/>
              </w:rPr>
            </w:pPr>
            <w:r>
              <w:rPr>
                <w:rFonts w:ascii="Arial" w:hAnsi="Arial" w:cs="Arial"/>
                <w:spacing w:val="-4"/>
                <w:w w:val="115"/>
                <w:sz w:val="18"/>
                <w:szCs w:val="18"/>
              </w:rPr>
              <w:t>15.00</w:t>
            </w:r>
          </w:p>
        </w:tc>
        <w:tc>
          <w:tcPr>
            <w:tcW w:w="699" w:type="dxa"/>
            <w:tcBorders>
              <w:top w:val="single" w:sz="4" w:space="0" w:color="000000"/>
              <w:left w:val="single" w:sz="4" w:space="0" w:color="000000"/>
              <w:bottom w:val="single" w:sz="4" w:space="0" w:color="000000"/>
              <w:right w:val="single" w:sz="4" w:space="0" w:color="000000"/>
            </w:tcBorders>
          </w:tcPr>
          <w:p w14:paraId="588F9137" w14:textId="77777777" w:rsidR="00D3344B" w:rsidRDefault="00143C25">
            <w:pPr>
              <w:pStyle w:val="TableParagraph"/>
              <w:rPr>
                <w:rFonts w:ascii="Arial" w:hAnsi="Arial" w:cs="Arial"/>
                <w:sz w:val="18"/>
                <w:szCs w:val="18"/>
              </w:rPr>
            </w:pPr>
            <w:r>
              <w:rPr>
                <w:rFonts w:ascii="Arial" w:hAnsi="Arial" w:cs="Arial"/>
                <w:spacing w:val="-4"/>
                <w:w w:val="115"/>
                <w:sz w:val="18"/>
                <w:szCs w:val="18"/>
              </w:rPr>
              <w:t>13.50</w:t>
            </w:r>
          </w:p>
        </w:tc>
        <w:tc>
          <w:tcPr>
            <w:tcW w:w="699" w:type="dxa"/>
            <w:tcBorders>
              <w:top w:val="single" w:sz="4" w:space="0" w:color="000000"/>
              <w:left w:val="single" w:sz="4" w:space="0" w:color="000000"/>
              <w:bottom w:val="single" w:sz="4" w:space="0" w:color="000000"/>
              <w:right w:val="single" w:sz="4" w:space="0" w:color="000000"/>
            </w:tcBorders>
          </w:tcPr>
          <w:p w14:paraId="16C2BD41"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12.50</w:t>
            </w:r>
          </w:p>
        </w:tc>
        <w:tc>
          <w:tcPr>
            <w:tcW w:w="696" w:type="dxa"/>
            <w:tcBorders>
              <w:top w:val="single" w:sz="4" w:space="0" w:color="000000"/>
              <w:left w:val="single" w:sz="4" w:space="0" w:color="000000"/>
              <w:bottom w:val="single" w:sz="4" w:space="0" w:color="000000"/>
              <w:right w:val="single" w:sz="4" w:space="0" w:color="000000"/>
            </w:tcBorders>
          </w:tcPr>
          <w:p w14:paraId="47E32B0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11.00</w:t>
            </w:r>
          </w:p>
        </w:tc>
        <w:tc>
          <w:tcPr>
            <w:tcW w:w="527" w:type="dxa"/>
            <w:tcBorders>
              <w:top w:val="single" w:sz="4" w:space="0" w:color="000000"/>
              <w:left w:val="single" w:sz="4" w:space="0" w:color="000000"/>
              <w:bottom w:val="single" w:sz="4" w:space="0" w:color="000000"/>
              <w:right w:val="single" w:sz="4" w:space="0" w:color="000000"/>
            </w:tcBorders>
          </w:tcPr>
          <w:p w14:paraId="70F658CC" w14:textId="77777777" w:rsidR="00D3344B" w:rsidRDefault="00D3344B">
            <w:pPr>
              <w:pStyle w:val="TableParagraph"/>
              <w:rPr>
                <w:rFonts w:ascii="Arial" w:hAnsi="Arial" w:cs="Arial"/>
                <w:sz w:val="18"/>
                <w:szCs w:val="18"/>
              </w:rPr>
            </w:pPr>
          </w:p>
        </w:tc>
      </w:tr>
      <w:tr w:rsidR="00D3344B" w14:paraId="29A8586B"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85283F4" w14:textId="77777777" w:rsidR="00D3344B" w:rsidRDefault="00143C25">
            <w:pPr>
              <w:pStyle w:val="TableParagraph"/>
              <w:spacing w:before="1"/>
              <w:rPr>
                <w:rFonts w:ascii="Arial" w:hAnsi="Arial" w:cs="Arial"/>
                <w:sz w:val="18"/>
                <w:szCs w:val="18"/>
              </w:rPr>
            </w:pPr>
            <w:r>
              <w:rPr>
                <w:rFonts w:ascii="Arial" w:hAnsi="Arial" w:cs="Arial"/>
                <w:w w:val="110"/>
                <w:sz w:val="18"/>
                <w:szCs w:val="18"/>
              </w:rPr>
              <w:t>04-EEFG-</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009CDDBE" w14:textId="77777777" w:rsidR="00D3344B" w:rsidRDefault="00143C25">
            <w:pPr>
              <w:pStyle w:val="TableParagraph"/>
              <w:spacing w:line="252" w:lineRule="exact"/>
              <w:rPr>
                <w:rFonts w:ascii="Arial" w:hAnsi="Arial" w:cs="Arial"/>
                <w:sz w:val="18"/>
                <w:szCs w:val="18"/>
              </w:rPr>
            </w:pPr>
            <w:r>
              <w:rPr>
                <w:rFonts w:ascii="Arial" w:hAnsi="Arial" w:cs="Arial"/>
                <w:spacing w:val="-2"/>
                <w:w w:val="110"/>
                <w:sz w:val="18"/>
                <w:szCs w:val="18"/>
              </w:rPr>
              <w:t xml:space="preserve">ELECTROENCEFALOGRA </w:t>
            </w:r>
            <w:r>
              <w:rPr>
                <w:rFonts w:ascii="Arial" w:hAnsi="Arial" w:cs="Arial"/>
                <w:spacing w:val="-6"/>
                <w:w w:val="115"/>
                <w:sz w:val="18"/>
                <w:szCs w:val="18"/>
              </w:rPr>
              <w:t>MA</w:t>
            </w:r>
          </w:p>
        </w:tc>
        <w:tc>
          <w:tcPr>
            <w:tcW w:w="697" w:type="dxa"/>
            <w:tcBorders>
              <w:top w:val="single" w:sz="4" w:space="0" w:color="000000"/>
              <w:left w:val="single" w:sz="4" w:space="0" w:color="000000"/>
              <w:bottom w:val="single" w:sz="4" w:space="0" w:color="000000"/>
              <w:right w:val="single" w:sz="4" w:space="0" w:color="000000"/>
            </w:tcBorders>
          </w:tcPr>
          <w:p w14:paraId="1CF37B0C"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19.00</w:t>
            </w:r>
          </w:p>
        </w:tc>
        <w:tc>
          <w:tcPr>
            <w:tcW w:w="695" w:type="dxa"/>
            <w:tcBorders>
              <w:top w:val="single" w:sz="4" w:space="0" w:color="000000"/>
              <w:left w:val="single" w:sz="4" w:space="0" w:color="000000"/>
              <w:bottom w:val="single" w:sz="4" w:space="0" w:color="000000"/>
              <w:right w:val="single" w:sz="4" w:space="0" w:color="000000"/>
            </w:tcBorders>
          </w:tcPr>
          <w:p w14:paraId="43C4379A"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16.75</w:t>
            </w:r>
          </w:p>
        </w:tc>
        <w:tc>
          <w:tcPr>
            <w:tcW w:w="699" w:type="dxa"/>
            <w:tcBorders>
              <w:top w:val="single" w:sz="4" w:space="0" w:color="000000"/>
              <w:left w:val="single" w:sz="4" w:space="0" w:color="000000"/>
              <w:bottom w:val="single" w:sz="4" w:space="0" w:color="000000"/>
              <w:right w:val="single" w:sz="4" w:space="0" w:color="000000"/>
            </w:tcBorders>
          </w:tcPr>
          <w:p w14:paraId="5995F5C8"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14.50</w:t>
            </w:r>
          </w:p>
        </w:tc>
        <w:tc>
          <w:tcPr>
            <w:tcW w:w="699" w:type="dxa"/>
            <w:tcBorders>
              <w:top w:val="single" w:sz="4" w:space="0" w:color="000000"/>
              <w:left w:val="single" w:sz="4" w:space="0" w:color="000000"/>
              <w:bottom w:val="single" w:sz="4" w:space="0" w:color="000000"/>
              <w:right w:val="single" w:sz="4" w:space="0" w:color="000000"/>
            </w:tcBorders>
          </w:tcPr>
          <w:p w14:paraId="6902F24A"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12.50</w:t>
            </w:r>
          </w:p>
        </w:tc>
        <w:tc>
          <w:tcPr>
            <w:tcW w:w="696" w:type="dxa"/>
            <w:tcBorders>
              <w:top w:val="single" w:sz="4" w:space="0" w:color="000000"/>
              <w:left w:val="single" w:sz="4" w:space="0" w:color="000000"/>
              <w:bottom w:val="single" w:sz="4" w:space="0" w:color="000000"/>
              <w:right w:val="single" w:sz="4" w:space="0" w:color="000000"/>
            </w:tcBorders>
          </w:tcPr>
          <w:p w14:paraId="3115EBA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10.50</w:t>
            </w:r>
          </w:p>
        </w:tc>
        <w:tc>
          <w:tcPr>
            <w:tcW w:w="527" w:type="dxa"/>
            <w:tcBorders>
              <w:top w:val="single" w:sz="4" w:space="0" w:color="000000"/>
              <w:left w:val="single" w:sz="4" w:space="0" w:color="000000"/>
              <w:bottom w:val="single" w:sz="4" w:space="0" w:color="000000"/>
              <w:right w:val="single" w:sz="4" w:space="0" w:color="000000"/>
            </w:tcBorders>
          </w:tcPr>
          <w:p w14:paraId="30FE5FA7" w14:textId="77777777" w:rsidR="00D3344B" w:rsidRDefault="00D3344B">
            <w:pPr>
              <w:pStyle w:val="TableParagraph"/>
              <w:rPr>
                <w:rFonts w:ascii="Arial" w:hAnsi="Arial" w:cs="Arial"/>
                <w:sz w:val="18"/>
                <w:szCs w:val="18"/>
              </w:rPr>
            </w:pPr>
          </w:p>
        </w:tc>
      </w:tr>
      <w:tr w:rsidR="00D3344B" w14:paraId="26088533" w14:textId="77777777">
        <w:trPr>
          <w:trHeight w:val="376"/>
        </w:trPr>
        <w:tc>
          <w:tcPr>
            <w:tcW w:w="1776" w:type="dxa"/>
            <w:tcBorders>
              <w:top w:val="single" w:sz="4" w:space="0" w:color="000000"/>
              <w:left w:val="single" w:sz="4" w:space="0" w:color="000000"/>
              <w:bottom w:val="single" w:sz="4" w:space="0" w:color="000000"/>
              <w:right w:val="single" w:sz="4" w:space="0" w:color="000000"/>
            </w:tcBorders>
          </w:tcPr>
          <w:p w14:paraId="3A54D70A"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038</w:t>
            </w:r>
          </w:p>
        </w:tc>
        <w:tc>
          <w:tcPr>
            <w:tcW w:w="3038" w:type="dxa"/>
            <w:tcBorders>
              <w:top w:val="single" w:sz="4" w:space="0" w:color="000000"/>
              <w:left w:val="single" w:sz="4" w:space="0" w:color="000000"/>
              <w:bottom w:val="single" w:sz="4" w:space="0" w:color="000000"/>
              <w:right w:val="single" w:sz="4" w:space="0" w:color="000000"/>
            </w:tcBorders>
          </w:tcPr>
          <w:p w14:paraId="63CA7020" w14:textId="77777777" w:rsidR="00D3344B" w:rsidRDefault="00143C25">
            <w:pPr>
              <w:pStyle w:val="TableParagraph"/>
              <w:spacing w:line="180" w:lineRule="atLeast"/>
              <w:ind w:right="725"/>
              <w:rPr>
                <w:rFonts w:ascii="Arial" w:hAnsi="Arial" w:cs="Arial"/>
                <w:sz w:val="18"/>
                <w:szCs w:val="18"/>
              </w:rPr>
            </w:pPr>
            <w:r>
              <w:rPr>
                <w:rFonts w:ascii="Arial" w:hAnsi="Arial" w:cs="Arial"/>
                <w:w w:val="105"/>
                <w:sz w:val="18"/>
                <w:szCs w:val="18"/>
              </w:rPr>
              <w:t>TAC</w:t>
            </w:r>
            <w:r>
              <w:rPr>
                <w:rFonts w:ascii="Arial" w:hAnsi="Arial" w:cs="Arial"/>
                <w:spacing w:val="40"/>
                <w:w w:val="105"/>
                <w:sz w:val="18"/>
                <w:szCs w:val="18"/>
              </w:rPr>
              <w:t xml:space="preserve"> </w:t>
            </w:r>
            <w:r>
              <w:rPr>
                <w:rFonts w:ascii="Arial" w:hAnsi="Arial" w:cs="Arial"/>
                <w:w w:val="105"/>
                <w:sz w:val="18"/>
                <w:szCs w:val="18"/>
              </w:rPr>
              <w:t>de</w:t>
            </w:r>
            <w:r>
              <w:rPr>
                <w:rFonts w:ascii="Arial" w:hAnsi="Arial" w:cs="Arial"/>
                <w:spacing w:val="40"/>
                <w:w w:val="105"/>
                <w:sz w:val="18"/>
                <w:szCs w:val="18"/>
              </w:rPr>
              <w:t xml:space="preserve"> </w:t>
            </w:r>
            <w:r>
              <w:rPr>
                <w:rFonts w:ascii="Arial" w:hAnsi="Arial" w:cs="Arial"/>
                <w:w w:val="105"/>
                <w:sz w:val="18"/>
                <w:szCs w:val="18"/>
              </w:rPr>
              <w:t>miembros</w:t>
            </w:r>
            <w:r>
              <w:rPr>
                <w:rFonts w:ascii="Arial" w:hAnsi="Arial" w:cs="Arial"/>
                <w:spacing w:val="40"/>
                <w:w w:val="105"/>
                <w:sz w:val="18"/>
                <w:szCs w:val="18"/>
              </w:rPr>
              <w:t xml:space="preserve"> </w:t>
            </w:r>
            <w:r>
              <w:rPr>
                <w:rFonts w:ascii="Arial" w:hAnsi="Arial" w:cs="Arial"/>
                <w:w w:val="105"/>
                <w:sz w:val="18"/>
                <w:szCs w:val="18"/>
              </w:rPr>
              <w:t xml:space="preserve">pélvicos </w:t>
            </w:r>
            <w:r>
              <w:rPr>
                <w:rFonts w:ascii="Arial" w:hAnsi="Arial" w:cs="Arial"/>
                <w:spacing w:val="-2"/>
                <w:w w:val="105"/>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683C5F21"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49.00</w:t>
            </w:r>
          </w:p>
        </w:tc>
        <w:tc>
          <w:tcPr>
            <w:tcW w:w="695" w:type="dxa"/>
            <w:tcBorders>
              <w:top w:val="single" w:sz="4" w:space="0" w:color="000000"/>
              <w:left w:val="single" w:sz="4" w:space="0" w:color="000000"/>
              <w:bottom w:val="single" w:sz="4" w:space="0" w:color="000000"/>
              <w:right w:val="single" w:sz="4" w:space="0" w:color="000000"/>
            </w:tcBorders>
          </w:tcPr>
          <w:p w14:paraId="6F1A573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44.25</w:t>
            </w:r>
          </w:p>
        </w:tc>
        <w:tc>
          <w:tcPr>
            <w:tcW w:w="699" w:type="dxa"/>
            <w:tcBorders>
              <w:top w:val="single" w:sz="4" w:space="0" w:color="000000"/>
              <w:left w:val="single" w:sz="4" w:space="0" w:color="000000"/>
              <w:bottom w:val="single" w:sz="4" w:space="0" w:color="000000"/>
              <w:right w:val="single" w:sz="4" w:space="0" w:color="000000"/>
            </w:tcBorders>
          </w:tcPr>
          <w:p w14:paraId="6090DE34"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39.50</w:t>
            </w:r>
          </w:p>
        </w:tc>
        <w:tc>
          <w:tcPr>
            <w:tcW w:w="699" w:type="dxa"/>
            <w:tcBorders>
              <w:top w:val="single" w:sz="4" w:space="0" w:color="000000"/>
              <w:left w:val="single" w:sz="4" w:space="0" w:color="000000"/>
              <w:bottom w:val="single" w:sz="4" w:space="0" w:color="000000"/>
              <w:right w:val="single" w:sz="4" w:space="0" w:color="000000"/>
            </w:tcBorders>
          </w:tcPr>
          <w:p w14:paraId="30A9493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35.00</w:t>
            </w:r>
          </w:p>
        </w:tc>
        <w:tc>
          <w:tcPr>
            <w:tcW w:w="696" w:type="dxa"/>
            <w:tcBorders>
              <w:top w:val="single" w:sz="4" w:space="0" w:color="000000"/>
              <w:left w:val="single" w:sz="4" w:space="0" w:color="000000"/>
              <w:bottom w:val="single" w:sz="4" w:space="0" w:color="000000"/>
              <w:right w:val="single" w:sz="4" w:space="0" w:color="000000"/>
            </w:tcBorders>
          </w:tcPr>
          <w:p w14:paraId="696B3C31"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30.25</w:t>
            </w:r>
          </w:p>
        </w:tc>
        <w:tc>
          <w:tcPr>
            <w:tcW w:w="527" w:type="dxa"/>
            <w:tcBorders>
              <w:top w:val="single" w:sz="4" w:space="0" w:color="000000"/>
              <w:left w:val="single" w:sz="4" w:space="0" w:color="000000"/>
              <w:bottom w:val="single" w:sz="4" w:space="0" w:color="000000"/>
              <w:right w:val="single" w:sz="4" w:space="0" w:color="000000"/>
            </w:tcBorders>
          </w:tcPr>
          <w:p w14:paraId="51F102E2" w14:textId="77777777" w:rsidR="00D3344B" w:rsidRDefault="00D3344B">
            <w:pPr>
              <w:pStyle w:val="TableParagraph"/>
              <w:rPr>
                <w:rFonts w:ascii="Arial" w:hAnsi="Arial" w:cs="Arial"/>
                <w:sz w:val="18"/>
                <w:szCs w:val="18"/>
              </w:rPr>
            </w:pPr>
          </w:p>
        </w:tc>
      </w:tr>
      <w:tr w:rsidR="00D3344B" w14:paraId="46A85589"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FEABAFD"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039</w:t>
            </w:r>
          </w:p>
        </w:tc>
        <w:tc>
          <w:tcPr>
            <w:tcW w:w="3038" w:type="dxa"/>
            <w:tcBorders>
              <w:top w:val="single" w:sz="4" w:space="0" w:color="000000"/>
              <w:left w:val="single" w:sz="4" w:space="0" w:color="000000"/>
              <w:bottom w:val="single" w:sz="4" w:space="0" w:color="000000"/>
              <w:right w:val="single" w:sz="4" w:space="0" w:color="000000"/>
            </w:tcBorders>
          </w:tcPr>
          <w:p w14:paraId="5B143DFF"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TAC</w:t>
            </w:r>
            <w:r>
              <w:rPr>
                <w:rFonts w:ascii="Arial" w:hAnsi="Arial" w:cs="Arial"/>
                <w:spacing w:val="80"/>
                <w:w w:val="110"/>
                <w:sz w:val="18"/>
                <w:szCs w:val="18"/>
              </w:rPr>
              <w:t xml:space="preserve"> </w:t>
            </w:r>
            <w:r>
              <w:rPr>
                <w:rFonts w:ascii="Arial" w:hAnsi="Arial" w:cs="Arial"/>
                <w:w w:val="110"/>
                <w:sz w:val="18"/>
                <w:szCs w:val="18"/>
              </w:rPr>
              <w:t>de</w:t>
            </w:r>
            <w:r>
              <w:rPr>
                <w:rFonts w:ascii="Arial" w:hAnsi="Arial" w:cs="Arial"/>
                <w:spacing w:val="80"/>
                <w:w w:val="110"/>
                <w:sz w:val="18"/>
                <w:szCs w:val="18"/>
              </w:rPr>
              <w:t xml:space="preserve"> </w:t>
            </w:r>
            <w:r>
              <w:rPr>
                <w:rFonts w:ascii="Arial" w:hAnsi="Arial" w:cs="Arial"/>
                <w:w w:val="110"/>
                <w:sz w:val="18"/>
                <w:szCs w:val="18"/>
              </w:rPr>
              <w:t>abdomen</w:t>
            </w:r>
            <w:r>
              <w:rPr>
                <w:rFonts w:ascii="Arial" w:hAnsi="Arial" w:cs="Arial"/>
                <w:spacing w:val="80"/>
                <w:w w:val="110"/>
                <w:sz w:val="18"/>
                <w:szCs w:val="18"/>
              </w:rPr>
              <w:t xml:space="preserve"> </w:t>
            </w:r>
            <w:r>
              <w:rPr>
                <w:rFonts w:ascii="Arial" w:hAnsi="Arial" w:cs="Arial"/>
                <w:w w:val="110"/>
                <w:sz w:val="18"/>
                <w:szCs w:val="18"/>
              </w:rPr>
              <w:t>y</w:t>
            </w:r>
            <w:r>
              <w:rPr>
                <w:rFonts w:ascii="Arial" w:hAnsi="Arial" w:cs="Arial"/>
                <w:spacing w:val="80"/>
                <w:w w:val="110"/>
                <w:sz w:val="18"/>
                <w:szCs w:val="18"/>
              </w:rPr>
              <w:t xml:space="preserve"> </w:t>
            </w:r>
            <w:r>
              <w:rPr>
                <w:rFonts w:ascii="Arial" w:hAnsi="Arial" w:cs="Arial"/>
                <w:w w:val="110"/>
                <w:sz w:val="18"/>
                <w:szCs w:val="18"/>
              </w:rPr>
              <w:t xml:space="preserve">pelvis </w:t>
            </w:r>
            <w:r>
              <w:rPr>
                <w:rFonts w:ascii="Arial" w:hAnsi="Arial" w:cs="Arial"/>
                <w:spacing w:val="-2"/>
                <w:w w:val="110"/>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329B416B"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44.25</w:t>
            </w:r>
          </w:p>
        </w:tc>
        <w:tc>
          <w:tcPr>
            <w:tcW w:w="695" w:type="dxa"/>
            <w:tcBorders>
              <w:top w:val="single" w:sz="4" w:space="0" w:color="000000"/>
              <w:left w:val="single" w:sz="4" w:space="0" w:color="000000"/>
              <w:bottom w:val="single" w:sz="4" w:space="0" w:color="000000"/>
              <w:right w:val="single" w:sz="4" w:space="0" w:color="000000"/>
            </w:tcBorders>
          </w:tcPr>
          <w:p w14:paraId="0929814A"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42.50</w:t>
            </w:r>
          </w:p>
        </w:tc>
        <w:tc>
          <w:tcPr>
            <w:tcW w:w="699" w:type="dxa"/>
            <w:tcBorders>
              <w:top w:val="single" w:sz="4" w:space="0" w:color="000000"/>
              <w:left w:val="single" w:sz="4" w:space="0" w:color="000000"/>
              <w:bottom w:val="single" w:sz="4" w:space="0" w:color="000000"/>
              <w:right w:val="single" w:sz="4" w:space="0" w:color="000000"/>
            </w:tcBorders>
          </w:tcPr>
          <w:p w14:paraId="18519813"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41.00</w:t>
            </w:r>
          </w:p>
        </w:tc>
        <w:tc>
          <w:tcPr>
            <w:tcW w:w="699" w:type="dxa"/>
            <w:tcBorders>
              <w:top w:val="single" w:sz="4" w:space="0" w:color="000000"/>
              <w:left w:val="single" w:sz="4" w:space="0" w:color="000000"/>
              <w:bottom w:val="single" w:sz="4" w:space="0" w:color="000000"/>
              <w:right w:val="single" w:sz="4" w:space="0" w:color="000000"/>
            </w:tcBorders>
          </w:tcPr>
          <w:p w14:paraId="0D43E07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39.50</w:t>
            </w:r>
          </w:p>
        </w:tc>
        <w:tc>
          <w:tcPr>
            <w:tcW w:w="696" w:type="dxa"/>
            <w:tcBorders>
              <w:top w:val="single" w:sz="4" w:space="0" w:color="000000"/>
              <w:left w:val="single" w:sz="4" w:space="0" w:color="000000"/>
              <w:bottom w:val="single" w:sz="4" w:space="0" w:color="000000"/>
              <w:right w:val="single" w:sz="4" w:space="0" w:color="000000"/>
            </w:tcBorders>
          </w:tcPr>
          <w:p w14:paraId="00077E6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38.00</w:t>
            </w:r>
          </w:p>
        </w:tc>
        <w:tc>
          <w:tcPr>
            <w:tcW w:w="527" w:type="dxa"/>
            <w:tcBorders>
              <w:top w:val="single" w:sz="4" w:space="0" w:color="000000"/>
              <w:left w:val="single" w:sz="4" w:space="0" w:color="000000"/>
              <w:bottom w:val="single" w:sz="4" w:space="0" w:color="000000"/>
              <w:right w:val="single" w:sz="4" w:space="0" w:color="000000"/>
            </w:tcBorders>
          </w:tcPr>
          <w:p w14:paraId="3A897709" w14:textId="77777777" w:rsidR="00D3344B" w:rsidRDefault="00D3344B">
            <w:pPr>
              <w:pStyle w:val="TableParagraph"/>
              <w:rPr>
                <w:rFonts w:ascii="Arial" w:hAnsi="Arial" w:cs="Arial"/>
                <w:sz w:val="18"/>
                <w:szCs w:val="18"/>
              </w:rPr>
            </w:pPr>
          </w:p>
        </w:tc>
      </w:tr>
      <w:tr w:rsidR="00D3344B" w14:paraId="1C5E1BB2"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42E631E6" w14:textId="77777777" w:rsidR="00D3344B" w:rsidRDefault="00143C25">
            <w:pPr>
              <w:pStyle w:val="TableParagraph"/>
              <w:spacing w:before="1"/>
              <w:rPr>
                <w:rFonts w:ascii="Arial" w:hAnsi="Arial" w:cs="Arial"/>
                <w:sz w:val="18"/>
                <w:szCs w:val="18"/>
              </w:rPr>
            </w:pPr>
            <w:r>
              <w:rPr>
                <w:rFonts w:ascii="Arial" w:hAnsi="Arial" w:cs="Arial"/>
                <w:sz w:val="18"/>
                <w:szCs w:val="18"/>
              </w:rPr>
              <w:t>02-TM-</w:t>
            </w:r>
            <w:r>
              <w:rPr>
                <w:rFonts w:ascii="Arial" w:hAnsi="Arial" w:cs="Arial"/>
                <w:spacing w:val="-5"/>
                <w:sz w:val="18"/>
                <w:szCs w:val="18"/>
              </w:rPr>
              <w:t>040</w:t>
            </w:r>
          </w:p>
        </w:tc>
        <w:tc>
          <w:tcPr>
            <w:tcW w:w="3038" w:type="dxa"/>
            <w:tcBorders>
              <w:top w:val="single" w:sz="4" w:space="0" w:color="000000"/>
              <w:left w:val="single" w:sz="4" w:space="0" w:color="000000"/>
              <w:bottom w:val="single" w:sz="4" w:space="0" w:color="000000"/>
              <w:right w:val="single" w:sz="4" w:space="0" w:color="000000"/>
            </w:tcBorders>
          </w:tcPr>
          <w:p w14:paraId="14152930" w14:textId="77777777" w:rsidR="00D3344B" w:rsidRDefault="00143C25">
            <w:pPr>
              <w:pStyle w:val="TableParagraph"/>
              <w:spacing w:before="1"/>
              <w:rPr>
                <w:rFonts w:ascii="Arial" w:hAnsi="Arial" w:cs="Arial"/>
                <w:sz w:val="18"/>
                <w:szCs w:val="18"/>
              </w:rPr>
            </w:pPr>
            <w:r>
              <w:rPr>
                <w:rFonts w:ascii="Arial" w:hAnsi="Arial" w:cs="Arial"/>
                <w:w w:val="110"/>
                <w:sz w:val="18"/>
                <w:szCs w:val="18"/>
              </w:rPr>
              <w:t>Angiotac</w:t>
            </w:r>
            <w:r>
              <w:rPr>
                <w:rFonts w:ascii="Arial" w:hAnsi="Arial" w:cs="Arial"/>
                <w:spacing w:val="9"/>
                <w:w w:val="110"/>
                <w:sz w:val="18"/>
                <w:szCs w:val="18"/>
              </w:rPr>
              <w:t xml:space="preserve"> </w:t>
            </w:r>
            <w:r>
              <w:rPr>
                <w:rFonts w:ascii="Arial" w:hAnsi="Arial" w:cs="Arial"/>
                <w:w w:val="110"/>
                <w:sz w:val="18"/>
                <w:szCs w:val="18"/>
              </w:rPr>
              <w:t>de</w:t>
            </w:r>
            <w:r>
              <w:rPr>
                <w:rFonts w:ascii="Arial" w:hAnsi="Arial" w:cs="Arial"/>
                <w:spacing w:val="13"/>
                <w:w w:val="110"/>
                <w:sz w:val="18"/>
                <w:szCs w:val="18"/>
              </w:rPr>
              <w:t xml:space="preserve"> </w:t>
            </w:r>
            <w:r>
              <w:rPr>
                <w:rFonts w:ascii="Arial" w:hAnsi="Arial" w:cs="Arial"/>
                <w:spacing w:val="-2"/>
                <w:w w:val="110"/>
                <w:sz w:val="18"/>
                <w:szCs w:val="18"/>
              </w:rPr>
              <w:t>cuello</w:t>
            </w:r>
          </w:p>
        </w:tc>
        <w:tc>
          <w:tcPr>
            <w:tcW w:w="697" w:type="dxa"/>
            <w:tcBorders>
              <w:top w:val="single" w:sz="4" w:space="0" w:color="000000"/>
              <w:left w:val="single" w:sz="4" w:space="0" w:color="000000"/>
              <w:bottom w:val="single" w:sz="4" w:space="0" w:color="000000"/>
              <w:right w:val="single" w:sz="4" w:space="0" w:color="000000"/>
            </w:tcBorders>
          </w:tcPr>
          <w:p w14:paraId="0AD9C7BE"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41.00</w:t>
            </w:r>
          </w:p>
        </w:tc>
        <w:tc>
          <w:tcPr>
            <w:tcW w:w="695" w:type="dxa"/>
            <w:tcBorders>
              <w:top w:val="single" w:sz="4" w:space="0" w:color="000000"/>
              <w:left w:val="single" w:sz="4" w:space="0" w:color="000000"/>
              <w:bottom w:val="single" w:sz="4" w:space="0" w:color="000000"/>
              <w:right w:val="single" w:sz="4" w:space="0" w:color="000000"/>
            </w:tcBorders>
          </w:tcPr>
          <w:p w14:paraId="5FD08B6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36.25</w:t>
            </w:r>
          </w:p>
        </w:tc>
        <w:tc>
          <w:tcPr>
            <w:tcW w:w="699" w:type="dxa"/>
            <w:tcBorders>
              <w:top w:val="single" w:sz="4" w:space="0" w:color="000000"/>
              <w:left w:val="single" w:sz="4" w:space="0" w:color="000000"/>
              <w:bottom w:val="single" w:sz="4" w:space="0" w:color="000000"/>
              <w:right w:val="single" w:sz="4" w:space="0" w:color="000000"/>
            </w:tcBorders>
          </w:tcPr>
          <w:p w14:paraId="5E81D8C5"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31.50</w:t>
            </w:r>
          </w:p>
        </w:tc>
        <w:tc>
          <w:tcPr>
            <w:tcW w:w="699" w:type="dxa"/>
            <w:tcBorders>
              <w:top w:val="single" w:sz="4" w:space="0" w:color="000000"/>
              <w:left w:val="single" w:sz="4" w:space="0" w:color="000000"/>
              <w:bottom w:val="single" w:sz="4" w:space="0" w:color="000000"/>
              <w:right w:val="single" w:sz="4" w:space="0" w:color="000000"/>
            </w:tcBorders>
          </w:tcPr>
          <w:p w14:paraId="3665E74B"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26.75</w:t>
            </w:r>
          </w:p>
        </w:tc>
        <w:tc>
          <w:tcPr>
            <w:tcW w:w="696" w:type="dxa"/>
            <w:tcBorders>
              <w:top w:val="single" w:sz="4" w:space="0" w:color="000000"/>
              <w:left w:val="single" w:sz="4" w:space="0" w:color="000000"/>
              <w:bottom w:val="single" w:sz="4" w:space="0" w:color="000000"/>
              <w:right w:val="single" w:sz="4" w:space="0" w:color="000000"/>
            </w:tcBorders>
          </w:tcPr>
          <w:p w14:paraId="7E66E70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22.25</w:t>
            </w:r>
          </w:p>
        </w:tc>
        <w:tc>
          <w:tcPr>
            <w:tcW w:w="527" w:type="dxa"/>
            <w:tcBorders>
              <w:top w:val="single" w:sz="4" w:space="0" w:color="000000"/>
              <w:left w:val="single" w:sz="4" w:space="0" w:color="000000"/>
              <w:bottom w:val="single" w:sz="4" w:space="0" w:color="000000"/>
              <w:right w:val="single" w:sz="4" w:space="0" w:color="000000"/>
            </w:tcBorders>
          </w:tcPr>
          <w:p w14:paraId="4CBA265A" w14:textId="77777777" w:rsidR="00D3344B" w:rsidRDefault="00D3344B">
            <w:pPr>
              <w:pStyle w:val="TableParagraph"/>
              <w:rPr>
                <w:rFonts w:ascii="Arial" w:hAnsi="Arial" w:cs="Arial"/>
                <w:sz w:val="18"/>
                <w:szCs w:val="18"/>
              </w:rPr>
            </w:pPr>
          </w:p>
        </w:tc>
      </w:tr>
      <w:tr w:rsidR="00D3344B" w14:paraId="6A2D932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61593CB3"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041</w:t>
            </w:r>
          </w:p>
        </w:tc>
        <w:tc>
          <w:tcPr>
            <w:tcW w:w="3038" w:type="dxa"/>
            <w:tcBorders>
              <w:top w:val="single" w:sz="4" w:space="0" w:color="000000"/>
              <w:left w:val="single" w:sz="4" w:space="0" w:color="000000"/>
              <w:bottom w:val="single" w:sz="4" w:space="0" w:color="000000"/>
              <w:right w:val="single" w:sz="4" w:space="0" w:color="000000"/>
            </w:tcBorders>
          </w:tcPr>
          <w:p w14:paraId="377A9258" w14:textId="77777777" w:rsidR="00D3344B" w:rsidRDefault="00143C25">
            <w:pPr>
              <w:pStyle w:val="TableParagraph"/>
              <w:rPr>
                <w:rFonts w:ascii="Arial" w:hAnsi="Arial" w:cs="Arial"/>
                <w:sz w:val="18"/>
                <w:szCs w:val="18"/>
              </w:rPr>
            </w:pPr>
            <w:r>
              <w:rPr>
                <w:rFonts w:ascii="Arial" w:hAnsi="Arial" w:cs="Arial"/>
                <w:w w:val="110"/>
                <w:sz w:val="18"/>
                <w:szCs w:val="18"/>
              </w:rPr>
              <w:t>TAC</w:t>
            </w:r>
            <w:r>
              <w:rPr>
                <w:rFonts w:ascii="Arial" w:hAnsi="Arial" w:cs="Arial"/>
                <w:spacing w:val="13"/>
                <w:w w:val="110"/>
                <w:sz w:val="18"/>
                <w:szCs w:val="18"/>
              </w:rPr>
              <w:t xml:space="preserve"> </w:t>
            </w:r>
            <w:r>
              <w:rPr>
                <w:rFonts w:ascii="Arial" w:hAnsi="Arial" w:cs="Arial"/>
                <w:w w:val="110"/>
                <w:sz w:val="18"/>
                <w:szCs w:val="18"/>
              </w:rPr>
              <w:t>de</w:t>
            </w:r>
            <w:r>
              <w:rPr>
                <w:rFonts w:ascii="Arial" w:hAnsi="Arial" w:cs="Arial"/>
                <w:spacing w:val="11"/>
                <w:w w:val="110"/>
                <w:sz w:val="18"/>
                <w:szCs w:val="18"/>
              </w:rPr>
              <w:t xml:space="preserve"> </w:t>
            </w:r>
            <w:r>
              <w:rPr>
                <w:rFonts w:ascii="Arial" w:hAnsi="Arial" w:cs="Arial"/>
                <w:w w:val="110"/>
                <w:sz w:val="18"/>
                <w:szCs w:val="18"/>
              </w:rPr>
              <w:t>macizo</w:t>
            </w:r>
            <w:r>
              <w:rPr>
                <w:rFonts w:ascii="Arial" w:hAnsi="Arial" w:cs="Arial"/>
                <w:spacing w:val="12"/>
                <w:w w:val="110"/>
                <w:sz w:val="18"/>
                <w:szCs w:val="18"/>
              </w:rPr>
              <w:t xml:space="preserve"> </w:t>
            </w:r>
            <w:r>
              <w:rPr>
                <w:rFonts w:ascii="Arial" w:hAnsi="Arial" w:cs="Arial"/>
                <w:spacing w:val="-2"/>
                <w:w w:val="110"/>
                <w:sz w:val="18"/>
                <w:szCs w:val="18"/>
              </w:rPr>
              <w:t>facial</w:t>
            </w:r>
          </w:p>
        </w:tc>
        <w:tc>
          <w:tcPr>
            <w:tcW w:w="697" w:type="dxa"/>
            <w:tcBorders>
              <w:top w:val="single" w:sz="4" w:space="0" w:color="000000"/>
              <w:left w:val="single" w:sz="4" w:space="0" w:color="000000"/>
              <w:bottom w:val="single" w:sz="4" w:space="0" w:color="000000"/>
              <w:right w:val="single" w:sz="4" w:space="0" w:color="000000"/>
            </w:tcBorders>
          </w:tcPr>
          <w:p w14:paraId="744D025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26.00</w:t>
            </w:r>
          </w:p>
        </w:tc>
        <w:tc>
          <w:tcPr>
            <w:tcW w:w="695" w:type="dxa"/>
            <w:tcBorders>
              <w:top w:val="single" w:sz="4" w:space="0" w:color="000000"/>
              <w:left w:val="single" w:sz="4" w:space="0" w:color="000000"/>
              <w:bottom w:val="single" w:sz="4" w:space="0" w:color="000000"/>
              <w:right w:val="single" w:sz="4" w:space="0" w:color="000000"/>
            </w:tcBorders>
          </w:tcPr>
          <w:p w14:paraId="495FFC01" w14:textId="77777777" w:rsidR="00D3344B" w:rsidRDefault="00143C25">
            <w:pPr>
              <w:pStyle w:val="TableParagraph"/>
              <w:rPr>
                <w:rFonts w:ascii="Arial" w:hAnsi="Arial" w:cs="Arial"/>
                <w:sz w:val="18"/>
                <w:szCs w:val="18"/>
              </w:rPr>
            </w:pPr>
            <w:r>
              <w:rPr>
                <w:rFonts w:ascii="Arial" w:hAnsi="Arial" w:cs="Arial"/>
                <w:spacing w:val="-4"/>
                <w:w w:val="115"/>
                <w:sz w:val="18"/>
                <w:szCs w:val="18"/>
              </w:rPr>
              <w:t>22.75</w:t>
            </w:r>
          </w:p>
        </w:tc>
        <w:tc>
          <w:tcPr>
            <w:tcW w:w="699" w:type="dxa"/>
            <w:tcBorders>
              <w:top w:val="single" w:sz="4" w:space="0" w:color="000000"/>
              <w:left w:val="single" w:sz="4" w:space="0" w:color="000000"/>
              <w:bottom w:val="single" w:sz="4" w:space="0" w:color="000000"/>
              <w:right w:val="single" w:sz="4" w:space="0" w:color="000000"/>
            </w:tcBorders>
          </w:tcPr>
          <w:p w14:paraId="02538CF5" w14:textId="77777777" w:rsidR="00D3344B" w:rsidRDefault="00143C25">
            <w:pPr>
              <w:pStyle w:val="TableParagraph"/>
              <w:rPr>
                <w:rFonts w:ascii="Arial" w:hAnsi="Arial" w:cs="Arial"/>
                <w:sz w:val="18"/>
                <w:szCs w:val="18"/>
              </w:rPr>
            </w:pPr>
            <w:r>
              <w:rPr>
                <w:rFonts w:ascii="Arial" w:hAnsi="Arial" w:cs="Arial"/>
                <w:spacing w:val="-4"/>
                <w:w w:val="115"/>
                <w:sz w:val="18"/>
                <w:szCs w:val="18"/>
              </w:rPr>
              <w:t>19.75</w:t>
            </w:r>
          </w:p>
        </w:tc>
        <w:tc>
          <w:tcPr>
            <w:tcW w:w="699" w:type="dxa"/>
            <w:tcBorders>
              <w:top w:val="single" w:sz="4" w:space="0" w:color="000000"/>
              <w:left w:val="single" w:sz="4" w:space="0" w:color="000000"/>
              <w:bottom w:val="single" w:sz="4" w:space="0" w:color="000000"/>
              <w:right w:val="single" w:sz="4" w:space="0" w:color="000000"/>
            </w:tcBorders>
          </w:tcPr>
          <w:p w14:paraId="5A53374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16.50</w:t>
            </w:r>
          </w:p>
        </w:tc>
        <w:tc>
          <w:tcPr>
            <w:tcW w:w="696" w:type="dxa"/>
            <w:tcBorders>
              <w:top w:val="single" w:sz="4" w:space="0" w:color="000000"/>
              <w:left w:val="single" w:sz="4" w:space="0" w:color="000000"/>
              <w:bottom w:val="single" w:sz="4" w:space="0" w:color="000000"/>
              <w:right w:val="single" w:sz="4" w:space="0" w:color="000000"/>
            </w:tcBorders>
          </w:tcPr>
          <w:p w14:paraId="457C289C"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13.50</w:t>
            </w:r>
          </w:p>
        </w:tc>
        <w:tc>
          <w:tcPr>
            <w:tcW w:w="527" w:type="dxa"/>
            <w:tcBorders>
              <w:top w:val="single" w:sz="4" w:space="0" w:color="000000"/>
              <w:left w:val="single" w:sz="4" w:space="0" w:color="000000"/>
              <w:bottom w:val="single" w:sz="4" w:space="0" w:color="000000"/>
              <w:right w:val="single" w:sz="4" w:space="0" w:color="000000"/>
            </w:tcBorders>
          </w:tcPr>
          <w:p w14:paraId="472ED1A5" w14:textId="77777777" w:rsidR="00D3344B" w:rsidRDefault="00D3344B">
            <w:pPr>
              <w:pStyle w:val="TableParagraph"/>
              <w:rPr>
                <w:rFonts w:ascii="Arial" w:hAnsi="Arial" w:cs="Arial"/>
                <w:sz w:val="18"/>
                <w:szCs w:val="18"/>
              </w:rPr>
            </w:pPr>
          </w:p>
        </w:tc>
      </w:tr>
      <w:tr w:rsidR="00D3344B" w14:paraId="78E9271D"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1728AA4" w14:textId="77777777" w:rsidR="00D3344B" w:rsidRDefault="00143C25">
            <w:pPr>
              <w:pStyle w:val="TableParagraph"/>
              <w:rPr>
                <w:rFonts w:ascii="Arial" w:hAnsi="Arial" w:cs="Arial"/>
                <w:sz w:val="18"/>
                <w:szCs w:val="18"/>
              </w:rPr>
            </w:pPr>
            <w:r>
              <w:rPr>
                <w:rFonts w:ascii="Arial" w:hAnsi="Arial" w:cs="Arial"/>
                <w:sz w:val="18"/>
                <w:szCs w:val="18"/>
              </w:rPr>
              <w:t>02-TM-</w:t>
            </w:r>
            <w:r>
              <w:rPr>
                <w:rFonts w:ascii="Arial" w:hAnsi="Arial" w:cs="Arial"/>
                <w:spacing w:val="-5"/>
                <w:sz w:val="18"/>
                <w:szCs w:val="18"/>
              </w:rPr>
              <w:t>042</w:t>
            </w:r>
          </w:p>
        </w:tc>
        <w:tc>
          <w:tcPr>
            <w:tcW w:w="3038" w:type="dxa"/>
            <w:tcBorders>
              <w:top w:val="single" w:sz="4" w:space="0" w:color="000000"/>
              <w:left w:val="single" w:sz="4" w:space="0" w:color="000000"/>
              <w:bottom w:val="single" w:sz="4" w:space="0" w:color="000000"/>
              <w:right w:val="single" w:sz="4" w:space="0" w:color="000000"/>
            </w:tcBorders>
          </w:tcPr>
          <w:p w14:paraId="523DA91E" w14:textId="77777777" w:rsidR="00D3344B" w:rsidRDefault="00143C25">
            <w:pPr>
              <w:pStyle w:val="TableParagraph"/>
              <w:tabs>
                <w:tab w:val="left" w:pos="703"/>
                <w:tab w:val="left" w:pos="1147"/>
                <w:tab w:val="left" w:pos="2237"/>
              </w:tabs>
              <w:spacing w:line="252" w:lineRule="exact"/>
              <w:ind w:right="1"/>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miembro</w:t>
            </w:r>
            <w:r>
              <w:rPr>
                <w:rFonts w:ascii="Arial" w:hAnsi="Arial" w:cs="Arial"/>
                <w:sz w:val="18"/>
                <w:szCs w:val="18"/>
              </w:rPr>
              <w:tab/>
            </w:r>
            <w:r>
              <w:rPr>
                <w:rFonts w:ascii="Arial" w:hAnsi="Arial" w:cs="Arial"/>
                <w:spacing w:val="-2"/>
                <w:w w:val="110"/>
                <w:sz w:val="18"/>
                <w:szCs w:val="18"/>
              </w:rPr>
              <w:t>superior simple</w:t>
            </w:r>
          </w:p>
        </w:tc>
        <w:tc>
          <w:tcPr>
            <w:tcW w:w="697" w:type="dxa"/>
            <w:tcBorders>
              <w:top w:val="single" w:sz="4" w:space="0" w:color="000000"/>
              <w:left w:val="single" w:sz="4" w:space="0" w:color="000000"/>
              <w:bottom w:val="single" w:sz="4" w:space="0" w:color="000000"/>
              <w:right w:val="single" w:sz="4" w:space="0" w:color="000000"/>
            </w:tcBorders>
          </w:tcPr>
          <w:p w14:paraId="228DC15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38.25</w:t>
            </w:r>
          </w:p>
        </w:tc>
        <w:tc>
          <w:tcPr>
            <w:tcW w:w="695" w:type="dxa"/>
            <w:tcBorders>
              <w:top w:val="single" w:sz="4" w:space="0" w:color="000000"/>
              <w:left w:val="single" w:sz="4" w:space="0" w:color="000000"/>
              <w:bottom w:val="single" w:sz="4" w:space="0" w:color="000000"/>
              <w:right w:val="single" w:sz="4" w:space="0" w:color="000000"/>
            </w:tcBorders>
          </w:tcPr>
          <w:p w14:paraId="333EC720" w14:textId="77777777" w:rsidR="00D3344B" w:rsidRDefault="00143C25">
            <w:pPr>
              <w:pStyle w:val="TableParagraph"/>
              <w:rPr>
                <w:rFonts w:ascii="Arial" w:hAnsi="Arial" w:cs="Arial"/>
                <w:sz w:val="18"/>
                <w:szCs w:val="18"/>
              </w:rPr>
            </w:pPr>
            <w:r>
              <w:rPr>
                <w:rFonts w:ascii="Arial" w:hAnsi="Arial" w:cs="Arial"/>
                <w:spacing w:val="-4"/>
                <w:w w:val="115"/>
                <w:sz w:val="18"/>
                <w:szCs w:val="18"/>
              </w:rPr>
              <w:t>34.00</w:t>
            </w:r>
          </w:p>
        </w:tc>
        <w:tc>
          <w:tcPr>
            <w:tcW w:w="699" w:type="dxa"/>
            <w:tcBorders>
              <w:top w:val="single" w:sz="4" w:space="0" w:color="000000"/>
              <w:left w:val="single" w:sz="4" w:space="0" w:color="000000"/>
              <w:bottom w:val="single" w:sz="4" w:space="0" w:color="000000"/>
              <w:right w:val="single" w:sz="4" w:space="0" w:color="000000"/>
            </w:tcBorders>
          </w:tcPr>
          <w:p w14:paraId="0A69EA06" w14:textId="77777777" w:rsidR="00D3344B" w:rsidRDefault="00143C25">
            <w:pPr>
              <w:pStyle w:val="TableParagraph"/>
              <w:rPr>
                <w:rFonts w:ascii="Arial" w:hAnsi="Arial" w:cs="Arial"/>
                <w:sz w:val="18"/>
                <w:szCs w:val="18"/>
              </w:rPr>
            </w:pPr>
            <w:r>
              <w:rPr>
                <w:rFonts w:ascii="Arial" w:hAnsi="Arial" w:cs="Arial"/>
                <w:spacing w:val="-4"/>
                <w:w w:val="115"/>
                <w:sz w:val="18"/>
                <w:szCs w:val="18"/>
              </w:rPr>
              <w:t>29.75</w:t>
            </w:r>
          </w:p>
        </w:tc>
        <w:tc>
          <w:tcPr>
            <w:tcW w:w="699" w:type="dxa"/>
            <w:tcBorders>
              <w:top w:val="single" w:sz="4" w:space="0" w:color="000000"/>
              <w:left w:val="single" w:sz="4" w:space="0" w:color="000000"/>
              <w:bottom w:val="single" w:sz="4" w:space="0" w:color="000000"/>
              <w:right w:val="single" w:sz="4" w:space="0" w:color="000000"/>
            </w:tcBorders>
          </w:tcPr>
          <w:p w14:paraId="1C43A20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25.50</w:t>
            </w:r>
          </w:p>
        </w:tc>
        <w:tc>
          <w:tcPr>
            <w:tcW w:w="696" w:type="dxa"/>
            <w:tcBorders>
              <w:top w:val="single" w:sz="4" w:space="0" w:color="000000"/>
              <w:left w:val="single" w:sz="4" w:space="0" w:color="000000"/>
              <w:bottom w:val="single" w:sz="4" w:space="0" w:color="000000"/>
              <w:right w:val="single" w:sz="4" w:space="0" w:color="000000"/>
            </w:tcBorders>
          </w:tcPr>
          <w:p w14:paraId="69ABA2B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21.25</w:t>
            </w:r>
          </w:p>
        </w:tc>
        <w:tc>
          <w:tcPr>
            <w:tcW w:w="527" w:type="dxa"/>
            <w:tcBorders>
              <w:top w:val="single" w:sz="4" w:space="0" w:color="000000"/>
              <w:left w:val="single" w:sz="4" w:space="0" w:color="000000"/>
              <w:bottom w:val="single" w:sz="4" w:space="0" w:color="000000"/>
              <w:right w:val="single" w:sz="4" w:space="0" w:color="000000"/>
            </w:tcBorders>
          </w:tcPr>
          <w:p w14:paraId="788DF47C" w14:textId="77777777" w:rsidR="00D3344B" w:rsidRDefault="00D3344B">
            <w:pPr>
              <w:pStyle w:val="TableParagraph"/>
              <w:rPr>
                <w:rFonts w:ascii="Arial" w:hAnsi="Arial" w:cs="Arial"/>
                <w:sz w:val="18"/>
                <w:szCs w:val="18"/>
              </w:rPr>
            </w:pPr>
          </w:p>
        </w:tc>
      </w:tr>
      <w:tr w:rsidR="00D3344B" w14:paraId="556290AC"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38E7D4C" w14:textId="77777777" w:rsidR="00D3344B" w:rsidRDefault="00143C25">
            <w:pPr>
              <w:pStyle w:val="TableParagraph"/>
              <w:rPr>
                <w:rFonts w:ascii="Arial" w:hAnsi="Arial" w:cs="Arial"/>
                <w:sz w:val="18"/>
                <w:szCs w:val="18"/>
              </w:rPr>
            </w:pPr>
            <w:r>
              <w:rPr>
                <w:rFonts w:ascii="Arial" w:hAnsi="Arial" w:cs="Arial"/>
                <w:sz w:val="18"/>
                <w:szCs w:val="18"/>
              </w:rPr>
              <w:t>02-TM-042-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2C698688" w14:textId="77777777" w:rsidR="00D3344B" w:rsidRDefault="00143C25">
            <w:pPr>
              <w:pStyle w:val="TableParagraph"/>
              <w:tabs>
                <w:tab w:val="left" w:pos="703"/>
                <w:tab w:val="left" w:pos="1147"/>
                <w:tab w:val="left" w:pos="2237"/>
              </w:tabs>
              <w:spacing w:line="252" w:lineRule="exact"/>
              <w:ind w:right="1"/>
              <w:rPr>
                <w:rFonts w:ascii="Arial" w:hAnsi="Arial" w:cs="Arial"/>
                <w:sz w:val="18"/>
                <w:szCs w:val="18"/>
              </w:rPr>
            </w:pPr>
            <w:r>
              <w:rPr>
                <w:rFonts w:ascii="Arial" w:hAnsi="Arial" w:cs="Arial"/>
                <w:spacing w:val="-4"/>
                <w:w w:val="110"/>
                <w:sz w:val="18"/>
                <w:szCs w:val="18"/>
              </w:rPr>
              <w:t>TAC</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miembro</w:t>
            </w:r>
            <w:r>
              <w:rPr>
                <w:rFonts w:ascii="Arial" w:hAnsi="Arial" w:cs="Arial"/>
                <w:sz w:val="18"/>
                <w:szCs w:val="18"/>
              </w:rPr>
              <w:tab/>
            </w:r>
            <w:r>
              <w:rPr>
                <w:rFonts w:ascii="Arial" w:hAnsi="Arial" w:cs="Arial"/>
                <w:spacing w:val="-2"/>
                <w:w w:val="110"/>
                <w:sz w:val="18"/>
                <w:szCs w:val="18"/>
              </w:rPr>
              <w:t>superior contrastada</w:t>
            </w:r>
          </w:p>
        </w:tc>
        <w:tc>
          <w:tcPr>
            <w:tcW w:w="697" w:type="dxa"/>
            <w:tcBorders>
              <w:top w:val="single" w:sz="4" w:space="0" w:color="000000"/>
              <w:left w:val="single" w:sz="4" w:space="0" w:color="000000"/>
              <w:bottom w:val="single" w:sz="4" w:space="0" w:color="000000"/>
              <w:right w:val="single" w:sz="4" w:space="0" w:color="000000"/>
            </w:tcBorders>
          </w:tcPr>
          <w:p w14:paraId="675AD28A"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54.75</w:t>
            </w:r>
          </w:p>
        </w:tc>
        <w:tc>
          <w:tcPr>
            <w:tcW w:w="695" w:type="dxa"/>
            <w:tcBorders>
              <w:top w:val="single" w:sz="4" w:space="0" w:color="000000"/>
              <w:left w:val="single" w:sz="4" w:space="0" w:color="000000"/>
              <w:bottom w:val="single" w:sz="4" w:space="0" w:color="000000"/>
              <w:right w:val="single" w:sz="4" w:space="0" w:color="000000"/>
            </w:tcBorders>
          </w:tcPr>
          <w:p w14:paraId="224BEEBF" w14:textId="77777777" w:rsidR="00D3344B" w:rsidRDefault="00143C25">
            <w:pPr>
              <w:pStyle w:val="TableParagraph"/>
              <w:rPr>
                <w:rFonts w:ascii="Arial" w:hAnsi="Arial" w:cs="Arial"/>
                <w:sz w:val="18"/>
                <w:szCs w:val="18"/>
              </w:rPr>
            </w:pPr>
            <w:r>
              <w:rPr>
                <w:rFonts w:ascii="Arial" w:hAnsi="Arial" w:cs="Arial"/>
                <w:spacing w:val="-4"/>
                <w:w w:val="115"/>
                <w:sz w:val="18"/>
                <w:szCs w:val="18"/>
              </w:rPr>
              <w:t>49.50</w:t>
            </w:r>
          </w:p>
        </w:tc>
        <w:tc>
          <w:tcPr>
            <w:tcW w:w="699" w:type="dxa"/>
            <w:tcBorders>
              <w:top w:val="single" w:sz="4" w:space="0" w:color="000000"/>
              <w:left w:val="single" w:sz="4" w:space="0" w:color="000000"/>
              <w:bottom w:val="single" w:sz="4" w:space="0" w:color="000000"/>
              <w:right w:val="single" w:sz="4" w:space="0" w:color="000000"/>
            </w:tcBorders>
          </w:tcPr>
          <w:p w14:paraId="5612DD77" w14:textId="77777777" w:rsidR="00D3344B" w:rsidRDefault="00143C25">
            <w:pPr>
              <w:pStyle w:val="TableParagraph"/>
              <w:rPr>
                <w:rFonts w:ascii="Arial" w:hAnsi="Arial" w:cs="Arial"/>
                <w:sz w:val="18"/>
                <w:szCs w:val="18"/>
              </w:rPr>
            </w:pPr>
            <w:r>
              <w:rPr>
                <w:rFonts w:ascii="Arial" w:hAnsi="Arial" w:cs="Arial"/>
                <w:spacing w:val="-4"/>
                <w:w w:val="115"/>
                <w:sz w:val="18"/>
                <w:szCs w:val="18"/>
              </w:rPr>
              <w:t>44.50</w:t>
            </w:r>
          </w:p>
        </w:tc>
        <w:tc>
          <w:tcPr>
            <w:tcW w:w="699" w:type="dxa"/>
            <w:tcBorders>
              <w:top w:val="single" w:sz="4" w:space="0" w:color="000000"/>
              <w:left w:val="single" w:sz="4" w:space="0" w:color="000000"/>
              <w:bottom w:val="single" w:sz="4" w:space="0" w:color="000000"/>
              <w:right w:val="single" w:sz="4" w:space="0" w:color="000000"/>
            </w:tcBorders>
          </w:tcPr>
          <w:p w14:paraId="2CC7146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39.50</w:t>
            </w:r>
          </w:p>
        </w:tc>
        <w:tc>
          <w:tcPr>
            <w:tcW w:w="696" w:type="dxa"/>
            <w:tcBorders>
              <w:top w:val="single" w:sz="4" w:space="0" w:color="000000"/>
              <w:left w:val="single" w:sz="4" w:space="0" w:color="000000"/>
              <w:bottom w:val="single" w:sz="4" w:space="0" w:color="000000"/>
              <w:right w:val="single" w:sz="4" w:space="0" w:color="000000"/>
            </w:tcBorders>
          </w:tcPr>
          <w:p w14:paraId="6C662B5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34.50</w:t>
            </w:r>
          </w:p>
        </w:tc>
        <w:tc>
          <w:tcPr>
            <w:tcW w:w="527" w:type="dxa"/>
            <w:tcBorders>
              <w:top w:val="single" w:sz="4" w:space="0" w:color="000000"/>
              <w:left w:val="single" w:sz="4" w:space="0" w:color="000000"/>
              <w:bottom w:val="single" w:sz="4" w:space="0" w:color="000000"/>
              <w:right w:val="single" w:sz="4" w:space="0" w:color="000000"/>
            </w:tcBorders>
          </w:tcPr>
          <w:p w14:paraId="2698F7AE" w14:textId="77777777" w:rsidR="00D3344B" w:rsidRDefault="00D3344B">
            <w:pPr>
              <w:pStyle w:val="TableParagraph"/>
              <w:rPr>
                <w:rFonts w:ascii="Arial" w:hAnsi="Arial" w:cs="Arial"/>
                <w:sz w:val="18"/>
                <w:szCs w:val="18"/>
              </w:rPr>
            </w:pPr>
          </w:p>
        </w:tc>
      </w:tr>
      <w:tr w:rsidR="00D3344B" w14:paraId="667FE6C5"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4154F4BF"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027</w:t>
            </w:r>
          </w:p>
        </w:tc>
        <w:tc>
          <w:tcPr>
            <w:tcW w:w="3038" w:type="dxa"/>
            <w:tcBorders>
              <w:top w:val="single" w:sz="4" w:space="0" w:color="000000"/>
              <w:left w:val="single" w:sz="4" w:space="0" w:color="000000"/>
              <w:bottom w:val="single" w:sz="4" w:space="0" w:color="000000"/>
              <w:right w:val="single" w:sz="4" w:space="0" w:color="000000"/>
            </w:tcBorders>
          </w:tcPr>
          <w:p w14:paraId="733E0A31"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de oído medio simple</w:t>
            </w:r>
          </w:p>
        </w:tc>
        <w:tc>
          <w:tcPr>
            <w:tcW w:w="697" w:type="dxa"/>
            <w:tcBorders>
              <w:top w:val="single" w:sz="4" w:space="0" w:color="000000"/>
              <w:left w:val="single" w:sz="4" w:space="0" w:color="000000"/>
              <w:bottom w:val="single" w:sz="4" w:space="0" w:color="000000"/>
              <w:right w:val="single" w:sz="4" w:space="0" w:color="000000"/>
            </w:tcBorders>
          </w:tcPr>
          <w:p w14:paraId="2E19EC9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3396412F"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264F8A3B"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5476D15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D49397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2D2E5BAE" w14:textId="77777777" w:rsidR="00D3344B" w:rsidRDefault="00D3344B">
            <w:pPr>
              <w:pStyle w:val="TableParagraph"/>
              <w:rPr>
                <w:rFonts w:ascii="Arial" w:hAnsi="Arial" w:cs="Arial"/>
                <w:sz w:val="18"/>
                <w:szCs w:val="18"/>
              </w:rPr>
            </w:pPr>
          </w:p>
        </w:tc>
      </w:tr>
      <w:tr w:rsidR="00D3344B" w14:paraId="33BC4802"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53C4F51F" w14:textId="77777777" w:rsidR="00D3344B" w:rsidRDefault="00143C25">
            <w:pPr>
              <w:pStyle w:val="TableParagraph"/>
              <w:rPr>
                <w:rFonts w:ascii="Arial" w:hAnsi="Arial" w:cs="Arial"/>
                <w:sz w:val="18"/>
                <w:szCs w:val="18"/>
              </w:rPr>
            </w:pPr>
            <w:r>
              <w:rPr>
                <w:rFonts w:ascii="Arial" w:hAnsi="Arial" w:cs="Arial"/>
                <w:sz w:val="18"/>
                <w:szCs w:val="18"/>
              </w:rPr>
              <w:lastRenderedPageBreak/>
              <w:t>02-RMN-027-</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5FC9322"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oído medio contrastada</w:t>
            </w:r>
          </w:p>
        </w:tc>
        <w:tc>
          <w:tcPr>
            <w:tcW w:w="697" w:type="dxa"/>
            <w:tcBorders>
              <w:top w:val="single" w:sz="4" w:space="0" w:color="000000"/>
              <w:left w:val="single" w:sz="4" w:space="0" w:color="000000"/>
              <w:bottom w:val="single" w:sz="4" w:space="0" w:color="000000"/>
              <w:right w:val="single" w:sz="4" w:space="0" w:color="000000"/>
            </w:tcBorders>
          </w:tcPr>
          <w:p w14:paraId="05A55646"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32EB6384"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0B559F9D"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6ED909A6"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1754075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0DA95205" w14:textId="77777777" w:rsidR="00D3344B" w:rsidRDefault="00D3344B">
            <w:pPr>
              <w:pStyle w:val="TableParagraph"/>
              <w:rPr>
                <w:rFonts w:ascii="Arial" w:hAnsi="Arial" w:cs="Arial"/>
                <w:sz w:val="18"/>
                <w:szCs w:val="18"/>
              </w:rPr>
            </w:pPr>
          </w:p>
        </w:tc>
      </w:tr>
      <w:tr w:rsidR="00D3344B" w14:paraId="0AAD0249"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5923456C"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028</w:t>
            </w:r>
          </w:p>
        </w:tc>
        <w:tc>
          <w:tcPr>
            <w:tcW w:w="3038" w:type="dxa"/>
            <w:tcBorders>
              <w:top w:val="single" w:sz="4" w:space="0" w:color="000000"/>
              <w:left w:val="single" w:sz="4" w:space="0" w:color="000000"/>
              <w:bottom w:val="single" w:sz="4" w:space="0" w:color="000000"/>
              <w:right w:val="single" w:sz="4" w:space="0" w:color="000000"/>
            </w:tcBorders>
          </w:tcPr>
          <w:p w14:paraId="392B3220" w14:textId="77777777" w:rsidR="00D3344B" w:rsidRDefault="00143C25">
            <w:pPr>
              <w:pStyle w:val="TableParagraph"/>
              <w:rPr>
                <w:rFonts w:ascii="Arial" w:hAnsi="Arial" w:cs="Arial"/>
                <w:sz w:val="18"/>
                <w:szCs w:val="18"/>
              </w:rPr>
            </w:pPr>
            <w:proofErr w:type="spellStart"/>
            <w:r>
              <w:rPr>
                <w:rFonts w:ascii="Arial" w:hAnsi="Arial" w:cs="Arial"/>
                <w:w w:val="110"/>
                <w:sz w:val="18"/>
                <w:szCs w:val="18"/>
              </w:rPr>
              <w:t>Angioresonancia</w:t>
            </w:r>
            <w:proofErr w:type="spellEnd"/>
            <w:r>
              <w:rPr>
                <w:rFonts w:ascii="Arial" w:hAnsi="Arial" w:cs="Arial"/>
                <w:spacing w:val="12"/>
                <w:w w:val="110"/>
                <w:sz w:val="18"/>
                <w:szCs w:val="18"/>
              </w:rPr>
              <w:t xml:space="preserve"> </w:t>
            </w:r>
            <w:r>
              <w:rPr>
                <w:rFonts w:ascii="Arial" w:hAnsi="Arial" w:cs="Arial"/>
                <w:w w:val="110"/>
                <w:sz w:val="18"/>
                <w:szCs w:val="18"/>
              </w:rPr>
              <w:t>de</w:t>
            </w:r>
            <w:r>
              <w:rPr>
                <w:rFonts w:ascii="Arial" w:hAnsi="Arial" w:cs="Arial"/>
                <w:spacing w:val="14"/>
                <w:w w:val="110"/>
                <w:sz w:val="18"/>
                <w:szCs w:val="18"/>
              </w:rPr>
              <w:t xml:space="preserve"> </w:t>
            </w:r>
            <w:r>
              <w:rPr>
                <w:rFonts w:ascii="Arial" w:hAnsi="Arial" w:cs="Arial"/>
                <w:spacing w:val="-2"/>
                <w:w w:val="110"/>
                <w:sz w:val="18"/>
                <w:szCs w:val="18"/>
              </w:rPr>
              <w:t>cuello</w:t>
            </w:r>
          </w:p>
        </w:tc>
        <w:tc>
          <w:tcPr>
            <w:tcW w:w="697" w:type="dxa"/>
            <w:tcBorders>
              <w:top w:val="single" w:sz="4" w:space="0" w:color="000000"/>
              <w:left w:val="single" w:sz="4" w:space="0" w:color="000000"/>
              <w:bottom w:val="single" w:sz="4" w:space="0" w:color="000000"/>
              <w:right w:val="single" w:sz="4" w:space="0" w:color="000000"/>
            </w:tcBorders>
          </w:tcPr>
          <w:p w14:paraId="492ED30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2463D3B2" w14:textId="77777777" w:rsidR="00D3344B" w:rsidRDefault="00143C25">
            <w:pPr>
              <w:pStyle w:val="TableParagraph"/>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24BD2710"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07904AA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458CF19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4B1BF5AE" w14:textId="77777777" w:rsidR="00D3344B" w:rsidRDefault="00D3344B">
            <w:pPr>
              <w:pStyle w:val="TableParagraph"/>
              <w:rPr>
                <w:rFonts w:ascii="Arial" w:hAnsi="Arial" w:cs="Arial"/>
                <w:sz w:val="18"/>
                <w:szCs w:val="18"/>
              </w:rPr>
            </w:pPr>
          </w:p>
        </w:tc>
      </w:tr>
      <w:tr w:rsidR="00D3344B" w14:paraId="13A7C8C2"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A3D577A" w14:textId="77777777" w:rsidR="00D3344B" w:rsidRDefault="00143C25">
            <w:pPr>
              <w:pStyle w:val="TableParagraph"/>
              <w:spacing w:line="252" w:lineRule="exact"/>
              <w:rPr>
                <w:rFonts w:ascii="Arial" w:hAnsi="Arial" w:cs="Arial"/>
                <w:sz w:val="18"/>
                <w:szCs w:val="18"/>
              </w:rPr>
            </w:pPr>
            <w:r>
              <w:rPr>
                <w:rFonts w:ascii="Arial" w:hAnsi="Arial" w:cs="Arial"/>
                <w:sz w:val="18"/>
                <w:szCs w:val="18"/>
              </w:rPr>
              <w:t>02-RMN-</w:t>
            </w:r>
            <w:r>
              <w:rPr>
                <w:rFonts w:ascii="Arial" w:hAnsi="Arial" w:cs="Arial"/>
                <w:spacing w:val="-5"/>
                <w:sz w:val="18"/>
                <w:szCs w:val="18"/>
              </w:rPr>
              <w:t>029</w:t>
            </w:r>
          </w:p>
        </w:tc>
        <w:tc>
          <w:tcPr>
            <w:tcW w:w="3038" w:type="dxa"/>
            <w:tcBorders>
              <w:top w:val="single" w:sz="4" w:space="0" w:color="000000"/>
              <w:left w:val="single" w:sz="4" w:space="0" w:color="000000"/>
              <w:bottom w:val="single" w:sz="4" w:space="0" w:color="000000"/>
              <w:right w:val="single" w:sz="4" w:space="0" w:color="000000"/>
            </w:tcBorders>
          </w:tcPr>
          <w:p w14:paraId="0E51BC90"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silla turca</w:t>
            </w:r>
          </w:p>
        </w:tc>
        <w:tc>
          <w:tcPr>
            <w:tcW w:w="697" w:type="dxa"/>
            <w:tcBorders>
              <w:top w:val="single" w:sz="4" w:space="0" w:color="000000"/>
              <w:left w:val="single" w:sz="4" w:space="0" w:color="000000"/>
              <w:bottom w:val="single" w:sz="4" w:space="0" w:color="000000"/>
              <w:right w:val="single" w:sz="4" w:space="0" w:color="000000"/>
            </w:tcBorders>
          </w:tcPr>
          <w:p w14:paraId="70BBA099"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690D07F0"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33F673DB" w14:textId="77777777" w:rsidR="00D3344B" w:rsidRDefault="00143C25">
            <w:pPr>
              <w:pStyle w:val="TableParagraph"/>
              <w:spacing w:line="252" w:lineRule="exact"/>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10C76118"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4BE4829A" w14:textId="77777777" w:rsidR="00D3344B" w:rsidRDefault="00143C25">
            <w:pPr>
              <w:pStyle w:val="TableParagraph"/>
              <w:spacing w:line="252" w:lineRule="exact"/>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8732038" w14:textId="77777777" w:rsidR="00D3344B" w:rsidRDefault="00D3344B">
            <w:pPr>
              <w:pStyle w:val="TableParagraph"/>
              <w:rPr>
                <w:rFonts w:ascii="Arial" w:hAnsi="Arial" w:cs="Arial"/>
                <w:sz w:val="18"/>
                <w:szCs w:val="18"/>
              </w:rPr>
            </w:pPr>
          </w:p>
        </w:tc>
      </w:tr>
      <w:tr w:rsidR="00D3344B" w14:paraId="09B849A9"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6CD67BC"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030</w:t>
            </w:r>
          </w:p>
        </w:tc>
        <w:tc>
          <w:tcPr>
            <w:tcW w:w="3038" w:type="dxa"/>
            <w:tcBorders>
              <w:top w:val="single" w:sz="4" w:space="0" w:color="000000"/>
              <w:left w:val="single" w:sz="4" w:space="0" w:color="000000"/>
              <w:bottom w:val="single" w:sz="4" w:space="0" w:color="000000"/>
              <w:right w:val="single" w:sz="4" w:space="0" w:color="000000"/>
            </w:tcBorders>
          </w:tcPr>
          <w:p w14:paraId="3111660C"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Resonancia</w:t>
            </w:r>
            <w:r>
              <w:rPr>
                <w:rFonts w:ascii="Arial" w:hAnsi="Arial" w:cs="Arial"/>
                <w:spacing w:val="40"/>
                <w:w w:val="110"/>
                <w:sz w:val="18"/>
                <w:szCs w:val="18"/>
              </w:rPr>
              <w:t xml:space="preserve"> </w:t>
            </w:r>
            <w:r>
              <w:rPr>
                <w:rFonts w:ascii="Arial" w:hAnsi="Arial" w:cs="Arial"/>
                <w:w w:val="110"/>
                <w:sz w:val="18"/>
                <w:szCs w:val="18"/>
              </w:rPr>
              <w:t>Magnética</w:t>
            </w:r>
            <w:r>
              <w:rPr>
                <w:rFonts w:ascii="Arial" w:hAnsi="Arial" w:cs="Arial"/>
                <w:spacing w:val="40"/>
                <w:w w:val="110"/>
                <w:sz w:val="18"/>
                <w:szCs w:val="18"/>
              </w:rPr>
              <w:t xml:space="preserve"> </w:t>
            </w:r>
            <w:r>
              <w:rPr>
                <w:rFonts w:ascii="Arial" w:hAnsi="Arial" w:cs="Arial"/>
                <w:w w:val="110"/>
                <w:sz w:val="18"/>
                <w:szCs w:val="18"/>
              </w:rPr>
              <w:t>de</w:t>
            </w:r>
            <w:r>
              <w:rPr>
                <w:rFonts w:ascii="Arial" w:hAnsi="Arial" w:cs="Arial"/>
                <w:spacing w:val="28"/>
                <w:w w:val="110"/>
                <w:sz w:val="18"/>
                <w:szCs w:val="18"/>
              </w:rPr>
              <w:t xml:space="preserve"> </w:t>
            </w:r>
            <w:r>
              <w:rPr>
                <w:rFonts w:ascii="Arial" w:hAnsi="Arial" w:cs="Arial"/>
                <w:w w:val="110"/>
                <w:sz w:val="18"/>
                <w:szCs w:val="18"/>
              </w:rPr>
              <w:t xml:space="preserve">pie </w:t>
            </w:r>
            <w:r>
              <w:rPr>
                <w:rFonts w:ascii="Arial" w:hAnsi="Arial" w:cs="Arial"/>
                <w:spacing w:val="-2"/>
                <w:w w:val="110"/>
                <w:sz w:val="18"/>
                <w:szCs w:val="18"/>
              </w:rPr>
              <w:t>simple</w:t>
            </w:r>
          </w:p>
        </w:tc>
        <w:tc>
          <w:tcPr>
            <w:tcW w:w="697" w:type="dxa"/>
            <w:tcBorders>
              <w:top w:val="single" w:sz="4" w:space="0" w:color="000000"/>
              <w:left w:val="single" w:sz="4" w:space="0" w:color="000000"/>
              <w:bottom w:val="single" w:sz="4" w:space="0" w:color="000000"/>
              <w:right w:val="single" w:sz="4" w:space="0" w:color="000000"/>
            </w:tcBorders>
          </w:tcPr>
          <w:p w14:paraId="0384B088"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1475008A"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67A26B46"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5CFA3EA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0742B842"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25A36DCE" w14:textId="77777777" w:rsidR="00D3344B" w:rsidRDefault="00D3344B">
            <w:pPr>
              <w:pStyle w:val="TableParagraph"/>
              <w:rPr>
                <w:rFonts w:ascii="Arial" w:hAnsi="Arial" w:cs="Arial"/>
                <w:sz w:val="18"/>
                <w:szCs w:val="18"/>
              </w:rPr>
            </w:pPr>
          </w:p>
        </w:tc>
      </w:tr>
      <w:tr w:rsidR="00D3344B" w14:paraId="2016F797"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7DEE995B" w14:textId="77777777" w:rsidR="00D3344B" w:rsidRDefault="00143C25">
            <w:pPr>
              <w:pStyle w:val="TableParagraph"/>
              <w:rPr>
                <w:rFonts w:ascii="Arial" w:hAnsi="Arial" w:cs="Arial"/>
                <w:sz w:val="18"/>
                <w:szCs w:val="18"/>
              </w:rPr>
            </w:pPr>
            <w:r>
              <w:rPr>
                <w:rFonts w:ascii="Arial" w:hAnsi="Arial" w:cs="Arial"/>
                <w:sz w:val="18"/>
                <w:szCs w:val="18"/>
              </w:rPr>
              <w:t>02-RMN-030-</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457E2468" w14:textId="77777777" w:rsidR="00D3344B" w:rsidRDefault="00143C25">
            <w:pPr>
              <w:pStyle w:val="TableParagraph"/>
              <w:spacing w:line="252" w:lineRule="exact"/>
              <w:ind w:right="272"/>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de pie contrastada</w:t>
            </w:r>
          </w:p>
        </w:tc>
        <w:tc>
          <w:tcPr>
            <w:tcW w:w="697" w:type="dxa"/>
            <w:tcBorders>
              <w:top w:val="single" w:sz="4" w:space="0" w:color="000000"/>
              <w:left w:val="single" w:sz="4" w:space="0" w:color="000000"/>
              <w:bottom w:val="single" w:sz="4" w:space="0" w:color="000000"/>
              <w:right w:val="single" w:sz="4" w:space="0" w:color="000000"/>
            </w:tcBorders>
          </w:tcPr>
          <w:p w14:paraId="1347767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37975332"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435F7AF5"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40FCE205"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4077AB9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49FD93AC" w14:textId="77777777" w:rsidR="00D3344B" w:rsidRDefault="00D3344B">
            <w:pPr>
              <w:pStyle w:val="TableParagraph"/>
              <w:rPr>
                <w:rFonts w:ascii="Arial" w:hAnsi="Arial" w:cs="Arial"/>
                <w:sz w:val="18"/>
                <w:szCs w:val="18"/>
              </w:rPr>
            </w:pPr>
          </w:p>
        </w:tc>
      </w:tr>
      <w:tr w:rsidR="00D3344B" w14:paraId="23AD50C0"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2C2527FC"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031</w:t>
            </w:r>
          </w:p>
        </w:tc>
        <w:tc>
          <w:tcPr>
            <w:tcW w:w="3038" w:type="dxa"/>
            <w:tcBorders>
              <w:top w:val="single" w:sz="4" w:space="0" w:color="000000"/>
              <w:left w:val="single" w:sz="4" w:space="0" w:color="000000"/>
              <w:bottom w:val="single" w:sz="4" w:space="0" w:color="000000"/>
              <w:right w:val="single" w:sz="4" w:space="0" w:color="000000"/>
            </w:tcBorders>
          </w:tcPr>
          <w:p w14:paraId="287BB701" w14:textId="77777777" w:rsidR="00D3344B" w:rsidRDefault="00143C25">
            <w:pPr>
              <w:pStyle w:val="TableParagraph"/>
              <w:spacing w:line="252" w:lineRule="exact"/>
              <w:ind w:right="725"/>
              <w:rPr>
                <w:rFonts w:ascii="Arial" w:hAnsi="Arial" w:cs="Arial"/>
                <w:sz w:val="18"/>
                <w:szCs w:val="18"/>
              </w:rPr>
            </w:pPr>
            <w:proofErr w:type="spellStart"/>
            <w:r>
              <w:rPr>
                <w:rFonts w:ascii="Arial" w:hAnsi="Arial" w:cs="Arial"/>
                <w:spacing w:val="-2"/>
                <w:w w:val="110"/>
                <w:sz w:val="18"/>
                <w:szCs w:val="18"/>
              </w:rPr>
              <w:t>Colangioresonancia</w:t>
            </w:r>
            <w:proofErr w:type="spellEnd"/>
            <w:r>
              <w:rPr>
                <w:rFonts w:ascii="Arial" w:hAnsi="Arial" w:cs="Arial"/>
                <w:spacing w:val="-2"/>
                <w:w w:val="110"/>
                <w:sz w:val="18"/>
                <w:szCs w:val="18"/>
              </w:rPr>
              <w:t xml:space="preserve"> </w:t>
            </w:r>
            <w:r>
              <w:rPr>
                <w:rFonts w:ascii="Arial" w:hAnsi="Arial" w:cs="Arial"/>
                <w:spacing w:val="-2"/>
                <w:w w:val="115"/>
                <w:sz w:val="18"/>
                <w:szCs w:val="18"/>
              </w:rPr>
              <w:t>contrastada</w:t>
            </w:r>
          </w:p>
        </w:tc>
        <w:tc>
          <w:tcPr>
            <w:tcW w:w="697" w:type="dxa"/>
            <w:tcBorders>
              <w:top w:val="single" w:sz="4" w:space="0" w:color="000000"/>
              <w:left w:val="single" w:sz="4" w:space="0" w:color="000000"/>
              <w:bottom w:val="single" w:sz="4" w:space="0" w:color="000000"/>
              <w:right w:val="single" w:sz="4" w:space="0" w:color="000000"/>
            </w:tcBorders>
          </w:tcPr>
          <w:p w14:paraId="2D286DA4"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76.00</w:t>
            </w:r>
          </w:p>
        </w:tc>
        <w:tc>
          <w:tcPr>
            <w:tcW w:w="695" w:type="dxa"/>
            <w:tcBorders>
              <w:top w:val="single" w:sz="4" w:space="0" w:color="000000"/>
              <w:left w:val="single" w:sz="4" w:space="0" w:color="000000"/>
              <w:bottom w:val="single" w:sz="4" w:space="0" w:color="000000"/>
              <w:right w:val="single" w:sz="4" w:space="0" w:color="000000"/>
            </w:tcBorders>
          </w:tcPr>
          <w:p w14:paraId="030302F9" w14:textId="77777777" w:rsidR="00D3344B" w:rsidRDefault="00143C25">
            <w:pPr>
              <w:pStyle w:val="TableParagraph"/>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2595CE7E" w14:textId="77777777" w:rsidR="00D3344B" w:rsidRDefault="00143C25">
            <w:pPr>
              <w:pStyle w:val="TableParagraph"/>
              <w:rPr>
                <w:rFonts w:ascii="Arial" w:hAnsi="Arial" w:cs="Arial"/>
                <w:sz w:val="18"/>
                <w:szCs w:val="18"/>
              </w:rPr>
            </w:pPr>
            <w:r>
              <w:rPr>
                <w:rFonts w:ascii="Arial" w:hAnsi="Arial" w:cs="Arial"/>
                <w:spacing w:val="-4"/>
                <w:w w:val="115"/>
                <w:sz w:val="18"/>
                <w:szCs w:val="18"/>
              </w:rPr>
              <w:t>57.50</w:t>
            </w:r>
          </w:p>
        </w:tc>
        <w:tc>
          <w:tcPr>
            <w:tcW w:w="699" w:type="dxa"/>
            <w:tcBorders>
              <w:top w:val="single" w:sz="4" w:space="0" w:color="000000"/>
              <w:left w:val="single" w:sz="4" w:space="0" w:color="000000"/>
              <w:bottom w:val="single" w:sz="4" w:space="0" w:color="000000"/>
              <w:right w:val="single" w:sz="4" w:space="0" w:color="000000"/>
            </w:tcBorders>
          </w:tcPr>
          <w:p w14:paraId="7F1F8EEA"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48.00</w:t>
            </w:r>
          </w:p>
        </w:tc>
        <w:tc>
          <w:tcPr>
            <w:tcW w:w="696" w:type="dxa"/>
            <w:tcBorders>
              <w:top w:val="single" w:sz="4" w:space="0" w:color="000000"/>
              <w:left w:val="single" w:sz="4" w:space="0" w:color="000000"/>
              <w:bottom w:val="single" w:sz="4" w:space="0" w:color="000000"/>
              <w:right w:val="single" w:sz="4" w:space="0" w:color="000000"/>
            </w:tcBorders>
          </w:tcPr>
          <w:p w14:paraId="78BAA15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527" w:type="dxa"/>
            <w:tcBorders>
              <w:top w:val="single" w:sz="4" w:space="0" w:color="000000"/>
              <w:left w:val="single" w:sz="4" w:space="0" w:color="000000"/>
              <w:bottom w:val="single" w:sz="4" w:space="0" w:color="000000"/>
              <w:right w:val="single" w:sz="4" w:space="0" w:color="000000"/>
            </w:tcBorders>
          </w:tcPr>
          <w:p w14:paraId="2ACD5E74" w14:textId="77777777" w:rsidR="00D3344B" w:rsidRDefault="00D3344B">
            <w:pPr>
              <w:pStyle w:val="TableParagraph"/>
              <w:rPr>
                <w:rFonts w:ascii="Arial" w:hAnsi="Arial" w:cs="Arial"/>
                <w:sz w:val="18"/>
                <w:szCs w:val="18"/>
              </w:rPr>
            </w:pPr>
          </w:p>
        </w:tc>
      </w:tr>
      <w:tr w:rsidR="00D3344B" w14:paraId="6B3B4B1A" w14:textId="77777777">
        <w:trPr>
          <w:trHeight w:val="503"/>
        </w:trPr>
        <w:tc>
          <w:tcPr>
            <w:tcW w:w="1776" w:type="dxa"/>
            <w:tcBorders>
              <w:top w:val="single" w:sz="4" w:space="0" w:color="000000"/>
              <w:left w:val="single" w:sz="4" w:space="0" w:color="000000"/>
              <w:bottom w:val="single" w:sz="4" w:space="0" w:color="000000"/>
              <w:right w:val="single" w:sz="4" w:space="0" w:color="000000"/>
            </w:tcBorders>
          </w:tcPr>
          <w:p w14:paraId="4AFF899A"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032</w:t>
            </w:r>
          </w:p>
        </w:tc>
        <w:tc>
          <w:tcPr>
            <w:tcW w:w="3038" w:type="dxa"/>
            <w:tcBorders>
              <w:top w:val="single" w:sz="4" w:space="0" w:color="000000"/>
              <w:left w:val="single" w:sz="4" w:space="0" w:color="000000"/>
              <w:bottom w:val="single" w:sz="4" w:space="0" w:color="000000"/>
              <w:right w:val="single" w:sz="4" w:space="0" w:color="000000"/>
            </w:tcBorders>
          </w:tcPr>
          <w:p w14:paraId="484EA718" w14:textId="77777777" w:rsidR="00D3344B" w:rsidRDefault="00143C25">
            <w:pPr>
              <w:pStyle w:val="TableParagraph"/>
              <w:tabs>
                <w:tab w:val="left" w:pos="1449"/>
                <w:tab w:val="left" w:pos="2801"/>
              </w:tabs>
              <w:spacing w:line="252" w:lineRule="exact"/>
              <w:ind w:right="-15"/>
              <w:rPr>
                <w:rFonts w:ascii="Arial" w:hAnsi="Arial" w:cs="Arial"/>
                <w:sz w:val="18"/>
                <w:szCs w:val="18"/>
              </w:rPr>
            </w:pPr>
            <w:r>
              <w:rPr>
                <w:rFonts w:ascii="Arial" w:hAnsi="Arial" w:cs="Arial"/>
                <w:spacing w:val="-2"/>
                <w:w w:val="110"/>
                <w:sz w:val="18"/>
                <w:szCs w:val="18"/>
              </w:rPr>
              <w:t>Resonancia</w:t>
            </w:r>
            <w:r>
              <w:rPr>
                <w:rFonts w:ascii="Arial" w:hAnsi="Arial" w:cs="Arial"/>
                <w:sz w:val="18"/>
                <w:szCs w:val="18"/>
              </w:rPr>
              <w:tab/>
            </w:r>
            <w:r>
              <w:rPr>
                <w:rFonts w:ascii="Arial" w:hAnsi="Arial" w:cs="Arial"/>
                <w:spacing w:val="-2"/>
                <w:w w:val="110"/>
                <w:sz w:val="18"/>
                <w:szCs w:val="18"/>
              </w:rPr>
              <w:t>Magnética</w:t>
            </w:r>
            <w:r>
              <w:rPr>
                <w:rFonts w:ascii="Arial" w:hAnsi="Arial" w:cs="Arial"/>
                <w:sz w:val="18"/>
                <w:szCs w:val="18"/>
              </w:rPr>
              <w:tab/>
            </w:r>
            <w:r>
              <w:rPr>
                <w:rFonts w:ascii="Arial" w:hAnsi="Arial" w:cs="Arial"/>
                <w:spacing w:val="-6"/>
                <w:w w:val="110"/>
                <w:sz w:val="18"/>
                <w:szCs w:val="18"/>
              </w:rPr>
              <w:t xml:space="preserve">de </w:t>
            </w:r>
            <w:r>
              <w:rPr>
                <w:rFonts w:ascii="Arial" w:hAnsi="Arial" w:cs="Arial"/>
                <w:w w:val="110"/>
                <w:sz w:val="18"/>
                <w:szCs w:val="18"/>
              </w:rPr>
              <w:t>miembros inferiores simple</w:t>
            </w:r>
          </w:p>
        </w:tc>
        <w:tc>
          <w:tcPr>
            <w:tcW w:w="697" w:type="dxa"/>
            <w:tcBorders>
              <w:top w:val="single" w:sz="4" w:space="0" w:color="000000"/>
              <w:left w:val="single" w:sz="4" w:space="0" w:color="000000"/>
              <w:bottom w:val="single" w:sz="4" w:space="0" w:color="000000"/>
              <w:right w:val="single" w:sz="4" w:space="0" w:color="000000"/>
            </w:tcBorders>
          </w:tcPr>
          <w:p w14:paraId="0C6D2EDF"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63.50</w:t>
            </w:r>
          </w:p>
        </w:tc>
        <w:tc>
          <w:tcPr>
            <w:tcW w:w="695" w:type="dxa"/>
            <w:tcBorders>
              <w:top w:val="single" w:sz="4" w:space="0" w:color="000000"/>
              <w:left w:val="single" w:sz="4" w:space="0" w:color="000000"/>
              <w:bottom w:val="single" w:sz="4" w:space="0" w:color="000000"/>
              <w:right w:val="single" w:sz="4" w:space="0" w:color="000000"/>
            </w:tcBorders>
          </w:tcPr>
          <w:p w14:paraId="53ABCABF" w14:textId="77777777" w:rsidR="00D3344B" w:rsidRDefault="00143C25">
            <w:pPr>
              <w:pStyle w:val="TableParagraph"/>
              <w:rPr>
                <w:rFonts w:ascii="Arial" w:hAnsi="Arial" w:cs="Arial"/>
                <w:sz w:val="18"/>
                <w:szCs w:val="18"/>
              </w:rPr>
            </w:pPr>
            <w:r>
              <w:rPr>
                <w:rFonts w:ascii="Arial" w:hAnsi="Arial" w:cs="Arial"/>
                <w:spacing w:val="-4"/>
                <w:w w:val="115"/>
                <w:sz w:val="18"/>
                <w:szCs w:val="18"/>
              </w:rPr>
              <w:t>60.50</w:t>
            </w:r>
          </w:p>
        </w:tc>
        <w:tc>
          <w:tcPr>
            <w:tcW w:w="699" w:type="dxa"/>
            <w:tcBorders>
              <w:top w:val="single" w:sz="4" w:space="0" w:color="000000"/>
              <w:left w:val="single" w:sz="4" w:space="0" w:color="000000"/>
              <w:bottom w:val="single" w:sz="4" w:space="0" w:color="000000"/>
              <w:right w:val="single" w:sz="4" w:space="0" w:color="000000"/>
            </w:tcBorders>
          </w:tcPr>
          <w:p w14:paraId="008DE1E6" w14:textId="77777777" w:rsidR="00D3344B" w:rsidRDefault="00143C25">
            <w:pPr>
              <w:pStyle w:val="TableParagraph"/>
              <w:rPr>
                <w:rFonts w:ascii="Arial" w:hAnsi="Arial" w:cs="Arial"/>
                <w:sz w:val="18"/>
                <w:szCs w:val="18"/>
              </w:rPr>
            </w:pPr>
            <w:r>
              <w:rPr>
                <w:rFonts w:ascii="Arial" w:hAnsi="Arial" w:cs="Arial"/>
                <w:spacing w:val="-4"/>
                <w:w w:val="115"/>
                <w:sz w:val="18"/>
                <w:szCs w:val="18"/>
              </w:rPr>
              <w:t>55.35</w:t>
            </w:r>
          </w:p>
        </w:tc>
        <w:tc>
          <w:tcPr>
            <w:tcW w:w="699" w:type="dxa"/>
            <w:tcBorders>
              <w:top w:val="single" w:sz="4" w:space="0" w:color="000000"/>
              <w:left w:val="single" w:sz="4" w:space="0" w:color="000000"/>
              <w:bottom w:val="single" w:sz="4" w:space="0" w:color="000000"/>
              <w:right w:val="single" w:sz="4" w:space="0" w:color="000000"/>
            </w:tcBorders>
          </w:tcPr>
          <w:p w14:paraId="5E1FE63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52.75</w:t>
            </w:r>
          </w:p>
        </w:tc>
        <w:tc>
          <w:tcPr>
            <w:tcW w:w="696" w:type="dxa"/>
            <w:tcBorders>
              <w:top w:val="single" w:sz="4" w:space="0" w:color="000000"/>
              <w:left w:val="single" w:sz="4" w:space="0" w:color="000000"/>
              <w:bottom w:val="single" w:sz="4" w:space="0" w:color="000000"/>
              <w:right w:val="single" w:sz="4" w:space="0" w:color="000000"/>
            </w:tcBorders>
          </w:tcPr>
          <w:p w14:paraId="08D04FB0"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50.75</w:t>
            </w:r>
          </w:p>
        </w:tc>
        <w:tc>
          <w:tcPr>
            <w:tcW w:w="527" w:type="dxa"/>
            <w:tcBorders>
              <w:top w:val="single" w:sz="4" w:space="0" w:color="000000"/>
              <w:left w:val="single" w:sz="4" w:space="0" w:color="000000"/>
              <w:bottom w:val="single" w:sz="4" w:space="0" w:color="000000"/>
              <w:right w:val="single" w:sz="4" w:space="0" w:color="000000"/>
            </w:tcBorders>
          </w:tcPr>
          <w:p w14:paraId="3A8DC13E" w14:textId="77777777" w:rsidR="00D3344B" w:rsidRDefault="00D3344B">
            <w:pPr>
              <w:pStyle w:val="TableParagraph"/>
              <w:rPr>
                <w:rFonts w:ascii="Arial" w:hAnsi="Arial" w:cs="Arial"/>
                <w:sz w:val="18"/>
                <w:szCs w:val="18"/>
              </w:rPr>
            </w:pPr>
          </w:p>
        </w:tc>
      </w:tr>
      <w:tr w:rsidR="00D3344B" w14:paraId="618B3934" w14:textId="77777777">
        <w:trPr>
          <w:trHeight w:val="760"/>
        </w:trPr>
        <w:tc>
          <w:tcPr>
            <w:tcW w:w="1776" w:type="dxa"/>
            <w:tcBorders>
              <w:top w:val="single" w:sz="4" w:space="0" w:color="000000"/>
              <w:left w:val="single" w:sz="4" w:space="0" w:color="000000"/>
              <w:bottom w:val="single" w:sz="4" w:space="0" w:color="000000"/>
              <w:right w:val="single" w:sz="4" w:space="0" w:color="000000"/>
            </w:tcBorders>
          </w:tcPr>
          <w:p w14:paraId="5CBD0DA5" w14:textId="77777777" w:rsidR="00D3344B" w:rsidRDefault="00D3344B">
            <w:pPr>
              <w:pStyle w:val="TableParagraph"/>
              <w:spacing w:before="10"/>
              <w:rPr>
                <w:rFonts w:ascii="Arial" w:hAnsi="Arial" w:cs="Arial"/>
                <w:sz w:val="18"/>
                <w:szCs w:val="18"/>
              </w:rPr>
            </w:pPr>
          </w:p>
          <w:p w14:paraId="5BC14DAE" w14:textId="77777777" w:rsidR="00D3344B" w:rsidRDefault="00143C25">
            <w:pPr>
              <w:pStyle w:val="TableParagraph"/>
              <w:spacing w:before="1"/>
              <w:rPr>
                <w:rFonts w:ascii="Arial" w:hAnsi="Arial" w:cs="Arial"/>
                <w:sz w:val="18"/>
                <w:szCs w:val="18"/>
              </w:rPr>
            </w:pPr>
            <w:r>
              <w:rPr>
                <w:rFonts w:ascii="Arial" w:hAnsi="Arial" w:cs="Arial"/>
                <w:sz w:val="18"/>
                <w:szCs w:val="18"/>
              </w:rPr>
              <w:t>02-RMN-032-</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21CDE4C7" w14:textId="77777777" w:rsidR="00D3344B" w:rsidRDefault="00143C25">
            <w:pPr>
              <w:pStyle w:val="TableParagraph"/>
              <w:tabs>
                <w:tab w:val="left" w:pos="1517"/>
              </w:tabs>
              <w:spacing w:line="252" w:lineRule="exact"/>
              <w:ind w:right="272"/>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 xml:space="preserve">de </w:t>
            </w:r>
            <w:r>
              <w:rPr>
                <w:rFonts w:ascii="Arial" w:hAnsi="Arial" w:cs="Arial"/>
                <w:spacing w:val="-2"/>
                <w:w w:val="110"/>
                <w:sz w:val="18"/>
                <w:szCs w:val="18"/>
              </w:rPr>
              <w:t>miembros</w:t>
            </w:r>
            <w:r>
              <w:rPr>
                <w:rFonts w:ascii="Arial" w:hAnsi="Arial" w:cs="Arial"/>
                <w:sz w:val="18"/>
                <w:szCs w:val="18"/>
              </w:rPr>
              <w:tab/>
            </w:r>
            <w:r>
              <w:rPr>
                <w:rFonts w:ascii="Arial" w:hAnsi="Arial" w:cs="Arial"/>
                <w:spacing w:val="-2"/>
                <w:w w:val="110"/>
                <w:sz w:val="18"/>
                <w:szCs w:val="18"/>
              </w:rPr>
              <w:t>inferiores contrastada</w:t>
            </w:r>
          </w:p>
        </w:tc>
        <w:tc>
          <w:tcPr>
            <w:tcW w:w="697" w:type="dxa"/>
            <w:tcBorders>
              <w:top w:val="single" w:sz="4" w:space="0" w:color="000000"/>
              <w:left w:val="single" w:sz="4" w:space="0" w:color="000000"/>
              <w:bottom w:val="single" w:sz="4" w:space="0" w:color="000000"/>
              <w:right w:val="single" w:sz="4" w:space="0" w:color="000000"/>
            </w:tcBorders>
          </w:tcPr>
          <w:p w14:paraId="72CE7497" w14:textId="77777777" w:rsidR="00D3344B" w:rsidRDefault="00D3344B">
            <w:pPr>
              <w:pStyle w:val="TableParagraph"/>
              <w:spacing w:before="10"/>
              <w:rPr>
                <w:rFonts w:ascii="Arial" w:hAnsi="Arial" w:cs="Arial"/>
                <w:sz w:val="18"/>
                <w:szCs w:val="18"/>
              </w:rPr>
            </w:pPr>
          </w:p>
          <w:p w14:paraId="755BBDF0" w14:textId="77777777" w:rsidR="00D3344B" w:rsidRDefault="00143C25">
            <w:pPr>
              <w:pStyle w:val="TableParagraph"/>
              <w:spacing w:before="1"/>
              <w:ind w:left="2"/>
              <w:rPr>
                <w:rFonts w:ascii="Arial" w:hAnsi="Arial" w:cs="Arial"/>
                <w:sz w:val="18"/>
                <w:szCs w:val="18"/>
              </w:rPr>
            </w:pPr>
            <w:r>
              <w:rPr>
                <w:rFonts w:ascii="Arial" w:hAnsi="Arial" w:cs="Arial"/>
                <w:spacing w:val="-4"/>
                <w:w w:val="115"/>
                <w:sz w:val="18"/>
                <w:szCs w:val="18"/>
              </w:rPr>
              <w:t>77.50</w:t>
            </w:r>
          </w:p>
        </w:tc>
        <w:tc>
          <w:tcPr>
            <w:tcW w:w="695" w:type="dxa"/>
            <w:tcBorders>
              <w:top w:val="single" w:sz="4" w:space="0" w:color="000000"/>
              <w:left w:val="single" w:sz="4" w:space="0" w:color="000000"/>
              <w:bottom w:val="single" w:sz="4" w:space="0" w:color="000000"/>
              <w:right w:val="single" w:sz="4" w:space="0" w:color="000000"/>
            </w:tcBorders>
          </w:tcPr>
          <w:p w14:paraId="5B928E68" w14:textId="77777777" w:rsidR="00D3344B" w:rsidRDefault="00D3344B">
            <w:pPr>
              <w:pStyle w:val="TableParagraph"/>
              <w:spacing w:before="10"/>
              <w:rPr>
                <w:rFonts w:ascii="Arial" w:hAnsi="Arial" w:cs="Arial"/>
                <w:sz w:val="18"/>
                <w:szCs w:val="18"/>
              </w:rPr>
            </w:pPr>
          </w:p>
          <w:p w14:paraId="206E0D1E"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73.00</w:t>
            </w:r>
          </w:p>
        </w:tc>
        <w:tc>
          <w:tcPr>
            <w:tcW w:w="699" w:type="dxa"/>
            <w:tcBorders>
              <w:top w:val="single" w:sz="4" w:space="0" w:color="000000"/>
              <w:left w:val="single" w:sz="4" w:space="0" w:color="000000"/>
              <w:bottom w:val="single" w:sz="4" w:space="0" w:color="000000"/>
              <w:right w:val="single" w:sz="4" w:space="0" w:color="000000"/>
            </w:tcBorders>
          </w:tcPr>
          <w:p w14:paraId="38F9E980" w14:textId="77777777" w:rsidR="00D3344B" w:rsidRDefault="00D3344B">
            <w:pPr>
              <w:pStyle w:val="TableParagraph"/>
              <w:spacing w:before="10"/>
              <w:rPr>
                <w:rFonts w:ascii="Arial" w:hAnsi="Arial" w:cs="Arial"/>
                <w:sz w:val="18"/>
                <w:szCs w:val="18"/>
              </w:rPr>
            </w:pPr>
          </w:p>
          <w:p w14:paraId="667FB6C7" w14:textId="77777777" w:rsidR="00D3344B" w:rsidRDefault="00143C25">
            <w:pPr>
              <w:pStyle w:val="TableParagraph"/>
              <w:spacing w:before="1"/>
              <w:rPr>
                <w:rFonts w:ascii="Arial" w:hAnsi="Arial" w:cs="Arial"/>
                <w:sz w:val="18"/>
                <w:szCs w:val="18"/>
              </w:rPr>
            </w:pPr>
            <w:r>
              <w:rPr>
                <w:rFonts w:ascii="Arial" w:hAnsi="Arial" w:cs="Arial"/>
                <w:spacing w:val="-4"/>
                <w:w w:val="115"/>
                <w:sz w:val="18"/>
                <w:szCs w:val="18"/>
              </w:rPr>
              <w:t>66.75</w:t>
            </w:r>
          </w:p>
        </w:tc>
        <w:tc>
          <w:tcPr>
            <w:tcW w:w="699" w:type="dxa"/>
            <w:tcBorders>
              <w:top w:val="single" w:sz="4" w:space="0" w:color="000000"/>
              <w:left w:val="single" w:sz="4" w:space="0" w:color="000000"/>
              <w:bottom w:val="single" w:sz="4" w:space="0" w:color="000000"/>
              <w:right w:val="single" w:sz="4" w:space="0" w:color="000000"/>
            </w:tcBorders>
          </w:tcPr>
          <w:p w14:paraId="4C93E3FB" w14:textId="77777777" w:rsidR="00D3344B" w:rsidRDefault="00D3344B">
            <w:pPr>
              <w:pStyle w:val="TableParagraph"/>
              <w:spacing w:before="10"/>
              <w:rPr>
                <w:rFonts w:ascii="Arial" w:hAnsi="Arial" w:cs="Arial"/>
                <w:sz w:val="18"/>
                <w:szCs w:val="18"/>
              </w:rPr>
            </w:pPr>
          </w:p>
          <w:p w14:paraId="609DFF68"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62.00</w:t>
            </w:r>
          </w:p>
        </w:tc>
        <w:tc>
          <w:tcPr>
            <w:tcW w:w="696" w:type="dxa"/>
            <w:tcBorders>
              <w:top w:val="single" w:sz="4" w:space="0" w:color="000000"/>
              <w:left w:val="single" w:sz="4" w:space="0" w:color="000000"/>
              <w:bottom w:val="single" w:sz="4" w:space="0" w:color="000000"/>
              <w:right w:val="single" w:sz="4" w:space="0" w:color="000000"/>
            </w:tcBorders>
          </w:tcPr>
          <w:p w14:paraId="285C0FDA" w14:textId="77777777" w:rsidR="00D3344B" w:rsidRDefault="00D3344B">
            <w:pPr>
              <w:pStyle w:val="TableParagraph"/>
              <w:spacing w:before="10"/>
              <w:rPr>
                <w:rFonts w:ascii="Arial" w:hAnsi="Arial" w:cs="Arial"/>
                <w:sz w:val="18"/>
                <w:szCs w:val="18"/>
              </w:rPr>
            </w:pPr>
          </w:p>
          <w:p w14:paraId="6ED8D437" w14:textId="77777777" w:rsidR="00D3344B" w:rsidRDefault="00143C25">
            <w:pPr>
              <w:pStyle w:val="TableParagraph"/>
              <w:spacing w:before="1"/>
              <w:ind w:left="5"/>
              <w:rPr>
                <w:rFonts w:ascii="Arial" w:hAnsi="Arial" w:cs="Arial"/>
                <w:sz w:val="18"/>
                <w:szCs w:val="18"/>
              </w:rPr>
            </w:pPr>
            <w:r>
              <w:rPr>
                <w:rFonts w:ascii="Arial" w:hAnsi="Arial" w:cs="Arial"/>
                <w:spacing w:val="-4"/>
                <w:w w:val="115"/>
                <w:sz w:val="18"/>
                <w:szCs w:val="18"/>
              </w:rPr>
              <w:t>58.50</w:t>
            </w:r>
          </w:p>
        </w:tc>
        <w:tc>
          <w:tcPr>
            <w:tcW w:w="527" w:type="dxa"/>
            <w:tcBorders>
              <w:top w:val="single" w:sz="4" w:space="0" w:color="000000"/>
              <w:left w:val="single" w:sz="4" w:space="0" w:color="000000"/>
              <w:bottom w:val="single" w:sz="4" w:space="0" w:color="000000"/>
              <w:right w:val="single" w:sz="4" w:space="0" w:color="000000"/>
            </w:tcBorders>
          </w:tcPr>
          <w:p w14:paraId="0F5240C3" w14:textId="77777777" w:rsidR="00D3344B" w:rsidRDefault="00D3344B">
            <w:pPr>
              <w:pStyle w:val="TableParagraph"/>
              <w:rPr>
                <w:rFonts w:ascii="Arial" w:hAnsi="Arial" w:cs="Arial"/>
                <w:sz w:val="18"/>
                <w:szCs w:val="18"/>
              </w:rPr>
            </w:pPr>
          </w:p>
        </w:tc>
      </w:tr>
      <w:tr w:rsidR="00D3344B" w14:paraId="0EB52934"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351E5ADB"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033</w:t>
            </w:r>
          </w:p>
        </w:tc>
        <w:tc>
          <w:tcPr>
            <w:tcW w:w="3038" w:type="dxa"/>
            <w:tcBorders>
              <w:top w:val="single" w:sz="4" w:space="0" w:color="000000"/>
              <w:left w:val="single" w:sz="4" w:space="0" w:color="000000"/>
              <w:bottom w:val="single" w:sz="4" w:space="0" w:color="000000"/>
              <w:right w:val="single" w:sz="4" w:space="0" w:color="000000"/>
            </w:tcBorders>
          </w:tcPr>
          <w:p w14:paraId="68904AAA" w14:textId="77777777" w:rsidR="00D3344B" w:rsidRDefault="00143C25">
            <w:pPr>
              <w:pStyle w:val="TableParagraph"/>
              <w:spacing w:line="252" w:lineRule="exact"/>
              <w:rPr>
                <w:rFonts w:ascii="Arial" w:hAnsi="Arial" w:cs="Arial"/>
                <w:sz w:val="18"/>
                <w:szCs w:val="18"/>
              </w:rPr>
            </w:pPr>
            <w:r>
              <w:rPr>
                <w:rFonts w:ascii="Arial" w:hAnsi="Arial" w:cs="Arial"/>
                <w:w w:val="115"/>
                <w:sz w:val="18"/>
                <w:szCs w:val="18"/>
              </w:rPr>
              <w:t>Resonancia</w:t>
            </w:r>
            <w:r>
              <w:rPr>
                <w:rFonts w:ascii="Arial" w:hAnsi="Arial" w:cs="Arial"/>
                <w:spacing w:val="75"/>
                <w:w w:val="115"/>
                <w:sz w:val="18"/>
                <w:szCs w:val="18"/>
              </w:rPr>
              <w:t xml:space="preserve"> </w:t>
            </w:r>
            <w:r>
              <w:rPr>
                <w:rFonts w:ascii="Arial" w:hAnsi="Arial" w:cs="Arial"/>
                <w:w w:val="115"/>
                <w:sz w:val="18"/>
                <w:szCs w:val="18"/>
              </w:rPr>
              <w:t>Magnética</w:t>
            </w:r>
            <w:r>
              <w:rPr>
                <w:rFonts w:ascii="Arial" w:hAnsi="Arial" w:cs="Arial"/>
                <w:spacing w:val="80"/>
                <w:w w:val="115"/>
                <w:sz w:val="18"/>
                <w:szCs w:val="18"/>
              </w:rPr>
              <w:t xml:space="preserve"> </w:t>
            </w:r>
            <w:r>
              <w:rPr>
                <w:rFonts w:ascii="Arial" w:hAnsi="Arial" w:cs="Arial"/>
                <w:w w:val="115"/>
                <w:sz w:val="18"/>
                <w:szCs w:val="18"/>
              </w:rPr>
              <w:t>de muslo simple</w:t>
            </w:r>
          </w:p>
        </w:tc>
        <w:tc>
          <w:tcPr>
            <w:tcW w:w="697" w:type="dxa"/>
            <w:tcBorders>
              <w:top w:val="single" w:sz="4" w:space="0" w:color="000000"/>
              <w:left w:val="single" w:sz="4" w:space="0" w:color="000000"/>
              <w:bottom w:val="single" w:sz="4" w:space="0" w:color="000000"/>
              <w:right w:val="single" w:sz="4" w:space="0" w:color="000000"/>
            </w:tcBorders>
          </w:tcPr>
          <w:p w14:paraId="028D441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0078C74C"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34826BE7"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0A725DB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60823C9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7F5C3048" w14:textId="77777777" w:rsidR="00D3344B" w:rsidRDefault="00D3344B">
            <w:pPr>
              <w:pStyle w:val="TableParagraph"/>
              <w:rPr>
                <w:rFonts w:ascii="Arial" w:hAnsi="Arial" w:cs="Arial"/>
                <w:sz w:val="18"/>
                <w:szCs w:val="18"/>
              </w:rPr>
            </w:pPr>
          </w:p>
        </w:tc>
      </w:tr>
      <w:tr w:rsidR="00D3344B" w14:paraId="57553632"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56FA6ADC" w14:textId="77777777" w:rsidR="00D3344B" w:rsidRDefault="00143C25">
            <w:pPr>
              <w:pStyle w:val="TableParagraph"/>
              <w:rPr>
                <w:rFonts w:ascii="Arial" w:hAnsi="Arial" w:cs="Arial"/>
                <w:sz w:val="18"/>
                <w:szCs w:val="18"/>
              </w:rPr>
            </w:pPr>
            <w:r>
              <w:rPr>
                <w:rFonts w:ascii="Arial" w:hAnsi="Arial" w:cs="Arial"/>
                <w:sz w:val="18"/>
                <w:szCs w:val="18"/>
              </w:rPr>
              <w:t>02-RMN-033-</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5FE251E3"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muslo contrastada</w:t>
            </w:r>
          </w:p>
        </w:tc>
        <w:tc>
          <w:tcPr>
            <w:tcW w:w="697" w:type="dxa"/>
            <w:tcBorders>
              <w:top w:val="single" w:sz="4" w:space="0" w:color="000000"/>
              <w:left w:val="single" w:sz="4" w:space="0" w:color="000000"/>
              <w:bottom w:val="single" w:sz="4" w:space="0" w:color="000000"/>
              <w:right w:val="single" w:sz="4" w:space="0" w:color="000000"/>
            </w:tcBorders>
          </w:tcPr>
          <w:p w14:paraId="086C54C0"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3EFBF0B7"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624E6156"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73F91DAB"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36F42BDF"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5043E280" w14:textId="77777777" w:rsidR="00D3344B" w:rsidRDefault="00D3344B">
            <w:pPr>
              <w:pStyle w:val="TableParagraph"/>
              <w:rPr>
                <w:rFonts w:ascii="Arial" w:hAnsi="Arial" w:cs="Arial"/>
                <w:sz w:val="18"/>
                <w:szCs w:val="18"/>
              </w:rPr>
            </w:pPr>
          </w:p>
        </w:tc>
      </w:tr>
      <w:tr w:rsidR="00D3344B" w14:paraId="0DC3CB5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7B0CF301" w14:textId="77777777" w:rsidR="00D3344B" w:rsidRDefault="00143C25">
            <w:pPr>
              <w:pStyle w:val="TableParagraph"/>
              <w:rPr>
                <w:rFonts w:ascii="Arial" w:hAnsi="Arial" w:cs="Arial"/>
                <w:sz w:val="18"/>
                <w:szCs w:val="18"/>
              </w:rPr>
            </w:pPr>
            <w:r>
              <w:rPr>
                <w:rFonts w:ascii="Arial" w:hAnsi="Arial" w:cs="Arial"/>
                <w:sz w:val="18"/>
                <w:szCs w:val="18"/>
              </w:rPr>
              <w:t>02-RMN-</w:t>
            </w:r>
            <w:r>
              <w:rPr>
                <w:rFonts w:ascii="Arial" w:hAnsi="Arial" w:cs="Arial"/>
                <w:spacing w:val="-5"/>
                <w:sz w:val="18"/>
                <w:szCs w:val="18"/>
              </w:rPr>
              <w:t>034</w:t>
            </w:r>
          </w:p>
        </w:tc>
        <w:tc>
          <w:tcPr>
            <w:tcW w:w="3038" w:type="dxa"/>
            <w:tcBorders>
              <w:top w:val="single" w:sz="4" w:space="0" w:color="000000"/>
              <w:left w:val="single" w:sz="4" w:space="0" w:color="000000"/>
              <w:bottom w:val="single" w:sz="4" w:space="0" w:color="000000"/>
              <w:right w:val="single" w:sz="4" w:space="0" w:color="000000"/>
            </w:tcBorders>
          </w:tcPr>
          <w:p w14:paraId="3AD35B35"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Resonancia</w:t>
            </w:r>
            <w:r>
              <w:rPr>
                <w:rFonts w:ascii="Arial" w:hAnsi="Arial" w:cs="Arial"/>
                <w:spacing w:val="80"/>
                <w:w w:val="110"/>
                <w:sz w:val="18"/>
                <w:szCs w:val="18"/>
              </w:rPr>
              <w:t xml:space="preserve"> </w:t>
            </w:r>
            <w:r>
              <w:rPr>
                <w:rFonts w:ascii="Arial" w:hAnsi="Arial" w:cs="Arial"/>
                <w:w w:val="110"/>
                <w:sz w:val="18"/>
                <w:szCs w:val="18"/>
              </w:rPr>
              <w:t>Magnética</w:t>
            </w:r>
            <w:r>
              <w:rPr>
                <w:rFonts w:ascii="Arial" w:hAnsi="Arial" w:cs="Arial"/>
                <w:spacing w:val="80"/>
                <w:w w:val="110"/>
                <w:sz w:val="18"/>
                <w:szCs w:val="18"/>
              </w:rPr>
              <w:t xml:space="preserve"> </w:t>
            </w:r>
            <w:r>
              <w:rPr>
                <w:rFonts w:ascii="Arial" w:hAnsi="Arial" w:cs="Arial"/>
                <w:w w:val="110"/>
                <w:sz w:val="18"/>
                <w:szCs w:val="18"/>
              </w:rPr>
              <w:t>de órbita simple</w:t>
            </w:r>
          </w:p>
        </w:tc>
        <w:tc>
          <w:tcPr>
            <w:tcW w:w="697" w:type="dxa"/>
            <w:tcBorders>
              <w:top w:val="single" w:sz="4" w:space="0" w:color="000000"/>
              <w:left w:val="single" w:sz="4" w:space="0" w:color="000000"/>
              <w:bottom w:val="single" w:sz="4" w:space="0" w:color="000000"/>
              <w:right w:val="single" w:sz="4" w:space="0" w:color="000000"/>
            </w:tcBorders>
          </w:tcPr>
          <w:p w14:paraId="595EE52E"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62.00</w:t>
            </w:r>
          </w:p>
        </w:tc>
        <w:tc>
          <w:tcPr>
            <w:tcW w:w="695" w:type="dxa"/>
            <w:tcBorders>
              <w:top w:val="single" w:sz="4" w:space="0" w:color="000000"/>
              <w:left w:val="single" w:sz="4" w:space="0" w:color="000000"/>
              <w:bottom w:val="single" w:sz="4" w:space="0" w:color="000000"/>
              <w:right w:val="single" w:sz="4" w:space="0" w:color="000000"/>
            </w:tcBorders>
          </w:tcPr>
          <w:p w14:paraId="288B0941" w14:textId="77777777" w:rsidR="00D3344B" w:rsidRDefault="00143C25">
            <w:pPr>
              <w:pStyle w:val="TableParagraph"/>
              <w:rPr>
                <w:rFonts w:ascii="Arial" w:hAnsi="Arial" w:cs="Arial"/>
                <w:sz w:val="18"/>
                <w:szCs w:val="18"/>
              </w:rPr>
            </w:pPr>
            <w:r>
              <w:rPr>
                <w:rFonts w:ascii="Arial" w:hAnsi="Arial" w:cs="Arial"/>
                <w:spacing w:val="-4"/>
                <w:w w:val="115"/>
                <w:sz w:val="18"/>
                <w:szCs w:val="18"/>
              </w:rPr>
              <w:t>54.25</w:t>
            </w:r>
          </w:p>
        </w:tc>
        <w:tc>
          <w:tcPr>
            <w:tcW w:w="699" w:type="dxa"/>
            <w:tcBorders>
              <w:top w:val="single" w:sz="4" w:space="0" w:color="000000"/>
              <w:left w:val="single" w:sz="4" w:space="0" w:color="000000"/>
              <w:bottom w:val="single" w:sz="4" w:space="0" w:color="000000"/>
              <w:right w:val="single" w:sz="4" w:space="0" w:color="000000"/>
            </w:tcBorders>
          </w:tcPr>
          <w:p w14:paraId="78EEB988" w14:textId="77777777" w:rsidR="00D3344B" w:rsidRDefault="00143C25">
            <w:pPr>
              <w:pStyle w:val="TableParagraph"/>
              <w:rPr>
                <w:rFonts w:ascii="Arial" w:hAnsi="Arial" w:cs="Arial"/>
                <w:sz w:val="18"/>
                <w:szCs w:val="18"/>
              </w:rPr>
            </w:pPr>
            <w:r>
              <w:rPr>
                <w:rFonts w:ascii="Arial" w:hAnsi="Arial" w:cs="Arial"/>
                <w:spacing w:val="-4"/>
                <w:w w:val="115"/>
                <w:sz w:val="18"/>
                <w:szCs w:val="18"/>
              </w:rPr>
              <w:t>46.50</w:t>
            </w:r>
          </w:p>
        </w:tc>
        <w:tc>
          <w:tcPr>
            <w:tcW w:w="699" w:type="dxa"/>
            <w:tcBorders>
              <w:top w:val="single" w:sz="4" w:space="0" w:color="000000"/>
              <w:left w:val="single" w:sz="4" w:space="0" w:color="000000"/>
              <w:bottom w:val="single" w:sz="4" w:space="0" w:color="000000"/>
              <w:right w:val="single" w:sz="4" w:space="0" w:color="000000"/>
            </w:tcBorders>
          </w:tcPr>
          <w:p w14:paraId="79509C13"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38.75</w:t>
            </w:r>
          </w:p>
        </w:tc>
        <w:tc>
          <w:tcPr>
            <w:tcW w:w="696" w:type="dxa"/>
            <w:tcBorders>
              <w:top w:val="single" w:sz="4" w:space="0" w:color="000000"/>
              <w:left w:val="single" w:sz="4" w:space="0" w:color="000000"/>
              <w:bottom w:val="single" w:sz="4" w:space="0" w:color="000000"/>
              <w:right w:val="single" w:sz="4" w:space="0" w:color="000000"/>
            </w:tcBorders>
          </w:tcPr>
          <w:p w14:paraId="248086E8"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31.00</w:t>
            </w:r>
          </w:p>
        </w:tc>
        <w:tc>
          <w:tcPr>
            <w:tcW w:w="527" w:type="dxa"/>
            <w:tcBorders>
              <w:top w:val="single" w:sz="4" w:space="0" w:color="000000"/>
              <w:left w:val="single" w:sz="4" w:space="0" w:color="000000"/>
              <w:bottom w:val="single" w:sz="4" w:space="0" w:color="000000"/>
              <w:right w:val="single" w:sz="4" w:space="0" w:color="000000"/>
            </w:tcBorders>
          </w:tcPr>
          <w:p w14:paraId="71C42B73" w14:textId="77777777" w:rsidR="00D3344B" w:rsidRDefault="00D3344B">
            <w:pPr>
              <w:pStyle w:val="TableParagraph"/>
              <w:rPr>
                <w:rFonts w:ascii="Arial" w:hAnsi="Arial" w:cs="Arial"/>
                <w:sz w:val="18"/>
                <w:szCs w:val="18"/>
              </w:rPr>
            </w:pPr>
          </w:p>
        </w:tc>
      </w:tr>
      <w:tr w:rsidR="00D3344B" w14:paraId="59C5B223"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B5BDC09" w14:textId="77777777" w:rsidR="00D3344B" w:rsidRDefault="00143C25">
            <w:pPr>
              <w:pStyle w:val="TableParagraph"/>
              <w:rPr>
                <w:rFonts w:ascii="Arial" w:hAnsi="Arial" w:cs="Arial"/>
                <w:sz w:val="18"/>
                <w:szCs w:val="18"/>
              </w:rPr>
            </w:pPr>
            <w:r>
              <w:rPr>
                <w:rFonts w:ascii="Arial" w:hAnsi="Arial" w:cs="Arial"/>
                <w:sz w:val="18"/>
                <w:szCs w:val="18"/>
              </w:rPr>
              <w:t>02-RMN-034-</w:t>
            </w:r>
            <w:r>
              <w:rPr>
                <w:rFonts w:ascii="Arial" w:hAnsi="Arial" w:cs="Arial"/>
                <w:spacing w:val="-10"/>
                <w:sz w:val="18"/>
                <w:szCs w:val="18"/>
              </w:rPr>
              <w:t>C</w:t>
            </w:r>
          </w:p>
        </w:tc>
        <w:tc>
          <w:tcPr>
            <w:tcW w:w="3038" w:type="dxa"/>
            <w:tcBorders>
              <w:top w:val="single" w:sz="4" w:space="0" w:color="000000"/>
              <w:left w:val="single" w:sz="4" w:space="0" w:color="000000"/>
              <w:bottom w:val="single" w:sz="4" w:space="0" w:color="000000"/>
              <w:right w:val="single" w:sz="4" w:space="0" w:color="000000"/>
            </w:tcBorders>
          </w:tcPr>
          <w:p w14:paraId="7E15178A" w14:textId="77777777" w:rsidR="00D3344B" w:rsidRDefault="00143C25">
            <w:pPr>
              <w:pStyle w:val="TableParagraph"/>
              <w:tabs>
                <w:tab w:val="left" w:pos="1447"/>
                <w:tab w:val="left" w:pos="2793"/>
              </w:tabs>
              <w:spacing w:line="252" w:lineRule="exact"/>
              <w:ind w:right="-15"/>
              <w:rPr>
                <w:rFonts w:ascii="Arial" w:hAnsi="Arial" w:cs="Arial"/>
                <w:sz w:val="18"/>
                <w:szCs w:val="18"/>
              </w:rPr>
            </w:pPr>
            <w:r>
              <w:rPr>
                <w:rFonts w:ascii="Arial" w:hAnsi="Arial" w:cs="Arial"/>
                <w:spacing w:val="-2"/>
                <w:w w:val="115"/>
                <w:sz w:val="18"/>
                <w:szCs w:val="18"/>
              </w:rPr>
              <w:t>Resonancia</w:t>
            </w:r>
            <w:r>
              <w:rPr>
                <w:rFonts w:ascii="Arial" w:hAnsi="Arial" w:cs="Arial"/>
                <w:sz w:val="18"/>
                <w:szCs w:val="18"/>
              </w:rPr>
              <w:tab/>
            </w:r>
            <w:r>
              <w:rPr>
                <w:rFonts w:ascii="Arial" w:hAnsi="Arial" w:cs="Arial"/>
                <w:spacing w:val="-2"/>
                <w:w w:val="115"/>
                <w:sz w:val="18"/>
                <w:szCs w:val="18"/>
              </w:rPr>
              <w:t>Magnética</w:t>
            </w:r>
            <w:r>
              <w:rPr>
                <w:rFonts w:ascii="Arial" w:hAnsi="Arial" w:cs="Arial"/>
                <w:sz w:val="18"/>
                <w:szCs w:val="18"/>
              </w:rPr>
              <w:tab/>
            </w:r>
            <w:r>
              <w:rPr>
                <w:rFonts w:ascii="Arial" w:hAnsi="Arial" w:cs="Arial"/>
                <w:spacing w:val="-6"/>
                <w:w w:val="115"/>
                <w:sz w:val="18"/>
                <w:szCs w:val="18"/>
              </w:rPr>
              <w:t xml:space="preserve">de </w:t>
            </w:r>
            <w:r>
              <w:rPr>
                <w:rFonts w:ascii="Arial" w:hAnsi="Arial" w:cs="Arial"/>
                <w:w w:val="115"/>
                <w:sz w:val="18"/>
                <w:szCs w:val="18"/>
              </w:rPr>
              <w:t>órbita contrastado</w:t>
            </w:r>
          </w:p>
        </w:tc>
        <w:tc>
          <w:tcPr>
            <w:tcW w:w="697" w:type="dxa"/>
            <w:tcBorders>
              <w:top w:val="single" w:sz="4" w:space="0" w:color="000000"/>
              <w:left w:val="single" w:sz="4" w:space="0" w:color="000000"/>
              <w:bottom w:val="single" w:sz="4" w:space="0" w:color="000000"/>
              <w:right w:val="single" w:sz="4" w:space="0" w:color="000000"/>
            </w:tcBorders>
          </w:tcPr>
          <w:p w14:paraId="0A34F3E9"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71.50</w:t>
            </w:r>
          </w:p>
        </w:tc>
        <w:tc>
          <w:tcPr>
            <w:tcW w:w="695" w:type="dxa"/>
            <w:tcBorders>
              <w:top w:val="single" w:sz="4" w:space="0" w:color="000000"/>
              <w:left w:val="single" w:sz="4" w:space="0" w:color="000000"/>
              <w:bottom w:val="single" w:sz="4" w:space="0" w:color="000000"/>
              <w:right w:val="single" w:sz="4" w:space="0" w:color="000000"/>
            </w:tcBorders>
          </w:tcPr>
          <w:p w14:paraId="2C7DDEFA" w14:textId="77777777" w:rsidR="00D3344B" w:rsidRDefault="00143C25">
            <w:pPr>
              <w:pStyle w:val="TableParagraph"/>
              <w:rPr>
                <w:rFonts w:ascii="Arial" w:hAnsi="Arial" w:cs="Arial"/>
                <w:sz w:val="18"/>
                <w:szCs w:val="18"/>
              </w:rPr>
            </w:pPr>
            <w:r>
              <w:rPr>
                <w:rFonts w:ascii="Arial" w:hAnsi="Arial" w:cs="Arial"/>
                <w:spacing w:val="-4"/>
                <w:w w:val="115"/>
                <w:sz w:val="18"/>
                <w:szCs w:val="18"/>
              </w:rPr>
              <w:t>63.50</w:t>
            </w:r>
          </w:p>
        </w:tc>
        <w:tc>
          <w:tcPr>
            <w:tcW w:w="699" w:type="dxa"/>
            <w:tcBorders>
              <w:top w:val="single" w:sz="4" w:space="0" w:color="000000"/>
              <w:left w:val="single" w:sz="4" w:space="0" w:color="000000"/>
              <w:bottom w:val="single" w:sz="4" w:space="0" w:color="000000"/>
              <w:right w:val="single" w:sz="4" w:space="0" w:color="000000"/>
            </w:tcBorders>
          </w:tcPr>
          <w:p w14:paraId="73DFF289" w14:textId="77777777" w:rsidR="00D3344B" w:rsidRDefault="00143C25">
            <w:pPr>
              <w:pStyle w:val="TableParagraph"/>
              <w:rPr>
                <w:rFonts w:ascii="Arial" w:hAnsi="Arial" w:cs="Arial"/>
                <w:sz w:val="18"/>
                <w:szCs w:val="18"/>
              </w:rPr>
            </w:pPr>
            <w:r>
              <w:rPr>
                <w:rFonts w:ascii="Arial" w:hAnsi="Arial" w:cs="Arial"/>
                <w:spacing w:val="-4"/>
                <w:w w:val="115"/>
                <w:sz w:val="18"/>
                <w:szCs w:val="18"/>
              </w:rPr>
              <w:t>55.75</w:t>
            </w:r>
          </w:p>
        </w:tc>
        <w:tc>
          <w:tcPr>
            <w:tcW w:w="699" w:type="dxa"/>
            <w:tcBorders>
              <w:top w:val="single" w:sz="4" w:space="0" w:color="000000"/>
              <w:left w:val="single" w:sz="4" w:space="0" w:color="000000"/>
              <w:bottom w:val="single" w:sz="4" w:space="0" w:color="000000"/>
              <w:right w:val="single" w:sz="4" w:space="0" w:color="000000"/>
            </w:tcBorders>
          </w:tcPr>
          <w:p w14:paraId="71686A2D"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49.50</w:t>
            </w:r>
          </w:p>
        </w:tc>
        <w:tc>
          <w:tcPr>
            <w:tcW w:w="696" w:type="dxa"/>
            <w:tcBorders>
              <w:top w:val="single" w:sz="4" w:space="0" w:color="000000"/>
              <w:left w:val="single" w:sz="4" w:space="0" w:color="000000"/>
              <w:bottom w:val="single" w:sz="4" w:space="0" w:color="000000"/>
              <w:right w:val="single" w:sz="4" w:space="0" w:color="000000"/>
            </w:tcBorders>
          </w:tcPr>
          <w:p w14:paraId="4DBE3CA7"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40.25</w:t>
            </w:r>
          </w:p>
        </w:tc>
        <w:tc>
          <w:tcPr>
            <w:tcW w:w="527" w:type="dxa"/>
            <w:tcBorders>
              <w:top w:val="single" w:sz="4" w:space="0" w:color="000000"/>
              <w:left w:val="single" w:sz="4" w:space="0" w:color="000000"/>
              <w:bottom w:val="single" w:sz="4" w:space="0" w:color="000000"/>
              <w:right w:val="single" w:sz="4" w:space="0" w:color="000000"/>
            </w:tcBorders>
          </w:tcPr>
          <w:p w14:paraId="1629B9B2" w14:textId="77777777" w:rsidR="00D3344B" w:rsidRDefault="00D3344B">
            <w:pPr>
              <w:pStyle w:val="TableParagraph"/>
              <w:rPr>
                <w:rFonts w:ascii="Arial" w:hAnsi="Arial" w:cs="Arial"/>
                <w:sz w:val="18"/>
                <w:szCs w:val="18"/>
              </w:rPr>
            </w:pPr>
          </w:p>
        </w:tc>
      </w:tr>
      <w:tr w:rsidR="00D3344B" w14:paraId="50F7A363" w14:textId="77777777">
        <w:trPr>
          <w:trHeight w:val="299"/>
        </w:trPr>
        <w:tc>
          <w:tcPr>
            <w:tcW w:w="1776" w:type="dxa"/>
            <w:tcBorders>
              <w:top w:val="single" w:sz="4" w:space="0" w:color="000000"/>
              <w:left w:val="single" w:sz="4" w:space="0" w:color="000000"/>
              <w:bottom w:val="single" w:sz="4" w:space="0" w:color="000000"/>
              <w:right w:val="single" w:sz="4" w:space="0" w:color="000000"/>
            </w:tcBorders>
          </w:tcPr>
          <w:p w14:paraId="104FC5B4" w14:textId="77777777" w:rsidR="00D3344B" w:rsidRDefault="00143C25">
            <w:pPr>
              <w:pStyle w:val="TableParagraph"/>
              <w:rPr>
                <w:rFonts w:ascii="Arial" w:hAnsi="Arial" w:cs="Arial"/>
                <w:sz w:val="18"/>
                <w:szCs w:val="18"/>
              </w:rPr>
            </w:pPr>
            <w:r>
              <w:rPr>
                <w:rFonts w:ascii="Arial" w:hAnsi="Arial" w:cs="Arial"/>
                <w:w w:val="110"/>
                <w:sz w:val="18"/>
                <w:szCs w:val="18"/>
              </w:rPr>
              <w:t>02-RX-</w:t>
            </w:r>
            <w:r>
              <w:rPr>
                <w:rFonts w:ascii="Arial" w:hAnsi="Arial" w:cs="Arial"/>
                <w:spacing w:val="-5"/>
                <w:w w:val="110"/>
                <w:sz w:val="18"/>
                <w:szCs w:val="18"/>
              </w:rPr>
              <w:t>126</w:t>
            </w:r>
          </w:p>
        </w:tc>
        <w:tc>
          <w:tcPr>
            <w:tcW w:w="3038" w:type="dxa"/>
            <w:tcBorders>
              <w:top w:val="single" w:sz="4" w:space="0" w:color="000000"/>
              <w:left w:val="single" w:sz="4" w:space="0" w:color="000000"/>
              <w:bottom w:val="single" w:sz="4" w:space="0" w:color="000000"/>
              <w:right w:val="single" w:sz="4" w:space="0" w:color="000000"/>
            </w:tcBorders>
          </w:tcPr>
          <w:p w14:paraId="5F604DD3" w14:textId="77777777" w:rsidR="00D3344B" w:rsidRDefault="00143C25">
            <w:pPr>
              <w:pStyle w:val="TableParagraph"/>
              <w:rPr>
                <w:rFonts w:ascii="Arial" w:hAnsi="Arial" w:cs="Arial"/>
                <w:sz w:val="18"/>
                <w:szCs w:val="18"/>
              </w:rPr>
            </w:pPr>
            <w:r>
              <w:rPr>
                <w:rFonts w:ascii="Arial" w:hAnsi="Arial" w:cs="Arial"/>
                <w:w w:val="115"/>
                <w:sz w:val="18"/>
                <w:szCs w:val="18"/>
              </w:rPr>
              <w:t>Mano</w:t>
            </w:r>
            <w:r>
              <w:rPr>
                <w:rFonts w:ascii="Arial" w:hAnsi="Arial" w:cs="Arial"/>
                <w:spacing w:val="-5"/>
                <w:w w:val="115"/>
                <w:sz w:val="18"/>
                <w:szCs w:val="18"/>
              </w:rPr>
              <w:t xml:space="preserve"> 1p</w:t>
            </w:r>
          </w:p>
        </w:tc>
        <w:tc>
          <w:tcPr>
            <w:tcW w:w="697" w:type="dxa"/>
            <w:tcBorders>
              <w:top w:val="single" w:sz="4" w:space="0" w:color="000000"/>
              <w:left w:val="single" w:sz="4" w:space="0" w:color="000000"/>
              <w:bottom w:val="single" w:sz="4" w:space="0" w:color="000000"/>
              <w:right w:val="single" w:sz="4" w:space="0" w:color="000000"/>
            </w:tcBorders>
          </w:tcPr>
          <w:p w14:paraId="0C9683C7" w14:textId="77777777" w:rsidR="00D3344B" w:rsidRDefault="00143C25">
            <w:pPr>
              <w:pStyle w:val="TableParagraph"/>
              <w:ind w:left="2"/>
              <w:rPr>
                <w:rFonts w:ascii="Arial" w:hAnsi="Arial" w:cs="Arial"/>
                <w:sz w:val="18"/>
                <w:szCs w:val="18"/>
              </w:rPr>
            </w:pPr>
            <w:r>
              <w:rPr>
                <w:rFonts w:ascii="Arial" w:hAnsi="Arial" w:cs="Arial"/>
                <w:spacing w:val="-4"/>
                <w:w w:val="115"/>
                <w:sz w:val="18"/>
                <w:szCs w:val="18"/>
              </w:rPr>
              <w:t>2.00</w:t>
            </w:r>
          </w:p>
        </w:tc>
        <w:tc>
          <w:tcPr>
            <w:tcW w:w="695" w:type="dxa"/>
            <w:tcBorders>
              <w:top w:val="single" w:sz="4" w:space="0" w:color="000000"/>
              <w:left w:val="single" w:sz="4" w:space="0" w:color="000000"/>
              <w:bottom w:val="single" w:sz="4" w:space="0" w:color="000000"/>
              <w:right w:val="single" w:sz="4" w:space="0" w:color="000000"/>
            </w:tcBorders>
          </w:tcPr>
          <w:p w14:paraId="054A20E5" w14:textId="77777777" w:rsidR="00D3344B" w:rsidRDefault="00143C25">
            <w:pPr>
              <w:pStyle w:val="TableParagraph"/>
              <w:rPr>
                <w:rFonts w:ascii="Arial" w:hAnsi="Arial" w:cs="Arial"/>
                <w:sz w:val="18"/>
                <w:szCs w:val="18"/>
              </w:rPr>
            </w:pPr>
            <w:r>
              <w:rPr>
                <w:rFonts w:ascii="Arial" w:hAnsi="Arial" w:cs="Arial"/>
                <w:spacing w:val="-4"/>
                <w:w w:val="115"/>
                <w:sz w:val="18"/>
                <w:szCs w:val="18"/>
              </w:rPr>
              <w:t>1.75</w:t>
            </w:r>
          </w:p>
        </w:tc>
        <w:tc>
          <w:tcPr>
            <w:tcW w:w="699" w:type="dxa"/>
            <w:tcBorders>
              <w:top w:val="single" w:sz="4" w:space="0" w:color="000000"/>
              <w:left w:val="single" w:sz="4" w:space="0" w:color="000000"/>
              <w:bottom w:val="single" w:sz="4" w:space="0" w:color="000000"/>
              <w:right w:val="single" w:sz="4" w:space="0" w:color="000000"/>
            </w:tcBorders>
          </w:tcPr>
          <w:p w14:paraId="07DC9C21" w14:textId="77777777" w:rsidR="00D3344B" w:rsidRDefault="00143C25">
            <w:pPr>
              <w:pStyle w:val="TableParagraph"/>
              <w:rPr>
                <w:rFonts w:ascii="Arial" w:hAnsi="Arial" w:cs="Arial"/>
                <w:sz w:val="18"/>
                <w:szCs w:val="18"/>
              </w:rPr>
            </w:pPr>
            <w:r>
              <w:rPr>
                <w:rFonts w:ascii="Arial" w:hAnsi="Arial" w:cs="Arial"/>
                <w:spacing w:val="-4"/>
                <w:w w:val="115"/>
                <w:sz w:val="18"/>
                <w:szCs w:val="18"/>
              </w:rPr>
              <w:t>1.50</w:t>
            </w:r>
          </w:p>
        </w:tc>
        <w:tc>
          <w:tcPr>
            <w:tcW w:w="699" w:type="dxa"/>
            <w:tcBorders>
              <w:top w:val="single" w:sz="4" w:space="0" w:color="000000"/>
              <w:left w:val="single" w:sz="4" w:space="0" w:color="000000"/>
              <w:bottom w:val="single" w:sz="4" w:space="0" w:color="000000"/>
              <w:right w:val="single" w:sz="4" w:space="0" w:color="000000"/>
            </w:tcBorders>
          </w:tcPr>
          <w:p w14:paraId="355E548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1.25</w:t>
            </w:r>
          </w:p>
        </w:tc>
        <w:tc>
          <w:tcPr>
            <w:tcW w:w="696" w:type="dxa"/>
            <w:tcBorders>
              <w:top w:val="single" w:sz="4" w:space="0" w:color="000000"/>
              <w:left w:val="single" w:sz="4" w:space="0" w:color="000000"/>
              <w:bottom w:val="single" w:sz="4" w:space="0" w:color="000000"/>
              <w:right w:val="single" w:sz="4" w:space="0" w:color="000000"/>
            </w:tcBorders>
          </w:tcPr>
          <w:p w14:paraId="7EDDEE99" w14:textId="77777777" w:rsidR="00D3344B" w:rsidRDefault="00143C25">
            <w:pPr>
              <w:pStyle w:val="TableParagraph"/>
              <w:ind w:left="5"/>
              <w:rPr>
                <w:rFonts w:ascii="Arial" w:hAnsi="Arial" w:cs="Arial"/>
                <w:sz w:val="18"/>
                <w:szCs w:val="18"/>
              </w:rPr>
            </w:pPr>
            <w:r>
              <w:rPr>
                <w:rFonts w:ascii="Arial" w:hAnsi="Arial" w:cs="Arial"/>
                <w:spacing w:val="-4"/>
                <w:w w:val="115"/>
                <w:sz w:val="18"/>
                <w:szCs w:val="18"/>
              </w:rPr>
              <w:t>1.00</w:t>
            </w:r>
          </w:p>
        </w:tc>
        <w:tc>
          <w:tcPr>
            <w:tcW w:w="527" w:type="dxa"/>
            <w:tcBorders>
              <w:top w:val="single" w:sz="4" w:space="0" w:color="000000"/>
              <w:left w:val="single" w:sz="4" w:space="0" w:color="000000"/>
              <w:bottom w:val="single" w:sz="4" w:space="0" w:color="000000"/>
              <w:right w:val="single" w:sz="4" w:space="0" w:color="000000"/>
            </w:tcBorders>
          </w:tcPr>
          <w:p w14:paraId="231753D4" w14:textId="77777777" w:rsidR="00D3344B" w:rsidRDefault="00D3344B">
            <w:pPr>
              <w:pStyle w:val="TableParagraph"/>
              <w:rPr>
                <w:rFonts w:ascii="Arial" w:hAnsi="Arial" w:cs="Arial"/>
                <w:sz w:val="18"/>
                <w:szCs w:val="18"/>
              </w:rPr>
            </w:pPr>
          </w:p>
        </w:tc>
      </w:tr>
      <w:tr w:rsidR="00D3344B" w14:paraId="10C69ECE" w14:textId="77777777">
        <w:trPr>
          <w:trHeight w:val="757"/>
        </w:trPr>
        <w:tc>
          <w:tcPr>
            <w:tcW w:w="1776" w:type="dxa"/>
            <w:tcBorders>
              <w:top w:val="single" w:sz="4" w:space="0" w:color="000000"/>
              <w:left w:val="single" w:sz="4" w:space="0" w:color="000000"/>
              <w:bottom w:val="single" w:sz="4" w:space="0" w:color="000000"/>
              <w:right w:val="single" w:sz="4" w:space="0" w:color="000000"/>
            </w:tcBorders>
          </w:tcPr>
          <w:p w14:paraId="4743EFB8" w14:textId="77777777" w:rsidR="00D3344B" w:rsidRDefault="00143C25">
            <w:pPr>
              <w:pStyle w:val="TableParagraph"/>
              <w:rPr>
                <w:rFonts w:ascii="Arial" w:hAnsi="Arial" w:cs="Arial"/>
                <w:sz w:val="18"/>
                <w:szCs w:val="18"/>
              </w:rPr>
            </w:pPr>
            <w:r>
              <w:rPr>
                <w:rFonts w:ascii="Arial" w:hAnsi="Arial" w:cs="Arial"/>
                <w:w w:val="105"/>
                <w:sz w:val="18"/>
                <w:szCs w:val="18"/>
              </w:rPr>
              <w:t>02-</w:t>
            </w:r>
            <w:r>
              <w:rPr>
                <w:rFonts w:ascii="Arial" w:hAnsi="Arial" w:cs="Arial"/>
                <w:spacing w:val="-2"/>
                <w:w w:val="110"/>
                <w:sz w:val="18"/>
                <w:szCs w:val="18"/>
              </w:rPr>
              <w:t>DOCM40-</w:t>
            </w:r>
          </w:p>
          <w:p w14:paraId="14504F1F" w14:textId="77777777" w:rsidR="00D3344B" w:rsidRDefault="00143C25">
            <w:pPr>
              <w:pStyle w:val="TableParagraph"/>
              <w:spacing w:line="252" w:lineRule="exact"/>
              <w:rPr>
                <w:rFonts w:ascii="Arial" w:hAnsi="Arial" w:cs="Arial"/>
                <w:sz w:val="18"/>
                <w:szCs w:val="18"/>
              </w:rPr>
            </w:pPr>
            <w:r>
              <w:rPr>
                <w:rFonts w:ascii="Arial" w:hAnsi="Arial" w:cs="Arial"/>
                <w:w w:val="105"/>
                <w:sz w:val="18"/>
                <w:szCs w:val="18"/>
              </w:rPr>
              <w:t>001-</w:t>
            </w:r>
            <w:r>
              <w:rPr>
                <w:rFonts w:ascii="Arial" w:hAnsi="Arial" w:cs="Arial"/>
                <w:spacing w:val="-5"/>
                <w:w w:val="110"/>
                <w:sz w:val="18"/>
                <w:szCs w:val="18"/>
              </w:rPr>
              <w:t>15</w:t>
            </w:r>
          </w:p>
        </w:tc>
        <w:tc>
          <w:tcPr>
            <w:tcW w:w="3038" w:type="dxa"/>
            <w:tcBorders>
              <w:top w:val="single" w:sz="4" w:space="0" w:color="000000"/>
              <w:left w:val="single" w:sz="4" w:space="0" w:color="000000"/>
              <w:bottom w:val="single" w:sz="4" w:space="0" w:color="000000"/>
              <w:right w:val="single" w:sz="4" w:space="0" w:color="000000"/>
            </w:tcBorders>
          </w:tcPr>
          <w:p w14:paraId="67F8139A" w14:textId="77777777" w:rsidR="00D3344B" w:rsidRDefault="00143C25">
            <w:pPr>
              <w:pStyle w:val="TableParagraph"/>
              <w:tabs>
                <w:tab w:val="left" w:pos="2321"/>
              </w:tabs>
              <w:ind w:right="58"/>
              <w:rPr>
                <w:rFonts w:ascii="Arial" w:hAnsi="Arial" w:cs="Arial"/>
                <w:sz w:val="18"/>
                <w:szCs w:val="18"/>
              </w:rPr>
            </w:pPr>
            <w:r>
              <w:rPr>
                <w:rFonts w:ascii="Arial" w:hAnsi="Arial" w:cs="Arial"/>
                <w:w w:val="110"/>
                <w:sz w:val="18"/>
                <w:szCs w:val="18"/>
              </w:rPr>
              <w:t>Detección</w:t>
            </w:r>
            <w:r>
              <w:rPr>
                <w:rFonts w:ascii="Arial" w:hAnsi="Arial" w:cs="Arial"/>
                <w:spacing w:val="-1"/>
                <w:w w:val="110"/>
                <w:sz w:val="18"/>
                <w:szCs w:val="18"/>
              </w:rPr>
              <w:t xml:space="preserve"> </w:t>
            </w:r>
            <w:r>
              <w:rPr>
                <w:rFonts w:ascii="Arial" w:hAnsi="Arial" w:cs="Arial"/>
                <w:w w:val="110"/>
                <w:sz w:val="18"/>
                <w:szCs w:val="18"/>
              </w:rPr>
              <w:t>oportuna de</w:t>
            </w:r>
            <w:r>
              <w:rPr>
                <w:rFonts w:ascii="Arial" w:hAnsi="Arial" w:cs="Arial"/>
                <w:spacing w:val="40"/>
                <w:w w:val="110"/>
                <w:sz w:val="18"/>
                <w:szCs w:val="18"/>
              </w:rPr>
              <w:t xml:space="preserve"> </w:t>
            </w:r>
            <w:r>
              <w:rPr>
                <w:rFonts w:ascii="Arial" w:hAnsi="Arial" w:cs="Arial"/>
                <w:w w:val="110"/>
                <w:sz w:val="18"/>
                <w:szCs w:val="18"/>
              </w:rPr>
              <w:t xml:space="preserve">cáncer </w:t>
            </w:r>
            <w:proofErr w:type="gramStart"/>
            <w:r>
              <w:rPr>
                <w:rFonts w:ascii="Arial" w:hAnsi="Arial" w:cs="Arial"/>
                <w:w w:val="110"/>
                <w:sz w:val="18"/>
                <w:szCs w:val="18"/>
              </w:rPr>
              <w:t>de</w:t>
            </w:r>
            <w:r>
              <w:rPr>
                <w:rFonts w:ascii="Arial" w:hAnsi="Arial" w:cs="Arial"/>
                <w:spacing w:val="26"/>
                <w:w w:val="110"/>
                <w:sz w:val="18"/>
                <w:szCs w:val="18"/>
              </w:rPr>
              <w:t xml:space="preserve">  </w:t>
            </w:r>
            <w:r>
              <w:rPr>
                <w:rFonts w:ascii="Arial" w:hAnsi="Arial" w:cs="Arial"/>
                <w:w w:val="110"/>
                <w:sz w:val="18"/>
                <w:szCs w:val="18"/>
              </w:rPr>
              <w:t>mama</w:t>
            </w:r>
            <w:proofErr w:type="gramEnd"/>
            <w:r>
              <w:rPr>
                <w:rFonts w:ascii="Arial" w:hAnsi="Arial" w:cs="Arial"/>
                <w:spacing w:val="27"/>
                <w:w w:val="110"/>
                <w:sz w:val="18"/>
                <w:szCs w:val="18"/>
              </w:rPr>
              <w:t xml:space="preserve">  </w:t>
            </w:r>
            <w:r>
              <w:rPr>
                <w:rFonts w:ascii="Arial" w:hAnsi="Arial" w:cs="Arial"/>
                <w:spacing w:val="-2"/>
                <w:w w:val="110"/>
                <w:sz w:val="18"/>
                <w:szCs w:val="18"/>
              </w:rPr>
              <w:t>(mayores</w:t>
            </w:r>
            <w:r>
              <w:rPr>
                <w:rFonts w:ascii="Arial" w:hAnsi="Arial" w:cs="Arial"/>
                <w:sz w:val="18"/>
                <w:szCs w:val="18"/>
              </w:rPr>
              <w:tab/>
            </w:r>
            <w:r>
              <w:rPr>
                <w:rFonts w:ascii="Arial" w:hAnsi="Arial" w:cs="Arial"/>
                <w:w w:val="110"/>
                <w:sz w:val="18"/>
                <w:szCs w:val="18"/>
              </w:rPr>
              <w:t>de</w:t>
            </w:r>
            <w:r>
              <w:rPr>
                <w:rFonts w:ascii="Arial" w:hAnsi="Arial" w:cs="Arial"/>
                <w:spacing w:val="27"/>
                <w:w w:val="110"/>
                <w:sz w:val="18"/>
                <w:szCs w:val="18"/>
              </w:rPr>
              <w:t xml:space="preserve">  </w:t>
            </w:r>
            <w:r>
              <w:rPr>
                <w:rFonts w:ascii="Arial" w:hAnsi="Arial" w:cs="Arial"/>
                <w:spacing w:val="-5"/>
                <w:w w:val="110"/>
                <w:sz w:val="18"/>
                <w:szCs w:val="18"/>
              </w:rPr>
              <w:t>40</w:t>
            </w:r>
          </w:p>
          <w:p w14:paraId="3314F5C1" w14:textId="77777777" w:rsidR="00D3344B" w:rsidRDefault="00143C25">
            <w:pPr>
              <w:pStyle w:val="TableParagraph"/>
              <w:spacing w:line="233" w:lineRule="exact"/>
              <w:rPr>
                <w:rFonts w:ascii="Arial" w:hAnsi="Arial" w:cs="Arial"/>
                <w:sz w:val="18"/>
                <w:szCs w:val="18"/>
              </w:rPr>
            </w:pPr>
            <w:r>
              <w:rPr>
                <w:rFonts w:ascii="Arial" w:hAnsi="Arial" w:cs="Arial"/>
                <w:spacing w:val="-4"/>
                <w:w w:val="110"/>
                <w:sz w:val="18"/>
                <w:szCs w:val="18"/>
              </w:rPr>
              <w:t>años)</w:t>
            </w:r>
          </w:p>
        </w:tc>
        <w:tc>
          <w:tcPr>
            <w:tcW w:w="697" w:type="dxa"/>
            <w:tcBorders>
              <w:top w:val="single" w:sz="4" w:space="0" w:color="000000"/>
              <w:left w:val="single" w:sz="4" w:space="0" w:color="000000"/>
              <w:bottom w:val="single" w:sz="4" w:space="0" w:color="000000"/>
              <w:right w:val="single" w:sz="4" w:space="0" w:color="000000"/>
            </w:tcBorders>
          </w:tcPr>
          <w:p w14:paraId="4624BBCA" w14:textId="77777777" w:rsidR="00D3344B" w:rsidRDefault="00D3344B">
            <w:pPr>
              <w:pStyle w:val="TableParagraph"/>
              <w:rPr>
                <w:rFonts w:ascii="Arial" w:hAnsi="Arial" w:cs="Arial"/>
                <w:sz w:val="18"/>
                <w:szCs w:val="18"/>
              </w:rPr>
            </w:pPr>
          </w:p>
        </w:tc>
        <w:tc>
          <w:tcPr>
            <w:tcW w:w="695" w:type="dxa"/>
            <w:tcBorders>
              <w:top w:val="single" w:sz="4" w:space="0" w:color="000000"/>
              <w:left w:val="single" w:sz="4" w:space="0" w:color="000000"/>
              <w:bottom w:val="single" w:sz="4" w:space="0" w:color="000000"/>
              <w:right w:val="single" w:sz="4" w:space="0" w:color="000000"/>
            </w:tcBorders>
          </w:tcPr>
          <w:p w14:paraId="0A450396"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14A744BF"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70051027" w14:textId="77777777" w:rsidR="00D3344B" w:rsidRDefault="00D3344B">
            <w:pPr>
              <w:pStyle w:val="TableParagraph"/>
              <w:rPr>
                <w:rFonts w:ascii="Arial" w:hAnsi="Arial" w:cs="Arial"/>
                <w:sz w:val="18"/>
                <w:szCs w:val="18"/>
              </w:rPr>
            </w:pPr>
          </w:p>
        </w:tc>
        <w:tc>
          <w:tcPr>
            <w:tcW w:w="696" w:type="dxa"/>
            <w:tcBorders>
              <w:top w:val="single" w:sz="4" w:space="0" w:color="000000"/>
              <w:left w:val="single" w:sz="4" w:space="0" w:color="000000"/>
              <w:bottom w:val="single" w:sz="4" w:space="0" w:color="000000"/>
              <w:right w:val="single" w:sz="4" w:space="0" w:color="000000"/>
            </w:tcBorders>
          </w:tcPr>
          <w:p w14:paraId="0D498DED" w14:textId="77777777" w:rsidR="00D3344B" w:rsidRDefault="00D3344B">
            <w:pPr>
              <w:pStyle w:val="TableParagraph"/>
              <w:rPr>
                <w:rFonts w:ascii="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tcPr>
          <w:p w14:paraId="59D663FC" w14:textId="77777777" w:rsidR="00D3344B" w:rsidRDefault="00143C25">
            <w:pPr>
              <w:pStyle w:val="TableParagraph"/>
              <w:ind w:left="5"/>
              <w:rPr>
                <w:rFonts w:ascii="Arial" w:hAnsi="Arial" w:cs="Arial"/>
                <w:sz w:val="18"/>
                <w:szCs w:val="18"/>
              </w:rPr>
            </w:pPr>
            <w:r>
              <w:rPr>
                <w:rFonts w:ascii="Arial" w:hAnsi="Arial" w:cs="Arial"/>
                <w:spacing w:val="-5"/>
                <w:w w:val="125"/>
                <w:sz w:val="18"/>
                <w:szCs w:val="18"/>
              </w:rPr>
              <w:t>6.5</w:t>
            </w:r>
          </w:p>
        </w:tc>
      </w:tr>
      <w:tr w:rsidR="00D3344B" w14:paraId="4E5BA609" w14:textId="77777777">
        <w:trPr>
          <w:trHeight w:val="758"/>
        </w:trPr>
        <w:tc>
          <w:tcPr>
            <w:tcW w:w="1776" w:type="dxa"/>
            <w:tcBorders>
              <w:top w:val="single" w:sz="4" w:space="0" w:color="000000"/>
              <w:left w:val="single" w:sz="4" w:space="0" w:color="000000"/>
              <w:bottom w:val="single" w:sz="4" w:space="0" w:color="000000"/>
              <w:right w:val="single" w:sz="4" w:space="0" w:color="000000"/>
            </w:tcBorders>
          </w:tcPr>
          <w:p w14:paraId="2EC6F9A9" w14:textId="77777777" w:rsidR="00D3344B" w:rsidRDefault="00143C25">
            <w:pPr>
              <w:pStyle w:val="TableParagraph"/>
              <w:rPr>
                <w:rFonts w:ascii="Arial" w:hAnsi="Arial" w:cs="Arial"/>
                <w:sz w:val="18"/>
                <w:szCs w:val="18"/>
              </w:rPr>
            </w:pPr>
            <w:r>
              <w:rPr>
                <w:rFonts w:ascii="Arial" w:hAnsi="Arial" w:cs="Arial"/>
                <w:w w:val="105"/>
                <w:sz w:val="18"/>
                <w:szCs w:val="18"/>
              </w:rPr>
              <w:t>02-</w:t>
            </w:r>
            <w:r>
              <w:rPr>
                <w:rFonts w:ascii="Arial" w:hAnsi="Arial" w:cs="Arial"/>
                <w:spacing w:val="-2"/>
                <w:w w:val="110"/>
                <w:sz w:val="18"/>
                <w:szCs w:val="18"/>
              </w:rPr>
              <w:t>DOCM38-</w:t>
            </w:r>
          </w:p>
          <w:p w14:paraId="2264A469" w14:textId="77777777" w:rsidR="00D3344B" w:rsidRDefault="00143C25">
            <w:pPr>
              <w:pStyle w:val="TableParagraph"/>
              <w:spacing w:before="1"/>
              <w:rPr>
                <w:rFonts w:ascii="Arial" w:hAnsi="Arial" w:cs="Arial"/>
                <w:sz w:val="18"/>
                <w:szCs w:val="18"/>
              </w:rPr>
            </w:pPr>
            <w:r>
              <w:rPr>
                <w:rFonts w:ascii="Arial" w:hAnsi="Arial" w:cs="Arial"/>
                <w:w w:val="105"/>
                <w:sz w:val="18"/>
                <w:szCs w:val="18"/>
              </w:rPr>
              <w:t>001-</w:t>
            </w:r>
            <w:r>
              <w:rPr>
                <w:rFonts w:ascii="Arial" w:hAnsi="Arial" w:cs="Arial"/>
                <w:spacing w:val="-5"/>
                <w:w w:val="110"/>
                <w:sz w:val="18"/>
                <w:szCs w:val="18"/>
              </w:rPr>
              <w:t>15</w:t>
            </w:r>
          </w:p>
        </w:tc>
        <w:tc>
          <w:tcPr>
            <w:tcW w:w="3038" w:type="dxa"/>
            <w:tcBorders>
              <w:top w:val="single" w:sz="4" w:space="0" w:color="000000"/>
              <w:left w:val="single" w:sz="4" w:space="0" w:color="000000"/>
              <w:bottom w:val="single" w:sz="4" w:space="0" w:color="000000"/>
              <w:right w:val="single" w:sz="4" w:space="0" w:color="000000"/>
            </w:tcBorders>
          </w:tcPr>
          <w:p w14:paraId="0A0405B9" w14:textId="77777777" w:rsidR="00D3344B" w:rsidRDefault="00143C25">
            <w:pPr>
              <w:pStyle w:val="TableParagraph"/>
              <w:rPr>
                <w:rFonts w:ascii="Arial" w:hAnsi="Arial" w:cs="Arial"/>
                <w:sz w:val="18"/>
                <w:szCs w:val="18"/>
              </w:rPr>
            </w:pPr>
            <w:r>
              <w:rPr>
                <w:rFonts w:ascii="Arial" w:hAnsi="Arial" w:cs="Arial"/>
                <w:w w:val="110"/>
                <w:sz w:val="18"/>
                <w:szCs w:val="18"/>
              </w:rPr>
              <w:t>Detección</w:t>
            </w:r>
            <w:r>
              <w:rPr>
                <w:rFonts w:ascii="Arial" w:hAnsi="Arial" w:cs="Arial"/>
                <w:spacing w:val="5"/>
                <w:w w:val="110"/>
                <w:sz w:val="18"/>
                <w:szCs w:val="18"/>
              </w:rPr>
              <w:t xml:space="preserve"> </w:t>
            </w:r>
            <w:r>
              <w:rPr>
                <w:rFonts w:ascii="Arial" w:hAnsi="Arial" w:cs="Arial"/>
                <w:w w:val="110"/>
                <w:sz w:val="18"/>
                <w:szCs w:val="18"/>
              </w:rPr>
              <w:t>oportuna</w:t>
            </w:r>
            <w:r>
              <w:rPr>
                <w:rFonts w:ascii="Arial" w:hAnsi="Arial" w:cs="Arial"/>
                <w:spacing w:val="7"/>
                <w:w w:val="110"/>
                <w:sz w:val="18"/>
                <w:szCs w:val="18"/>
              </w:rPr>
              <w:t xml:space="preserve"> </w:t>
            </w:r>
            <w:r>
              <w:rPr>
                <w:rFonts w:ascii="Arial" w:hAnsi="Arial" w:cs="Arial"/>
                <w:w w:val="110"/>
                <w:sz w:val="18"/>
                <w:szCs w:val="18"/>
              </w:rPr>
              <w:t>de</w:t>
            </w:r>
            <w:r>
              <w:rPr>
                <w:rFonts w:ascii="Arial" w:hAnsi="Arial" w:cs="Arial"/>
                <w:spacing w:val="54"/>
                <w:w w:val="110"/>
                <w:sz w:val="18"/>
                <w:szCs w:val="18"/>
              </w:rPr>
              <w:t xml:space="preserve"> </w:t>
            </w:r>
            <w:r>
              <w:rPr>
                <w:rFonts w:ascii="Arial" w:hAnsi="Arial" w:cs="Arial"/>
                <w:spacing w:val="-2"/>
                <w:w w:val="110"/>
                <w:sz w:val="18"/>
                <w:szCs w:val="18"/>
              </w:rPr>
              <w:t>cáncer</w:t>
            </w:r>
          </w:p>
          <w:p w14:paraId="575C38D0" w14:textId="77777777" w:rsidR="00D3344B" w:rsidRDefault="00143C25">
            <w:pPr>
              <w:pStyle w:val="TableParagraph"/>
              <w:tabs>
                <w:tab w:val="left" w:pos="2321"/>
              </w:tabs>
              <w:spacing w:line="252" w:lineRule="exact"/>
              <w:ind w:right="60"/>
              <w:rPr>
                <w:rFonts w:ascii="Arial" w:hAnsi="Arial" w:cs="Arial"/>
                <w:sz w:val="18"/>
                <w:szCs w:val="18"/>
              </w:rPr>
            </w:pPr>
            <w:r>
              <w:rPr>
                <w:rFonts w:ascii="Arial" w:hAnsi="Arial" w:cs="Arial"/>
                <w:w w:val="110"/>
                <w:sz w:val="18"/>
                <w:szCs w:val="18"/>
              </w:rPr>
              <w:t>de</w:t>
            </w:r>
            <w:r>
              <w:rPr>
                <w:rFonts w:ascii="Arial" w:hAnsi="Arial" w:cs="Arial"/>
                <w:spacing w:val="80"/>
                <w:w w:val="110"/>
                <w:sz w:val="18"/>
                <w:szCs w:val="18"/>
              </w:rPr>
              <w:t xml:space="preserve"> </w:t>
            </w:r>
            <w:r>
              <w:rPr>
                <w:rFonts w:ascii="Arial" w:hAnsi="Arial" w:cs="Arial"/>
                <w:w w:val="110"/>
                <w:sz w:val="18"/>
                <w:szCs w:val="18"/>
              </w:rPr>
              <w:t>mama</w:t>
            </w:r>
            <w:r>
              <w:rPr>
                <w:rFonts w:ascii="Arial" w:hAnsi="Arial" w:cs="Arial"/>
                <w:spacing w:val="80"/>
                <w:w w:val="110"/>
                <w:sz w:val="18"/>
                <w:szCs w:val="18"/>
              </w:rPr>
              <w:t xml:space="preserve"> </w:t>
            </w:r>
            <w:r>
              <w:rPr>
                <w:rFonts w:ascii="Arial" w:hAnsi="Arial" w:cs="Arial"/>
                <w:w w:val="110"/>
                <w:sz w:val="18"/>
                <w:szCs w:val="18"/>
              </w:rPr>
              <w:t>(menores</w:t>
            </w:r>
            <w:r>
              <w:rPr>
                <w:rFonts w:ascii="Arial" w:hAnsi="Arial" w:cs="Arial"/>
                <w:sz w:val="18"/>
                <w:szCs w:val="18"/>
              </w:rPr>
              <w:tab/>
            </w:r>
            <w:r>
              <w:rPr>
                <w:rFonts w:ascii="Arial" w:hAnsi="Arial" w:cs="Arial"/>
                <w:w w:val="110"/>
                <w:sz w:val="18"/>
                <w:szCs w:val="18"/>
              </w:rPr>
              <w:t>de</w:t>
            </w:r>
            <w:r>
              <w:rPr>
                <w:rFonts w:ascii="Arial" w:hAnsi="Arial" w:cs="Arial"/>
                <w:spacing w:val="77"/>
                <w:w w:val="110"/>
                <w:sz w:val="18"/>
                <w:szCs w:val="18"/>
              </w:rPr>
              <w:t xml:space="preserve"> </w:t>
            </w:r>
            <w:r>
              <w:rPr>
                <w:rFonts w:ascii="Arial" w:hAnsi="Arial" w:cs="Arial"/>
                <w:w w:val="110"/>
                <w:sz w:val="18"/>
                <w:szCs w:val="18"/>
              </w:rPr>
              <w:t xml:space="preserve">40 </w:t>
            </w:r>
            <w:r>
              <w:rPr>
                <w:rFonts w:ascii="Arial" w:hAnsi="Arial" w:cs="Arial"/>
                <w:spacing w:val="-4"/>
                <w:w w:val="110"/>
                <w:sz w:val="18"/>
                <w:szCs w:val="18"/>
              </w:rPr>
              <w:t>años)</w:t>
            </w:r>
          </w:p>
        </w:tc>
        <w:tc>
          <w:tcPr>
            <w:tcW w:w="697" w:type="dxa"/>
            <w:tcBorders>
              <w:top w:val="single" w:sz="4" w:space="0" w:color="000000"/>
              <w:left w:val="single" w:sz="4" w:space="0" w:color="000000"/>
              <w:bottom w:val="single" w:sz="4" w:space="0" w:color="000000"/>
              <w:right w:val="single" w:sz="4" w:space="0" w:color="000000"/>
            </w:tcBorders>
          </w:tcPr>
          <w:p w14:paraId="07FC5CA8" w14:textId="77777777" w:rsidR="00D3344B" w:rsidRDefault="00D3344B">
            <w:pPr>
              <w:pStyle w:val="TableParagraph"/>
              <w:rPr>
                <w:rFonts w:ascii="Arial" w:hAnsi="Arial" w:cs="Arial"/>
                <w:sz w:val="18"/>
                <w:szCs w:val="18"/>
              </w:rPr>
            </w:pPr>
          </w:p>
        </w:tc>
        <w:tc>
          <w:tcPr>
            <w:tcW w:w="695" w:type="dxa"/>
            <w:tcBorders>
              <w:top w:val="single" w:sz="4" w:space="0" w:color="000000"/>
              <w:left w:val="single" w:sz="4" w:space="0" w:color="000000"/>
              <w:bottom w:val="single" w:sz="4" w:space="0" w:color="000000"/>
              <w:right w:val="single" w:sz="4" w:space="0" w:color="000000"/>
            </w:tcBorders>
          </w:tcPr>
          <w:p w14:paraId="777B4B61"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5007CAD6"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55FD64A8" w14:textId="77777777" w:rsidR="00D3344B" w:rsidRDefault="00D3344B">
            <w:pPr>
              <w:pStyle w:val="TableParagraph"/>
              <w:rPr>
                <w:rFonts w:ascii="Arial" w:hAnsi="Arial" w:cs="Arial"/>
                <w:sz w:val="18"/>
                <w:szCs w:val="18"/>
              </w:rPr>
            </w:pPr>
          </w:p>
        </w:tc>
        <w:tc>
          <w:tcPr>
            <w:tcW w:w="696" w:type="dxa"/>
            <w:tcBorders>
              <w:top w:val="single" w:sz="4" w:space="0" w:color="000000"/>
              <w:left w:val="single" w:sz="4" w:space="0" w:color="000000"/>
              <w:bottom w:val="single" w:sz="4" w:space="0" w:color="000000"/>
              <w:right w:val="single" w:sz="4" w:space="0" w:color="000000"/>
            </w:tcBorders>
          </w:tcPr>
          <w:p w14:paraId="750B76F7" w14:textId="77777777" w:rsidR="00D3344B" w:rsidRDefault="00D3344B">
            <w:pPr>
              <w:pStyle w:val="TableParagraph"/>
              <w:rPr>
                <w:rFonts w:ascii="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tcPr>
          <w:p w14:paraId="53DFDE2F" w14:textId="77777777" w:rsidR="00D3344B" w:rsidRDefault="00143C25">
            <w:pPr>
              <w:pStyle w:val="TableParagraph"/>
              <w:ind w:left="5"/>
              <w:rPr>
                <w:rFonts w:ascii="Arial" w:hAnsi="Arial" w:cs="Arial"/>
                <w:sz w:val="18"/>
                <w:szCs w:val="18"/>
              </w:rPr>
            </w:pPr>
            <w:r>
              <w:rPr>
                <w:rFonts w:ascii="Arial" w:hAnsi="Arial" w:cs="Arial"/>
                <w:spacing w:val="-5"/>
                <w:w w:val="125"/>
                <w:sz w:val="18"/>
                <w:szCs w:val="18"/>
              </w:rPr>
              <w:t>4.5</w:t>
            </w:r>
          </w:p>
        </w:tc>
      </w:tr>
      <w:tr w:rsidR="00D3344B" w14:paraId="362D6B48" w14:textId="77777777">
        <w:trPr>
          <w:trHeight w:val="505"/>
        </w:trPr>
        <w:tc>
          <w:tcPr>
            <w:tcW w:w="1776" w:type="dxa"/>
            <w:tcBorders>
              <w:top w:val="single" w:sz="4" w:space="0" w:color="000000"/>
              <w:left w:val="single" w:sz="4" w:space="0" w:color="000000"/>
              <w:bottom w:val="single" w:sz="4" w:space="0" w:color="000000"/>
              <w:right w:val="single" w:sz="4" w:space="0" w:color="000000"/>
            </w:tcBorders>
          </w:tcPr>
          <w:p w14:paraId="2CFD95DD" w14:textId="77777777" w:rsidR="00D3344B" w:rsidRDefault="00143C25">
            <w:pPr>
              <w:pStyle w:val="TableParagraph"/>
              <w:spacing w:before="1"/>
              <w:rPr>
                <w:rFonts w:ascii="Arial" w:hAnsi="Arial" w:cs="Arial"/>
                <w:sz w:val="18"/>
                <w:szCs w:val="18"/>
              </w:rPr>
            </w:pPr>
            <w:r>
              <w:rPr>
                <w:rFonts w:ascii="Arial" w:hAnsi="Arial" w:cs="Arial"/>
                <w:w w:val="110"/>
                <w:sz w:val="18"/>
                <w:szCs w:val="18"/>
              </w:rPr>
              <w:t>02-EICAR-</w:t>
            </w:r>
            <w:r>
              <w:rPr>
                <w:rFonts w:ascii="Arial" w:hAnsi="Arial" w:cs="Arial"/>
                <w:spacing w:val="-5"/>
                <w:w w:val="110"/>
                <w:sz w:val="18"/>
                <w:szCs w:val="18"/>
              </w:rPr>
              <w:t>001</w:t>
            </w:r>
          </w:p>
        </w:tc>
        <w:tc>
          <w:tcPr>
            <w:tcW w:w="3038" w:type="dxa"/>
            <w:tcBorders>
              <w:top w:val="single" w:sz="4" w:space="0" w:color="000000"/>
              <w:left w:val="single" w:sz="4" w:space="0" w:color="000000"/>
              <w:bottom w:val="single" w:sz="4" w:space="0" w:color="000000"/>
              <w:right w:val="single" w:sz="4" w:space="0" w:color="000000"/>
            </w:tcBorders>
          </w:tcPr>
          <w:p w14:paraId="176B1D06" w14:textId="77777777" w:rsidR="00D3344B" w:rsidRDefault="00143C25">
            <w:pPr>
              <w:pStyle w:val="TableParagraph"/>
              <w:tabs>
                <w:tab w:val="left" w:pos="1656"/>
              </w:tabs>
              <w:spacing w:line="252" w:lineRule="exact"/>
              <w:ind w:right="649"/>
              <w:rPr>
                <w:rFonts w:ascii="Arial" w:hAnsi="Arial" w:cs="Arial"/>
                <w:sz w:val="18"/>
                <w:szCs w:val="18"/>
              </w:rPr>
            </w:pPr>
            <w:r>
              <w:rPr>
                <w:rFonts w:ascii="Arial" w:hAnsi="Arial" w:cs="Arial"/>
                <w:spacing w:val="-2"/>
                <w:w w:val="110"/>
                <w:sz w:val="18"/>
                <w:szCs w:val="18"/>
              </w:rPr>
              <w:t>Estudio</w:t>
            </w:r>
            <w:r>
              <w:rPr>
                <w:rFonts w:ascii="Arial" w:hAnsi="Arial" w:cs="Arial"/>
                <w:sz w:val="18"/>
                <w:szCs w:val="18"/>
              </w:rPr>
              <w:tab/>
            </w:r>
            <w:r>
              <w:rPr>
                <w:rFonts w:ascii="Arial" w:hAnsi="Arial" w:cs="Arial"/>
                <w:spacing w:val="-4"/>
                <w:w w:val="110"/>
                <w:sz w:val="18"/>
                <w:szCs w:val="18"/>
              </w:rPr>
              <w:t xml:space="preserve">integral </w:t>
            </w:r>
            <w:r>
              <w:rPr>
                <w:rFonts w:ascii="Arial" w:hAnsi="Arial" w:cs="Arial"/>
                <w:spacing w:val="-2"/>
                <w:w w:val="110"/>
                <w:sz w:val="18"/>
                <w:szCs w:val="18"/>
              </w:rPr>
              <w:t>cardiológico</w:t>
            </w:r>
          </w:p>
        </w:tc>
        <w:tc>
          <w:tcPr>
            <w:tcW w:w="697" w:type="dxa"/>
            <w:tcBorders>
              <w:top w:val="single" w:sz="4" w:space="0" w:color="000000"/>
              <w:left w:val="single" w:sz="4" w:space="0" w:color="000000"/>
              <w:bottom w:val="single" w:sz="4" w:space="0" w:color="000000"/>
              <w:right w:val="single" w:sz="4" w:space="0" w:color="000000"/>
            </w:tcBorders>
          </w:tcPr>
          <w:p w14:paraId="03452B93" w14:textId="77777777" w:rsidR="00D3344B" w:rsidRDefault="00D3344B">
            <w:pPr>
              <w:pStyle w:val="TableParagraph"/>
              <w:rPr>
                <w:rFonts w:ascii="Arial" w:hAnsi="Arial" w:cs="Arial"/>
                <w:sz w:val="18"/>
                <w:szCs w:val="18"/>
              </w:rPr>
            </w:pPr>
          </w:p>
        </w:tc>
        <w:tc>
          <w:tcPr>
            <w:tcW w:w="695" w:type="dxa"/>
            <w:tcBorders>
              <w:top w:val="single" w:sz="4" w:space="0" w:color="000000"/>
              <w:left w:val="single" w:sz="4" w:space="0" w:color="000000"/>
              <w:bottom w:val="single" w:sz="4" w:space="0" w:color="000000"/>
              <w:right w:val="single" w:sz="4" w:space="0" w:color="000000"/>
            </w:tcBorders>
          </w:tcPr>
          <w:p w14:paraId="0FA56951"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57C603C5"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628B8803" w14:textId="77777777" w:rsidR="00D3344B" w:rsidRDefault="00D3344B">
            <w:pPr>
              <w:pStyle w:val="TableParagraph"/>
              <w:rPr>
                <w:rFonts w:ascii="Arial" w:hAnsi="Arial" w:cs="Arial"/>
                <w:sz w:val="18"/>
                <w:szCs w:val="18"/>
              </w:rPr>
            </w:pPr>
          </w:p>
        </w:tc>
        <w:tc>
          <w:tcPr>
            <w:tcW w:w="696" w:type="dxa"/>
            <w:tcBorders>
              <w:top w:val="single" w:sz="4" w:space="0" w:color="000000"/>
              <w:left w:val="single" w:sz="4" w:space="0" w:color="000000"/>
              <w:bottom w:val="single" w:sz="4" w:space="0" w:color="000000"/>
              <w:right w:val="single" w:sz="4" w:space="0" w:color="000000"/>
            </w:tcBorders>
          </w:tcPr>
          <w:p w14:paraId="1DEDC710" w14:textId="77777777" w:rsidR="00D3344B" w:rsidRDefault="00D3344B">
            <w:pPr>
              <w:pStyle w:val="TableParagraph"/>
              <w:rPr>
                <w:rFonts w:ascii="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tcPr>
          <w:p w14:paraId="45FA80D6" w14:textId="77777777" w:rsidR="00D3344B" w:rsidRDefault="00143C25">
            <w:pPr>
              <w:pStyle w:val="TableParagraph"/>
              <w:spacing w:before="1"/>
              <w:ind w:left="5"/>
              <w:rPr>
                <w:rFonts w:ascii="Arial" w:hAnsi="Arial" w:cs="Arial"/>
                <w:sz w:val="18"/>
                <w:szCs w:val="18"/>
              </w:rPr>
            </w:pPr>
            <w:r>
              <w:rPr>
                <w:rFonts w:ascii="Arial" w:hAnsi="Arial" w:cs="Arial"/>
                <w:spacing w:val="-5"/>
                <w:w w:val="125"/>
                <w:sz w:val="18"/>
                <w:szCs w:val="18"/>
              </w:rPr>
              <w:t>4.5</w:t>
            </w:r>
          </w:p>
        </w:tc>
      </w:tr>
      <w:tr w:rsidR="00D3344B" w14:paraId="4173B8D5" w14:textId="77777777">
        <w:trPr>
          <w:trHeight w:val="506"/>
        </w:trPr>
        <w:tc>
          <w:tcPr>
            <w:tcW w:w="1776" w:type="dxa"/>
            <w:tcBorders>
              <w:top w:val="single" w:sz="4" w:space="0" w:color="000000"/>
              <w:left w:val="single" w:sz="4" w:space="0" w:color="000000"/>
              <w:bottom w:val="single" w:sz="4" w:space="0" w:color="000000"/>
              <w:right w:val="single" w:sz="4" w:space="0" w:color="000000"/>
            </w:tcBorders>
          </w:tcPr>
          <w:p w14:paraId="07798552" w14:textId="77777777" w:rsidR="00D3344B" w:rsidRDefault="00143C25">
            <w:pPr>
              <w:pStyle w:val="TableParagraph"/>
              <w:rPr>
                <w:rFonts w:ascii="Arial" w:hAnsi="Arial" w:cs="Arial"/>
                <w:sz w:val="18"/>
                <w:szCs w:val="18"/>
              </w:rPr>
            </w:pPr>
            <w:r>
              <w:rPr>
                <w:rFonts w:ascii="Arial" w:hAnsi="Arial" w:cs="Arial"/>
                <w:w w:val="110"/>
                <w:sz w:val="18"/>
                <w:szCs w:val="18"/>
              </w:rPr>
              <w:t>02-DOCP-</w:t>
            </w:r>
            <w:r>
              <w:rPr>
                <w:rFonts w:ascii="Arial" w:hAnsi="Arial" w:cs="Arial"/>
                <w:spacing w:val="-4"/>
                <w:w w:val="110"/>
                <w:sz w:val="18"/>
                <w:szCs w:val="18"/>
              </w:rPr>
              <w:t>001-</w:t>
            </w:r>
          </w:p>
          <w:p w14:paraId="5BFC5E4C" w14:textId="77777777" w:rsidR="00D3344B" w:rsidRDefault="00143C25">
            <w:pPr>
              <w:pStyle w:val="TableParagraph"/>
              <w:spacing w:before="1" w:line="233" w:lineRule="exact"/>
              <w:rPr>
                <w:rFonts w:ascii="Arial" w:hAnsi="Arial" w:cs="Arial"/>
                <w:sz w:val="18"/>
                <w:szCs w:val="18"/>
              </w:rPr>
            </w:pPr>
            <w:r>
              <w:rPr>
                <w:rFonts w:ascii="Arial" w:hAnsi="Arial" w:cs="Arial"/>
                <w:spacing w:val="-5"/>
                <w:w w:val="110"/>
                <w:sz w:val="18"/>
                <w:szCs w:val="18"/>
              </w:rPr>
              <w:t>15</w:t>
            </w:r>
          </w:p>
        </w:tc>
        <w:tc>
          <w:tcPr>
            <w:tcW w:w="3038" w:type="dxa"/>
            <w:tcBorders>
              <w:top w:val="single" w:sz="4" w:space="0" w:color="000000"/>
              <w:left w:val="single" w:sz="4" w:space="0" w:color="000000"/>
              <w:bottom w:val="single" w:sz="4" w:space="0" w:color="000000"/>
              <w:right w:val="single" w:sz="4" w:space="0" w:color="000000"/>
            </w:tcBorders>
          </w:tcPr>
          <w:p w14:paraId="7BBA7CB2" w14:textId="77777777" w:rsidR="00D3344B" w:rsidRDefault="00143C25">
            <w:pPr>
              <w:pStyle w:val="TableParagraph"/>
              <w:spacing w:line="254" w:lineRule="exact"/>
              <w:ind w:right="725"/>
              <w:rPr>
                <w:rFonts w:ascii="Arial" w:hAnsi="Arial" w:cs="Arial"/>
                <w:sz w:val="18"/>
                <w:szCs w:val="18"/>
              </w:rPr>
            </w:pPr>
            <w:r>
              <w:rPr>
                <w:rFonts w:ascii="Arial" w:hAnsi="Arial" w:cs="Arial"/>
                <w:w w:val="110"/>
                <w:sz w:val="18"/>
                <w:szCs w:val="18"/>
              </w:rPr>
              <w:t>Detección</w:t>
            </w:r>
            <w:r>
              <w:rPr>
                <w:rFonts w:ascii="Arial" w:hAnsi="Arial" w:cs="Arial"/>
                <w:spacing w:val="24"/>
                <w:w w:val="110"/>
                <w:sz w:val="18"/>
                <w:szCs w:val="18"/>
              </w:rPr>
              <w:t xml:space="preserve"> </w:t>
            </w:r>
            <w:r>
              <w:rPr>
                <w:rFonts w:ascii="Arial" w:hAnsi="Arial" w:cs="Arial"/>
                <w:w w:val="110"/>
                <w:sz w:val="18"/>
                <w:szCs w:val="18"/>
              </w:rPr>
              <w:t>oportuna</w:t>
            </w:r>
            <w:r>
              <w:rPr>
                <w:rFonts w:ascii="Arial" w:hAnsi="Arial" w:cs="Arial"/>
                <w:spacing w:val="26"/>
                <w:w w:val="110"/>
                <w:sz w:val="18"/>
                <w:szCs w:val="18"/>
              </w:rPr>
              <w:t xml:space="preserve"> </w:t>
            </w:r>
            <w:r>
              <w:rPr>
                <w:rFonts w:ascii="Arial" w:hAnsi="Arial" w:cs="Arial"/>
                <w:w w:val="110"/>
                <w:sz w:val="18"/>
                <w:szCs w:val="18"/>
              </w:rPr>
              <w:t>de cáncer de próstata</w:t>
            </w:r>
          </w:p>
        </w:tc>
        <w:tc>
          <w:tcPr>
            <w:tcW w:w="697" w:type="dxa"/>
            <w:tcBorders>
              <w:top w:val="single" w:sz="4" w:space="0" w:color="000000"/>
              <w:left w:val="single" w:sz="4" w:space="0" w:color="000000"/>
              <w:bottom w:val="single" w:sz="4" w:space="0" w:color="000000"/>
              <w:right w:val="single" w:sz="4" w:space="0" w:color="000000"/>
            </w:tcBorders>
          </w:tcPr>
          <w:p w14:paraId="3C4EB8DE" w14:textId="77777777" w:rsidR="00D3344B" w:rsidRDefault="00D3344B">
            <w:pPr>
              <w:pStyle w:val="TableParagraph"/>
              <w:rPr>
                <w:rFonts w:ascii="Arial" w:hAnsi="Arial" w:cs="Arial"/>
                <w:sz w:val="18"/>
                <w:szCs w:val="18"/>
              </w:rPr>
            </w:pPr>
          </w:p>
        </w:tc>
        <w:tc>
          <w:tcPr>
            <w:tcW w:w="695" w:type="dxa"/>
            <w:tcBorders>
              <w:top w:val="single" w:sz="4" w:space="0" w:color="000000"/>
              <w:left w:val="single" w:sz="4" w:space="0" w:color="000000"/>
              <w:bottom w:val="single" w:sz="4" w:space="0" w:color="000000"/>
              <w:right w:val="single" w:sz="4" w:space="0" w:color="000000"/>
            </w:tcBorders>
          </w:tcPr>
          <w:p w14:paraId="3316EE65"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11C4790D" w14:textId="77777777" w:rsidR="00D3344B" w:rsidRDefault="00D3344B">
            <w:pPr>
              <w:pStyle w:val="TableParagraph"/>
              <w:rPr>
                <w:rFonts w:ascii="Arial" w:hAnsi="Arial" w:cs="Arial"/>
                <w:sz w:val="18"/>
                <w:szCs w:val="18"/>
              </w:rPr>
            </w:pPr>
          </w:p>
        </w:tc>
        <w:tc>
          <w:tcPr>
            <w:tcW w:w="699" w:type="dxa"/>
            <w:tcBorders>
              <w:top w:val="single" w:sz="4" w:space="0" w:color="000000"/>
              <w:left w:val="single" w:sz="4" w:space="0" w:color="000000"/>
              <w:bottom w:val="single" w:sz="4" w:space="0" w:color="000000"/>
              <w:right w:val="single" w:sz="4" w:space="0" w:color="000000"/>
            </w:tcBorders>
          </w:tcPr>
          <w:p w14:paraId="3964B1D4" w14:textId="77777777" w:rsidR="00D3344B" w:rsidRDefault="00D3344B">
            <w:pPr>
              <w:pStyle w:val="TableParagraph"/>
              <w:rPr>
                <w:rFonts w:ascii="Arial" w:hAnsi="Arial" w:cs="Arial"/>
                <w:sz w:val="18"/>
                <w:szCs w:val="18"/>
              </w:rPr>
            </w:pPr>
          </w:p>
        </w:tc>
        <w:tc>
          <w:tcPr>
            <w:tcW w:w="696" w:type="dxa"/>
            <w:tcBorders>
              <w:top w:val="single" w:sz="4" w:space="0" w:color="000000"/>
              <w:left w:val="single" w:sz="4" w:space="0" w:color="000000"/>
              <w:bottom w:val="single" w:sz="4" w:space="0" w:color="000000"/>
              <w:right w:val="single" w:sz="4" w:space="0" w:color="000000"/>
            </w:tcBorders>
          </w:tcPr>
          <w:p w14:paraId="6706DE24" w14:textId="77777777" w:rsidR="00D3344B" w:rsidRDefault="00D3344B">
            <w:pPr>
              <w:pStyle w:val="TableParagraph"/>
              <w:rPr>
                <w:rFonts w:ascii="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tcPr>
          <w:p w14:paraId="0D84F9E7" w14:textId="77777777" w:rsidR="00D3344B" w:rsidRDefault="00143C25">
            <w:pPr>
              <w:pStyle w:val="TableParagraph"/>
              <w:ind w:left="5"/>
              <w:rPr>
                <w:rFonts w:ascii="Arial" w:hAnsi="Arial" w:cs="Arial"/>
                <w:sz w:val="18"/>
                <w:szCs w:val="18"/>
              </w:rPr>
            </w:pPr>
            <w:r>
              <w:rPr>
                <w:rFonts w:ascii="Arial" w:hAnsi="Arial" w:cs="Arial"/>
                <w:spacing w:val="-5"/>
                <w:w w:val="125"/>
                <w:sz w:val="18"/>
                <w:szCs w:val="18"/>
              </w:rPr>
              <w:t>6.5</w:t>
            </w:r>
          </w:p>
        </w:tc>
      </w:tr>
    </w:tbl>
    <w:p w14:paraId="0F8699C6" w14:textId="77777777" w:rsidR="00D3344B" w:rsidRDefault="00D3344B">
      <w:pPr>
        <w:pStyle w:val="Estilo"/>
        <w:rPr>
          <w:rFonts w:cs="Arial"/>
        </w:rPr>
      </w:pPr>
    </w:p>
    <w:p w14:paraId="39C604F7" w14:textId="77777777" w:rsidR="00D3344B" w:rsidRDefault="00D3344B">
      <w:pPr>
        <w:pStyle w:val="Estilo"/>
        <w:rPr>
          <w:rFonts w:cs="Arial"/>
        </w:rPr>
      </w:pPr>
    </w:p>
    <w:p w14:paraId="7CB94EDE" w14:textId="77777777" w:rsidR="00D3344B" w:rsidRDefault="00143C25">
      <w:pPr>
        <w:pStyle w:val="Estilo"/>
        <w:rPr>
          <w:rFonts w:cs="Arial"/>
        </w:rPr>
      </w:pPr>
      <w:r>
        <w:rPr>
          <w:rFonts w:cs="Arial"/>
          <w:i/>
          <w:sz w:val="16"/>
        </w:rPr>
        <w:t>(REFORMADA, P.O. 26 DE DICIEMBRE DE 2022)</w:t>
      </w:r>
    </w:p>
    <w:p w14:paraId="6C13A45D" w14:textId="77777777" w:rsidR="00D3344B" w:rsidRDefault="00143C25">
      <w:pPr>
        <w:pStyle w:val="Estilo"/>
        <w:ind w:left="567" w:hanging="567"/>
        <w:rPr>
          <w:rFonts w:cs="Arial"/>
        </w:rPr>
      </w:pPr>
      <w:r>
        <w:rPr>
          <w:rFonts w:cs="Arial"/>
        </w:rPr>
        <w:t>II. Servicios del Módulo de Microbiología:</w:t>
      </w:r>
    </w:p>
    <w:p w14:paraId="48957E98" w14:textId="77777777" w:rsidR="00D3344B" w:rsidRDefault="00D3344B">
      <w:pPr>
        <w:pStyle w:val="Estilo"/>
        <w:ind w:left="567" w:hanging="567"/>
        <w:rPr>
          <w:rFonts w:cs="Arial"/>
        </w:rPr>
      </w:pPr>
    </w:p>
    <w:tbl>
      <w:tblPr>
        <w:tblStyle w:val="TableNormal"/>
        <w:tblW w:w="8762" w:type="dxa"/>
        <w:tblInd w:w="164" w:type="dxa"/>
        <w:tblLayout w:type="fixed"/>
        <w:tblCellMar>
          <w:left w:w="5" w:type="dxa"/>
          <w:right w:w="5" w:type="dxa"/>
        </w:tblCellMar>
        <w:tblLook w:val="01E0" w:firstRow="1" w:lastRow="1" w:firstColumn="1" w:lastColumn="1" w:noHBand="0" w:noVBand="0"/>
      </w:tblPr>
      <w:tblGrid>
        <w:gridCol w:w="1107"/>
        <w:gridCol w:w="2977"/>
        <w:gridCol w:w="779"/>
        <w:gridCol w:w="780"/>
        <w:gridCol w:w="781"/>
        <w:gridCol w:w="779"/>
        <w:gridCol w:w="780"/>
        <w:gridCol w:w="779"/>
      </w:tblGrid>
      <w:tr w:rsidR="00D3344B" w14:paraId="43353690" w14:textId="77777777">
        <w:trPr>
          <w:trHeight w:val="549"/>
          <w:tblHeader/>
        </w:trPr>
        <w:tc>
          <w:tcPr>
            <w:tcW w:w="1106" w:type="dxa"/>
            <w:tcBorders>
              <w:top w:val="single" w:sz="4" w:space="0" w:color="000000"/>
              <w:left w:val="single" w:sz="4" w:space="0" w:color="000000"/>
              <w:bottom w:val="double" w:sz="4" w:space="0" w:color="000000"/>
              <w:right w:val="single" w:sz="4" w:space="0" w:color="000000"/>
            </w:tcBorders>
            <w:vAlign w:val="center"/>
          </w:tcPr>
          <w:p w14:paraId="2A265BF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2977" w:type="dxa"/>
            <w:tcBorders>
              <w:top w:val="single" w:sz="4" w:space="0" w:color="000000"/>
              <w:left w:val="single" w:sz="4" w:space="0" w:color="000000"/>
              <w:bottom w:val="double" w:sz="4" w:space="0" w:color="000000"/>
              <w:right w:val="single" w:sz="4" w:space="0" w:color="000000"/>
            </w:tcBorders>
            <w:vAlign w:val="center"/>
          </w:tcPr>
          <w:p w14:paraId="1CA30F4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single" w:sz="4" w:space="0" w:color="000000"/>
              <w:left w:val="single" w:sz="4" w:space="0" w:color="000000"/>
              <w:bottom w:val="double" w:sz="4" w:space="0" w:color="000000"/>
              <w:right w:val="single" w:sz="4" w:space="0" w:color="000000"/>
            </w:tcBorders>
            <w:vAlign w:val="center"/>
          </w:tcPr>
          <w:p w14:paraId="368D52D5"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z w:val="12"/>
                <w:szCs w:val="12"/>
                <w:lang w:val="es-ES"/>
              </w:rPr>
              <w:t>Nivel</w:t>
            </w:r>
            <w:r>
              <w:rPr>
                <w:rFonts w:ascii="Arial" w:eastAsia="Times New Roman" w:hAnsi="Arial" w:cs="Arial"/>
                <w:b/>
                <w:spacing w:val="-4"/>
                <w:sz w:val="12"/>
                <w:szCs w:val="12"/>
                <w:lang w:val="es-ES"/>
              </w:rPr>
              <w:t xml:space="preserve"> </w:t>
            </w:r>
            <w:r>
              <w:rPr>
                <w:rFonts w:ascii="Arial" w:eastAsia="Times New Roman" w:hAnsi="Arial" w:cs="Arial"/>
                <w:b/>
                <w:spacing w:val="-10"/>
                <w:sz w:val="12"/>
                <w:szCs w:val="12"/>
                <w:lang w:val="es-ES"/>
              </w:rPr>
              <w:t>5</w:t>
            </w:r>
          </w:p>
        </w:tc>
        <w:tc>
          <w:tcPr>
            <w:tcW w:w="780" w:type="dxa"/>
            <w:tcBorders>
              <w:top w:val="single" w:sz="4" w:space="0" w:color="000000"/>
              <w:left w:val="single" w:sz="4" w:space="0" w:color="000000"/>
              <w:bottom w:val="double" w:sz="4" w:space="0" w:color="000000"/>
              <w:right w:val="single" w:sz="4" w:space="0" w:color="000000"/>
            </w:tcBorders>
            <w:vAlign w:val="center"/>
          </w:tcPr>
          <w:p w14:paraId="66AF98E2"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z w:val="12"/>
                <w:szCs w:val="12"/>
                <w:lang w:val="es-ES"/>
              </w:rPr>
              <w:t>Nivel</w:t>
            </w:r>
            <w:r>
              <w:rPr>
                <w:rFonts w:ascii="Arial" w:eastAsia="Times New Roman" w:hAnsi="Arial" w:cs="Arial"/>
                <w:b/>
                <w:spacing w:val="-4"/>
                <w:sz w:val="12"/>
                <w:szCs w:val="12"/>
                <w:lang w:val="es-ES"/>
              </w:rPr>
              <w:t xml:space="preserve"> </w:t>
            </w:r>
            <w:r>
              <w:rPr>
                <w:rFonts w:ascii="Arial" w:eastAsia="Times New Roman" w:hAnsi="Arial" w:cs="Arial"/>
                <w:b/>
                <w:spacing w:val="-10"/>
                <w:sz w:val="12"/>
                <w:szCs w:val="12"/>
                <w:lang w:val="es-ES"/>
              </w:rPr>
              <w:t>4</w:t>
            </w:r>
          </w:p>
        </w:tc>
        <w:tc>
          <w:tcPr>
            <w:tcW w:w="781" w:type="dxa"/>
            <w:tcBorders>
              <w:top w:val="single" w:sz="4" w:space="0" w:color="000000"/>
              <w:left w:val="single" w:sz="4" w:space="0" w:color="000000"/>
              <w:bottom w:val="double" w:sz="4" w:space="0" w:color="000000"/>
              <w:right w:val="single" w:sz="4" w:space="0" w:color="000000"/>
            </w:tcBorders>
            <w:vAlign w:val="center"/>
          </w:tcPr>
          <w:p w14:paraId="7988F854"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z w:val="12"/>
                <w:szCs w:val="12"/>
                <w:lang w:val="es-ES"/>
              </w:rPr>
              <w:t>Nivel</w:t>
            </w:r>
            <w:r>
              <w:rPr>
                <w:rFonts w:ascii="Arial" w:eastAsia="Times New Roman" w:hAnsi="Arial" w:cs="Arial"/>
                <w:b/>
                <w:spacing w:val="-4"/>
                <w:sz w:val="12"/>
                <w:szCs w:val="12"/>
                <w:lang w:val="es-ES"/>
              </w:rPr>
              <w:t xml:space="preserve"> </w:t>
            </w:r>
            <w:r>
              <w:rPr>
                <w:rFonts w:ascii="Arial" w:eastAsia="Times New Roman" w:hAnsi="Arial" w:cs="Arial"/>
                <w:b/>
                <w:spacing w:val="-10"/>
                <w:sz w:val="12"/>
                <w:szCs w:val="12"/>
                <w:lang w:val="es-ES"/>
              </w:rPr>
              <w:t>3</w:t>
            </w:r>
          </w:p>
        </w:tc>
        <w:tc>
          <w:tcPr>
            <w:tcW w:w="779" w:type="dxa"/>
            <w:tcBorders>
              <w:top w:val="single" w:sz="4" w:space="0" w:color="000000"/>
              <w:left w:val="single" w:sz="4" w:space="0" w:color="000000"/>
              <w:bottom w:val="double" w:sz="4" w:space="0" w:color="000000"/>
              <w:right w:val="single" w:sz="4" w:space="0" w:color="000000"/>
            </w:tcBorders>
            <w:vAlign w:val="center"/>
          </w:tcPr>
          <w:p w14:paraId="16ABB3BE"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z w:val="12"/>
                <w:szCs w:val="12"/>
                <w:lang w:val="es-ES"/>
              </w:rPr>
              <w:t>Nivel</w:t>
            </w:r>
            <w:r>
              <w:rPr>
                <w:rFonts w:ascii="Arial" w:eastAsia="Times New Roman" w:hAnsi="Arial" w:cs="Arial"/>
                <w:b/>
                <w:spacing w:val="-4"/>
                <w:sz w:val="12"/>
                <w:szCs w:val="12"/>
                <w:lang w:val="es-ES"/>
              </w:rPr>
              <w:t xml:space="preserve"> </w:t>
            </w:r>
            <w:r>
              <w:rPr>
                <w:rFonts w:ascii="Arial" w:eastAsia="Times New Roman" w:hAnsi="Arial" w:cs="Arial"/>
                <w:b/>
                <w:spacing w:val="-10"/>
                <w:sz w:val="12"/>
                <w:szCs w:val="12"/>
                <w:lang w:val="es-ES"/>
              </w:rPr>
              <w:t>2</w:t>
            </w:r>
          </w:p>
        </w:tc>
        <w:tc>
          <w:tcPr>
            <w:tcW w:w="780" w:type="dxa"/>
            <w:tcBorders>
              <w:top w:val="single" w:sz="4" w:space="0" w:color="000000"/>
              <w:left w:val="single" w:sz="4" w:space="0" w:color="000000"/>
              <w:bottom w:val="double" w:sz="4" w:space="0" w:color="000000"/>
              <w:right w:val="single" w:sz="4" w:space="0" w:color="000000"/>
            </w:tcBorders>
            <w:vAlign w:val="center"/>
          </w:tcPr>
          <w:p w14:paraId="541B3200"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z w:val="12"/>
                <w:szCs w:val="12"/>
                <w:lang w:val="es-ES"/>
              </w:rPr>
              <w:t>Nivel</w:t>
            </w:r>
            <w:r>
              <w:rPr>
                <w:rFonts w:ascii="Arial" w:eastAsia="Times New Roman" w:hAnsi="Arial" w:cs="Arial"/>
                <w:b/>
                <w:spacing w:val="-4"/>
                <w:sz w:val="12"/>
                <w:szCs w:val="12"/>
                <w:lang w:val="es-ES"/>
              </w:rPr>
              <w:t xml:space="preserve"> </w:t>
            </w:r>
            <w:r>
              <w:rPr>
                <w:rFonts w:ascii="Arial" w:eastAsia="Times New Roman" w:hAnsi="Arial" w:cs="Arial"/>
                <w:b/>
                <w:spacing w:val="-10"/>
                <w:sz w:val="12"/>
                <w:szCs w:val="12"/>
                <w:lang w:val="es-ES"/>
              </w:rPr>
              <w:t>1</w:t>
            </w:r>
          </w:p>
        </w:tc>
        <w:tc>
          <w:tcPr>
            <w:tcW w:w="779" w:type="dxa"/>
            <w:tcBorders>
              <w:top w:val="single" w:sz="4" w:space="0" w:color="000000"/>
              <w:left w:val="single" w:sz="4" w:space="0" w:color="000000"/>
              <w:bottom w:val="double" w:sz="4" w:space="0" w:color="000000"/>
              <w:right w:val="single" w:sz="4" w:space="0" w:color="000000"/>
            </w:tcBorders>
            <w:vAlign w:val="center"/>
          </w:tcPr>
          <w:p w14:paraId="325A09C2" w14:textId="77777777" w:rsidR="00D3344B" w:rsidRDefault="00143C25">
            <w:pPr>
              <w:widowControl w:val="0"/>
              <w:suppressAutoHyphens w:val="0"/>
              <w:spacing w:before="1" w:after="0" w:line="128"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Paquete</w:t>
            </w:r>
          </w:p>
        </w:tc>
      </w:tr>
      <w:tr w:rsidR="00D3344B" w14:paraId="2036EC88" w14:textId="77777777">
        <w:trPr>
          <w:trHeight w:val="281"/>
          <w:tblHeader/>
        </w:trPr>
        <w:tc>
          <w:tcPr>
            <w:tcW w:w="1106" w:type="dxa"/>
            <w:tcBorders>
              <w:top w:val="double" w:sz="4" w:space="0" w:color="000000"/>
              <w:left w:val="single" w:sz="4" w:space="0" w:color="000000"/>
              <w:bottom w:val="double" w:sz="4" w:space="0" w:color="000000"/>
              <w:right w:val="single" w:sz="4" w:space="0" w:color="000000"/>
            </w:tcBorders>
            <w:vAlign w:val="center"/>
          </w:tcPr>
          <w:p w14:paraId="6B7AF90B" w14:textId="77777777" w:rsidR="00D3344B" w:rsidRDefault="00143C25">
            <w:pPr>
              <w:widowControl w:val="0"/>
              <w:suppressAutoHyphens w:val="0"/>
              <w:spacing w:before="119" w:after="0" w:line="142" w:lineRule="exact"/>
              <w:ind w:right="567"/>
              <w:jc w:val="center"/>
              <w:rPr>
                <w:rFonts w:ascii="Arial" w:eastAsia="Times New Roman" w:hAnsi="Arial" w:cs="Arial"/>
                <w:b/>
                <w:sz w:val="12"/>
                <w:szCs w:val="12"/>
                <w:lang w:val="es-ES"/>
              </w:rPr>
            </w:pPr>
            <w:r>
              <w:rPr>
                <w:rFonts w:ascii="Arial" w:eastAsia="Times New Roman" w:hAnsi="Arial" w:cs="Arial"/>
                <w:b/>
                <w:spacing w:val="-2"/>
                <w:sz w:val="12"/>
                <w:szCs w:val="12"/>
                <w:lang w:val="es-ES"/>
              </w:rPr>
              <w:t>Clave</w:t>
            </w:r>
          </w:p>
        </w:tc>
        <w:tc>
          <w:tcPr>
            <w:tcW w:w="2977" w:type="dxa"/>
            <w:tcBorders>
              <w:top w:val="double" w:sz="4" w:space="0" w:color="000000"/>
              <w:left w:val="single" w:sz="4" w:space="0" w:color="000000"/>
              <w:bottom w:val="double" w:sz="4" w:space="0" w:color="000000"/>
              <w:right w:val="single" w:sz="4" w:space="0" w:color="000000"/>
            </w:tcBorders>
            <w:vAlign w:val="center"/>
          </w:tcPr>
          <w:p w14:paraId="67B106D1" w14:textId="77777777" w:rsidR="00D3344B" w:rsidRDefault="00143C25">
            <w:pPr>
              <w:widowControl w:val="0"/>
              <w:suppressAutoHyphens w:val="0"/>
              <w:spacing w:before="119" w:after="0" w:line="142"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Descripción</w:t>
            </w:r>
          </w:p>
        </w:tc>
        <w:tc>
          <w:tcPr>
            <w:tcW w:w="4678" w:type="dxa"/>
            <w:gridSpan w:val="6"/>
            <w:tcBorders>
              <w:top w:val="double" w:sz="4" w:space="0" w:color="000000"/>
              <w:left w:val="single" w:sz="4" w:space="0" w:color="000000"/>
              <w:bottom w:val="double" w:sz="4" w:space="0" w:color="000000"/>
              <w:right w:val="single" w:sz="4" w:space="0" w:color="000000"/>
            </w:tcBorders>
            <w:vAlign w:val="center"/>
          </w:tcPr>
          <w:p w14:paraId="0D5F6874" w14:textId="77777777" w:rsidR="00D3344B" w:rsidRDefault="00143C25">
            <w:pPr>
              <w:widowControl w:val="0"/>
              <w:suppressAutoHyphens w:val="0"/>
              <w:spacing w:before="108" w:after="0" w:line="154" w:lineRule="exact"/>
              <w:jc w:val="center"/>
              <w:rPr>
                <w:rFonts w:ascii="Arial" w:eastAsia="Times New Roman" w:hAnsi="Arial" w:cs="Arial"/>
                <w:b/>
                <w:sz w:val="12"/>
                <w:szCs w:val="12"/>
                <w:lang w:val="es-ES"/>
              </w:rPr>
            </w:pPr>
            <w:r>
              <w:rPr>
                <w:rFonts w:ascii="Arial" w:eastAsia="Times New Roman" w:hAnsi="Arial" w:cs="Arial"/>
                <w:b/>
                <w:sz w:val="12"/>
                <w:szCs w:val="12"/>
                <w:lang w:val="es-ES"/>
              </w:rPr>
              <w:t>DERECHOS</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CAUSADOS</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EN</w:t>
            </w:r>
            <w:r>
              <w:rPr>
                <w:rFonts w:ascii="Arial" w:eastAsia="Times New Roman" w:hAnsi="Arial" w:cs="Arial"/>
                <w:b/>
                <w:spacing w:val="-4"/>
                <w:sz w:val="12"/>
                <w:szCs w:val="12"/>
                <w:lang w:val="es-ES"/>
              </w:rPr>
              <w:t xml:space="preserve"> </w:t>
            </w:r>
            <w:r>
              <w:rPr>
                <w:rFonts w:ascii="Arial" w:eastAsia="Times New Roman" w:hAnsi="Arial" w:cs="Arial"/>
                <w:b/>
                <w:spacing w:val="-5"/>
                <w:sz w:val="12"/>
                <w:szCs w:val="12"/>
                <w:lang w:val="es-ES"/>
              </w:rPr>
              <w:t>UMA</w:t>
            </w:r>
          </w:p>
        </w:tc>
      </w:tr>
      <w:tr w:rsidR="00D3344B" w14:paraId="5AA4C4AB"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761CCE55"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4A24842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Coprocultivo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75EF5809" w14:textId="77777777" w:rsidR="00D3344B" w:rsidRDefault="00143C25">
            <w:pPr>
              <w:widowControl w:val="0"/>
              <w:suppressAutoHyphens w:val="0"/>
              <w:spacing w:before="105"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7A11391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01C92AD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1D7C2B3B"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3F933CB8"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E8D37D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E2594B3" w14:textId="77777777">
        <w:trPr>
          <w:trHeight w:val="285"/>
        </w:trPr>
        <w:tc>
          <w:tcPr>
            <w:tcW w:w="1106" w:type="dxa"/>
            <w:tcBorders>
              <w:top w:val="double" w:sz="4" w:space="0" w:color="000000"/>
              <w:left w:val="single" w:sz="4" w:space="0" w:color="000000"/>
              <w:bottom w:val="single" w:sz="8" w:space="0" w:color="000000"/>
              <w:right w:val="single" w:sz="4" w:space="0" w:color="000000"/>
            </w:tcBorders>
          </w:tcPr>
          <w:p w14:paraId="7E19B47A" w14:textId="77777777" w:rsidR="00D3344B" w:rsidRDefault="00143C25">
            <w:pPr>
              <w:widowControl w:val="0"/>
              <w:suppressAutoHyphens w:val="0"/>
              <w:spacing w:before="49" w:after="0" w:line="240" w:lineRule="auto"/>
              <w:rPr>
                <w:rFonts w:ascii="Arial" w:eastAsia="Times New Roman" w:hAnsi="Arial" w:cs="Arial"/>
                <w:b/>
                <w:sz w:val="12"/>
                <w:szCs w:val="12"/>
                <w:lang w:val="es-ES"/>
              </w:rPr>
            </w:pPr>
            <w:r>
              <w:rPr>
                <w:rFonts w:ascii="Arial" w:eastAsia="Times New Roman" w:hAnsi="Arial" w:cs="Arial"/>
                <w:spacing w:val="-2"/>
                <w:position w:val="2"/>
                <w:sz w:val="12"/>
                <w:szCs w:val="12"/>
                <w:lang w:val="es-ES"/>
              </w:rPr>
              <w:t>03-CB-</w:t>
            </w:r>
            <w:r>
              <w:rPr>
                <w:rFonts w:ascii="Arial" w:eastAsia="Times New Roman" w:hAnsi="Arial" w:cs="Arial"/>
                <w:spacing w:val="13"/>
                <w:position w:val="2"/>
                <w:sz w:val="12"/>
                <w:szCs w:val="12"/>
                <w:lang w:val="es-ES"/>
              </w:rPr>
              <w:t>00</w:t>
            </w:r>
            <w:r>
              <w:rPr>
                <w:rFonts w:ascii="Arial" w:eastAsia="Times New Roman" w:hAnsi="Arial" w:cs="Arial"/>
                <w:spacing w:val="-28"/>
                <w:position w:val="2"/>
                <w:sz w:val="12"/>
                <w:szCs w:val="12"/>
                <w:lang w:val="es-ES"/>
              </w:rPr>
              <w:t>3</w:t>
            </w:r>
          </w:p>
        </w:tc>
        <w:tc>
          <w:tcPr>
            <w:tcW w:w="2977" w:type="dxa"/>
            <w:tcBorders>
              <w:top w:val="double" w:sz="4" w:space="0" w:color="000000"/>
              <w:left w:val="single" w:sz="4" w:space="0" w:color="000000"/>
              <w:bottom w:val="single" w:sz="8" w:space="0" w:color="000000"/>
              <w:right w:val="single" w:sz="4" w:space="0" w:color="000000"/>
            </w:tcBorders>
          </w:tcPr>
          <w:p w14:paraId="3B2D9CCA" w14:textId="77777777" w:rsidR="00D3344B" w:rsidRDefault="00143C25">
            <w:pPr>
              <w:widowControl w:val="0"/>
              <w:suppressAutoHyphens w:val="0"/>
              <w:spacing w:before="49" w:after="0" w:line="240" w:lineRule="auto"/>
              <w:rPr>
                <w:rFonts w:ascii="Arial" w:eastAsia="Times New Roman" w:hAnsi="Arial" w:cs="Arial"/>
                <w:b/>
                <w:sz w:val="12"/>
                <w:szCs w:val="12"/>
                <w:lang w:val="es-ES"/>
              </w:rPr>
            </w:pPr>
            <w:r>
              <w:rPr>
                <w:rFonts w:ascii="Arial" w:eastAsia="Times New Roman" w:hAnsi="Arial" w:cs="Arial"/>
                <w:position w:val="2"/>
                <w:sz w:val="12"/>
                <w:szCs w:val="12"/>
                <w:lang w:val="es-ES"/>
              </w:rPr>
              <w:t>Cultivo</w:t>
            </w:r>
            <w:r>
              <w:rPr>
                <w:rFonts w:ascii="Arial" w:eastAsia="Times New Roman" w:hAnsi="Arial" w:cs="Arial"/>
                <w:spacing w:val="-8"/>
                <w:position w:val="2"/>
                <w:sz w:val="12"/>
                <w:szCs w:val="12"/>
                <w:lang w:val="es-ES"/>
              </w:rPr>
              <w:t xml:space="preserve"> </w:t>
            </w:r>
            <w:r>
              <w:rPr>
                <w:rFonts w:ascii="Arial" w:eastAsia="Times New Roman" w:hAnsi="Arial" w:cs="Arial"/>
                <w:position w:val="2"/>
                <w:sz w:val="12"/>
                <w:szCs w:val="12"/>
                <w:lang w:val="es-ES"/>
              </w:rPr>
              <w:t>de</w:t>
            </w:r>
            <w:r>
              <w:rPr>
                <w:rFonts w:ascii="Arial" w:eastAsia="Times New Roman" w:hAnsi="Arial" w:cs="Arial"/>
                <w:spacing w:val="-4"/>
                <w:position w:val="2"/>
                <w:sz w:val="12"/>
                <w:szCs w:val="12"/>
                <w:lang w:val="es-ES"/>
              </w:rPr>
              <w:t xml:space="preserve"> </w:t>
            </w:r>
            <w:r>
              <w:rPr>
                <w:rFonts w:ascii="Arial" w:eastAsia="Times New Roman" w:hAnsi="Arial" w:cs="Arial"/>
                <w:position w:val="2"/>
                <w:sz w:val="12"/>
                <w:szCs w:val="12"/>
                <w:lang w:val="es-ES"/>
              </w:rPr>
              <w:t>Exudado</w:t>
            </w:r>
            <w:r>
              <w:rPr>
                <w:rFonts w:ascii="Arial" w:eastAsia="Times New Roman" w:hAnsi="Arial" w:cs="Arial"/>
                <w:spacing w:val="-5"/>
                <w:position w:val="2"/>
                <w:sz w:val="12"/>
                <w:szCs w:val="12"/>
                <w:lang w:val="es-ES"/>
              </w:rPr>
              <w:t xml:space="preserve"> </w:t>
            </w:r>
            <w:r>
              <w:rPr>
                <w:rFonts w:ascii="Arial" w:eastAsia="Times New Roman" w:hAnsi="Arial" w:cs="Arial"/>
                <w:spacing w:val="-8"/>
                <w:position w:val="2"/>
                <w:sz w:val="12"/>
                <w:szCs w:val="12"/>
                <w:lang w:val="es-ES"/>
              </w:rPr>
              <w:t>nasofaríngeo</w:t>
            </w:r>
          </w:p>
        </w:tc>
        <w:tc>
          <w:tcPr>
            <w:tcW w:w="779" w:type="dxa"/>
            <w:tcBorders>
              <w:top w:val="double" w:sz="4" w:space="0" w:color="000000"/>
              <w:left w:val="single" w:sz="4" w:space="0" w:color="000000"/>
              <w:bottom w:val="single" w:sz="8" w:space="0" w:color="000000"/>
              <w:right w:val="single" w:sz="4" w:space="0" w:color="000000"/>
            </w:tcBorders>
            <w:vAlign w:val="center"/>
          </w:tcPr>
          <w:p w14:paraId="5FE4BD95" w14:textId="77777777" w:rsidR="00D3344B" w:rsidRDefault="00143C25">
            <w:pPr>
              <w:widowControl w:val="0"/>
              <w:suppressAutoHyphens w:val="0"/>
              <w:spacing w:before="105"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single" w:sz="8" w:space="0" w:color="000000"/>
              <w:right w:val="single" w:sz="4" w:space="0" w:color="000000"/>
            </w:tcBorders>
            <w:vAlign w:val="center"/>
          </w:tcPr>
          <w:p w14:paraId="6549F2EA"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single" w:sz="8" w:space="0" w:color="000000"/>
              <w:right w:val="single" w:sz="4" w:space="0" w:color="000000"/>
            </w:tcBorders>
            <w:vAlign w:val="center"/>
          </w:tcPr>
          <w:p w14:paraId="60F8E986"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single" w:sz="8" w:space="0" w:color="000000"/>
              <w:right w:val="single" w:sz="4" w:space="0" w:color="000000"/>
            </w:tcBorders>
            <w:vAlign w:val="center"/>
          </w:tcPr>
          <w:p w14:paraId="4823B6CF"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single" w:sz="8" w:space="0" w:color="000000"/>
              <w:right w:val="single" w:sz="4" w:space="0" w:color="000000"/>
            </w:tcBorders>
            <w:vAlign w:val="center"/>
          </w:tcPr>
          <w:p w14:paraId="1D290A14"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single" w:sz="8" w:space="0" w:color="000000"/>
              <w:right w:val="single" w:sz="4" w:space="0" w:color="000000"/>
            </w:tcBorders>
            <w:vAlign w:val="center"/>
          </w:tcPr>
          <w:p w14:paraId="4A7463C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30AA2D9" w14:textId="77777777">
        <w:trPr>
          <w:trHeight w:val="291"/>
        </w:trPr>
        <w:tc>
          <w:tcPr>
            <w:tcW w:w="1106" w:type="dxa"/>
            <w:tcBorders>
              <w:top w:val="single" w:sz="8" w:space="0" w:color="000000"/>
              <w:left w:val="single" w:sz="4" w:space="0" w:color="000000"/>
              <w:bottom w:val="single" w:sz="8" w:space="0" w:color="000000"/>
              <w:right w:val="single" w:sz="4" w:space="0" w:color="000000"/>
            </w:tcBorders>
          </w:tcPr>
          <w:p w14:paraId="32C68014"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004</w:t>
            </w:r>
          </w:p>
        </w:tc>
        <w:tc>
          <w:tcPr>
            <w:tcW w:w="2977" w:type="dxa"/>
            <w:tcBorders>
              <w:top w:val="single" w:sz="8" w:space="0" w:color="000000"/>
              <w:left w:val="single" w:sz="4" w:space="0" w:color="000000"/>
              <w:bottom w:val="single" w:sz="8" w:space="0" w:color="000000"/>
              <w:right w:val="single" w:sz="4" w:space="0" w:color="000000"/>
            </w:tcBorders>
          </w:tcPr>
          <w:p w14:paraId="042C4C39"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Exudado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uretral</w:t>
            </w:r>
          </w:p>
        </w:tc>
        <w:tc>
          <w:tcPr>
            <w:tcW w:w="779" w:type="dxa"/>
            <w:tcBorders>
              <w:top w:val="single" w:sz="8" w:space="0" w:color="000000"/>
              <w:left w:val="single" w:sz="4" w:space="0" w:color="000000"/>
              <w:bottom w:val="single" w:sz="8" w:space="0" w:color="000000"/>
              <w:right w:val="single" w:sz="4" w:space="0" w:color="000000"/>
            </w:tcBorders>
            <w:vAlign w:val="center"/>
          </w:tcPr>
          <w:p w14:paraId="3274C8BA" w14:textId="77777777" w:rsidR="00D3344B" w:rsidRDefault="00143C25">
            <w:pPr>
              <w:widowControl w:val="0"/>
              <w:suppressAutoHyphens w:val="0"/>
              <w:spacing w:before="112"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single" w:sz="8" w:space="0" w:color="000000"/>
              <w:right w:val="single" w:sz="4" w:space="0" w:color="000000"/>
            </w:tcBorders>
            <w:vAlign w:val="center"/>
          </w:tcPr>
          <w:p w14:paraId="45454CE1"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single" w:sz="8" w:space="0" w:color="000000"/>
              <w:right w:val="single" w:sz="4" w:space="0" w:color="000000"/>
            </w:tcBorders>
            <w:vAlign w:val="center"/>
          </w:tcPr>
          <w:p w14:paraId="0EA32E41"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single" w:sz="8" w:space="0" w:color="000000"/>
              <w:right w:val="single" w:sz="4" w:space="0" w:color="000000"/>
            </w:tcBorders>
            <w:vAlign w:val="center"/>
          </w:tcPr>
          <w:p w14:paraId="25323747"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single" w:sz="8" w:space="0" w:color="000000"/>
              <w:right w:val="single" w:sz="4" w:space="0" w:color="000000"/>
            </w:tcBorders>
            <w:vAlign w:val="center"/>
          </w:tcPr>
          <w:p w14:paraId="127F5319"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single" w:sz="8" w:space="0" w:color="000000"/>
              <w:right w:val="single" w:sz="4" w:space="0" w:color="000000"/>
            </w:tcBorders>
            <w:vAlign w:val="center"/>
          </w:tcPr>
          <w:p w14:paraId="39A3915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CA9D4D5" w14:textId="77777777">
        <w:trPr>
          <w:trHeight w:val="285"/>
        </w:trPr>
        <w:tc>
          <w:tcPr>
            <w:tcW w:w="1106" w:type="dxa"/>
            <w:tcBorders>
              <w:top w:val="single" w:sz="8" w:space="0" w:color="000000"/>
              <w:left w:val="single" w:sz="4" w:space="0" w:color="000000"/>
              <w:bottom w:val="double" w:sz="4" w:space="0" w:color="000000"/>
              <w:right w:val="single" w:sz="4" w:space="0" w:color="000000"/>
            </w:tcBorders>
          </w:tcPr>
          <w:p w14:paraId="5A16312D"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005</w:t>
            </w:r>
          </w:p>
        </w:tc>
        <w:tc>
          <w:tcPr>
            <w:tcW w:w="2977" w:type="dxa"/>
            <w:tcBorders>
              <w:top w:val="single" w:sz="8" w:space="0" w:color="000000"/>
              <w:left w:val="single" w:sz="4" w:space="0" w:color="000000"/>
              <w:bottom w:val="double" w:sz="4" w:space="0" w:color="000000"/>
              <w:right w:val="single" w:sz="4" w:space="0" w:color="000000"/>
            </w:tcBorders>
          </w:tcPr>
          <w:p w14:paraId="20697D17"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Exudado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vaginal</w:t>
            </w:r>
          </w:p>
        </w:tc>
        <w:tc>
          <w:tcPr>
            <w:tcW w:w="779" w:type="dxa"/>
            <w:tcBorders>
              <w:top w:val="single" w:sz="8" w:space="0" w:color="000000"/>
              <w:left w:val="single" w:sz="4" w:space="0" w:color="000000"/>
              <w:bottom w:val="double" w:sz="4" w:space="0" w:color="000000"/>
              <w:right w:val="single" w:sz="4" w:space="0" w:color="000000"/>
            </w:tcBorders>
            <w:vAlign w:val="center"/>
          </w:tcPr>
          <w:p w14:paraId="09F0AADC" w14:textId="77777777" w:rsidR="00D3344B" w:rsidRDefault="00143C25">
            <w:pPr>
              <w:widowControl w:val="0"/>
              <w:suppressAutoHyphens w:val="0"/>
              <w:spacing w:before="112"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double" w:sz="4" w:space="0" w:color="000000"/>
              <w:right w:val="single" w:sz="4" w:space="0" w:color="000000"/>
            </w:tcBorders>
            <w:vAlign w:val="center"/>
          </w:tcPr>
          <w:p w14:paraId="70D762AE"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double" w:sz="4" w:space="0" w:color="000000"/>
              <w:right w:val="single" w:sz="4" w:space="0" w:color="000000"/>
            </w:tcBorders>
            <w:vAlign w:val="center"/>
          </w:tcPr>
          <w:p w14:paraId="11F1A639"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double" w:sz="4" w:space="0" w:color="000000"/>
              <w:right w:val="single" w:sz="4" w:space="0" w:color="000000"/>
            </w:tcBorders>
            <w:vAlign w:val="center"/>
          </w:tcPr>
          <w:p w14:paraId="7E8299AB"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double" w:sz="4" w:space="0" w:color="000000"/>
              <w:right w:val="single" w:sz="4" w:space="0" w:color="000000"/>
            </w:tcBorders>
            <w:vAlign w:val="center"/>
          </w:tcPr>
          <w:p w14:paraId="734E2177"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double" w:sz="4" w:space="0" w:color="000000"/>
              <w:right w:val="single" w:sz="4" w:space="0" w:color="000000"/>
            </w:tcBorders>
            <w:vAlign w:val="center"/>
          </w:tcPr>
          <w:p w14:paraId="1766C54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36B676"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7A56CC2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03-CB-</w:t>
            </w:r>
            <w:r>
              <w:rPr>
                <w:rFonts w:ascii="Arial" w:eastAsia="Times New Roman" w:hAnsi="Arial" w:cs="Arial"/>
                <w:spacing w:val="-5"/>
                <w:sz w:val="12"/>
                <w:szCs w:val="12"/>
                <w:lang w:val="es-ES"/>
              </w:rPr>
              <w:t>006</w:t>
            </w:r>
          </w:p>
        </w:tc>
        <w:tc>
          <w:tcPr>
            <w:tcW w:w="2977" w:type="dxa"/>
            <w:tcBorders>
              <w:top w:val="double" w:sz="4" w:space="0" w:color="000000"/>
              <w:left w:val="single" w:sz="4" w:space="0" w:color="000000"/>
              <w:bottom w:val="double" w:sz="4" w:space="0" w:color="000000"/>
              <w:right w:val="single" w:sz="4" w:space="0" w:color="000000"/>
            </w:tcBorders>
          </w:tcPr>
          <w:p w14:paraId="6EE255F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Hemocultivo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7C0903A6" w14:textId="77777777" w:rsidR="00D3344B" w:rsidRDefault="00143C25">
            <w:pPr>
              <w:widowControl w:val="0"/>
              <w:suppressAutoHyphens w:val="0"/>
              <w:spacing w:before="108"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00DE018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1" w:type="dxa"/>
            <w:tcBorders>
              <w:top w:val="double" w:sz="4" w:space="0" w:color="000000"/>
              <w:left w:val="single" w:sz="4" w:space="0" w:color="000000"/>
              <w:bottom w:val="double" w:sz="4" w:space="0" w:color="000000"/>
              <w:right w:val="single" w:sz="4" w:space="0" w:color="000000"/>
            </w:tcBorders>
            <w:vAlign w:val="center"/>
          </w:tcPr>
          <w:p w14:paraId="5FEE36A4"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50B3292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043F11A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029585B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763088D"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77029A9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007</w:t>
            </w:r>
          </w:p>
        </w:tc>
        <w:tc>
          <w:tcPr>
            <w:tcW w:w="2977" w:type="dxa"/>
            <w:tcBorders>
              <w:top w:val="double" w:sz="4" w:space="0" w:color="000000"/>
              <w:left w:val="single" w:sz="4" w:space="0" w:color="000000"/>
              <w:bottom w:val="double" w:sz="4" w:space="0" w:color="000000"/>
              <w:right w:val="single" w:sz="4" w:space="0" w:color="000000"/>
            </w:tcBorders>
          </w:tcPr>
          <w:p w14:paraId="39F0AB6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Herida</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quirúrgica</w:t>
            </w:r>
          </w:p>
        </w:tc>
        <w:tc>
          <w:tcPr>
            <w:tcW w:w="779" w:type="dxa"/>
            <w:tcBorders>
              <w:top w:val="double" w:sz="4" w:space="0" w:color="000000"/>
              <w:left w:val="single" w:sz="4" w:space="0" w:color="000000"/>
              <w:bottom w:val="double" w:sz="4" w:space="0" w:color="000000"/>
              <w:right w:val="single" w:sz="4" w:space="0" w:color="000000"/>
            </w:tcBorders>
            <w:vAlign w:val="center"/>
          </w:tcPr>
          <w:p w14:paraId="60EB8812" w14:textId="77777777" w:rsidR="00D3344B" w:rsidRDefault="00143C25">
            <w:pPr>
              <w:widowControl w:val="0"/>
              <w:suppressAutoHyphens w:val="0"/>
              <w:spacing w:before="108"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46D00097"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34B389D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66BB763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40B2DA8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2876FA0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F333137"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2D4C0EE5"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59E442D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cefalorraquídeo</w:t>
            </w:r>
          </w:p>
        </w:tc>
        <w:tc>
          <w:tcPr>
            <w:tcW w:w="779" w:type="dxa"/>
            <w:tcBorders>
              <w:top w:val="double" w:sz="4" w:space="0" w:color="000000"/>
              <w:left w:val="single" w:sz="4" w:space="0" w:color="000000"/>
              <w:bottom w:val="double" w:sz="4" w:space="0" w:color="000000"/>
              <w:right w:val="single" w:sz="4" w:space="0" w:color="000000"/>
            </w:tcBorders>
            <w:vAlign w:val="center"/>
          </w:tcPr>
          <w:p w14:paraId="24E49E7A" w14:textId="77777777" w:rsidR="00D3344B" w:rsidRDefault="00143C25">
            <w:pPr>
              <w:widowControl w:val="0"/>
              <w:suppressAutoHyphens w:val="0"/>
              <w:spacing w:before="105"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71A0718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333045A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5DEBCF15"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3A744F2B"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B0DE5B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0D99C21"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69F3F59A"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009</w:t>
            </w:r>
          </w:p>
        </w:tc>
        <w:tc>
          <w:tcPr>
            <w:tcW w:w="2977" w:type="dxa"/>
            <w:tcBorders>
              <w:top w:val="double" w:sz="4" w:space="0" w:color="000000"/>
              <w:left w:val="single" w:sz="4" w:space="0" w:color="000000"/>
              <w:bottom w:val="double" w:sz="4" w:space="0" w:color="000000"/>
              <w:right w:val="single" w:sz="4" w:space="0" w:color="000000"/>
            </w:tcBorders>
          </w:tcPr>
          <w:p w14:paraId="4F220111"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Liquido</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pleural</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secreción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pulmones</w:t>
            </w:r>
          </w:p>
        </w:tc>
        <w:tc>
          <w:tcPr>
            <w:tcW w:w="779" w:type="dxa"/>
            <w:tcBorders>
              <w:top w:val="double" w:sz="4" w:space="0" w:color="000000"/>
              <w:left w:val="single" w:sz="4" w:space="0" w:color="000000"/>
              <w:bottom w:val="double" w:sz="4" w:space="0" w:color="000000"/>
              <w:right w:val="single" w:sz="4" w:space="0" w:color="000000"/>
            </w:tcBorders>
            <w:vAlign w:val="center"/>
          </w:tcPr>
          <w:p w14:paraId="668FC722" w14:textId="77777777" w:rsidR="00D3344B" w:rsidRDefault="00143C25">
            <w:pPr>
              <w:widowControl w:val="0"/>
              <w:suppressAutoHyphens w:val="0"/>
              <w:spacing w:before="106"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34D75B03"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44CB5F00"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490865D5"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62376642"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25ACF9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A440843" w14:textId="77777777">
        <w:trPr>
          <w:trHeight w:val="285"/>
        </w:trPr>
        <w:tc>
          <w:tcPr>
            <w:tcW w:w="1106" w:type="dxa"/>
            <w:tcBorders>
              <w:top w:val="double" w:sz="4" w:space="0" w:color="000000"/>
              <w:left w:val="single" w:sz="4" w:space="0" w:color="000000"/>
              <w:bottom w:val="single" w:sz="8" w:space="0" w:color="000000"/>
              <w:right w:val="single" w:sz="4" w:space="0" w:color="000000"/>
            </w:tcBorders>
          </w:tcPr>
          <w:p w14:paraId="67478F81"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010</w:t>
            </w:r>
          </w:p>
        </w:tc>
        <w:tc>
          <w:tcPr>
            <w:tcW w:w="2977" w:type="dxa"/>
            <w:tcBorders>
              <w:top w:val="double" w:sz="4" w:space="0" w:color="000000"/>
              <w:left w:val="single" w:sz="4" w:space="0" w:color="000000"/>
              <w:bottom w:val="single" w:sz="8" w:space="0" w:color="000000"/>
              <w:right w:val="single" w:sz="4" w:space="0" w:color="000000"/>
            </w:tcBorders>
          </w:tcPr>
          <w:p w14:paraId="3F593FD3"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Liquido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sinovial</w:t>
            </w:r>
          </w:p>
        </w:tc>
        <w:tc>
          <w:tcPr>
            <w:tcW w:w="779" w:type="dxa"/>
            <w:tcBorders>
              <w:top w:val="double" w:sz="4" w:space="0" w:color="000000"/>
              <w:left w:val="single" w:sz="4" w:space="0" w:color="000000"/>
              <w:bottom w:val="single" w:sz="8" w:space="0" w:color="000000"/>
              <w:right w:val="single" w:sz="4" w:space="0" w:color="000000"/>
            </w:tcBorders>
            <w:vAlign w:val="center"/>
          </w:tcPr>
          <w:p w14:paraId="5DF25412" w14:textId="77777777" w:rsidR="00D3344B" w:rsidRDefault="00143C25">
            <w:pPr>
              <w:widowControl w:val="0"/>
              <w:suppressAutoHyphens w:val="0"/>
              <w:spacing w:before="105"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single" w:sz="8" w:space="0" w:color="000000"/>
              <w:right w:val="single" w:sz="4" w:space="0" w:color="000000"/>
            </w:tcBorders>
            <w:vAlign w:val="center"/>
          </w:tcPr>
          <w:p w14:paraId="34902F40"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single" w:sz="8" w:space="0" w:color="000000"/>
              <w:right w:val="single" w:sz="4" w:space="0" w:color="000000"/>
            </w:tcBorders>
            <w:vAlign w:val="center"/>
          </w:tcPr>
          <w:p w14:paraId="1A7175A1"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single" w:sz="8" w:space="0" w:color="000000"/>
              <w:right w:val="single" w:sz="4" w:space="0" w:color="000000"/>
            </w:tcBorders>
            <w:vAlign w:val="center"/>
          </w:tcPr>
          <w:p w14:paraId="0DBA70FE"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single" w:sz="8" w:space="0" w:color="000000"/>
              <w:right w:val="single" w:sz="4" w:space="0" w:color="000000"/>
            </w:tcBorders>
            <w:vAlign w:val="center"/>
          </w:tcPr>
          <w:p w14:paraId="448D6909"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single" w:sz="8" w:space="0" w:color="000000"/>
              <w:right w:val="single" w:sz="4" w:space="0" w:color="000000"/>
            </w:tcBorders>
            <w:vAlign w:val="center"/>
          </w:tcPr>
          <w:p w14:paraId="000350E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25A221F" w14:textId="77777777">
        <w:trPr>
          <w:trHeight w:val="292"/>
        </w:trPr>
        <w:tc>
          <w:tcPr>
            <w:tcW w:w="1106" w:type="dxa"/>
            <w:tcBorders>
              <w:top w:val="single" w:sz="8" w:space="0" w:color="000000"/>
              <w:left w:val="single" w:sz="4" w:space="0" w:color="000000"/>
              <w:bottom w:val="single" w:sz="8" w:space="0" w:color="000000"/>
              <w:right w:val="single" w:sz="4" w:space="0" w:color="000000"/>
            </w:tcBorders>
          </w:tcPr>
          <w:p w14:paraId="3EFDB15B"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011</w:t>
            </w:r>
          </w:p>
        </w:tc>
        <w:tc>
          <w:tcPr>
            <w:tcW w:w="2977" w:type="dxa"/>
            <w:tcBorders>
              <w:top w:val="single" w:sz="8" w:space="0" w:color="000000"/>
              <w:left w:val="single" w:sz="4" w:space="0" w:color="000000"/>
              <w:bottom w:val="single" w:sz="8" w:space="0" w:color="000000"/>
              <w:right w:val="single" w:sz="4" w:space="0" w:color="000000"/>
            </w:tcBorders>
          </w:tcPr>
          <w:p w14:paraId="2589CE8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Urocultivo</w:t>
            </w:r>
          </w:p>
        </w:tc>
        <w:tc>
          <w:tcPr>
            <w:tcW w:w="779" w:type="dxa"/>
            <w:tcBorders>
              <w:top w:val="single" w:sz="8" w:space="0" w:color="000000"/>
              <w:left w:val="single" w:sz="4" w:space="0" w:color="000000"/>
              <w:bottom w:val="single" w:sz="8" w:space="0" w:color="000000"/>
              <w:right w:val="single" w:sz="4" w:space="0" w:color="000000"/>
            </w:tcBorders>
            <w:vAlign w:val="center"/>
          </w:tcPr>
          <w:p w14:paraId="32C41650" w14:textId="77777777" w:rsidR="00D3344B" w:rsidRDefault="00143C25">
            <w:pPr>
              <w:widowControl w:val="0"/>
              <w:suppressAutoHyphens w:val="0"/>
              <w:spacing w:before="112"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single" w:sz="8" w:space="0" w:color="000000"/>
              <w:right w:val="single" w:sz="4" w:space="0" w:color="000000"/>
            </w:tcBorders>
            <w:vAlign w:val="center"/>
          </w:tcPr>
          <w:p w14:paraId="2798C0AC"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single" w:sz="8" w:space="0" w:color="000000"/>
              <w:right w:val="single" w:sz="4" w:space="0" w:color="000000"/>
            </w:tcBorders>
            <w:vAlign w:val="center"/>
          </w:tcPr>
          <w:p w14:paraId="2A245682"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single" w:sz="8" w:space="0" w:color="000000"/>
              <w:right w:val="single" w:sz="4" w:space="0" w:color="000000"/>
            </w:tcBorders>
            <w:vAlign w:val="center"/>
          </w:tcPr>
          <w:p w14:paraId="4F1792C4"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single" w:sz="8" w:space="0" w:color="000000"/>
              <w:right w:val="single" w:sz="4" w:space="0" w:color="000000"/>
            </w:tcBorders>
            <w:vAlign w:val="center"/>
          </w:tcPr>
          <w:p w14:paraId="5666455D"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single" w:sz="8" w:space="0" w:color="000000"/>
              <w:right w:val="single" w:sz="4" w:space="0" w:color="000000"/>
            </w:tcBorders>
            <w:vAlign w:val="center"/>
          </w:tcPr>
          <w:p w14:paraId="2C7FEAA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D863DC6" w14:textId="77777777">
        <w:trPr>
          <w:trHeight w:val="285"/>
        </w:trPr>
        <w:tc>
          <w:tcPr>
            <w:tcW w:w="1106" w:type="dxa"/>
            <w:tcBorders>
              <w:top w:val="single" w:sz="8" w:space="0" w:color="000000"/>
              <w:left w:val="single" w:sz="4" w:space="0" w:color="000000"/>
              <w:bottom w:val="double" w:sz="4" w:space="0" w:color="000000"/>
              <w:right w:val="single" w:sz="4" w:space="0" w:color="000000"/>
            </w:tcBorders>
          </w:tcPr>
          <w:p w14:paraId="16DBD91B"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012</w:t>
            </w:r>
          </w:p>
        </w:tc>
        <w:tc>
          <w:tcPr>
            <w:tcW w:w="2977" w:type="dxa"/>
            <w:tcBorders>
              <w:top w:val="single" w:sz="8" w:space="0" w:color="000000"/>
              <w:left w:val="single" w:sz="4" w:space="0" w:color="000000"/>
              <w:bottom w:val="double" w:sz="4" w:space="0" w:color="000000"/>
              <w:right w:val="single" w:sz="4" w:space="0" w:color="000000"/>
            </w:tcBorders>
          </w:tcPr>
          <w:p w14:paraId="0B248C1F" w14:textId="77777777" w:rsidR="00D3344B" w:rsidRDefault="00143C25">
            <w:pPr>
              <w:widowControl w:val="0"/>
              <w:suppressAutoHyphens w:val="0"/>
              <w:spacing w:before="58"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Coproparasitoscopico</w:t>
            </w:r>
            <w:proofErr w:type="spellEnd"/>
            <w:r>
              <w:rPr>
                <w:rFonts w:ascii="Arial" w:eastAsia="Times New Roman" w:hAnsi="Arial" w:cs="Arial"/>
                <w:spacing w:val="24"/>
                <w:sz w:val="12"/>
                <w:szCs w:val="12"/>
                <w:lang w:val="es-ES"/>
              </w:rPr>
              <w:t xml:space="preserve"> </w:t>
            </w:r>
            <w:r>
              <w:rPr>
                <w:rFonts w:ascii="Arial" w:eastAsia="Times New Roman" w:hAnsi="Arial" w:cs="Arial"/>
                <w:sz w:val="12"/>
                <w:szCs w:val="12"/>
                <w:lang w:val="es-ES"/>
              </w:rPr>
              <w:t>seriado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X</w:t>
            </w:r>
            <w:r>
              <w:rPr>
                <w:rFonts w:ascii="Arial" w:eastAsia="Times New Roman" w:hAnsi="Arial" w:cs="Arial"/>
                <w:spacing w:val="-7"/>
                <w:sz w:val="12"/>
                <w:szCs w:val="12"/>
                <w:lang w:val="es-ES"/>
              </w:rPr>
              <w:t xml:space="preserve"> </w:t>
            </w:r>
            <w:r>
              <w:rPr>
                <w:rFonts w:ascii="Arial" w:eastAsia="Times New Roman" w:hAnsi="Arial" w:cs="Arial"/>
                <w:spacing w:val="-10"/>
                <w:sz w:val="12"/>
                <w:szCs w:val="12"/>
                <w:lang w:val="es-ES"/>
              </w:rPr>
              <w:t>3</w:t>
            </w:r>
          </w:p>
        </w:tc>
        <w:tc>
          <w:tcPr>
            <w:tcW w:w="779" w:type="dxa"/>
            <w:tcBorders>
              <w:top w:val="single" w:sz="8" w:space="0" w:color="000000"/>
              <w:left w:val="single" w:sz="4" w:space="0" w:color="000000"/>
              <w:bottom w:val="double" w:sz="4" w:space="0" w:color="000000"/>
              <w:right w:val="single" w:sz="4" w:space="0" w:color="000000"/>
            </w:tcBorders>
            <w:vAlign w:val="center"/>
          </w:tcPr>
          <w:p w14:paraId="1420344A" w14:textId="77777777" w:rsidR="00D3344B" w:rsidRDefault="00143C25">
            <w:pPr>
              <w:widowControl w:val="0"/>
              <w:suppressAutoHyphens w:val="0"/>
              <w:spacing w:before="112"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single" w:sz="8" w:space="0" w:color="000000"/>
              <w:left w:val="single" w:sz="4" w:space="0" w:color="000000"/>
              <w:bottom w:val="double" w:sz="4" w:space="0" w:color="000000"/>
              <w:right w:val="single" w:sz="4" w:space="0" w:color="000000"/>
            </w:tcBorders>
            <w:vAlign w:val="center"/>
          </w:tcPr>
          <w:p w14:paraId="3282C91C"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single" w:sz="8" w:space="0" w:color="000000"/>
              <w:left w:val="single" w:sz="4" w:space="0" w:color="000000"/>
              <w:bottom w:val="double" w:sz="4" w:space="0" w:color="000000"/>
              <w:right w:val="single" w:sz="4" w:space="0" w:color="000000"/>
            </w:tcBorders>
            <w:vAlign w:val="center"/>
          </w:tcPr>
          <w:p w14:paraId="5E6A02EC"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single" w:sz="8" w:space="0" w:color="000000"/>
              <w:left w:val="single" w:sz="4" w:space="0" w:color="000000"/>
              <w:bottom w:val="double" w:sz="4" w:space="0" w:color="000000"/>
              <w:right w:val="single" w:sz="4" w:space="0" w:color="000000"/>
            </w:tcBorders>
            <w:vAlign w:val="center"/>
          </w:tcPr>
          <w:p w14:paraId="23FF0A14"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single" w:sz="8" w:space="0" w:color="000000"/>
              <w:left w:val="single" w:sz="4" w:space="0" w:color="000000"/>
              <w:bottom w:val="double" w:sz="4" w:space="0" w:color="000000"/>
              <w:right w:val="single" w:sz="4" w:space="0" w:color="000000"/>
            </w:tcBorders>
            <w:vAlign w:val="center"/>
          </w:tcPr>
          <w:p w14:paraId="0A325BCA"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single" w:sz="8" w:space="0" w:color="000000"/>
              <w:left w:val="single" w:sz="4" w:space="0" w:color="000000"/>
              <w:bottom w:val="double" w:sz="4" w:space="0" w:color="000000"/>
              <w:right w:val="single" w:sz="4" w:space="0" w:color="000000"/>
            </w:tcBorders>
            <w:vAlign w:val="center"/>
          </w:tcPr>
          <w:p w14:paraId="48F8028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F56027B"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51FCC65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013</w:t>
            </w:r>
          </w:p>
        </w:tc>
        <w:tc>
          <w:tcPr>
            <w:tcW w:w="2977" w:type="dxa"/>
            <w:tcBorders>
              <w:top w:val="double" w:sz="4" w:space="0" w:color="000000"/>
              <w:left w:val="single" w:sz="4" w:space="0" w:color="000000"/>
              <w:bottom w:val="double" w:sz="4" w:space="0" w:color="000000"/>
              <w:right w:val="single" w:sz="4" w:space="0" w:color="000000"/>
            </w:tcBorders>
          </w:tcPr>
          <w:p w14:paraId="695304A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Citología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Moco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Fecal</w:t>
            </w:r>
          </w:p>
        </w:tc>
        <w:tc>
          <w:tcPr>
            <w:tcW w:w="779" w:type="dxa"/>
            <w:tcBorders>
              <w:top w:val="double" w:sz="4" w:space="0" w:color="000000"/>
              <w:left w:val="single" w:sz="4" w:space="0" w:color="000000"/>
              <w:bottom w:val="double" w:sz="4" w:space="0" w:color="000000"/>
              <w:right w:val="single" w:sz="4" w:space="0" w:color="000000"/>
            </w:tcBorders>
            <w:vAlign w:val="center"/>
          </w:tcPr>
          <w:p w14:paraId="30E641DA" w14:textId="77777777" w:rsidR="00D3344B" w:rsidRDefault="00143C25">
            <w:pPr>
              <w:widowControl w:val="0"/>
              <w:suppressAutoHyphens w:val="0"/>
              <w:spacing w:before="108"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0C79111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double" w:sz="4" w:space="0" w:color="000000"/>
              <w:right w:val="single" w:sz="4" w:space="0" w:color="000000"/>
            </w:tcBorders>
            <w:vAlign w:val="center"/>
          </w:tcPr>
          <w:p w14:paraId="1B91E22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double" w:sz="4" w:space="0" w:color="000000"/>
              <w:right w:val="single" w:sz="4" w:space="0" w:color="000000"/>
            </w:tcBorders>
            <w:vAlign w:val="center"/>
          </w:tcPr>
          <w:p w14:paraId="469E6FA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472E1FF3"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4F8C95A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A540D01"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01AA083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015</w:t>
            </w:r>
          </w:p>
        </w:tc>
        <w:tc>
          <w:tcPr>
            <w:tcW w:w="2977" w:type="dxa"/>
            <w:tcBorders>
              <w:top w:val="double" w:sz="4" w:space="0" w:color="000000"/>
              <w:left w:val="single" w:sz="4" w:space="0" w:color="000000"/>
              <w:bottom w:val="double" w:sz="4" w:space="0" w:color="000000"/>
              <w:right w:val="single" w:sz="4" w:space="0" w:color="000000"/>
            </w:tcBorders>
          </w:tcPr>
          <w:p w14:paraId="730A1685"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BARR</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orina</w:t>
            </w:r>
          </w:p>
        </w:tc>
        <w:tc>
          <w:tcPr>
            <w:tcW w:w="779" w:type="dxa"/>
            <w:tcBorders>
              <w:top w:val="double" w:sz="4" w:space="0" w:color="000000"/>
              <w:left w:val="single" w:sz="4" w:space="0" w:color="000000"/>
              <w:bottom w:val="double" w:sz="4" w:space="0" w:color="000000"/>
              <w:right w:val="single" w:sz="4" w:space="0" w:color="000000"/>
            </w:tcBorders>
            <w:vAlign w:val="center"/>
          </w:tcPr>
          <w:p w14:paraId="650EE5C6" w14:textId="77777777" w:rsidR="00D3344B" w:rsidRDefault="00143C25">
            <w:pPr>
              <w:widowControl w:val="0"/>
              <w:suppressAutoHyphens w:val="0"/>
              <w:spacing w:before="105"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0791D33F"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double" w:sz="4" w:space="0" w:color="000000"/>
              <w:right w:val="single" w:sz="4" w:space="0" w:color="000000"/>
            </w:tcBorders>
            <w:vAlign w:val="center"/>
          </w:tcPr>
          <w:p w14:paraId="0061C41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double" w:sz="4" w:space="0" w:color="000000"/>
              <w:right w:val="single" w:sz="4" w:space="0" w:color="000000"/>
            </w:tcBorders>
            <w:vAlign w:val="center"/>
          </w:tcPr>
          <w:p w14:paraId="41ACAD0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1875C28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78B3872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5346182"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25839756"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016</w:t>
            </w:r>
          </w:p>
        </w:tc>
        <w:tc>
          <w:tcPr>
            <w:tcW w:w="2977" w:type="dxa"/>
            <w:tcBorders>
              <w:top w:val="double" w:sz="4" w:space="0" w:color="000000"/>
              <w:left w:val="single" w:sz="4" w:space="0" w:color="000000"/>
              <w:bottom w:val="double" w:sz="4" w:space="0" w:color="000000"/>
              <w:right w:val="single" w:sz="4" w:space="0" w:color="000000"/>
            </w:tcBorders>
          </w:tcPr>
          <w:p w14:paraId="44518C05"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Antígeno</w:t>
            </w:r>
            <w:r>
              <w:rPr>
                <w:rFonts w:ascii="Arial" w:eastAsia="Times New Roman" w:hAnsi="Arial" w:cs="Arial"/>
                <w:spacing w:val="-9"/>
                <w:sz w:val="12"/>
                <w:szCs w:val="12"/>
                <w:lang w:val="es-ES"/>
              </w:rPr>
              <w:t xml:space="preserve"> </w:t>
            </w:r>
            <w:r>
              <w:rPr>
                <w:rFonts w:ascii="Arial" w:eastAsia="Times New Roman" w:hAnsi="Arial" w:cs="Arial"/>
                <w:spacing w:val="-2"/>
                <w:sz w:val="12"/>
                <w:szCs w:val="12"/>
                <w:lang w:val="es-ES"/>
              </w:rPr>
              <w:t>Prostático</w:t>
            </w:r>
          </w:p>
        </w:tc>
        <w:tc>
          <w:tcPr>
            <w:tcW w:w="779" w:type="dxa"/>
            <w:tcBorders>
              <w:top w:val="double" w:sz="4" w:space="0" w:color="000000"/>
              <w:left w:val="single" w:sz="4" w:space="0" w:color="000000"/>
              <w:bottom w:val="double" w:sz="4" w:space="0" w:color="000000"/>
              <w:right w:val="single" w:sz="4" w:space="0" w:color="000000"/>
            </w:tcBorders>
            <w:vAlign w:val="center"/>
          </w:tcPr>
          <w:p w14:paraId="07756420" w14:textId="77777777" w:rsidR="00D3344B" w:rsidRDefault="00143C25">
            <w:pPr>
              <w:widowControl w:val="0"/>
              <w:suppressAutoHyphens w:val="0"/>
              <w:spacing w:before="105"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0" w:type="dxa"/>
            <w:tcBorders>
              <w:top w:val="double" w:sz="4" w:space="0" w:color="000000"/>
              <w:left w:val="single" w:sz="4" w:space="0" w:color="000000"/>
              <w:bottom w:val="double" w:sz="4" w:space="0" w:color="000000"/>
              <w:right w:val="single" w:sz="4" w:space="0" w:color="000000"/>
            </w:tcBorders>
            <w:vAlign w:val="center"/>
          </w:tcPr>
          <w:p w14:paraId="3D8EDDF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81" w:type="dxa"/>
            <w:tcBorders>
              <w:top w:val="double" w:sz="4" w:space="0" w:color="000000"/>
              <w:left w:val="single" w:sz="4" w:space="0" w:color="000000"/>
              <w:bottom w:val="double" w:sz="4" w:space="0" w:color="000000"/>
              <w:right w:val="single" w:sz="4" w:space="0" w:color="000000"/>
            </w:tcBorders>
            <w:vAlign w:val="center"/>
          </w:tcPr>
          <w:p w14:paraId="2CE62B5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79" w:type="dxa"/>
            <w:tcBorders>
              <w:top w:val="double" w:sz="4" w:space="0" w:color="000000"/>
              <w:left w:val="single" w:sz="4" w:space="0" w:color="000000"/>
              <w:bottom w:val="double" w:sz="4" w:space="0" w:color="000000"/>
              <w:right w:val="single" w:sz="4" w:space="0" w:color="000000"/>
            </w:tcBorders>
            <w:vAlign w:val="center"/>
          </w:tcPr>
          <w:p w14:paraId="151A787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338B188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7A38196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7950D9E" w14:textId="77777777">
        <w:trPr>
          <w:trHeight w:val="285"/>
        </w:trPr>
        <w:tc>
          <w:tcPr>
            <w:tcW w:w="1106" w:type="dxa"/>
            <w:tcBorders>
              <w:top w:val="double" w:sz="4" w:space="0" w:color="000000"/>
              <w:left w:val="single" w:sz="4" w:space="0" w:color="000000"/>
              <w:bottom w:val="single" w:sz="8" w:space="0" w:color="000000"/>
              <w:right w:val="single" w:sz="4" w:space="0" w:color="000000"/>
            </w:tcBorders>
          </w:tcPr>
          <w:p w14:paraId="558D9C41"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017</w:t>
            </w:r>
          </w:p>
        </w:tc>
        <w:tc>
          <w:tcPr>
            <w:tcW w:w="2977" w:type="dxa"/>
            <w:tcBorders>
              <w:top w:val="double" w:sz="4" w:space="0" w:color="000000"/>
              <w:left w:val="single" w:sz="4" w:space="0" w:color="000000"/>
              <w:bottom w:val="single" w:sz="8" w:space="0" w:color="000000"/>
              <w:right w:val="single" w:sz="4" w:space="0" w:color="000000"/>
            </w:tcBorders>
          </w:tcPr>
          <w:p w14:paraId="34B05643"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Examen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General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orina</w:t>
            </w:r>
            <w:r>
              <w:rPr>
                <w:rFonts w:ascii="Arial" w:eastAsia="Times New Roman" w:hAnsi="Arial" w:cs="Arial"/>
                <w:spacing w:val="-4"/>
                <w:sz w:val="12"/>
                <w:szCs w:val="12"/>
                <w:lang w:val="es-ES"/>
              </w:rPr>
              <w:t xml:space="preserve"> (EGO)</w:t>
            </w:r>
          </w:p>
        </w:tc>
        <w:tc>
          <w:tcPr>
            <w:tcW w:w="779" w:type="dxa"/>
            <w:tcBorders>
              <w:top w:val="double" w:sz="4" w:space="0" w:color="000000"/>
              <w:left w:val="single" w:sz="4" w:space="0" w:color="000000"/>
              <w:bottom w:val="single" w:sz="8" w:space="0" w:color="000000"/>
              <w:right w:val="single" w:sz="4" w:space="0" w:color="000000"/>
            </w:tcBorders>
            <w:vAlign w:val="center"/>
          </w:tcPr>
          <w:p w14:paraId="6BEA0A59" w14:textId="77777777" w:rsidR="00D3344B" w:rsidRDefault="00143C25">
            <w:pPr>
              <w:widowControl w:val="0"/>
              <w:suppressAutoHyphens w:val="0"/>
              <w:spacing w:before="105"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single" w:sz="8" w:space="0" w:color="000000"/>
              <w:right w:val="single" w:sz="4" w:space="0" w:color="000000"/>
            </w:tcBorders>
            <w:vAlign w:val="center"/>
          </w:tcPr>
          <w:p w14:paraId="0C9BF983"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single" w:sz="8" w:space="0" w:color="000000"/>
              <w:right w:val="single" w:sz="4" w:space="0" w:color="000000"/>
            </w:tcBorders>
            <w:vAlign w:val="center"/>
          </w:tcPr>
          <w:p w14:paraId="56BFCFC2"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single" w:sz="8" w:space="0" w:color="000000"/>
              <w:right w:val="single" w:sz="4" w:space="0" w:color="000000"/>
            </w:tcBorders>
            <w:vAlign w:val="center"/>
          </w:tcPr>
          <w:p w14:paraId="17923606"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single" w:sz="8" w:space="0" w:color="000000"/>
              <w:right w:val="single" w:sz="4" w:space="0" w:color="000000"/>
            </w:tcBorders>
            <w:vAlign w:val="center"/>
          </w:tcPr>
          <w:p w14:paraId="5F2F30E9"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single" w:sz="8" w:space="0" w:color="000000"/>
              <w:right w:val="single" w:sz="4" w:space="0" w:color="000000"/>
            </w:tcBorders>
            <w:vAlign w:val="center"/>
          </w:tcPr>
          <w:p w14:paraId="3074455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FF19EC" w14:textId="77777777">
        <w:trPr>
          <w:trHeight w:val="292"/>
        </w:trPr>
        <w:tc>
          <w:tcPr>
            <w:tcW w:w="1106" w:type="dxa"/>
            <w:tcBorders>
              <w:top w:val="single" w:sz="8" w:space="0" w:color="000000"/>
              <w:left w:val="single" w:sz="4" w:space="0" w:color="000000"/>
              <w:bottom w:val="single" w:sz="8" w:space="0" w:color="000000"/>
              <w:right w:val="single" w:sz="4" w:space="0" w:color="000000"/>
            </w:tcBorders>
          </w:tcPr>
          <w:p w14:paraId="2C385FA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018</w:t>
            </w:r>
          </w:p>
        </w:tc>
        <w:tc>
          <w:tcPr>
            <w:tcW w:w="2977" w:type="dxa"/>
            <w:tcBorders>
              <w:top w:val="single" w:sz="8" w:space="0" w:color="000000"/>
              <w:left w:val="single" w:sz="4" w:space="0" w:color="000000"/>
              <w:bottom w:val="single" w:sz="8" w:space="0" w:color="000000"/>
              <w:right w:val="single" w:sz="4" w:space="0" w:color="000000"/>
            </w:tcBorders>
          </w:tcPr>
          <w:p w14:paraId="09B99FCC"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1"/>
                <w:sz w:val="12"/>
                <w:szCs w:val="12"/>
                <w:lang w:val="es-ES"/>
              </w:rPr>
              <w:t xml:space="preserve"> </w:t>
            </w:r>
            <w:r>
              <w:rPr>
                <w:rFonts w:ascii="Arial" w:eastAsia="Times New Roman" w:hAnsi="Arial" w:cs="Arial"/>
                <w:spacing w:val="-2"/>
                <w:sz w:val="12"/>
                <w:szCs w:val="12"/>
                <w:lang w:val="es-ES"/>
              </w:rPr>
              <w:t>Secreciones</w:t>
            </w:r>
          </w:p>
        </w:tc>
        <w:tc>
          <w:tcPr>
            <w:tcW w:w="779" w:type="dxa"/>
            <w:tcBorders>
              <w:top w:val="single" w:sz="8" w:space="0" w:color="000000"/>
              <w:left w:val="single" w:sz="4" w:space="0" w:color="000000"/>
              <w:bottom w:val="single" w:sz="8" w:space="0" w:color="000000"/>
              <w:right w:val="single" w:sz="4" w:space="0" w:color="000000"/>
            </w:tcBorders>
            <w:vAlign w:val="center"/>
          </w:tcPr>
          <w:p w14:paraId="313415B3" w14:textId="77777777" w:rsidR="00D3344B" w:rsidRDefault="00143C25">
            <w:pPr>
              <w:widowControl w:val="0"/>
              <w:suppressAutoHyphens w:val="0"/>
              <w:spacing w:before="112"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single" w:sz="8" w:space="0" w:color="000000"/>
              <w:right w:val="single" w:sz="4" w:space="0" w:color="000000"/>
            </w:tcBorders>
            <w:vAlign w:val="center"/>
          </w:tcPr>
          <w:p w14:paraId="36313D88"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single" w:sz="8" w:space="0" w:color="000000"/>
              <w:right w:val="single" w:sz="4" w:space="0" w:color="000000"/>
            </w:tcBorders>
            <w:vAlign w:val="center"/>
          </w:tcPr>
          <w:p w14:paraId="1A126B84"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single" w:sz="8" w:space="0" w:color="000000"/>
              <w:right w:val="single" w:sz="4" w:space="0" w:color="000000"/>
            </w:tcBorders>
            <w:vAlign w:val="center"/>
          </w:tcPr>
          <w:p w14:paraId="4FB36A03"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single" w:sz="8" w:space="0" w:color="000000"/>
              <w:right w:val="single" w:sz="4" w:space="0" w:color="000000"/>
            </w:tcBorders>
            <w:vAlign w:val="center"/>
          </w:tcPr>
          <w:p w14:paraId="30F6E4BC"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single" w:sz="8" w:space="0" w:color="000000"/>
              <w:right w:val="single" w:sz="4" w:space="0" w:color="000000"/>
            </w:tcBorders>
            <w:vAlign w:val="center"/>
          </w:tcPr>
          <w:p w14:paraId="0AB1CC8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97B68CE" w14:textId="77777777">
        <w:trPr>
          <w:trHeight w:val="285"/>
        </w:trPr>
        <w:tc>
          <w:tcPr>
            <w:tcW w:w="1106" w:type="dxa"/>
            <w:tcBorders>
              <w:top w:val="single" w:sz="8" w:space="0" w:color="000000"/>
              <w:left w:val="single" w:sz="4" w:space="0" w:color="000000"/>
              <w:bottom w:val="double" w:sz="4" w:space="0" w:color="000000"/>
              <w:right w:val="single" w:sz="4" w:space="0" w:color="000000"/>
            </w:tcBorders>
          </w:tcPr>
          <w:p w14:paraId="1292614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019</w:t>
            </w:r>
          </w:p>
        </w:tc>
        <w:tc>
          <w:tcPr>
            <w:tcW w:w="2977" w:type="dxa"/>
            <w:tcBorders>
              <w:top w:val="single" w:sz="8" w:space="0" w:color="000000"/>
              <w:left w:val="single" w:sz="4" w:space="0" w:color="000000"/>
              <w:bottom w:val="double" w:sz="4" w:space="0" w:color="000000"/>
              <w:right w:val="single" w:sz="4" w:space="0" w:color="000000"/>
            </w:tcBorders>
          </w:tcPr>
          <w:p w14:paraId="14A9D16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Exudado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Faríngeo</w:t>
            </w:r>
          </w:p>
        </w:tc>
        <w:tc>
          <w:tcPr>
            <w:tcW w:w="779" w:type="dxa"/>
            <w:tcBorders>
              <w:top w:val="single" w:sz="8" w:space="0" w:color="000000"/>
              <w:left w:val="single" w:sz="4" w:space="0" w:color="000000"/>
              <w:bottom w:val="double" w:sz="4" w:space="0" w:color="000000"/>
              <w:right w:val="single" w:sz="4" w:space="0" w:color="000000"/>
            </w:tcBorders>
            <w:vAlign w:val="center"/>
          </w:tcPr>
          <w:p w14:paraId="51D25D1D" w14:textId="77777777" w:rsidR="00D3344B" w:rsidRDefault="00143C25">
            <w:pPr>
              <w:widowControl w:val="0"/>
              <w:suppressAutoHyphens w:val="0"/>
              <w:spacing w:before="112"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double" w:sz="4" w:space="0" w:color="000000"/>
              <w:right w:val="single" w:sz="4" w:space="0" w:color="000000"/>
            </w:tcBorders>
            <w:vAlign w:val="center"/>
          </w:tcPr>
          <w:p w14:paraId="0E4B0A70"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double" w:sz="4" w:space="0" w:color="000000"/>
              <w:right w:val="single" w:sz="4" w:space="0" w:color="000000"/>
            </w:tcBorders>
            <w:vAlign w:val="center"/>
          </w:tcPr>
          <w:p w14:paraId="6FDC298D"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double" w:sz="4" w:space="0" w:color="000000"/>
              <w:right w:val="single" w:sz="4" w:space="0" w:color="000000"/>
            </w:tcBorders>
            <w:vAlign w:val="center"/>
          </w:tcPr>
          <w:p w14:paraId="6C32EF45"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double" w:sz="4" w:space="0" w:color="000000"/>
              <w:right w:val="single" w:sz="4" w:space="0" w:color="000000"/>
            </w:tcBorders>
            <w:vAlign w:val="center"/>
          </w:tcPr>
          <w:p w14:paraId="79121D61"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double" w:sz="4" w:space="0" w:color="000000"/>
              <w:right w:val="single" w:sz="4" w:space="0" w:color="000000"/>
            </w:tcBorders>
            <w:vAlign w:val="center"/>
          </w:tcPr>
          <w:p w14:paraId="46FE010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466189C"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2E705DD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020</w:t>
            </w:r>
          </w:p>
        </w:tc>
        <w:tc>
          <w:tcPr>
            <w:tcW w:w="2977" w:type="dxa"/>
            <w:tcBorders>
              <w:top w:val="double" w:sz="4" w:space="0" w:color="000000"/>
              <w:left w:val="single" w:sz="4" w:space="0" w:color="000000"/>
              <w:bottom w:val="double" w:sz="4" w:space="0" w:color="000000"/>
              <w:right w:val="single" w:sz="4" w:space="0" w:color="000000"/>
            </w:tcBorders>
          </w:tcPr>
          <w:p w14:paraId="27CC9AA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Lavado</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Bronquial</w:t>
            </w:r>
          </w:p>
        </w:tc>
        <w:tc>
          <w:tcPr>
            <w:tcW w:w="779" w:type="dxa"/>
            <w:tcBorders>
              <w:top w:val="double" w:sz="4" w:space="0" w:color="000000"/>
              <w:left w:val="single" w:sz="4" w:space="0" w:color="000000"/>
              <w:bottom w:val="double" w:sz="4" w:space="0" w:color="000000"/>
              <w:right w:val="single" w:sz="4" w:space="0" w:color="000000"/>
            </w:tcBorders>
            <w:vAlign w:val="center"/>
          </w:tcPr>
          <w:p w14:paraId="6F55F68C" w14:textId="77777777" w:rsidR="00D3344B" w:rsidRDefault="00143C25">
            <w:pPr>
              <w:widowControl w:val="0"/>
              <w:suppressAutoHyphens w:val="0"/>
              <w:spacing w:before="108"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4FE038B1"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67EBC46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5ADB798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30D28B3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833558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CF1A8A0"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5BCABAF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021</w:t>
            </w:r>
          </w:p>
        </w:tc>
        <w:tc>
          <w:tcPr>
            <w:tcW w:w="2977" w:type="dxa"/>
            <w:tcBorders>
              <w:top w:val="double" w:sz="4" w:space="0" w:color="000000"/>
              <w:left w:val="single" w:sz="4" w:space="0" w:color="000000"/>
              <w:bottom w:val="double" w:sz="4" w:space="0" w:color="000000"/>
              <w:right w:val="single" w:sz="4" w:space="0" w:color="000000"/>
            </w:tcBorders>
          </w:tcPr>
          <w:p w14:paraId="0B745D1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oído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medio</w:t>
            </w:r>
          </w:p>
        </w:tc>
        <w:tc>
          <w:tcPr>
            <w:tcW w:w="779" w:type="dxa"/>
            <w:tcBorders>
              <w:top w:val="double" w:sz="4" w:space="0" w:color="000000"/>
              <w:left w:val="single" w:sz="4" w:space="0" w:color="000000"/>
              <w:bottom w:val="double" w:sz="4" w:space="0" w:color="000000"/>
              <w:right w:val="single" w:sz="4" w:space="0" w:color="000000"/>
            </w:tcBorders>
            <w:vAlign w:val="center"/>
          </w:tcPr>
          <w:p w14:paraId="0A242BC0" w14:textId="77777777" w:rsidR="00D3344B" w:rsidRDefault="00143C25">
            <w:pPr>
              <w:widowControl w:val="0"/>
              <w:suppressAutoHyphens w:val="0"/>
              <w:spacing w:before="106"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28AF29E9"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62E79C38"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6A61029B"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26ADF496"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7A8CF72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32A1033"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2DDEAA8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022</w:t>
            </w:r>
          </w:p>
        </w:tc>
        <w:tc>
          <w:tcPr>
            <w:tcW w:w="2977" w:type="dxa"/>
            <w:tcBorders>
              <w:top w:val="double" w:sz="4" w:space="0" w:color="000000"/>
              <w:left w:val="single" w:sz="4" w:space="0" w:color="000000"/>
              <w:bottom w:val="double" w:sz="4" w:space="0" w:color="000000"/>
              <w:right w:val="single" w:sz="4" w:space="0" w:color="000000"/>
            </w:tcBorders>
          </w:tcPr>
          <w:p w14:paraId="524039C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Punta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Catéter</w:t>
            </w:r>
          </w:p>
        </w:tc>
        <w:tc>
          <w:tcPr>
            <w:tcW w:w="779" w:type="dxa"/>
            <w:tcBorders>
              <w:top w:val="double" w:sz="4" w:space="0" w:color="000000"/>
              <w:left w:val="single" w:sz="4" w:space="0" w:color="000000"/>
              <w:bottom w:val="double" w:sz="4" w:space="0" w:color="000000"/>
              <w:right w:val="single" w:sz="4" w:space="0" w:color="000000"/>
            </w:tcBorders>
            <w:vAlign w:val="center"/>
          </w:tcPr>
          <w:p w14:paraId="04F49CF9" w14:textId="77777777" w:rsidR="00D3344B" w:rsidRDefault="00143C25">
            <w:pPr>
              <w:widowControl w:val="0"/>
              <w:suppressAutoHyphens w:val="0"/>
              <w:spacing w:before="105" w:after="0" w:line="156"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3736B99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497B04D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0F747E6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0322CD6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692FA06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519393" w14:textId="77777777">
        <w:trPr>
          <w:trHeight w:val="285"/>
        </w:trPr>
        <w:tc>
          <w:tcPr>
            <w:tcW w:w="1106" w:type="dxa"/>
            <w:tcBorders>
              <w:top w:val="double" w:sz="4" w:space="0" w:color="000000"/>
              <w:left w:val="single" w:sz="4" w:space="0" w:color="000000"/>
              <w:bottom w:val="single" w:sz="8" w:space="0" w:color="000000"/>
              <w:right w:val="single" w:sz="4" w:space="0" w:color="000000"/>
            </w:tcBorders>
          </w:tcPr>
          <w:p w14:paraId="5FBC5183"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023</w:t>
            </w:r>
          </w:p>
        </w:tc>
        <w:tc>
          <w:tcPr>
            <w:tcW w:w="2977" w:type="dxa"/>
            <w:tcBorders>
              <w:top w:val="double" w:sz="4" w:space="0" w:color="000000"/>
              <w:left w:val="single" w:sz="4" w:space="0" w:color="000000"/>
              <w:bottom w:val="single" w:sz="8" w:space="0" w:color="000000"/>
              <w:right w:val="single" w:sz="4" w:space="0" w:color="000000"/>
            </w:tcBorders>
          </w:tcPr>
          <w:p w14:paraId="568FF863"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Secreción</w:t>
            </w:r>
            <w:r>
              <w:rPr>
                <w:rFonts w:ascii="Arial" w:eastAsia="Times New Roman" w:hAnsi="Arial" w:cs="Arial"/>
                <w:spacing w:val="-3"/>
                <w:sz w:val="12"/>
                <w:szCs w:val="12"/>
                <w:lang w:val="es-ES"/>
              </w:rPr>
              <w:t xml:space="preserve"> </w:t>
            </w:r>
            <w:proofErr w:type="spellStart"/>
            <w:r>
              <w:rPr>
                <w:rFonts w:ascii="Arial" w:eastAsia="Times New Roman" w:hAnsi="Arial" w:cs="Arial"/>
                <w:spacing w:val="-2"/>
                <w:sz w:val="12"/>
                <w:szCs w:val="12"/>
                <w:lang w:val="es-ES"/>
              </w:rPr>
              <w:t>Vulvar</w:t>
            </w:r>
            <w:proofErr w:type="spellEnd"/>
          </w:p>
        </w:tc>
        <w:tc>
          <w:tcPr>
            <w:tcW w:w="779" w:type="dxa"/>
            <w:tcBorders>
              <w:top w:val="double" w:sz="4" w:space="0" w:color="000000"/>
              <w:left w:val="single" w:sz="4" w:space="0" w:color="000000"/>
              <w:bottom w:val="single" w:sz="8" w:space="0" w:color="000000"/>
              <w:right w:val="single" w:sz="4" w:space="0" w:color="000000"/>
            </w:tcBorders>
            <w:vAlign w:val="center"/>
          </w:tcPr>
          <w:p w14:paraId="6C38DA16" w14:textId="77777777" w:rsidR="00D3344B" w:rsidRDefault="00143C25">
            <w:pPr>
              <w:widowControl w:val="0"/>
              <w:suppressAutoHyphens w:val="0"/>
              <w:spacing w:before="105"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single" w:sz="8" w:space="0" w:color="000000"/>
              <w:right w:val="single" w:sz="4" w:space="0" w:color="000000"/>
            </w:tcBorders>
            <w:vAlign w:val="center"/>
          </w:tcPr>
          <w:p w14:paraId="5C135BF3"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single" w:sz="8" w:space="0" w:color="000000"/>
              <w:right w:val="single" w:sz="4" w:space="0" w:color="000000"/>
            </w:tcBorders>
            <w:vAlign w:val="center"/>
          </w:tcPr>
          <w:p w14:paraId="6DBB7116"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single" w:sz="8" w:space="0" w:color="000000"/>
              <w:right w:val="single" w:sz="4" w:space="0" w:color="000000"/>
            </w:tcBorders>
            <w:vAlign w:val="center"/>
          </w:tcPr>
          <w:p w14:paraId="4AEE43D7"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single" w:sz="8" w:space="0" w:color="000000"/>
              <w:right w:val="single" w:sz="4" w:space="0" w:color="000000"/>
            </w:tcBorders>
            <w:vAlign w:val="center"/>
          </w:tcPr>
          <w:p w14:paraId="31AD69D8" w14:textId="77777777" w:rsidR="00D3344B" w:rsidRDefault="00143C25">
            <w:pPr>
              <w:widowControl w:val="0"/>
              <w:suppressAutoHyphens w:val="0"/>
              <w:spacing w:before="105"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single" w:sz="8" w:space="0" w:color="000000"/>
              <w:right w:val="single" w:sz="4" w:space="0" w:color="000000"/>
            </w:tcBorders>
            <w:vAlign w:val="center"/>
          </w:tcPr>
          <w:p w14:paraId="64C25C0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47263DF" w14:textId="77777777">
        <w:trPr>
          <w:trHeight w:val="291"/>
        </w:trPr>
        <w:tc>
          <w:tcPr>
            <w:tcW w:w="1106" w:type="dxa"/>
            <w:tcBorders>
              <w:top w:val="single" w:sz="8" w:space="0" w:color="000000"/>
              <w:left w:val="single" w:sz="4" w:space="0" w:color="000000"/>
              <w:bottom w:val="single" w:sz="8" w:space="0" w:color="000000"/>
              <w:right w:val="single" w:sz="4" w:space="0" w:color="000000"/>
            </w:tcBorders>
          </w:tcPr>
          <w:p w14:paraId="47971AC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024</w:t>
            </w:r>
          </w:p>
        </w:tc>
        <w:tc>
          <w:tcPr>
            <w:tcW w:w="2977" w:type="dxa"/>
            <w:tcBorders>
              <w:top w:val="single" w:sz="8" w:space="0" w:color="000000"/>
              <w:left w:val="single" w:sz="4" w:space="0" w:color="000000"/>
              <w:bottom w:val="single" w:sz="8" w:space="0" w:color="000000"/>
              <w:right w:val="single" w:sz="4" w:space="0" w:color="000000"/>
            </w:tcBorders>
          </w:tcPr>
          <w:p w14:paraId="0AEA72B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Sonda</w:t>
            </w:r>
            <w:r>
              <w:rPr>
                <w:rFonts w:ascii="Arial" w:eastAsia="Times New Roman" w:hAnsi="Arial" w:cs="Arial"/>
                <w:spacing w:val="-2"/>
                <w:sz w:val="12"/>
                <w:szCs w:val="12"/>
                <w:lang w:val="es-ES"/>
              </w:rPr>
              <w:t xml:space="preserve"> Vesical</w:t>
            </w:r>
          </w:p>
        </w:tc>
        <w:tc>
          <w:tcPr>
            <w:tcW w:w="779" w:type="dxa"/>
            <w:tcBorders>
              <w:top w:val="single" w:sz="8" w:space="0" w:color="000000"/>
              <w:left w:val="single" w:sz="4" w:space="0" w:color="000000"/>
              <w:bottom w:val="single" w:sz="8" w:space="0" w:color="000000"/>
              <w:right w:val="single" w:sz="4" w:space="0" w:color="000000"/>
            </w:tcBorders>
            <w:vAlign w:val="center"/>
          </w:tcPr>
          <w:p w14:paraId="5F3EF7EB" w14:textId="77777777" w:rsidR="00D3344B" w:rsidRDefault="00143C25">
            <w:pPr>
              <w:widowControl w:val="0"/>
              <w:suppressAutoHyphens w:val="0"/>
              <w:spacing w:before="112" w:after="0" w:line="160"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single" w:sz="8" w:space="0" w:color="000000"/>
              <w:left w:val="single" w:sz="4" w:space="0" w:color="000000"/>
              <w:bottom w:val="single" w:sz="8" w:space="0" w:color="000000"/>
              <w:right w:val="single" w:sz="4" w:space="0" w:color="000000"/>
            </w:tcBorders>
            <w:vAlign w:val="center"/>
          </w:tcPr>
          <w:p w14:paraId="0DB9E9BC"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single" w:sz="8" w:space="0" w:color="000000"/>
              <w:left w:val="single" w:sz="4" w:space="0" w:color="000000"/>
              <w:bottom w:val="single" w:sz="8" w:space="0" w:color="000000"/>
              <w:right w:val="single" w:sz="4" w:space="0" w:color="000000"/>
            </w:tcBorders>
            <w:vAlign w:val="center"/>
          </w:tcPr>
          <w:p w14:paraId="30489256"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single" w:sz="8" w:space="0" w:color="000000"/>
              <w:left w:val="single" w:sz="4" w:space="0" w:color="000000"/>
              <w:bottom w:val="single" w:sz="8" w:space="0" w:color="000000"/>
              <w:right w:val="single" w:sz="4" w:space="0" w:color="000000"/>
            </w:tcBorders>
            <w:vAlign w:val="center"/>
          </w:tcPr>
          <w:p w14:paraId="6B22BA31"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single" w:sz="8" w:space="0" w:color="000000"/>
              <w:left w:val="single" w:sz="4" w:space="0" w:color="000000"/>
              <w:bottom w:val="single" w:sz="8" w:space="0" w:color="000000"/>
              <w:right w:val="single" w:sz="4" w:space="0" w:color="000000"/>
            </w:tcBorders>
            <w:vAlign w:val="center"/>
          </w:tcPr>
          <w:p w14:paraId="2E4DD88C" w14:textId="77777777" w:rsidR="00D3344B" w:rsidRDefault="00143C25">
            <w:pPr>
              <w:widowControl w:val="0"/>
              <w:suppressAutoHyphens w:val="0"/>
              <w:spacing w:before="112"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single" w:sz="8" w:space="0" w:color="000000"/>
              <w:left w:val="single" w:sz="4" w:space="0" w:color="000000"/>
              <w:bottom w:val="single" w:sz="8" w:space="0" w:color="000000"/>
              <w:right w:val="single" w:sz="4" w:space="0" w:color="000000"/>
            </w:tcBorders>
            <w:vAlign w:val="center"/>
          </w:tcPr>
          <w:p w14:paraId="7B79385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9B49019" w14:textId="77777777">
        <w:trPr>
          <w:trHeight w:val="285"/>
        </w:trPr>
        <w:tc>
          <w:tcPr>
            <w:tcW w:w="1106" w:type="dxa"/>
            <w:tcBorders>
              <w:top w:val="single" w:sz="8" w:space="0" w:color="000000"/>
              <w:left w:val="single" w:sz="4" w:space="0" w:color="000000"/>
              <w:bottom w:val="double" w:sz="4" w:space="0" w:color="000000"/>
              <w:right w:val="single" w:sz="4" w:space="0" w:color="000000"/>
            </w:tcBorders>
          </w:tcPr>
          <w:p w14:paraId="636E6A4E"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025</w:t>
            </w:r>
          </w:p>
        </w:tc>
        <w:tc>
          <w:tcPr>
            <w:tcW w:w="2977" w:type="dxa"/>
            <w:tcBorders>
              <w:top w:val="single" w:sz="8" w:space="0" w:color="000000"/>
              <w:left w:val="single" w:sz="4" w:space="0" w:color="000000"/>
              <w:bottom w:val="double" w:sz="4" w:space="0" w:color="000000"/>
              <w:right w:val="single" w:sz="4" w:space="0" w:color="000000"/>
            </w:tcBorders>
          </w:tcPr>
          <w:p w14:paraId="1DF11BC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Antibiograma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Bauer</w:t>
            </w:r>
            <w:r>
              <w:rPr>
                <w:rFonts w:ascii="Arial" w:eastAsia="Times New Roman" w:hAnsi="Arial" w:cs="Arial"/>
                <w:spacing w:val="-6"/>
                <w:sz w:val="12"/>
                <w:szCs w:val="12"/>
                <w:lang w:val="es-ES"/>
              </w:rPr>
              <w:t xml:space="preserve"> </w:t>
            </w:r>
            <w:proofErr w:type="spellStart"/>
            <w:r>
              <w:rPr>
                <w:rFonts w:ascii="Arial" w:eastAsia="Times New Roman" w:hAnsi="Arial" w:cs="Arial"/>
                <w:spacing w:val="-4"/>
                <w:sz w:val="12"/>
                <w:szCs w:val="12"/>
                <w:lang w:val="es-ES"/>
              </w:rPr>
              <w:t>Kirby</w:t>
            </w:r>
            <w:proofErr w:type="spellEnd"/>
          </w:p>
        </w:tc>
        <w:tc>
          <w:tcPr>
            <w:tcW w:w="779" w:type="dxa"/>
            <w:tcBorders>
              <w:top w:val="single" w:sz="8" w:space="0" w:color="000000"/>
              <w:left w:val="single" w:sz="4" w:space="0" w:color="000000"/>
              <w:bottom w:val="double" w:sz="4" w:space="0" w:color="000000"/>
              <w:right w:val="single" w:sz="4" w:space="0" w:color="000000"/>
            </w:tcBorders>
            <w:vAlign w:val="center"/>
          </w:tcPr>
          <w:p w14:paraId="45C2D11F" w14:textId="77777777" w:rsidR="00D3344B" w:rsidRDefault="00143C25">
            <w:pPr>
              <w:widowControl w:val="0"/>
              <w:suppressAutoHyphens w:val="0"/>
              <w:spacing w:before="112" w:after="0" w:line="154" w:lineRule="exact"/>
              <w:ind w:right="178"/>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single" w:sz="8" w:space="0" w:color="000000"/>
              <w:left w:val="single" w:sz="4" w:space="0" w:color="000000"/>
              <w:bottom w:val="double" w:sz="4" w:space="0" w:color="000000"/>
              <w:right w:val="single" w:sz="4" w:space="0" w:color="000000"/>
            </w:tcBorders>
            <w:vAlign w:val="center"/>
          </w:tcPr>
          <w:p w14:paraId="5DDD5E76"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1" w:type="dxa"/>
            <w:tcBorders>
              <w:top w:val="single" w:sz="8" w:space="0" w:color="000000"/>
              <w:left w:val="single" w:sz="4" w:space="0" w:color="000000"/>
              <w:bottom w:val="double" w:sz="4" w:space="0" w:color="000000"/>
              <w:right w:val="single" w:sz="4" w:space="0" w:color="000000"/>
            </w:tcBorders>
            <w:vAlign w:val="center"/>
          </w:tcPr>
          <w:p w14:paraId="107DCAA8"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single" w:sz="8" w:space="0" w:color="000000"/>
              <w:left w:val="single" w:sz="4" w:space="0" w:color="000000"/>
              <w:bottom w:val="double" w:sz="4" w:space="0" w:color="000000"/>
              <w:right w:val="single" w:sz="4" w:space="0" w:color="000000"/>
            </w:tcBorders>
            <w:vAlign w:val="center"/>
          </w:tcPr>
          <w:p w14:paraId="44D45730"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80" w:type="dxa"/>
            <w:tcBorders>
              <w:top w:val="single" w:sz="8" w:space="0" w:color="000000"/>
              <w:left w:val="single" w:sz="4" w:space="0" w:color="000000"/>
              <w:bottom w:val="double" w:sz="4" w:space="0" w:color="000000"/>
              <w:right w:val="single" w:sz="4" w:space="0" w:color="000000"/>
            </w:tcBorders>
            <w:vAlign w:val="center"/>
          </w:tcPr>
          <w:p w14:paraId="2121A335" w14:textId="77777777" w:rsidR="00D3344B" w:rsidRDefault="00143C25">
            <w:pPr>
              <w:widowControl w:val="0"/>
              <w:suppressAutoHyphens w:val="0"/>
              <w:spacing w:before="112"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0.45</w:t>
            </w:r>
          </w:p>
        </w:tc>
        <w:tc>
          <w:tcPr>
            <w:tcW w:w="779" w:type="dxa"/>
            <w:tcBorders>
              <w:top w:val="single" w:sz="8" w:space="0" w:color="000000"/>
              <w:left w:val="single" w:sz="4" w:space="0" w:color="000000"/>
              <w:bottom w:val="double" w:sz="4" w:space="0" w:color="000000"/>
              <w:right w:val="single" w:sz="4" w:space="0" w:color="000000"/>
            </w:tcBorders>
            <w:vAlign w:val="center"/>
          </w:tcPr>
          <w:p w14:paraId="227EE8C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F82816A"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1F091AA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026</w:t>
            </w:r>
          </w:p>
        </w:tc>
        <w:tc>
          <w:tcPr>
            <w:tcW w:w="2977" w:type="dxa"/>
            <w:tcBorders>
              <w:top w:val="double" w:sz="4" w:space="0" w:color="000000"/>
              <w:left w:val="single" w:sz="4" w:space="0" w:color="000000"/>
              <w:bottom w:val="double" w:sz="4" w:space="0" w:color="000000"/>
              <w:right w:val="single" w:sz="4" w:space="0" w:color="000000"/>
            </w:tcBorders>
          </w:tcPr>
          <w:p w14:paraId="3B51219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Antifungigramas</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2833171"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6E0C98B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744C589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2FEF48B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09C630D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34C41B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C3D2DFD"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7CABC19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027</w:t>
            </w:r>
          </w:p>
        </w:tc>
        <w:tc>
          <w:tcPr>
            <w:tcW w:w="2977" w:type="dxa"/>
            <w:tcBorders>
              <w:top w:val="double" w:sz="4" w:space="0" w:color="000000"/>
              <w:left w:val="single" w:sz="4" w:space="0" w:color="000000"/>
              <w:bottom w:val="double" w:sz="4" w:space="0" w:color="000000"/>
              <w:right w:val="single" w:sz="4" w:space="0" w:color="000000"/>
            </w:tcBorders>
          </w:tcPr>
          <w:p w14:paraId="642E578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Coaglutinación</w:t>
            </w:r>
            <w:proofErr w:type="spellEnd"/>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Cefalorraquídeo</w:t>
            </w:r>
          </w:p>
        </w:tc>
        <w:tc>
          <w:tcPr>
            <w:tcW w:w="779" w:type="dxa"/>
            <w:tcBorders>
              <w:top w:val="double" w:sz="4" w:space="0" w:color="000000"/>
              <w:left w:val="single" w:sz="4" w:space="0" w:color="000000"/>
              <w:bottom w:val="double" w:sz="4" w:space="0" w:color="000000"/>
              <w:right w:val="single" w:sz="4" w:space="0" w:color="000000"/>
            </w:tcBorders>
            <w:vAlign w:val="center"/>
          </w:tcPr>
          <w:p w14:paraId="60E1C81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50C6DF1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1" w:type="dxa"/>
            <w:tcBorders>
              <w:top w:val="double" w:sz="4" w:space="0" w:color="000000"/>
              <w:left w:val="single" w:sz="4" w:space="0" w:color="000000"/>
              <w:bottom w:val="double" w:sz="4" w:space="0" w:color="000000"/>
              <w:right w:val="single" w:sz="4" w:space="0" w:color="000000"/>
            </w:tcBorders>
            <w:vAlign w:val="center"/>
          </w:tcPr>
          <w:p w14:paraId="78697E6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222F15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80" w:type="dxa"/>
            <w:tcBorders>
              <w:top w:val="double" w:sz="4" w:space="0" w:color="000000"/>
              <w:left w:val="single" w:sz="4" w:space="0" w:color="000000"/>
              <w:bottom w:val="double" w:sz="4" w:space="0" w:color="000000"/>
              <w:right w:val="single" w:sz="4" w:space="0" w:color="000000"/>
            </w:tcBorders>
            <w:vAlign w:val="center"/>
          </w:tcPr>
          <w:p w14:paraId="11923C41"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321E375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FCEF067" w14:textId="77777777">
        <w:trPr>
          <w:trHeight w:val="295"/>
        </w:trPr>
        <w:tc>
          <w:tcPr>
            <w:tcW w:w="1106" w:type="dxa"/>
            <w:tcBorders>
              <w:top w:val="double" w:sz="4" w:space="0" w:color="000000"/>
              <w:left w:val="single" w:sz="4" w:space="0" w:color="000000"/>
              <w:bottom w:val="single" w:sz="4" w:space="0" w:color="000000"/>
              <w:right w:val="single" w:sz="4" w:space="0" w:color="000000"/>
            </w:tcBorders>
          </w:tcPr>
          <w:p w14:paraId="621A1DA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028</w:t>
            </w:r>
          </w:p>
        </w:tc>
        <w:tc>
          <w:tcPr>
            <w:tcW w:w="2977" w:type="dxa"/>
            <w:tcBorders>
              <w:top w:val="double" w:sz="4" w:space="0" w:color="000000"/>
              <w:left w:val="single" w:sz="4" w:space="0" w:color="000000"/>
              <w:bottom w:val="single" w:sz="4" w:space="0" w:color="000000"/>
              <w:right w:val="single" w:sz="4" w:space="0" w:color="000000"/>
            </w:tcBorders>
          </w:tcPr>
          <w:p w14:paraId="1EF041D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peritoneal</w:t>
            </w:r>
          </w:p>
        </w:tc>
        <w:tc>
          <w:tcPr>
            <w:tcW w:w="779" w:type="dxa"/>
            <w:tcBorders>
              <w:top w:val="double" w:sz="4" w:space="0" w:color="000000"/>
              <w:left w:val="single" w:sz="4" w:space="0" w:color="000000"/>
              <w:bottom w:val="single" w:sz="4" w:space="0" w:color="000000"/>
              <w:right w:val="single" w:sz="4" w:space="0" w:color="000000"/>
            </w:tcBorders>
            <w:vAlign w:val="center"/>
          </w:tcPr>
          <w:p w14:paraId="021BD651"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single" w:sz="4" w:space="0" w:color="000000"/>
              <w:right w:val="single" w:sz="4" w:space="0" w:color="000000"/>
            </w:tcBorders>
            <w:vAlign w:val="center"/>
          </w:tcPr>
          <w:p w14:paraId="00F98DCA"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single" w:sz="4" w:space="0" w:color="000000"/>
              <w:right w:val="single" w:sz="4" w:space="0" w:color="000000"/>
            </w:tcBorders>
            <w:vAlign w:val="center"/>
          </w:tcPr>
          <w:p w14:paraId="00C11FE2"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single" w:sz="4" w:space="0" w:color="000000"/>
              <w:right w:val="single" w:sz="4" w:space="0" w:color="000000"/>
            </w:tcBorders>
            <w:vAlign w:val="center"/>
          </w:tcPr>
          <w:p w14:paraId="0BF0CCA2"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single" w:sz="4" w:space="0" w:color="000000"/>
              <w:right w:val="single" w:sz="4" w:space="0" w:color="000000"/>
            </w:tcBorders>
            <w:vAlign w:val="center"/>
          </w:tcPr>
          <w:p w14:paraId="2FE717A9"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single" w:sz="4" w:space="0" w:color="000000"/>
              <w:right w:val="single" w:sz="4" w:space="0" w:color="000000"/>
            </w:tcBorders>
            <w:vAlign w:val="center"/>
          </w:tcPr>
          <w:p w14:paraId="4F836BE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8DFCFFE" w14:textId="77777777">
        <w:trPr>
          <w:trHeight w:val="288"/>
        </w:trPr>
        <w:tc>
          <w:tcPr>
            <w:tcW w:w="1106" w:type="dxa"/>
            <w:tcBorders>
              <w:top w:val="single" w:sz="4" w:space="0" w:color="000000"/>
              <w:left w:val="single" w:sz="4" w:space="0" w:color="000000"/>
              <w:bottom w:val="double" w:sz="4" w:space="0" w:color="000000"/>
              <w:right w:val="single" w:sz="4" w:space="0" w:color="000000"/>
            </w:tcBorders>
          </w:tcPr>
          <w:p w14:paraId="40E992CF"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029</w:t>
            </w:r>
          </w:p>
        </w:tc>
        <w:tc>
          <w:tcPr>
            <w:tcW w:w="2977" w:type="dxa"/>
            <w:tcBorders>
              <w:top w:val="single" w:sz="4" w:space="0" w:color="000000"/>
              <w:left w:val="single" w:sz="4" w:space="0" w:color="000000"/>
              <w:bottom w:val="double" w:sz="4" w:space="0" w:color="000000"/>
              <w:right w:val="single" w:sz="4" w:space="0" w:color="000000"/>
            </w:tcBorders>
          </w:tcPr>
          <w:p w14:paraId="5BB1DE8C"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proofErr w:type="spellStart"/>
            <w:r>
              <w:rPr>
                <w:rFonts w:ascii="Arial" w:eastAsia="Times New Roman" w:hAnsi="Arial" w:cs="Arial"/>
                <w:sz w:val="12"/>
                <w:szCs w:val="12"/>
                <w:lang w:val="es-ES"/>
              </w:rPr>
              <w:t>Mycoplasma</w:t>
            </w:r>
            <w:proofErr w:type="spellEnd"/>
            <w:r>
              <w:rPr>
                <w:rFonts w:ascii="Arial" w:eastAsia="Times New Roman" w:hAnsi="Arial" w:cs="Arial"/>
                <w:spacing w:val="-5"/>
                <w:sz w:val="12"/>
                <w:szCs w:val="12"/>
                <w:lang w:val="es-ES"/>
              </w:rPr>
              <w:t xml:space="preserve"> </w:t>
            </w:r>
            <w:proofErr w:type="spellStart"/>
            <w:r>
              <w:rPr>
                <w:rFonts w:ascii="Arial" w:eastAsia="Times New Roman" w:hAnsi="Arial" w:cs="Arial"/>
                <w:spacing w:val="-5"/>
                <w:sz w:val="12"/>
                <w:szCs w:val="12"/>
                <w:lang w:val="es-ES"/>
              </w:rPr>
              <w:t>sp</w:t>
            </w:r>
            <w:proofErr w:type="spellEnd"/>
          </w:p>
        </w:tc>
        <w:tc>
          <w:tcPr>
            <w:tcW w:w="779" w:type="dxa"/>
            <w:tcBorders>
              <w:top w:val="single" w:sz="4" w:space="0" w:color="000000"/>
              <w:left w:val="single" w:sz="4" w:space="0" w:color="000000"/>
              <w:bottom w:val="double" w:sz="4" w:space="0" w:color="000000"/>
              <w:right w:val="single" w:sz="4" w:space="0" w:color="000000"/>
            </w:tcBorders>
            <w:vAlign w:val="center"/>
          </w:tcPr>
          <w:p w14:paraId="51B38869"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single" w:sz="4" w:space="0" w:color="000000"/>
              <w:left w:val="single" w:sz="4" w:space="0" w:color="000000"/>
              <w:bottom w:val="double" w:sz="4" w:space="0" w:color="000000"/>
              <w:right w:val="single" w:sz="4" w:space="0" w:color="000000"/>
            </w:tcBorders>
            <w:vAlign w:val="center"/>
          </w:tcPr>
          <w:p w14:paraId="6F84FF08"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1" w:type="dxa"/>
            <w:tcBorders>
              <w:top w:val="single" w:sz="4" w:space="0" w:color="000000"/>
              <w:left w:val="single" w:sz="4" w:space="0" w:color="000000"/>
              <w:bottom w:val="double" w:sz="4" w:space="0" w:color="000000"/>
              <w:right w:val="single" w:sz="4" w:space="0" w:color="000000"/>
            </w:tcBorders>
            <w:vAlign w:val="center"/>
          </w:tcPr>
          <w:p w14:paraId="5C38BC68"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single" w:sz="4" w:space="0" w:color="000000"/>
              <w:left w:val="single" w:sz="4" w:space="0" w:color="000000"/>
              <w:bottom w:val="double" w:sz="4" w:space="0" w:color="000000"/>
              <w:right w:val="single" w:sz="4" w:space="0" w:color="000000"/>
            </w:tcBorders>
            <w:vAlign w:val="center"/>
          </w:tcPr>
          <w:p w14:paraId="07A0CE35"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single" w:sz="4" w:space="0" w:color="000000"/>
              <w:left w:val="single" w:sz="4" w:space="0" w:color="000000"/>
              <w:bottom w:val="double" w:sz="4" w:space="0" w:color="000000"/>
              <w:right w:val="single" w:sz="4" w:space="0" w:color="000000"/>
            </w:tcBorders>
            <w:vAlign w:val="center"/>
          </w:tcPr>
          <w:p w14:paraId="3F13745C"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79" w:type="dxa"/>
            <w:tcBorders>
              <w:top w:val="single" w:sz="4" w:space="0" w:color="000000"/>
              <w:left w:val="single" w:sz="4" w:space="0" w:color="000000"/>
              <w:bottom w:val="double" w:sz="4" w:space="0" w:color="000000"/>
              <w:right w:val="single" w:sz="4" w:space="0" w:color="000000"/>
            </w:tcBorders>
            <w:vAlign w:val="center"/>
          </w:tcPr>
          <w:p w14:paraId="6863D49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9379BB0"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1D3B180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030</w:t>
            </w:r>
          </w:p>
        </w:tc>
        <w:tc>
          <w:tcPr>
            <w:tcW w:w="2977" w:type="dxa"/>
            <w:tcBorders>
              <w:top w:val="double" w:sz="4" w:space="0" w:color="000000"/>
              <w:left w:val="single" w:sz="4" w:space="0" w:color="000000"/>
              <w:bottom w:val="double" w:sz="4" w:space="0" w:color="000000"/>
              <w:right w:val="single" w:sz="4" w:space="0" w:color="000000"/>
            </w:tcBorders>
          </w:tcPr>
          <w:p w14:paraId="7F153BF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proofErr w:type="spellStart"/>
            <w:r>
              <w:rPr>
                <w:rFonts w:ascii="Arial" w:eastAsia="Times New Roman" w:hAnsi="Arial" w:cs="Arial"/>
                <w:sz w:val="12"/>
                <w:szCs w:val="12"/>
                <w:lang w:val="es-ES"/>
              </w:rPr>
              <w:t>Ureaplasma</w:t>
            </w:r>
            <w:proofErr w:type="spellEnd"/>
            <w:r>
              <w:rPr>
                <w:rFonts w:ascii="Arial" w:eastAsia="Times New Roman" w:hAnsi="Arial" w:cs="Arial"/>
                <w:spacing w:val="-4"/>
                <w:sz w:val="12"/>
                <w:szCs w:val="12"/>
                <w:lang w:val="es-ES"/>
              </w:rPr>
              <w:t xml:space="preserve"> </w:t>
            </w:r>
            <w:proofErr w:type="spellStart"/>
            <w:r>
              <w:rPr>
                <w:rFonts w:ascii="Arial" w:eastAsia="Times New Roman" w:hAnsi="Arial" w:cs="Arial"/>
                <w:spacing w:val="-2"/>
                <w:sz w:val="12"/>
                <w:szCs w:val="12"/>
                <w:lang w:val="es-ES"/>
              </w:rPr>
              <w:t>Urealyticum</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6CABB11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11B5277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1" w:type="dxa"/>
            <w:tcBorders>
              <w:top w:val="double" w:sz="4" w:space="0" w:color="000000"/>
              <w:left w:val="single" w:sz="4" w:space="0" w:color="000000"/>
              <w:bottom w:val="double" w:sz="4" w:space="0" w:color="000000"/>
              <w:right w:val="single" w:sz="4" w:space="0" w:color="000000"/>
            </w:tcBorders>
            <w:vAlign w:val="center"/>
          </w:tcPr>
          <w:p w14:paraId="6DB7693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double" w:sz="4" w:space="0" w:color="000000"/>
              <w:left w:val="single" w:sz="4" w:space="0" w:color="000000"/>
              <w:bottom w:val="double" w:sz="4" w:space="0" w:color="000000"/>
              <w:right w:val="single" w:sz="4" w:space="0" w:color="000000"/>
            </w:tcBorders>
            <w:vAlign w:val="center"/>
          </w:tcPr>
          <w:p w14:paraId="304CB8F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0A611FA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79" w:type="dxa"/>
            <w:tcBorders>
              <w:top w:val="double" w:sz="4" w:space="0" w:color="000000"/>
              <w:left w:val="single" w:sz="4" w:space="0" w:color="000000"/>
              <w:bottom w:val="double" w:sz="4" w:space="0" w:color="000000"/>
              <w:right w:val="single" w:sz="4" w:space="0" w:color="000000"/>
            </w:tcBorders>
            <w:vAlign w:val="center"/>
          </w:tcPr>
          <w:p w14:paraId="4B08BC9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466839"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55C769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031</w:t>
            </w:r>
          </w:p>
        </w:tc>
        <w:tc>
          <w:tcPr>
            <w:tcW w:w="2977" w:type="dxa"/>
            <w:tcBorders>
              <w:top w:val="double" w:sz="4" w:space="0" w:color="000000"/>
              <w:left w:val="single" w:sz="4" w:space="0" w:color="000000"/>
              <w:bottom w:val="double" w:sz="4" w:space="0" w:color="000000"/>
              <w:right w:val="single" w:sz="4" w:space="0" w:color="000000"/>
            </w:tcBorders>
          </w:tcPr>
          <w:p w14:paraId="573D8B6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Micológico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(Hongos)</w:t>
            </w:r>
          </w:p>
        </w:tc>
        <w:tc>
          <w:tcPr>
            <w:tcW w:w="779" w:type="dxa"/>
            <w:tcBorders>
              <w:top w:val="double" w:sz="4" w:space="0" w:color="000000"/>
              <w:left w:val="single" w:sz="4" w:space="0" w:color="000000"/>
              <w:bottom w:val="double" w:sz="4" w:space="0" w:color="000000"/>
              <w:right w:val="single" w:sz="4" w:space="0" w:color="000000"/>
            </w:tcBorders>
            <w:vAlign w:val="center"/>
          </w:tcPr>
          <w:p w14:paraId="6F1958B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2.80</w:t>
            </w:r>
          </w:p>
        </w:tc>
        <w:tc>
          <w:tcPr>
            <w:tcW w:w="780" w:type="dxa"/>
            <w:tcBorders>
              <w:top w:val="double" w:sz="4" w:space="0" w:color="000000"/>
              <w:left w:val="single" w:sz="4" w:space="0" w:color="000000"/>
              <w:bottom w:val="double" w:sz="4" w:space="0" w:color="000000"/>
              <w:right w:val="single" w:sz="4" w:space="0" w:color="000000"/>
            </w:tcBorders>
            <w:vAlign w:val="center"/>
          </w:tcPr>
          <w:p w14:paraId="3A6C3E3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1" w:type="dxa"/>
            <w:tcBorders>
              <w:top w:val="double" w:sz="4" w:space="0" w:color="000000"/>
              <w:left w:val="single" w:sz="4" w:space="0" w:color="000000"/>
              <w:bottom w:val="double" w:sz="4" w:space="0" w:color="000000"/>
              <w:right w:val="single" w:sz="4" w:space="0" w:color="000000"/>
            </w:tcBorders>
            <w:vAlign w:val="center"/>
          </w:tcPr>
          <w:p w14:paraId="659B9B9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79" w:type="dxa"/>
            <w:tcBorders>
              <w:top w:val="double" w:sz="4" w:space="0" w:color="000000"/>
              <w:left w:val="single" w:sz="4" w:space="0" w:color="000000"/>
              <w:bottom w:val="double" w:sz="4" w:space="0" w:color="000000"/>
              <w:right w:val="single" w:sz="4" w:space="0" w:color="000000"/>
            </w:tcBorders>
            <w:vAlign w:val="center"/>
          </w:tcPr>
          <w:p w14:paraId="1DAC16D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80" w:type="dxa"/>
            <w:tcBorders>
              <w:top w:val="double" w:sz="4" w:space="0" w:color="000000"/>
              <w:left w:val="single" w:sz="4" w:space="0" w:color="000000"/>
              <w:bottom w:val="double" w:sz="4" w:space="0" w:color="000000"/>
              <w:right w:val="single" w:sz="4" w:space="0" w:color="000000"/>
            </w:tcBorders>
            <w:vAlign w:val="center"/>
          </w:tcPr>
          <w:p w14:paraId="6DF5180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6EA7FA9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F74982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119310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032</w:t>
            </w:r>
          </w:p>
        </w:tc>
        <w:tc>
          <w:tcPr>
            <w:tcW w:w="2977" w:type="dxa"/>
            <w:tcBorders>
              <w:top w:val="double" w:sz="4" w:space="0" w:color="000000"/>
              <w:left w:val="single" w:sz="4" w:space="0" w:color="000000"/>
              <w:bottom w:val="double" w:sz="4" w:space="0" w:color="000000"/>
              <w:right w:val="single" w:sz="4" w:space="0" w:color="000000"/>
            </w:tcBorders>
          </w:tcPr>
          <w:p w14:paraId="4E7B40C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9"/>
                <w:sz w:val="12"/>
                <w:szCs w:val="12"/>
                <w:lang w:val="es-ES"/>
              </w:rPr>
              <w:t xml:space="preserve"> </w:t>
            </w:r>
            <w:proofErr w:type="spellStart"/>
            <w:r>
              <w:rPr>
                <w:rFonts w:ascii="Arial" w:eastAsia="Times New Roman" w:hAnsi="Arial" w:cs="Arial"/>
                <w:sz w:val="12"/>
                <w:szCs w:val="12"/>
                <w:lang w:val="es-ES"/>
              </w:rPr>
              <w:t>Mycobacterium</w:t>
            </w:r>
            <w:proofErr w:type="spellEnd"/>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Tuberculosis</w:t>
            </w:r>
          </w:p>
        </w:tc>
        <w:tc>
          <w:tcPr>
            <w:tcW w:w="779" w:type="dxa"/>
            <w:tcBorders>
              <w:top w:val="double" w:sz="4" w:space="0" w:color="000000"/>
              <w:left w:val="single" w:sz="4" w:space="0" w:color="000000"/>
              <w:bottom w:val="double" w:sz="4" w:space="0" w:color="000000"/>
              <w:right w:val="single" w:sz="4" w:space="0" w:color="000000"/>
            </w:tcBorders>
            <w:vAlign w:val="center"/>
          </w:tcPr>
          <w:p w14:paraId="6970B43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0" w:type="dxa"/>
            <w:tcBorders>
              <w:top w:val="double" w:sz="4" w:space="0" w:color="000000"/>
              <w:left w:val="single" w:sz="4" w:space="0" w:color="000000"/>
              <w:bottom w:val="double" w:sz="4" w:space="0" w:color="000000"/>
              <w:right w:val="single" w:sz="4" w:space="0" w:color="000000"/>
            </w:tcBorders>
            <w:vAlign w:val="center"/>
          </w:tcPr>
          <w:p w14:paraId="23BF468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81" w:type="dxa"/>
            <w:tcBorders>
              <w:top w:val="double" w:sz="4" w:space="0" w:color="000000"/>
              <w:left w:val="single" w:sz="4" w:space="0" w:color="000000"/>
              <w:bottom w:val="double" w:sz="4" w:space="0" w:color="000000"/>
              <w:right w:val="single" w:sz="4" w:space="0" w:color="000000"/>
            </w:tcBorders>
            <w:vAlign w:val="center"/>
          </w:tcPr>
          <w:p w14:paraId="7C007B2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3980B10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19132B5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79" w:type="dxa"/>
            <w:tcBorders>
              <w:top w:val="double" w:sz="4" w:space="0" w:color="000000"/>
              <w:left w:val="single" w:sz="4" w:space="0" w:color="000000"/>
              <w:bottom w:val="double" w:sz="4" w:space="0" w:color="000000"/>
              <w:right w:val="single" w:sz="4" w:space="0" w:color="000000"/>
            </w:tcBorders>
            <w:vAlign w:val="center"/>
          </w:tcPr>
          <w:p w14:paraId="0F72500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8200476" w14:textId="77777777">
        <w:trPr>
          <w:trHeight w:val="977"/>
        </w:trPr>
        <w:tc>
          <w:tcPr>
            <w:tcW w:w="1106" w:type="dxa"/>
            <w:tcBorders>
              <w:top w:val="double" w:sz="4" w:space="0" w:color="000000"/>
              <w:left w:val="single" w:sz="4" w:space="0" w:color="000000"/>
              <w:bottom w:val="double" w:sz="4" w:space="0" w:color="000000"/>
              <w:right w:val="single" w:sz="4" w:space="0" w:color="000000"/>
            </w:tcBorders>
          </w:tcPr>
          <w:p w14:paraId="26FCC1F8"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033</w:t>
            </w:r>
          </w:p>
        </w:tc>
        <w:tc>
          <w:tcPr>
            <w:tcW w:w="2977" w:type="dxa"/>
            <w:tcBorders>
              <w:top w:val="double" w:sz="4" w:space="0" w:color="000000"/>
              <w:left w:val="single" w:sz="4" w:space="0" w:color="000000"/>
              <w:bottom w:val="double" w:sz="4" w:space="0" w:color="000000"/>
              <w:right w:val="single" w:sz="4" w:space="0" w:color="000000"/>
            </w:tcBorders>
          </w:tcPr>
          <w:p w14:paraId="49A9FF5D" w14:textId="77777777" w:rsidR="00D3344B" w:rsidRDefault="00143C25">
            <w:pPr>
              <w:widowControl w:val="0"/>
              <w:suppressAutoHyphens w:val="0"/>
              <w:spacing w:after="0" w:line="240" w:lineRule="auto"/>
              <w:ind w:right="58"/>
              <w:jc w:val="both"/>
              <w:rPr>
                <w:rFonts w:ascii="Arial" w:eastAsia="Times New Roman" w:hAnsi="Arial" w:cs="Arial"/>
                <w:sz w:val="12"/>
                <w:szCs w:val="12"/>
                <w:lang w:val="es-ES"/>
              </w:rPr>
            </w:pPr>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Cutivo</w:t>
            </w:r>
            <w:proofErr w:type="spellEnd"/>
            <w:r>
              <w:rPr>
                <w:rFonts w:ascii="Arial" w:eastAsia="Times New Roman" w:hAnsi="Arial" w:cs="Arial"/>
                <w:sz w:val="12"/>
                <w:szCs w:val="12"/>
                <w:lang w:val="es-ES"/>
              </w:rPr>
              <w:t xml:space="preserve"> de exudado </w:t>
            </w:r>
            <w:proofErr w:type="spellStart"/>
            <w:r>
              <w:rPr>
                <w:rFonts w:ascii="Arial" w:eastAsia="Times New Roman" w:hAnsi="Arial" w:cs="Arial"/>
                <w:sz w:val="12"/>
                <w:szCs w:val="12"/>
                <w:lang w:val="es-ES"/>
              </w:rPr>
              <w:t>cervico</w:t>
            </w:r>
            <w:proofErr w:type="spellEnd"/>
            <w:r>
              <w:rPr>
                <w:rFonts w:ascii="Arial" w:eastAsia="Times New Roman" w:hAnsi="Arial" w:cs="Arial"/>
                <w:sz w:val="12"/>
                <w:szCs w:val="12"/>
                <w:lang w:val="es-ES"/>
              </w:rPr>
              <w:t>-vaginal completo</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(Exudado</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 xml:space="preserve">vaginal, Chlamydia </w:t>
            </w:r>
            <w:proofErr w:type="spellStart"/>
            <w:r>
              <w:rPr>
                <w:rFonts w:ascii="Arial" w:eastAsia="Times New Roman" w:hAnsi="Arial" w:cs="Arial"/>
                <w:sz w:val="12"/>
                <w:szCs w:val="12"/>
                <w:lang w:val="es-ES"/>
              </w:rPr>
              <w:t>trachomatis</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Mycoplasma</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 xml:space="preserve"> y</w:t>
            </w:r>
            <w:r>
              <w:rPr>
                <w:rFonts w:ascii="Arial" w:eastAsia="Times New Roman" w:hAnsi="Arial" w:cs="Arial"/>
                <w:spacing w:val="40"/>
                <w:sz w:val="12"/>
                <w:szCs w:val="12"/>
                <w:lang w:val="es-ES"/>
              </w:rPr>
              <w:t xml:space="preserve"> </w:t>
            </w:r>
            <w:proofErr w:type="spellStart"/>
            <w:r>
              <w:rPr>
                <w:rFonts w:ascii="Arial" w:eastAsia="Times New Roman" w:hAnsi="Arial" w:cs="Arial"/>
                <w:sz w:val="12"/>
                <w:szCs w:val="12"/>
                <w:lang w:val="es-ES"/>
              </w:rPr>
              <w:t>Ureaplasma</w:t>
            </w:r>
            <w:proofErr w:type="spellEnd"/>
            <w:r>
              <w:rPr>
                <w:rFonts w:ascii="Arial" w:eastAsia="Times New Roman" w:hAnsi="Arial" w:cs="Arial"/>
                <w:spacing w:val="-7"/>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19B67C70"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0" w:type="dxa"/>
            <w:tcBorders>
              <w:top w:val="double" w:sz="4" w:space="0" w:color="000000"/>
              <w:left w:val="single" w:sz="4" w:space="0" w:color="000000"/>
              <w:bottom w:val="double" w:sz="4" w:space="0" w:color="000000"/>
              <w:right w:val="single" w:sz="4" w:space="0" w:color="000000"/>
            </w:tcBorders>
            <w:vAlign w:val="center"/>
          </w:tcPr>
          <w:p w14:paraId="08D08C83"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6.25</w:t>
            </w:r>
          </w:p>
        </w:tc>
        <w:tc>
          <w:tcPr>
            <w:tcW w:w="781" w:type="dxa"/>
            <w:tcBorders>
              <w:top w:val="double" w:sz="4" w:space="0" w:color="000000"/>
              <w:left w:val="single" w:sz="4" w:space="0" w:color="000000"/>
              <w:bottom w:val="double" w:sz="4" w:space="0" w:color="000000"/>
              <w:right w:val="single" w:sz="4" w:space="0" w:color="000000"/>
            </w:tcBorders>
            <w:vAlign w:val="center"/>
          </w:tcPr>
          <w:p w14:paraId="43AB3D6E"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1B607583"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80" w:type="dxa"/>
            <w:tcBorders>
              <w:top w:val="double" w:sz="4" w:space="0" w:color="000000"/>
              <w:left w:val="single" w:sz="4" w:space="0" w:color="000000"/>
              <w:bottom w:val="double" w:sz="4" w:space="0" w:color="000000"/>
              <w:right w:val="single" w:sz="4" w:space="0" w:color="000000"/>
            </w:tcBorders>
            <w:vAlign w:val="center"/>
          </w:tcPr>
          <w:p w14:paraId="5E88E02E"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440D2A6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A6D98A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F57FD4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034</w:t>
            </w:r>
          </w:p>
        </w:tc>
        <w:tc>
          <w:tcPr>
            <w:tcW w:w="2977" w:type="dxa"/>
            <w:tcBorders>
              <w:top w:val="double" w:sz="4" w:space="0" w:color="000000"/>
              <w:left w:val="single" w:sz="4" w:space="0" w:color="000000"/>
              <w:bottom w:val="double" w:sz="4" w:space="0" w:color="000000"/>
              <w:right w:val="single" w:sz="4" w:space="0" w:color="000000"/>
            </w:tcBorders>
          </w:tcPr>
          <w:p w14:paraId="3D9D7C6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Hemocultivo</w:t>
            </w:r>
            <w:r>
              <w:rPr>
                <w:rFonts w:ascii="Arial" w:eastAsia="Times New Roman" w:hAnsi="Arial" w:cs="Arial"/>
                <w:spacing w:val="30"/>
                <w:sz w:val="12"/>
                <w:szCs w:val="12"/>
                <w:lang w:val="es-ES"/>
              </w:rPr>
              <w:t xml:space="preserve"> </w:t>
            </w:r>
            <w:r>
              <w:rPr>
                <w:rFonts w:ascii="Arial" w:eastAsia="Times New Roman" w:hAnsi="Arial" w:cs="Arial"/>
                <w:sz w:val="12"/>
                <w:szCs w:val="12"/>
                <w:lang w:val="es-ES"/>
              </w:rPr>
              <w:t>(Frasco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BD</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BACTEC)</w:t>
            </w:r>
          </w:p>
        </w:tc>
        <w:tc>
          <w:tcPr>
            <w:tcW w:w="779" w:type="dxa"/>
            <w:tcBorders>
              <w:top w:val="double" w:sz="4" w:space="0" w:color="000000"/>
              <w:left w:val="single" w:sz="4" w:space="0" w:color="000000"/>
              <w:bottom w:val="double" w:sz="4" w:space="0" w:color="000000"/>
              <w:right w:val="single" w:sz="4" w:space="0" w:color="000000"/>
            </w:tcBorders>
            <w:vAlign w:val="center"/>
          </w:tcPr>
          <w:p w14:paraId="5DB9E71C"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80" w:type="dxa"/>
            <w:tcBorders>
              <w:top w:val="double" w:sz="4" w:space="0" w:color="000000"/>
              <w:left w:val="single" w:sz="4" w:space="0" w:color="000000"/>
              <w:bottom w:val="double" w:sz="4" w:space="0" w:color="000000"/>
              <w:right w:val="single" w:sz="4" w:space="0" w:color="000000"/>
            </w:tcBorders>
            <w:vAlign w:val="center"/>
          </w:tcPr>
          <w:p w14:paraId="3FE414C2"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4.35</w:t>
            </w:r>
          </w:p>
        </w:tc>
        <w:tc>
          <w:tcPr>
            <w:tcW w:w="781" w:type="dxa"/>
            <w:tcBorders>
              <w:top w:val="double" w:sz="4" w:space="0" w:color="000000"/>
              <w:left w:val="single" w:sz="4" w:space="0" w:color="000000"/>
              <w:bottom w:val="double" w:sz="4" w:space="0" w:color="000000"/>
              <w:right w:val="single" w:sz="4" w:space="0" w:color="000000"/>
            </w:tcBorders>
            <w:vAlign w:val="center"/>
          </w:tcPr>
          <w:p w14:paraId="2BFD2C6C"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79" w:type="dxa"/>
            <w:tcBorders>
              <w:top w:val="double" w:sz="4" w:space="0" w:color="000000"/>
              <w:left w:val="single" w:sz="4" w:space="0" w:color="000000"/>
              <w:bottom w:val="double" w:sz="4" w:space="0" w:color="000000"/>
              <w:right w:val="single" w:sz="4" w:space="0" w:color="000000"/>
            </w:tcBorders>
            <w:vAlign w:val="center"/>
          </w:tcPr>
          <w:p w14:paraId="2A9DEBD3"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076CC729"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73212AA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6079931" w14:textId="77777777">
        <w:trPr>
          <w:trHeight w:val="332"/>
        </w:trPr>
        <w:tc>
          <w:tcPr>
            <w:tcW w:w="1106" w:type="dxa"/>
            <w:tcBorders>
              <w:top w:val="double" w:sz="4" w:space="0" w:color="000000"/>
              <w:left w:val="single" w:sz="4" w:space="0" w:color="000000"/>
              <w:bottom w:val="double" w:sz="4" w:space="0" w:color="000000"/>
              <w:right w:val="single" w:sz="4" w:space="0" w:color="000000"/>
            </w:tcBorders>
          </w:tcPr>
          <w:p w14:paraId="398594EF" w14:textId="77777777" w:rsidR="00D3344B" w:rsidRDefault="00143C25">
            <w:pPr>
              <w:widowControl w:val="0"/>
              <w:suppressAutoHyphens w:val="0"/>
              <w:spacing w:before="7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035</w:t>
            </w:r>
          </w:p>
        </w:tc>
        <w:tc>
          <w:tcPr>
            <w:tcW w:w="2977" w:type="dxa"/>
            <w:tcBorders>
              <w:top w:val="double" w:sz="4" w:space="0" w:color="000000"/>
              <w:left w:val="single" w:sz="4" w:space="0" w:color="000000"/>
              <w:bottom w:val="double" w:sz="4" w:space="0" w:color="000000"/>
              <w:right w:val="single" w:sz="4" w:space="0" w:color="000000"/>
            </w:tcBorders>
          </w:tcPr>
          <w:p w14:paraId="54AF67FE" w14:textId="77777777" w:rsidR="00D3344B" w:rsidRDefault="00143C25">
            <w:pPr>
              <w:widowControl w:val="0"/>
              <w:suppressAutoHyphens w:val="0"/>
              <w:spacing w:after="0" w:line="147" w:lineRule="exact"/>
              <w:rPr>
                <w:rFonts w:ascii="Arial" w:eastAsia="Times New Roman" w:hAnsi="Arial" w:cs="Arial"/>
                <w:sz w:val="12"/>
                <w:szCs w:val="12"/>
                <w:lang w:val="es-ES"/>
              </w:rPr>
            </w:pPr>
            <w:r>
              <w:rPr>
                <w:rFonts w:ascii="Arial" w:eastAsia="Times New Roman" w:hAnsi="Arial" w:cs="Arial"/>
                <w:sz w:val="12"/>
                <w:szCs w:val="12"/>
                <w:lang w:val="es-ES"/>
              </w:rPr>
              <w:t>Hemocultivo</w:t>
            </w:r>
            <w:r>
              <w:rPr>
                <w:rFonts w:ascii="Arial" w:eastAsia="Times New Roman" w:hAnsi="Arial" w:cs="Arial"/>
                <w:spacing w:val="60"/>
                <w:sz w:val="12"/>
                <w:szCs w:val="12"/>
                <w:lang w:val="es-ES"/>
              </w:rPr>
              <w:t xml:space="preserve"> </w:t>
            </w:r>
            <w:r>
              <w:rPr>
                <w:rFonts w:ascii="Arial" w:eastAsia="Times New Roman" w:hAnsi="Arial" w:cs="Arial"/>
                <w:sz w:val="12"/>
                <w:szCs w:val="12"/>
                <w:lang w:val="es-ES"/>
              </w:rPr>
              <w:t>(Frasco</w:t>
            </w:r>
            <w:r>
              <w:rPr>
                <w:rFonts w:ascii="Arial" w:eastAsia="Times New Roman" w:hAnsi="Arial" w:cs="Arial"/>
                <w:spacing w:val="60"/>
                <w:sz w:val="12"/>
                <w:szCs w:val="12"/>
                <w:lang w:val="es-ES"/>
              </w:rPr>
              <w:t xml:space="preserve"> </w:t>
            </w:r>
            <w:r>
              <w:rPr>
                <w:rFonts w:ascii="Arial" w:eastAsia="Times New Roman" w:hAnsi="Arial" w:cs="Arial"/>
                <w:sz w:val="12"/>
                <w:szCs w:val="12"/>
                <w:lang w:val="es-ES"/>
              </w:rPr>
              <w:t>BD</w:t>
            </w:r>
            <w:r>
              <w:rPr>
                <w:rFonts w:ascii="Arial" w:eastAsia="Times New Roman" w:hAnsi="Arial" w:cs="Arial"/>
                <w:spacing w:val="61"/>
                <w:sz w:val="12"/>
                <w:szCs w:val="12"/>
                <w:lang w:val="es-ES"/>
              </w:rPr>
              <w:t xml:space="preserve"> </w:t>
            </w:r>
            <w:r>
              <w:rPr>
                <w:rFonts w:ascii="Arial" w:eastAsia="Times New Roman" w:hAnsi="Arial" w:cs="Arial"/>
                <w:sz w:val="12"/>
                <w:szCs w:val="12"/>
                <w:lang w:val="es-ES"/>
              </w:rPr>
              <w:t>BACTEC)</w:t>
            </w:r>
            <w:r>
              <w:rPr>
                <w:rFonts w:ascii="Arial" w:eastAsia="Times New Roman" w:hAnsi="Arial" w:cs="Arial"/>
                <w:spacing w:val="61"/>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63"/>
                <w:sz w:val="12"/>
                <w:szCs w:val="12"/>
                <w:lang w:val="es-ES"/>
              </w:rPr>
              <w:t xml:space="preserve"> </w:t>
            </w:r>
            <w:r>
              <w:rPr>
                <w:rFonts w:ascii="Arial" w:eastAsia="Times New Roman" w:hAnsi="Arial" w:cs="Arial"/>
                <w:spacing w:val="-2"/>
                <w:sz w:val="12"/>
                <w:szCs w:val="12"/>
                <w:lang w:val="es-ES"/>
              </w:rPr>
              <w:t>antibiograma</w:t>
            </w:r>
            <w:r>
              <w:rPr>
                <w:rFonts w:ascii="Arial" w:eastAsia="Times New Roman" w:hAnsi="Arial" w:cs="Arial"/>
                <w:sz w:val="12"/>
                <w:szCs w:val="12"/>
                <w:lang w:val="es-ES"/>
              </w:rPr>
              <w:t xml:space="preserve"> Bauer</w:t>
            </w:r>
            <w:r>
              <w:rPr>
                <w:rFonts w:ascii="Arial" w:eastAsia="Times New Roman" w:hAnsi="Arial" w:cs="Arial"/>
                <w:spacing w:val="-4"/>
                <w:sz w:val="12"/>
                <w:szCs w:val="12"/>
                <w:lang w:val="es-ES"/>
              </w:rPr>
              <w:t xml:space="preserve"> </w:t>
            </w:r>
            <w:proofErr w:type="spellStart"/>
            <w:r>
              <w:rPr>
                <w:rFonts w:ascii="Arial" w:eastAsia="Times New Roman" w:hAnsi="Arial" w:cs="Arial"/>
                <w:spacing w:val="-2"/>
                <w:sz w:val="12"/>
                <w:szCs w:val="12"/>
                <w:lang w:val="es-ES"/>
              </w:rPr>
              <w:t>Kirby</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68356CF0" w14:textId="77777777" w:rsidR="00D3344B" w:rsidRDefault="00143C25">
            <w:pPr>
              <w:widowControl w:val="0"/>
              <w:suppressAutoHyphens w:val="0"/>
              <w:spacing w:before="153"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64A12214" w14:textId="77777777" w:rsidR="00D3344B" w:rsidRDefault="00143C25">
            <w:pPr>
              <w:widowControl w:val="0"/>
              <w:suppressAutoHyphens w:val="0"/>
              <w:spacing w:before="153"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1" w:type="dxa"/>
            <w:tcBorders>
              <w:top w:val="double" w:sz="4" w:space="0" w:color="000000"/>
              <w:left w:val="single" w:sz="4" w:space="0" w:color="000000"/>
              <w:bottom w:val="double" w:sz="4" w:space="0" w:color="000000"/>
              <w:right w:val="single" w:sz="4" w:space="0" w:color="000000"/>
            </w:tcBorders>
            <w:vAlign w:val="center"/>
          </w:tcPr>
          <w:p w14:paraId="14A552E1" w14:textId="77777777" w:rsidR="00D3344B" w:rsidRDefault="00143C25">
            <w:pPr>
              <w:widowControl w:val="0"/>
              <w:suppressAutoHyphens w:val="0"/>
              <w:spacing w:before="153"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79" w:type="dxa"/>
            <w:tcBorders>
              <w:top w:val="double" w:sz="4" w:space="0" w:color="000000"/>
              <w:left w:val="single" w:sz="4" w:space="0" w:color="000000"/>
              <w:bottom w:val="double" w:sz="4" w:space="0" w:color="000000"/>
              <w:right w:val="single" w:sz="4" w:space="0" w:color="000000"/>
            </w:tcBorders>
            <w:vAlign w:val="center"/>
          </w:tcPr>
          <w:p w14:paraId="25692DA6" w14:textId="77777777" w:rsidR="00D3344B" w:rsidRDefault="00143C25">
            <w:pPr>
              <w:widowControl w:val="0"/>
              <w:suppressAutoHyphens w:val="0"/>
              <w:spacing w:before="153"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80" w:type="dxa"/>
            <w:tcBorders>
              <w:top w:val="double" w:sz="4" w:space="0" w:color="000000"/>
              <w:left w:val="single" w:sz="4" w:space="0" w:color="000000"/>
              <w:bottom w:val="double" w:sz="4" w:space="0" w:color="000000"/>
              <w:right w:val="single" w:sz="4" w:space="0" w:color="000000"/>
            </w:tcBorders>
            <w:vAlign w:val="center"/>
          </w:tcPr>
          <w:p w14:paraId="4F08FDB7" w14:textId="77777777" w:rsidR="00D3344B" w:rsidRDefault="00143C25">
            <w:pPr>
              <w:widowControl w:val="0"/>
              <w:suppressAutoHyphens w:val="0"/>
              <w:spacing w:before="153"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79" w:type="dxa"/>
            <w:tcBorders>
              <w:top w:val="double" w:sz="4" w:space="0" w:color="000000"/>
              <w:left w:val="single" w:sz="4" w:space="0" w:color="000000"/>
              <w:bottom w:val="double" w:sz="4" w:space="0" w:color="000000"/>
              <w:right w:val="single" w:sz="4" w:space="0" w:color="000000"/>
            </w:tcBorders>
            <w:vAlign w:val="center"/>
          </w:tcPr>
          <w:p w14:paraId="26FA291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535ADF5"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C8CE95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036</w:t>
            </w:r>
          </w:p>
        </w:tc>
        <w:tc>
          <w:tcPr>
            <w:tcW w:w="2977" w:type="dxa"/>
            <w:tcBorders>
              <w:top w:val="double" w:sz="4" w:space="0" w:color="000000"/>
              <w:left w:val="single" w:sz="4" w:space="0" w:color="000000"/>
              <w:bottom w:val="double" w:sz="4" w:space="0" w:color="000000"/>
              <w:right w:val="single" w:sz="4" w:space="0" w:color="000000"/>
            </w:tcBorders>
          </w:tcPr>
          <w:p w14:paraId="54E0375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microbiológico</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antibiograma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Bauer</w:t>
            </w:r>
            <w:r>
              <w:rPr>
                <w:rFonts w:ascii="Arial" w:eastAsia="Times New Roman" w:hAnsi="Arial" w:cs="Arial"/>
                <w:spacing w:val="-7"/>
                <w:sz w:val="12"/>
                <w:szCs w:val="12"/>
                <w:lang w:val="es-ES"/>
              </w:rPr>
              <w:t xml:space="preserve"> </w:t>
            </w:r>
            <w:proofErr w:type="spellStart"/>
            <w:r>
              <w:rPr>
                <w:rFonts w:ascii="Arial" w:eastAsia="Times New Roman" w:hAnsi="Arial" w:cs="Arial"/>
                <w:spacing w:val="-4"/>
                <w:sz w:val="12"/>
                <w:szCs w:val="12"/>
                <w:lang w:val="es-ES"/>
              </w:rPr>
              <w:t>Kirby</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8B91B0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304E4AA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81" w:type="dxa"/>
            <w:tcBorders>
              <w:top w:val="double" w:sz="4" w:space="0" w:color="000000"/>
              <w:left w:val="single" w:sz="4" w:space="0" w:color="000000"/>
              <w:bottom w:val="double" w:sz="4" w:space="0" w:color="000000"/>
              <w:right w:val="single" w:sz="4" w:space="0" w:color="000000"/>
            </w:tcBorders>
            <w:vAlign w:val="center"/>
          </w:tcPr>
          <w:p w14:paraId="4693FA6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35FB4C8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04B335C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1.35</w:t>
            </w:r>
          </w:p>
        </w:tc>
        <w:tc>
          <w:tcPr>
            <w:tcW w:w="779" w:type="dxa"/>
            <w:tcBorders>
              <w:top w:val="double" w:sz="4" w:space="0" w:color="000000"/>
              <w:left w:val="single" w:sz="4" w:space="0" w:color="000000"/>
              <w:bottom w:val="double" w:sz="4" w:space="0" w:color="000000"/>
              <w:right w:val="single" w:sz="4" w:space="0" w:color="000000"/>
            </w:tcBorders>
            <w:vAlign w:val="center"/>
          </w:tcPr>
          <w:p w14:paraId="6A22D44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80CA8A7"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75F82D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037</w:t>
            </w:r>
          </w:p>
        </w:tc>
        <w:tc>
          <w:tcPr>
            <w:tcW w:w="2977" w:type="dxa"/>
            <w:tcBorders>
              <w:top w:val="double" w:sz="4" w:space="0" w:color="000000"/>
              <w:left w:val="single" w:sz="4" w:space="0" w:color="000000"/>
              <w:bottom w:val="double" w:sz="4" w:space="0" w:color="000000"/>
              <w:right w:val="single" w:sz="4" w:space="0" w:color="000000"/>
            </w:tcBorders>
          </w:tcPr>
          <w:p w14:paraId="762C69F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BACILOSCOPIA</w:t>
            </w:r>
            <w:r>
              <w:rPr>
                <w:rFonts w:ascii="Arial" w:eastAsia="Times New Roman" w:hAnsi="Arial" w:cs="Arial"/>
                <w:spacing w:val="10"/>
                <w:sz w:val="12"/>
                <w:szCs w:val="12"/>
                <w:lang w:val="es-ES"/>
              </w:rPr>
              <w:t xml:space="preserve"> </w:t>
            </w:r>
            <w:r>
              <w:rPr>
                <w:rFonts w:ascii="Arial" w:eastAsia="Times New Roman" w:hAnsi="Arial" w:cs="Arial"/>
                <w:spacing w:val="-5"/>
                <w:sz w:val="12"/>
                <w:szCs w:val="12"/>
                <w:lang w:val="es-ES"/>
              </w:rPr>
              <w:t>3M</w:t>
            </w:r>
          </w:p>
        </w:tc>
        <w:tc>
          <w:tcPr>
            <w:tcW w:w="779" w:type="dxa"/>
            <w:tcBorders>
              <w:top w:val="double" w:sz="4" w:space="0" w:color="000000"/>
              <w:left w:val="single" w:sz="4" w:space="0" w:color="000000"/>
              <w:bottom w:val="double" w:sz="4" w:space="0" w:color="000000"/>
              <w:right w:val="single" w:sz="4" w:space="0" w:color="000000"/>
            </w:tcBorders>
            <w:vAlign w:val="center"/>
          </w:tcPr>
          <w:p w14:paraId="20E946F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0" w:type="dxa"/>
            <w:tcBorders>
              <w:top w:val="double" w:sz="4" w:space="0" w:color="000000"/>
              <w:left w:val="single" w:sz="4" w:space="0" w:color="000000"/>
              <w:bottom w:val="double" w:sz="4" w:space="0" w:color="000000"/>
              <w:right w:val="single" w:sz="4" w:space="0" w:color="000000"/>
            </w:tcBorders>
            <w:vAlign w:val="center"/>
          </w:tcPr>
          <w:p w14:paraId="3053B09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1" w:type="dxa"/>
            <w:tcBorders>
              <w:top w:val="double" w:sz="4" w:space="0" w:color="000000"/>
              <w:left w:val="single" w:sz="4" w:space="0" w:color="000000"/>
              <w:bottom w:val="double" w:sz="4" w:space="0" w:color="000000"/>
              <w:right w:val="single" w:sz="4" w:space="0" w:color="000000"/>
            </w:tcBorders>
            <w:vAlign w:val="center"/>
          </w:tcPr>
          <w:p w14:paraId="15AB7D2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6EED469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0" w:type="dxa"/>
            <w:tcBorders>
              <w:top w:val="double" w:sz="4" w:space="0" w:color="000000"/>
              <w:left w:val="single" w:sz="4" w:space="0" w:color="000000"/>
              <w:bottom w:val="double" w:sz="4" w:space="0" w:color="000000"/>
              <w:right w:val="single" w:sz="4" w:space="0" w:color="000000"/>
            </w:tcBorders>
            <w:vAlign w:val="center"/>
          </w:tcPr>
          <w:p w14:paraId="1FBAE22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5F81F7C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8165344"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38AECA1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038</w:t>
            </w:r>
          </w:p>
        </w:tc>
        <w:tc>
          <w:tcPr>
            <w:tcW w:w="2977" w:type="dxa"/>
            <w:tcBorders>
              <w:top w:val="double" w:sz="4" w:space="0" w:color="000000"/>
              <w:left w:val="single" w:sz="4" w:space="0" w:color="000000"/>
              <w:bottom w:val="double" w:sz="4" w:space="0" w:color="000000"/>
              <w:right w:val="single" w:sz="4" w:space="0" w:color="000000"/>
            </w:tcBorders>
          </w:tcPr>
          <w:p w14:paraId="248B8968" w14:textId="77777777" w:rsidR="00D3344B" w:rsidRDefault="00143C25">
            <w:pPr>
              <w:widowControl w:val="0"/>
              <w:suppressAutoHyphens w:val="0"/>
              <w:spacing w:before="58"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Espermocultivo</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1823255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175C23D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1" w:type="dxa"/>
            <w:tcBorders>
              <w:top w:val="double" w:sz="4" w:space="0" w:color="000000"/>
              <w:left w:val="single" w:sz="4" w:space="0" w:color="000000"/>
              <w:bottom w:val="double" w:sz="4" w:space="0" w:color="000000"/>
              <w:right w:val="single" w:sz="4" w:space="0" w:color="000000"/>
            </w:tcBorders>
            <w:vAlign w:val="center"/>
          </w:tcPr>
          <w:p w14:paraId="44D6DF0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79" w:type="dxa"/>
            <w:tcBorders>
              <w:top w:val="double" w:sz="4" w:space="0" w:color="000000"/>
              <w:left w:val="single" w:sz="4" w:space="0" w:color="000000"/>
              <w:bottom w:val="double" w:sz="4" w:space="0" w:color="000000"/>
              <w:right w:val="single" w:sz="4" w:space="0" w:color="000000"/>
            </w:tcBorders>
            <w:vAlign w:val="center"/>
          </w:tcPr>
          <w:p w14:paraId="0236915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02729E3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22D1F4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82D0BAE" w14:textId="77777777">
        <w:trPr>
          <w:trHeight w:val="706"/>
        </w:trPr>
        <w:tc>
          <w:tcPr>
            <w:tcW w:w="1106" w:type="dxa"/>
            <w:tcBorders>
              <w:top w:val="double" w:sz="4" w:space="0" w:color="000000"/>
              <w:left w:val="single" w:sz="4" w:space="0" w:color="000000"/>
              <w:bottom w:val="double" w:sz="4" w:space="0" w:color="000000"/>
              <w:right w:val="single" w:sz="4" w:space="0" w:color="000000"/>
            </w:tcBorders>
          </w:tcPr>
          <w:p w14:paraId="2B850D72"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039</w:t>
            </w:r>
          </w:p>
        </w:tc>
        <w:tc>
          <w:tcPr>
            <w:tcW w:w="2977" w:type="dxa"/>
            <w:tcBorders>
              <w:top w:val="double" w:sz="4" w:space="0" w:color="000000"/>
              <w:left w:val="single" w:sz="4" w:space="0" w:color="000000"/>
              <w:bottom w:val="double" w:sz="4" w:space="0" w:color="000000"/>
              <w:right w:val="single" w:sz="4" w:space="0" w:color="000000"/>
            </w:tcBorders>
          </w:tcPr>
          <w:p w14:paraId="2A619278" w14:textId="77777777" w:rsidR="00D3344B" w:rsidRDefault="00143C25">
            <w:pPr>
              <w:widowControl w:val="0"/>
              <w:suppressAutoHyphens w:val="0"/>
              <w:spacing w:before="93" w:after="0" w:line="240" w:lineRule="auto"/>
              <w:ind w:right="59"/>
              <w:jc w:val="both"/>
              <w:rPr>
                <w:rFonts w:ascii="Arial" w:eastAsia="Times New Roman" w:hAnsi="Arial" w:cs="Arial"/>
                <w:sz w:val="12"/>
                <w:szCs w:val="12"/>
                <w:lang w:val="es-ES"/>
              </w:rPr>
            </w:pPr>
            <w:proofErr w:type="spellStart"/>
            <w:r>
              <w:rPr>
                <w:rFonts w:ascii="Arial" w:eastAsia="Times New Roman" w:hAnsi="Arial" w:cs="Arial"/>
                <w:sz w:val="12"/>
                <w:szCs w:val="12"/>
                <w:lang w:val="es-ES"/>
              </w:rPr>
              <w:t>Espermocultivo</w:t>
            </w:r>
            <w:proofErr w:type="spellEnd"/>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 xml:space="preserve">2 (Incluye cultivo de </w:t>
            </w:r>
            <w:proofErr w:type="spellStart"/>
            <w:r>
              <w:rPr>
                <w:rFonts w:ascii="Arial" w:eastAsia="Times New Roman" w:hAnsi="Arial" w:cs="Arial"/>
                <w:sz w:val="12"/>
                <w:szCs w:val="12"/>
                <w:lang w:val="es-ES"/>
              </w:rPr>
              <w:t>Mycoplasma</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w:t>
            </w:r>
            <w:r>
              <w:rPr>
                <w:rFonts w:ascii="Arial" w:eastAsia="Times New Roman" w:hAnsi="Arial" w:cs="Arial"/>
                <w:spacing w:val="40"/>
                <w:sz w:val="12"/>
                <w:szCs w:val="12"/>
                <w:lang w:val="es-ES"/>
              </w:rPr>
              <w:t xml:space="preserve"> </w:t>
            </w:r>
            <w:proofErr w:type="spellStart"/>
            <w:r>
              <w:rPr>
                <w:rFonts w:ascii="Arial" w:eastAsia="Times New Roman" w:hAnsi="Arial" w:cs="Arial"/>
                <w:sz w:val="12"/>
                <w:szCs w:val="12"/>
                <w:lang w:val="es-ES"/>
              </w:rPr>
              <w:t>Ureaplasma</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 xml:space="preserve">. Y </w:t>
            </w:r>
            <w:proofErr w:type="spellStart"/>
            <w:r>
              <w:rPr>
                <w:rFonts w:ascii="Arial" w:eastAsia="Times New Roman" w:hAnsi="Arial" w:cs="Arial"/>
                <w:sz w:val="12"/>
                <w:szCs w:val="12"/>
                <w:lang w:val="es-ES"/>
              </w:rPr>
              <w:t>busqueda</w:t>
            </w:r>
            <w:proofErr w:type="spellEnd"/>
            <w:r>
              <w:rPr>
                <w:rFonts w:ascii="Arial" w:eastAsia="Times New Roman" w:hAnsi="Arial" w:cs="Arial"/>
                <w:sz w:val="12"/>
                <w:szCs w:val="12"/>
                <w:lang w:val="es-ES"/>
              </w:rPr>
              <w:t xml:space="preserve"> de Chlamydia </w:t>
            </w:r>
            <w:proofErr w:type="spellStart"/>
            <w:r>
              <w:rPr>
                <w:rFonts w:ascii="Arial" w:eastAsia="Times New Roman" w:hAnsi="Arial" w:cs="Arial"/>
                <w:sz w:val="12"/>
                <w:szCs w:val="12"/>
                <w:lang w:val="es-ES"/>
              </w:rPr>
              <w:t>trachomatis</w:t>
            </w:r>
            <w:proofErr w:type="spellEnd"/>
            <w:r>
              <w:rPr>
                <w:rFonts w:ascii="Arial" w:eastAsia="Times New Roman" w:hAnsi="Arial" w:cs="Arial"/>
                <w:sz w:val="12"/>
                <w:szCs w:val="12"/>
                <w:lang w:val="es-ES"/>
              </w:rPr>
              <w:t xml:space="preserve"> por</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inmunofluorescencia)</w:t>
            </w:r>
          </w:p>
        </w:tc>
        <w:tc>
          <w:tcPr>
            <w:tcW w:w="779" w:type="dxa"/>
            <w:tcBorders>
              <w:top w:val="double" w:sz="4" w:space="0" w:color="000000"/>
              <w:left w:val="single" w:sz="4" w:space="0" w:color="000000"/>
              <w:bottom w:val="double" w:sz="4" w:space="0" w:color="000000"/>
              <w:right w:val="single" w:sz="4" w:space="0" w:color="000000"/>
            </w:tcBorders>
            <w:vAlign w:val="center"/>
          </w:tcPr>
          <w:p w14:paraId="7C3CD4DD"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6.25</w:t>
            </w:r>
          </w:p>
        </w:tc>
        <w:tc>
          <w:tcPr>
            <w:tcW w:w="780" w:type="dxa"/>
            <w:tcBorders>
              <w:top w:val="double" w:sz="4" w:space="0" w:color="000000"/>
              <w:left w:val="single" w:sz="4" w:space="0" w:color="000000"/>
              <w:bottom w:val="double" w:sz="4" w:space="0" w:color="000000"/>
              <w:right w:val="single" w:sz="4" w:space="0" w:color="000000"/>
            </w:tcBorders>
            <w:vAlign w:val="center"/>
          </w:tcPr>
          <w:p w14:paraId="44BF293B"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1" w:type="dxa"/>
            <w:tcBorders>
              <w:top w:val="double" w:sz="4" w:space="0" w:color="000000"/>
              <w:left w:val="single" w:sz="4" w:space="0" w:color="000000"/>
              <w:bottom w:val="double" w:sz="4" w:space="0" w:color="000000"/>
              <w:right w:val="single" w:sz="4" w:space="0" w:color="000000"/>
            </w:tcBorders>
            <w:vAlign w:val="center"/>
          </w:tcPr>
          <w:p w14:paraId="749D9B84"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79" w:type="dxa"/>
            <w:tcBorders>
              <w:top w:val="double" w:sz="4" w:space="0" w:color="000000"/>
              <w:left w:val="single" w:sz="4" w:space="0" w:color="000000"/>
              <w:bottom w:val="double" w:sz="4" w:space="0" w:color="000000"/>
              <w:right w:val="single" w:sz="4" w:space="0" w:color="000000"/>
            </w:tcBorders>
            <w:vAlign w:val="center"/>
          </w:tcPr>
          <w:p w14:paraId="5D64040C"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5.30</w:t>
            </w:r>
          </w:p>
        </w:tc>
        <w:tc>
          <w:tcPr>
            <w:tcW w:w="780" w:type="dxa"/>
            <w:tcBorders>
              <w:top w:val="double" w:sz="4" w:space="0" w:color="000000"/>
              <w:left w:val="single" w:sz="4" w:space="0" w:color="000000"/>
              <w:bottom w:val="double" w:sz="4" w:space="0" w:color="000000"/>
              <w:right w:val="single" w:sz="4" w:space="0" w:color="000000"/>
            </w:tcBorders>
            <w:vAlign w:val="center"/>
          </w:tcPr>
          <w:p w14:paraId="60FC2C2E"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4537C92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808493D" w14:textId="77777777">
        <w:trPr>
          <w:trHeight w:val="706"/>
        </w:trPr>
        <w:tc>
          <w:tcPr>
            <w:tcW w:w="1106" w:type="dxa"/>
            <w:tcBorders>
              <w:top w:val="double" w:sz="4" w:space="0" w:color="000000"/>
              <w:left w:val="single" w:sz="4" w:space="0" w:color="000000"/>
              <w:bottom w:val="double" w:sz="4" w:space="0" w:color="000000"/>
              <w:right w:val="single" w:sz="4" w:space="0" w:color="000000"/>
            </w:tcBorders>
          </w:tcPr>
          <w:p w14:paraId="4325C743"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lastRenderedPageBreak/>
              <w:t xml:space="preserve"> </w:t>
            </w: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040</w:t>
            </w:r>
          </w:p>
        </w:tc>
        <w:tc>
          <w:tcPr>
            <w:tcW w:w="2977" w:type="dxa"/>
            <w:tcBorders>
              <w:top w:val="double" w:sz="4" w:space="0" w:color="000000"/>
              <w:left w:val="single" w:sz="4" w:space="0" w:color="000000"/>
              <w:bottom w:val="double" w:sz="4" w:space="0" w:color="000000"/>
              <w:right w:val="single" w:sz="4" w:space="0" w:color="000000"/>
            </w:tcBorders>
          </w:tcPr>
          <w:p w14:paraId="1B5A1FE5" w14:textId="77777777" w:rsidR="00D3344B" w:rsidRDefault="00143C25">
            <w:pPr>
              <w:widowControl w:val="0"/>
              <w:suppressAutoHyphens w:val="0"/>
              <w:spacing w:before="93" w:after="0" w:line="240" w:lineRule="auto"/>
              <w:ind w:right="57"/>
              <w:jc w:val="both"/>
              <w:rPr>
                <w:rFonts w:ascii="Arial" w:eastAsia="Times New Roman" w:hAnsi="Arial" w:cs="Arial"/>
                <w:sz w:val="12"/>
                <w:szCs w:val="12"/>
                <w:lang w:val="es-ES"/>
              </w:rPr>
            </w:pPr>
            <w:r>
              <w:rPr>
                <w:rFonts w:ascii="Arial" w:eastAsia="Times New Roman" w:hAnsi="Arial" w:cs="Arial"/>
                <w:sz w:val="12"/>
                <w:szCs w:val="12"/>
                <w:lang w:val="es-ES"/>
              </w:rPr>
              <w:t xml:space="preserve">Exudado uretral 2 (Incluye cultivo de </w:t>
            </w:r>
            <w:proofErr w:type="spellStart"/>
            <w:r>
              <w:rPr>
                <w:rFonts w:ascii="Arial" w:eastAsia="Times New Roman" w:hAnsi="Arial" w:cs="Arial"/>
                <w:sz w:val="12"/>
                <w:szCs w:val="12"/>
                <w:lang w:val="es-ES"/>
              </w:rPr>
              <w:t>Mycoplasma</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w:t>
            </w:r>
            <w:r>
              <w:rPr>
                <w:rFonts w:ascii="Arial" w:eastAsia="Times New Roman" w:hAnsi="Arial" w:cs="Arial"/>
                <w:spacing w:val="40"/>
                <w:sz w:val="12"/>
                <w:szCs w:val="12"/>
                <w:lang w:val="es-ES"/>
              </w:rPr>
              <w:t xml:space="preserve"> </w:t>
            </w:r>
            <w:proofErr w:type="spellStart"/>
            <w:r>
              <w:rPr>
                <w:rFonts w:ascii="Arial" w:eastAsia="Times New Roman" w:hAnsi="Arial" w:cs="Arial"/>
                <w:sz w:val="12"/>
                <w:szCs w:val="12"/>
                <w:lang w:val="es-ES"/>
              </w:rPr>
              <w:t>Ureaplasma</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sp</w:t>
            </w:r>
            <w:proofErr w:type="spellEnd"/>
            <w:r>
              <w:rPr>
                <w:rFonts w:ascii="Arial" w:eastAsia="Times New Roman" w:hAnsi="Arial" w:cs="Arial"/>
                <w:sz w:val="12"/>
                <w:szCs w:val="12"/>
                <w:lang w:val="es-ES"/>
              </w:rPr>
              <w:t xml:space="preserve">. Y </w:t>
            </w:r>
            <w:proofErr w:type="spellStart"/>
            <w:r>
              <w:rPr>
                <w:rFonts w:ascii="Arial" w:eastAsia="Times New Roman" w:hAnsi="Arial" w:cs="Arial"/>
                <w:sz w:val="12"/>
                <w:szCs w:val="12"/>
                <w:lang w:val="es-ES"/>
              </w:rPr>
              <w:t>busqueda</w:t>
            </w:r>
            <w:proofErr w:type="spellEnd"/>
            <w:r>
              <w:rPr>
                <w:rFonts w:ascii="Arial" w:eastAsia="Times New Roman" w:hAnsi="Arial" w:cs="Arial"/>
                <w:sz w:val="12"/>
                <w:szCs w:val="12"/>
                <w:lang w:val="es-ES"/>
              </w:rPr>
              <w:t xml:space="preserve"> de Chlamydia </w:t>
            </w:r>
            <w:proofErr w:type="spellStart"/>
            <w:r>
              <w:rPr>
                <w:rFonts w:ascii="Arial" w:eastAsia="Times New Roman" w:hAnsi="Arial" w:cs="Arial"/>
                <w:sz w:val="12"/>
                <w:szCs w:val="12"/>
                <w:lang w:val="es-ES"/>
              </w:rPr>
              <w:t>trachomatis</w:t>
            </w:r>
            <w:proofErr w:type="spellEnd"/>
            <w:r>
              <w:rPr>
                <w:rFonts w:ascii="Arial" w:eastAsia="Times New Roman" w:hAnsi="Arial" w:cs="Arial"/>
                <w:sz w:val="12"/>
                <w:szCs w:val="12"/>
                <w:lang w:val="es-ES"/>
              </w:rPr>
              <w:t xml:space="preserve"> por</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inmunofluorescencia)</w:t>
            </w:r>
          </w:p>
        </w:tc>
        <w:tc>
          <w:tcPr>
            <w:tcW w:w="779" w:type="dxa"/>
            <w:tcBorders>
              <w:top w:val="double" w:sz="4" w:space="0" w:color="000000"/>
              <w:left w:val="single" w:sz="4" w:space="0" w:color="000000"/>
              <w:bottom w:val="double" w:sz="4" w:space="0" w:color="000000"/>
              <w:right w:val="single" w:sz="4" w:space="0" w:color="000000"/>
            </w:tcBorders>
            <w:vAlign w:val="center"/>
          </w:tcPr>
          <w:p w14:paraId="6B8663C3"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6.25</w:t>
            </w:r>
          </w:p>
        </w:tc>
        <w:tc>
          <w:tcPr>
            <w:tcW w:w="780" w:type="dxa"/>
            <w:tcBorders>
              <w:top w:val="double" w:sz="4" w:space="0" w:color="000000"/>
              <w:left w:val="single" w:sz="4" w:space="0" w:color="000000"/>
              <w:bottom w:val="double" w:sz="4" w:space="0" w:color="000000"/>
              <w:right w:val="single" w:sz="4" w:space="0" w:color="000000"/>
            </w:tcBorders>
            <w:vAlign w:val="center"/>
          </w:tcPr>
          <w:p w14:paraId="1DAE2C4C"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1" w:type="dxa"/>
            <w:tcBorders>
              <w:top w:val="double" w:sz="4" w:space="0" w:color="000000"/>
              <w:left w:val="single" w:sz="4" w:space="0" w:color="000000"/>
              <w:bottom w:val="double" w:sz="4" w:space="0" w:color="000000"/>
              <w:right w:val="single" w:sz="4" w:space="0" w:color="000000"/>
            </w:tcBorders>
            <w:vAlign w:val="center"/>
          </w:tcPr>
          <w:p w14:paraId="3DE62E36"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79" w:type="dxa"/>
            <w:tcBorders>
              <w:top w:val="double" w:sz="4" w:space="0" w:color="000000"/>
              <w:left w:val="single" w:sz="4" w:space="0" w:color="000000"/>
              <w:bottom w:val="double" w:sz="4" w:space="0" w:color="000000"/>
              <w:right w:val="single" w:sz="4" w:space="0" w:color="000000"/>
            </w:tcBorders>
            <w:vAlign w:val="center"/>
          </w:tcPr>
          <w:p w14:paraId="428795D9"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5.30</w:t>
            </w:r>
          </w:p>
        </w:tc>
        <w:tc>
          <w:tcPr>
            <w:tcW w:w="780" w:type="dxa"/>
            <w:tcBorders>
              <w:top w:val="double" w:sz="4" w:space="0" w:color="000000"/>
              <w:left w:val="single" w:sz="4" w:space="0" w:color="000000"/>
              <w:bottom w:val="double" w:sz="4" w:space="0" w:color="000000"/>
              <w:right w:val="single" w:sz="4" w:space="0" w:color="000000"/>
            </w:tcBorders>
            <w:vAlign w:val="center"/>
          </w:tcPr>
          <w:p w14:paraId="668C8391" w14:textId="77777777" w:rsidR="00D3344B" w:rsidRDefault="00143C25">
            <w:pPr>
              <w:widowControl w:val="0"/>
              <w:suppressAutoHyphens w:val="0"/>
              <w:spacing w:before="114"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37A0346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1E1CFC9" w14:textId="77777777">
        <w:trPr>
          <w:trHeight w:val="226"/>
        </w:trPr>
        <w:tc>
          <w:tcPr>
            <w:tcW w:w="1106" w:type="dxa"/>
            <w:tcBorders>
              <w:top w:val="double" w:sz="4" w:space="0" w:color="000000"/>
              <w:left w:val="single" w:sz="4" w:space="0" w:color="000000"/>
              <w:bottom w:val="double" w:sz="4" w:space="0" w:color="000000"/>
              <w:right w:val="single" w:sz="4" w:space="0" w:color="000000"/>
            </w:tcBorders>
          </w:tcPr>
          <w:p w14:paraId="10EE6482" w14:textId="77777777" w:rsidR="00D3344B" w:rsidRDefault="00143C25">
            <w:pPr>
              <w:widowControl w:val="0"/>
              <w:suppressAutoHyphens w:val="0"/>
              <w:spacing w:before="59" w:after="0" w:line="147" w:lineRule="exact"/>
              <w:rPr>
                <w:rFonts w:ascii="Arial" w:eastAsia="Times New Roman" w:hAnsi="Arial" w:cs="Arial"/>
                <w:sz w:val="12"/>
                <w:szCs w:val="12"/>
                <w:lang w:val="es-ES"/>
              </w:rPr>
            </w:pPr>
            <w:r>
              <w:rPr>
                <w:rFonts w:ascii="Arial" w:eastAsia="Times New Roman" w:hAnsi="Arial" w:cs="Arial"/>
                <w:spacing w:val="-2"/>
                <w:sz w:val="12"/>
                <w:szCs w:val="12"/>
                <w:lang w:val="es-ES"/>
              </w:rPr>
              <w:t>03-CB-</w:t>
            </w:r>
            <w:r>
              <w:rPr>
                <w:rFonts w:ascii="Arial" w:eastAsia="Times New Roman" w:hAnsi="Arial" w:cs="Arial"/>
                <w:spacing w:val="-5"/>
                <w:sz w:val="12"/>
                <w:szCs w:val="12"/>
                <w:lang w:val="es-ES"/>
              </w:rPr>
              <w:t>041</w:t>
            </w:r>
          </w:p>
        </w:tc>
        <w:tc>
          <w:tcPr>
            <w:tcW w:w="2977" w:type="dxa"/>
            <w:tcBorders>
              <w:top w:val="double" w:sz="4" w:space="0" w:color="000000"/>
              <w:left w:val="single" w:sz="4" w:space="0" w:color="000000"/>
              <w:bottom w:val="double" w:sz="4" w:space="0" w:color="000000"/>
              <w:right w:val="single" w:sz="4" w:space="0" w:color="000000"/>
            </w:tcBorders>
          </w:tcPr>
          <w:p w14:paraId="24927D4F" w14:textId="77777777" w:rsidR="00D3344B" w:rsidRDefault="00143C25">
            <w:pPr>
              <w:widowControl w:val="0"/>
              <w:suppressAutoHyphens w:val="0"/>
              <w:spacing w:before="59" w:after="0" w:line="147" w:lineRule="exact"/>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antibiograma</w:t>
            </w:r>
          </w:p>
        </w:tc>
        <w:tc>
          <w:tcPr>
            <w:tcW w:w="779" w:type="dxa"/>
            <w:tcBorders>
              <w:top w:val="double" w:sz="4" w:space="0" w:color="000000"/>
              <w:left w:val="single" w:sz="4" w:space="0" w:color="000000"/>
              <w:bottom w:val="double" w:sz="4" w:space="0" w:color="000000"/>
              <w:right w:val="single" w:sz="4" w:space="0" w:color="000000"/>
            </w:tcBorders>
            <w:vAlign w:val="center"/>
          </w:tcPr>
          <w:p w14:paraId="22DE0E60" w14:textId="77777777" w:rsidR="00D3344B" w:rsidRDefault="00143C25">
            <w:pPr>
              <w:widowControl w:val="0"/>
              <w:suppressAutoHyphens w:val="0"/>
              <w:spacing w:before="4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3BDA4813" w14:textId="77777777" w:rsidR="00D3344B" w:rsidRDefault="00143C25">
            <w:pPr>
              <w:widowControl w:val="0"/>
              <w:suppressAutoHyphens w:val="0"/>
              <w:spacing w:before="4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1" w:type="dxa"/>
            <w:tcBorders>
              <w:top w:val="double" w:sz="4" w:space="0" w:color="000000"/>
              <w:left w:val="single" w:sz="4" w:space="0" w:color="000000"/>
              <w:bottom w:val="double" w:sz="4" w:space="0" w:color="000000"/>
              <w:right w:val="single" w:sz="4" w:space="0" w:color="000000"/>
            </w:tcBorders>
            <w:vAlign w:val="center"/>
          </w:tcPr>
          <w:p w14:paraId="400BDA84" w14:textId="77777777" w:rsidR="00D3344B" w:rsidRDefault="00143C25">
            <w:pPr>
              <w:widowControl w:val="0"/>
              <w:suppressAutoHyphens w:val="0"/>
              <w:spacing w:before="4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79" w:type="dxa"/>
            <w:tcBorders>
              <w:top w:val="double" w:sz="4" w:space="0" w:color="000000"/>
              <w:left w:val="single" w:sz="4" w:space="0" w:color="000000"/>
              <w:bottom w:val="double" w:sz="4" w:space="0" w:color="000000"/>
              <w:right w:val="single" w:sz="4" w:space="0" w:color="000000"/>
            </w:tcBorders>
            <w:vAlign w:val="center"/>
          </w:tcPr>
          <w:p w14:paraId="21CADD16" w14:textId="77777777" w:rsidR="00D3344B" w:rsidRDefault="00143C25">
            <w:pPr>
              <w:widowControl w:val="0"/>
              <w:suppressAutoHyphens w:val="0"/>
              <w:spacing w:before="4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7E905461" w14:textId="77777777" w:rsidR="00D3344B" w:rsidRDefault="00143C25">
            <w:pPr>
              <w:widowControl w:val="0"/>
              <w:suppressAutoHyphens w:val="0"/>
              <w:spacing w:before="4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020200B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A0DA25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EED160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03-EF-</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1874053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Inmunofluorescencia</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para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Chlamydia</w:t>
            </w:r>
            <w:r>
              <w:rPr>
                <w:rFonts w:ascii="Arial" w:eastAsia="Times New Roman" w:hAnsi="Arial" w:cs="Arial"/>
                <w:spacing w:val="-8"/>
                <w:sz w:val="12"/>
                <w:szCs w:val="12"/>
                <w:lang w:val="es-ES"/>
              </w:rPr>
              <w:t xml:space="preserve"> </w:t>
            </w:r>
            <w:proofErr w:type="spellStart"/>
            <w:r>
              <w:rPr>
                <w:rFonts w:ascii="Arial" w:eastAsia="Times New Roman" w:hAnsi="Arial" w:cs="Arial"/>
                <w:spacing w:val="-2"/>
                <w:sz w:val="12"/>
                <w:szCs w:val="12"/>
                <w:lang w:val="es-ES"/>
              </w:rPr>
              <w:t>trachomatis</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5F982D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401E881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1" w:type="dxa"/>
            <w:tcBorders>
              <w:top w:val="double" w:sz="4" w:space="0" w:color="000000"/>
              <w:left w:val="single" w:sz="4" w:space="0" w:color="000000"/>
              <w:bottom w:val="double" w:sz="4" w:space="0" w:color="000000"/>
              <w:right w:val="single" w:sz="4" w:space="0" w:color="000000"/>
            </w:tcBorders>
            <w:vAlign w:val="center"/>
          </w:tcPr>
          <w:p w14:paraId="6E56D2F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13E7F89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45388EC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25CB0F1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3363C0D"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818DE8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6D1DF0D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bacteriológico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superficies</w:t>
            </w:r>
          </w:p>
        </w:tc>
        <w:tc>
          <w:tcPr>
            <w:tcW w:w="779" w:type="dxa"/>
            <w:tcBorders>
              <w:top w:val="double" w:sz="4" w:space="0" w:color="000000"/>
              <w:left w:val="single" w:sz="4" w:space="0" w:color="000000"/>
              <w:bottom w:val="double" w:sz="4" w:space="0" w:color="000000"/>
              <w:right w:val="single" w:sz="4" w:space="0" w:color="000000"/>
            </w:tcBorders>
            <w:vAlign w:val="center"/>
          </w:tcPr>
          <w:p w14:paraId="30ACE4B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73CFD38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06F34DC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3EFB432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484B042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0EC459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B84D366"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2AA66C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6E36FF5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11"/>
                <w:sz w:val="12"/>
                <w:szCs w:val="12"/>
                <w:lang w:val="es-ES"/>
              </w:rPr>
              <w:t xml:space="preserve"> </w:t>
            </w:r>
            <w:r>
              <w:rPr>
                <w:rFonts w:ascii="Arial" w:eastAsia="Times New Roman" w:hAnsi="Arial" w:cs="Arial"/>
                <w:sz w:val="12"/>
                <w:szCs w:val="12"/>
                <w:lang w:val="es-ES"/>
              </w:rPr>
              <w:t>bacteriológico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manos</w:t>
            </w:r>
          </w:p>
        </w:tc>
        <w:tc>
          <w:tcPr>
            <w:tcW w:w="779" w:type="dxa"/>
            <w:tcBorders>
              <w:top w:val="double" w:sz="4" w:space="0" w:color="000000"/>
              <w:left w:val="single" w:sz="4" w:space="0" w:color="000000"/>
              <w:bottom w:val="double" w:sz="4" w:space="0" w:color="000000"/>
              <w:right w:val="single" w:sz="4" w:space="0" w:color="000000"/>
            </w:tcBorders>
            <w:vAlign w:val="center"/>
          </w:tcPr>
          <w:p w14:paraId="4EEF23B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473A25C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1CC83EA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4917593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1FC66BB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A1E67E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F778018"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1AEB8A9"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36EF059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bacteriológico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soluciones</w:t>
            </w:r>
          </w:p>
        </w:tc>
        <w:tc>
          <w:tcPr>
            <w:tcW w:w="779" w:type="dxa"/>
            <w:tcBorders>
              <w:top w:val="double" w:sz="4" w:space="0" w:color="000000"/>
              <w:left w:val="single" w:sz="4" w:space="0" w:color="000000"/>
              <w:bottom w:val="double" w:sz="4" w:space="0" w:color="000000"/>
              <w:right w:val="single" w:sz="4" w:space="0" w:color="000000"/>
            </w:tcBorders>
            <w:vAlign w:val="center"/>
          </w:tcPr>
          <w:p w14:paraId="0AB6FFD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2981067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55E0C6C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2B36ED8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75432C1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2CFF0BE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1D0145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3679EBE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004</w:t>
            </w:r>
          </w:p>
        </w:tc>
        <w:tc>
          <w:tcPr>
            <w:tcW w:w="2977" w:type="dxa"/>
            <w:tcBorders>
              <w:top w:val="double" w:sz="4" w:space="0" w:color="000000"/>
              <w:left w:val="single" w:sz="4" w:space="0" w:color="000000"/>
              <w:bottom w:val="double" w:sz="4" w:space="0" w:color="000000"/>
              <w:right w:val="single" w:sz="4" w:space="0" w:color="000000"/>
            </w:tcBorders>
          </w:tcPr>
          <w:p w14:paraId="7E5B552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1"/>
                <w:sz w:val="12"/>
                <w:szCs w:val="12"/>
                <w:lang w:val="es-ES"/>
              </w:rPr>
              <w:t xml:space="preserve"> </w:t>
            </w:r>
            <w:r>
              <w:rPr>
                <w:rFonts w:ascii="Arial" w:eastAsia="Times New Roman" w:hAnsi="Arial" w:cs="Arial"/>
                <w:spacing w:val="-2"/>
                <w:sz w:val="12"/>
                <w:szCs w:val="12"/>
                <w:lang w:val="es-ES"/>
              </w:rPr>
              <w:t>Aerobios</w:t>
            </w:r>
          </w:p>
        </w:tc>
        <w:tc>
          <w:tcPr>
            <w:tcW w:w="779" w:type="dxa"/>
            <w:tcBorders>
              <w:top w:val="double" w:sz="4" w:space="0" w:color="000000"/>
              <w:left w:val="single" w:sz="4" w:space="0" w:color="000000"/>
              <w:bottom w:val="double" w:sz="4" w:space="0" w:color="000000"/>
              <w:right w:val="single" w:sz="4" w:space="0" w:color="000000"/>
            </w:tcBorders>
            <w:vAlign w:val="center"/>
          </w:tcPr>
          <w:p w14:paraId="10DDC1E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2663CE5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5DEFFE9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5B0744B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40E41A7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9D815F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4AD7C4F"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66A9963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005</w:t>
            </w:r>
          </w:p>
        </w:tc>
        <w:tc>
          <w:tcPr>
            <w:tcW w:w="2977" w:type="dxa"/>
            <w:tcBorders>
              <w:top w:val="double" w:sz="4" w:space="0" w:color="000000"/>
              <w:left w:val="single" w:sz="4" w:space="0" w:color="000000"/>
              <w:bottom w:val="double" w:sz="4" w:space="0" w:color="000000"/>
              <w:right w:val="single" w:sz="4" w:space="0" w:color="000000"/>
            </w:tcBorders>
          </w:tcPr>
          <w:p w14:paraId="12F392F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Aerobios</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Anaerobios</w:t>
            </w:r>
          </w:p>
        </w:tc>
        <w:tc>
          <w:tcPr>
            <w:tcW w:w="779" w:type="dxa"/>
            <w:tcBorders>
              <w:top w:val="double" w:sz="4" w:space="0" w:color="000000"/>
              <w:left w:val="single" w:sz="4" w:space="0" w:color="000000"/>
              <w:bottom w:val="double" w:sz="4" w:space="0" w:color="000000"/>
              <w:right w:val="single" w:sz="4" w:space="0" w:color="000000"/>
            </w:tcBorders>
            <w:vAlign w:val="center"/>
          </w:tcPr>
          <w:p w14:paraId="255909C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63D91C8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1B27CC2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79" w:type="dxa"/>
            <w:tcBorders>
              <w:top w:val="double" w:sz="4" w:space="0" w:color="000000"/>
              <w:left w:val="single" w:sz="4" w:space="0" w:color="000000"/>
              <w:bottom w:val="double" w:sz="4" w:space="0" w:color="000000"/>
              <w:right w:val="single" w:sz="4" w:space="0" w:color="000000"/>
            </w:tcBorders>
            <w:vAlign w:val="center"/>
          </w:tcPr>
          <w:p w14:paraId="60CF794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126BE6A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507CF41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977AE4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E86CDF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03-IN-</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44998DA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Cultivo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1"/>
                <w:sz w:val="12"/>
                <w:szCs w:val="12"/>
                <w:lang w:val="es-ES"/>
              </w:rPr>
              <w:t xml:space="preserve"> </w:t>
            </w:r>
            <w:r>
              <w:rPr>
                <w:rFonts w:ascii="Arial" w:eastAsia="Times New Roman" w:hAnsi="Arial" w:cs="Arial"/>
                <w:spacing w:val="-2"/>
                <w:sz w:val="12"/>
                <w:szCs w:val="12"/>
                <w:lang w:val="es-ES"/>
              </w:rPr>
              <w:t>Anaerobios</w:t>
            </w:r>
          </w:p>
        </w:tc>
        <w:tc>
          <w:tcPr>
            <w:tcW w:w="779" w:type="dxa"/>
            <w:tcBorders>
              <w:top w:val="double" w:sz="4" w:space="0" w:color="000000"/>
              <w:left w:val="single" w:sz="4" w:space="0" w:color="000000"/>
              <w:bottom w:val="double" w:sz="4" w:space="0" w:color="000000"/>
              <w:right w:val="single" w:sz="4" w:space="0" w:color="000000"/>
            </w:tcBorders>
            <w:vAlign w:val="center"/>
          </w:tcPr>
          <w:p w14:paraId="51DCD7D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2050996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4F1A303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79" w:type="dxa"/>
            <w:tcBorders>
              <w:top w:val="double" w:sz="4" w:space="0" w:color="000000"/>
              <w:left w:val="single" w:sz="4" w:space="0" w:color="000000"/>
              <w:bottom w:val="double" w:sz="4" w:space="0" w:color="000000"/>
              <w:right w:val="single" w:sz="4" w:space="0" w:color="000000"/>
            </w:tcBorders>
            <w:vAlign w:val="center"/>
          </w:tcPr>
          <w:p w14:paraId="3AB90E2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68614D1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77D6E0B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170DE3" w14:textId="77777777">
        <w:trPr>
          <w:trHeight w:val="366"/>
        </w:trPr>
        <w:tc>
          <w:tcPr>
            <w:tcW w:w="1106" w:type="dxa"/>
            <w:tcBorders>
              <w:top w:val="double" w:sz="4" w:space="0" w:color="000000"/>
              <w:left w:val="single" w:sz="4" w:space="0" w:color="000000"/>
              <w:bottom w:val="double" w:sz="4" w:space="0" w:color="000000"/>
              <w:right w:val="single" w:sz="4" w:space="0" w:color="000000"/>
            </w:tcBorders>
          </w:tcPr>
          <w:p w14:paraId="4F651BD4" w14:textId="77777777" w:rsidR="00D3344B" w:rsidRDefault="00143C25">
            <w:pPr>
              <w:widowControl w:val="0"/>
              <w:suppressAutoHyphens w:val="0"/>
              <w:spacing w:before="9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03-PCR-</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74E96589" w14:textId="77777777" w:rsidR="00D3344B" w:rsidRDefault="00143C25">
            <w:pPr>
              <w:widowControl w:val="0"/>
              <w:suppressAutoHyphens w:val="0"/>
              <w:spacing w:before="95" w:after="0" w:line="240" w:lineRule="auto"/>
              <w:rPr>
                <w:rFonts w:ascii="Arial" w:eastAsia="Times New Roman" w:hAnsi="Arial" w:cs="Arial"/>
                <w:sz w:val="12"/>
                <w:szCs w:val="12"/>
                <w:lang w:val="es-ES"/>
              </w:rPr>
            </w:pPr>
            <w:r>
              <w:rPr>
                <w:rFonts w:ascii="Arial" w:eastAsia="Times New Roman" w:hAnsi="Arial" w:cs="Arial"/>
                <w:sz w:val="12"/>
                <w:szCs w:val="12"/>
                <w:lang w:val="es-ES"/>
              </w:rPr>
              <w:t>Vitamina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1,25</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Total</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(Calcitriol)</w:t>
            </w:r>
          </w:p>
        </w:tc>
        <w:tc>
          <w:tcPr>
            <w:tcW w:w="779" w:type="dxa"/>
            <w:tcBorders>
              <w:top w:val="double" w:sz="4" w:space="0" w:color="000000"/>
              <w:left w:val="single" w:sz="4" w:space="0" w:color="000000"/>
              <w:bottom w:val="double" w:sz="4" w:space="0" w:color="000000"/>
              <w:right w:val="single" w:sz="4" w:space="0" w:color="000000"/>
            </w:tcBorders>
            <w:vAlign w:val="center"/>
          </w:tcPr>
          <w:p w14:paraId="38E92A96"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11.25</w:t>
            </w:r>
          </w:p>
        </w:tc>
        <w:tc>
          <w:tcPr>
            <w:tcW w:w="780" w:type="dxa"/>
            <w:tcBorders>
              <w:top w:val="double" w:sz="4" w:space="0" w:color="000000"/>
              <w:left w:val="single" w:sz="4" w:space="0" w:color="000000"/>
              <w:bottom w:val="double" w:sz="4" w:space="0" w:color="000000"/>
              <w:right w:val="single" w:sz="4" w:space="0" w:color="000000"/>
            </w:tcBorders>
            <w:vAlign w:val="center"/>
          </w:tcPr>
          <w:p w14:paraId="64139308"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11.00</w:t>
            </w:r>
          </w:p>
        </w:tc>
        <w:tc>
          <w:tcPr>
            <w:tcW w:w="781" w:type="dxa"/>
            <w:tcBorders>
              <w:top w:val="double" w:sz="4" w:space="0" w:color="000000"/>
              <w:left w:val="single" w:sz="4" w:space="0" w:color="000000"/>
              <w:bottom w:val="double" w:sz="4" w:space="0" w:color="000000"/>
              <w:right w:val="single" w:sz="4" w:space="0" w:color="000000"/>
            </w:tcBorders>
            <w:vAlign w:val="center"/>
          </w:tcPr>
          <w:p w14:paraId="5DFC923D"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10.75</w:t>
            </w:r>
          </w:p>
        </w:tc>
        <w:tc>
          <w:tcPr>
            <w:tcW w:w="779" w:type="dxa"/>
            <w:tcBorders>
              <w:top w:val="double" w:sz="4" w:space="0" w:color="000000"/>
              <w:left w:val="single" w:sz="4" w:space="0" w:color="000000"/>
              <w:bottom w:val="double" w:sz="4" w:space="0" w:color="000000"/>
              <w:right w:val="single" w:sz="4" w:space="0" w:color="000000"/>
            </w:tcBorders>
            <w:vAlign w:val="center"/>
          </w:tcPr>
          <w:p w14:paraId="3D83236C"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80" w:type="dxa"/>
            <w:tcBorders>
              <w:top w:val="double" w:sz="4" w:space="0" w:color="000000"/>
              <w:left w:val="single" w:sz="4" w:space="0" w:color="000000"/>
              <w:bottom w:val="double" w:sz="4" w:space="0" w:color="000000"/>
              <w:right w:val="single" w:sz="4" w:space="0" w:color="000000"/>
            </w:tcBorders>
            <w:vAlign w:val="center"/>
          </w:tcPr>
          <w:p w14:paraId="6AF2CA56"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10.25</w:t>
            </w:r>
          </w:p>
        </w:tc>
        <w:tc>
          <w:tcPr>
            <w:tcW w:w="779" w:type="dxa"/>
            <w:tcBorders>
              <w:top w:val="double" w:sz="4" w:space="0" w:color="000000"/>
              <w:left w:val="single" w:sz="4" w:space="0" w:color="000000"/>
              <w:bottom w:val="double" w:sz="4" w:space="0" w:color="000000"/>
              <w:right w:val="single" w:sz="4" w:space="0" w:color="000000"/>
            </w:tcBorders>
            <w:vAlign w:val="center"/>
          </w:tcPr>
          <w:p w14:paraId="7F4938D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AD245D6"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A7C9FB3"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03-PCR-</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6A074E8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Identificación</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VPH</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16</w:t>
            </w:r>
          </w:p>
        </w:tc>
        <w:tc>
          <w:tcPr>
            <w:tcW w:w="779" w:type="dxa"/>
            <w:tcBorders>
              <w:top w:val="double" w:sz="4" w:space="0" w:color="000000"/>
              <w:left w:val="single" w:sz="4" w:space="0" w:color="000000"/>
              <w:bottom w:val="double" w:sz="4" w:space="0" w:color="000000"/>
              <w:right w:val="single" w:sz="4" w:space="0" w:color="000000"/>
            </w:tcBorders>
            <w:vAlign w:val="center"/>
          </w:tcPr>
          <w:p w14:paraId="355C42D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23.25</w:t>
            </w:r>
          </w:p>
        </w:tc>
        <w:tc>
          <w:tcPr>
            <w:tcW w:w="780" w:type="dxa"/>
            <w:tcBorders>
              <w:top w:val="double" w:sz="4" w:space="0" w:color="000000"/>
              <w:left w:val="single" w:sz="4" w:space="0" w:color="000000"/>
              <w:bottom w:val="double" w:sz="4" w:space="0" w:color="000000"/>
              <w:right w:val="single" w:sz="4" w:space="0" w:color="000000"/>
            </w:tcBorders>
            <w:vAlign w:val="center"/>
          </w:tcPr>
          <w:p w14:paraId="2F7E36D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22.50</w:t>
            </w:r>
          </w:p>
        </w:tc>
        <w:tc>
          <w:tcPr>
            <w:tcW w:w="781" w:type="dxa"/>
            <w:tcBorders>
              <w:top w:val="double" w:sz="4" w:space="0" w:color="000000"/>
              <w:left w:val="single" w:sz="4" w:space="0" w:color="000000"/>
              <w:bottom w:val="double" w:sz="4" w:space="0" w:color="000000"/>
              <w:right w:val="single" w:sz="4" w:space="0" w:color="000000"/>
            </w:tcBorders>
            <w:vAlign w:val="center"/>
          </w:tcPr>
          <w:p w14:paraId="180A70B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21.75</w:t>
            </w:r>
          </w:p>
        </w:tc>
        <w:tc>
          <w:tcPr>
            <w:tcW w:w="779" w:type="dxa"/>
            <w:tcBorders>
              <w:top w:val="double" w:sz="4" w:space="0" w:color="000000"/>
              <w:left w:val="single" w:sz="4" w:space="0" w:color="000000"/>
              <w:bottom w:val="double" w:sz="4" w:space="0" w:color="000000"/>
              <w:right w:val="single" w:sz="4" w:space="0" w:color="000000"/>
            </w:tcBorders>
            <w:vAlign w:val="center"/>
          </w:tcPr>
          <w:p w14:paraId="639295B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21.25</w:t>
            </w:r>
          </w:p>
        </w:tc>
        <w:tc>
          <w:tcPr>
            <w:tcW w:w="780" w:type="dxa"/>
            <w:tcBorders>
              <w:top w:val="double" w:sz="4" w:space="0" w:color="000000"/>
              <w:left w:val="single" w:sz="4" w:space="0" w:color="000000"/>
              <w:bottom w:val="double" w:sz="4" w:space="0" w:color="000000"/>
              <w:right w:val="single" w:sz="4" w:space="0" w:color="000000"/>
            </w:tcBorders>
            <w:vAlign w:val="center"/>
          </w:tcPr>
          <w:p w14:paraId="0987402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20.50</w:t>
            </w:r>
          </w:p>
        </w:tc>
        <w:tc>
          <w:tcPr>
            <w:tcW w:w="779" w:type="dxa"/>
            <w:tcBorders>
              <w:top w:val="double" w:sz="4" w:space="0" w:color="000000"/>
              <w:left w:val="single" w:sz="4" w:space="0" w:color="000000"/>
              <w:bottom w:val="double" w:sz="4" w:space="0" w:color="000000"/>
              <w:right w:val="single" w:sz="4" w:space="0" w:color="000000"/>
            </w:tcBorders>
            <w:vAlign w:val="center"/>
          </w:tcPr>
          <w:p w14:paraId="24B5503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528E645"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FCDFB0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03-PCR-</w:t>
            </w:r>
            <w:r>
              <w:rPr>
                <w:rFonts w:ascii="Arial" w:eastAsia="Times New Roman" w:hAnsi="Arial" w:cs="Arial"/>
                <w:spacing w:val="-5"/>
                <w:sz w:val="12"/>
                <w:szCs w:val="12"/>
                <w:lang w:val="es-ES"/>
              </w:rPr>
              <w:t>009</w:t>
            </w:r>
          </w:p>
        </w:tc>
        <w:tc>
          <w:tcPr>
            <w:tcW w:w="2977" w:type="dxa"/>
            <w:tcBorders>
              <w:top w:val="double" w:sz="4" w:space="0" w:color="000000"/>
              <w:left w:val="single" w:sz="4" w:space="0" w:color="000000"/>
              <w:bottom w:val="double" w:sz="4" w:space="0" w:color="000000"/>
              <w:right w:val="single" w:sz="4" w:space="0" w:color="000000"/>
            </w:tcBorders>
          </w:tcPr>
          <w:p w14:paraId="2C23548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Identificación</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VPH</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18</w:t>
            </w:r>
          </w:p>
        </w:tc>
        <w:tc>
          <w:tcPr>
            <w:tcW w:w="779" w:type="dxa"/>
            <w:tcBorders>
              <w:top w:val="double" w:sz="4" w:space="0" w:color="000000"/>
              <w:left w:val="single" w:sz="4" w:space="0" w:color="000000"/>
              <w:bottom w:val="double" w:sz="4" w:space="0" w:color="000000"/>
              <w:right w:val="single" w:sz="4" w:space="0" w:color="000000"/>
            </w:tcBorders>
            <w:vAlign w:val="center"/>
          </w:tcPr>
          <w:p w14:paraId="626E2F2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23.25</w:t>
            </w:r>
          </w:p>
        </w:tc>
        <w:tc>
          <w:tcPr>
            <w:tcW w:w="780" w:type="dxa"/>
            <w:tcBorders>
              <w:top w:val="double" w:sz="4" w:space="0" w:color="000000"/>
              <w:left w:val="single" w:sz="4" w:space="0" w:color="000000"/>
              <w:bottom w:val="double" w:sz="4" w:space="0" w:color="000000"/>
              <w:right w:val="single" w:sz="4" w:space="0" w:color="000000"/>
            </w:tcBorders>
            <w:vAlign w:val="center"/>
          </w:tcPr>
          <w:p w14:paraId="3813FE4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22.50</w:t>
            </w:r>
          </w:p>
        </w:tc>
        <w:tc>
          <w:tcPr>
            <w:tcW w:w="781" w:type="dxa"/>
            <w:tcBorders>
              <w:top w:val="double" w:sz="4" w:space="0" w:color="000000"/>
              <w:left w:val="single" w:sz="4" w:space="0" w:color="000000"/>
              <w:bottom w:val="double" w:sz="4" w:space="0" w:color="000000"/>
              <w:right w:val="single" w:sz="4" w:space="0" w:color="000000"/>
            </w:tcBorders>
            <w:vAlign w:val="center"/>
          </w:tcPr>
          <w:p w14:paraId="720DCC9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21.75</w:t>
            </w:r>
          </w:p>
        </w:tc>
        <w:tc>
          <w:tcPr>
            <w:tcW w:w="779" w:type="dxa"/>
            <w:tcBorders>
              <w:top w:val="double" w:sz="4" w:space="0" w:color="000000"/>
              <w:left w:val="single" w:sz="4" w:space="0" w:color="000000"/>
              <w:bottom w:val="double" w:sz="4" w:space="0" w:color="000000"/>
              <w:right w:val="single" w:sz="4" w:space="0" w:color="000000"/>
            </w:tcBorders>
            <w:vAlign w:val="center"/>
          </w:tcPr>
          <w:p w14:paraId="166EB9E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21.25</w:t>
            </w:r>
          </w:p>
        </w:tc>
        <w:tc>
          <w:tcPr>
            <w:tcW w:w="780" w:type="dxa"/>
            <w:tcBorders>
              <w:top w:val="double" w:sz="4" w:space="0" w:color="000000"/>
              <w:left w:val="single" w:sz="4" w:space="0" w:color="000000"/>
              <w:bottom w:val="double" w:sz="4" w:space="0" w:color="000000"/>
              <w:right w:val="single" w:sz="4" w:space="0" w:color="000000"/>
            </w:tcBorders>
            <w:vAlign w:val="center"/>
          </w:tcPr>
          <w:p w14:paraId="30DEFFA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601911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DA49899"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D16ABB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03-PCR-</w:t>
            </w:r>
            <w:r>
              <w:rPr>
                <w:rFonts w:ascii="Arial" w:eastAsia="Times New Roman" w:hAnsi="Arial" w:cs="Arial"/>
                <w:spacing w:val="-5"/>
                <w:sz w:val="12"/>
                <w:szCs w:val="12"/>
                <w:lang w:val="es-ES"/>
              </w:rPr>
              <w:t>010</w:t>
            </w:r>
          </w:p>
        </w:tc>
        <w:tc>
          <w:tcPr>
            <w:tcW w:w="2977" w:type="dxa"/>
            <w:tcBorders>
              <w:top w:val="double" w:sz="4" w:space="0" w:color="000000"/>
              <w:left w:val="single" w:sz="4" w:space="0" w:color="000000"/>
              <w:bottom w:val="double" w:sz="4" w:space="0" w:color="000000"/>
              <w:right w:val="single" w:sz="4" w:space="0" w:color="000000"/>
            </w:tcBorders>
          </w:tcPr>
          <w:p w14:paraId="69C6BD0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Mycobacterium</w:t>
            </w:r>
            <w:proofErr w:type="spellEnd"/>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Tuberculosis</w:t>
            </w:r>
            <w:r>
              <w:rPr>
                <w:rFonts w:ascii="Arial" w:eastAsia="Times New Roman" w:hAnsi="Arial" w:cs="Arial"/>
                <w:spacing w:val="23"/>
                <w:sz w:val="12"/>
                <w:szCs w:val="12"/>
                <w:lang w:val="es-ES"/>
              </w:rPr>
              <w:t xml:space="preserve"> </w:t>
            </w:r>
            <w:r>
              <w:rPr>
                <w:rFonts w:ascii="Arial" w:eastAsia="Times New Roman" w:hAnsi="Arial" w:cs="Arial"/>
                <w:spacing w:val="-5"/>
                <w:sz w:val="12"/>
                <w:szCs w:val="12"/>
                <w:lang w:val="es-ES"/>
              </w:rPr>
              <w:t>PCR</w:t>
            </w:r>
          </w:p>
        </w:tc>
        <w:tc>
          <w:tcPr>
            <w:tcW w:w="779" w:type="dxa"/>
            <w:tcBorders>
              <w:top w:val="double" w:sz="4" w:space="0" w:color="000000"/>
              <w:left w:val="single" w:sz="4" w:space="0" w:color="000000"/>
              <w:bottom w:val="double" w:sz="4" w:space="0" w:color="000000"/>
              <w:right w:val="single" w:sz="4" w:space="0" w:color="000000"/>
            </w:tcBorders>
            <w:vAlign w:val="center"/>
          </w:tcPr>
          <w:p w14:paraId="084FD52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32.50</w:t>
            </w:r>
          </w:p>
        </w:tc>
        <w:tc>
          <w:tcPr>
            <w:tcW w:w="780" w:type="dxa"/>
            <w:tcBorders>
              <w:top w:val="double" w:sz="4" w:space="0" w:color="000000"/>
              <w:left w:val="single" w:sz="4" w:space="0" w:color="000000"/>
              <w:bottom w:val="double" w:sz="4" w:space="0" w:color="000000"/>
              <w:right w:val="single" w:sz="4" w:space="0" w:color="000000"/>
            </w:tcBorders>
            <w:vAlign w:val="center"/>
          </w:tcPr>
          <w:p w14:paraId="79B1C1F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31.25</w:t>
            </w:r>
          </w:p>
        </w:tc>
        <w:tc>
          <w:tcPr>
            <w:tcW w:w="781" w:type="dxa"/>
            <w:tcBorders>
              <w:top w:val="double" w:sz="4" w:space="0" w:color="000000"/>
              <w:left w:val="single" w:sz="4" w:space="0" w:color="000000"/>
              <w:bottom w:val="double" w:sz="4" w:space="0" w:color="000000"/>
              <w:right w:val="single" w:sz="4" w:space="0" w:color="000000"/>
            </w:tcBorders>
            <w:vAlign w:val="center"/>
          </w:tcPr>
          <w:p w14:paraId="336AF76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29.75</w:t>
            </w:r>
          </w:p>
        </w:tc>
        <w:tc>
          <w:tcPr>
            <w:tcW w:w="779" w:type="dxa"/>
            <w:tcBorders>
              <w:top w:val="double" w:sz="4" w:space="0" w:color="000000"/>
              <w:left w:val="single" w:sz="4" w:space="0" w:color="000000"/>
              <w:bottom w:val="double" w:sz="4" w:space="0" w:color="000000"/>
              <w:right w:val="single" w:sz="4" w:space="0" w:color="000000"/>
            </w:tcBorders>
            <w:vAlign w:val="center"/>
          </w:tcPr>
          <w:p w14:paraId="29A2CA3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28.50</w:t>
            </w:r>
          </w:p>
        </w:tc>
        <w:tc>
          <w:tcPr>
            <w:tcW w:w="780" w:type="dxa"/>
            <w:tcBorders>
              <w:top w:val="double" w:sz="4" w:space="0" w:color="000000"/>
              <w:left w:val="single" w:sz="4" w:space="0" w:color="000000"/>
              <w:bottom w:val="double" w:sz="4" w:space="0" w:color="000000"/>
              <w:right w:val="single" w:sz="4" w:space="0" w:color="000000"/>
            </w:tcBorders>
            <w:vAlign w:val="center"/>
          </w:tcPr>
          <w:p w14:paraId="653493F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27.25</w:t>
            </w:r>
          </w:p>
        </w:tc>
        <w:tc>
          <w:tcPr>
            <w:tcW w:w="779" w:type="dxa"/>
            <w:tcBorders>
              <w:top w:val="double" w:sz="4" w:space="0" w:color="000000"/>
              <w:left w:val="single" w:sz="4" w:space="0" w:color="000000"/>
              <w:bottom w:val="double" w:sz="4" w:space="0" w:color="000000"/>
              <w:right w:val="single" w:sz="4" w:space="0" w:color="000000"/>
            </w:tcBorders>
            <w:vAlign w:val="center"/>
          </w:tcPr>
          <w:p w14:paraId="2D1D71D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91009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E7F037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39B4DCE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Citología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Orina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(Papanicolaou)</w:t>
            </w:r>
          </w:p>
        </w:tc>
        <w:tc>
          <w:tcPr>
            <w:tcW w:w="779" w:type="dxa"/>
            <w:tcBorders>
              <w:top w:val="double" w:sz="4" w:space="0" w:color="000000"/>
              <w:left w:val="single" w:sz="4" w:space="0" w:color="000000"/>
              <w:bottom w:val="double" w:sz="4" w:space="0" w:color="000000"/>
              <w:right w:val="single" w:sz="4" w:space="0" w:color="000000"/>
            </w:tcBorders>
            <w:vAlign w:val="center"/>
          </w:tcPr>
          <w:p w14:paraId="6A8C2AC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1E5183A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3834B7C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597BD8F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7F3E422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127BEF1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74BD63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0D00DD3"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58AF2C3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Papanicolaou</w:t>
            </w:r>
            <w:r>
              <w:rPr>
                <w:rFonts w:ascii="Arial" w:eastAsia="Times New Roman" w:hAnsi="Arial" w:cs="Arial"/>
                <w:spacing w:val="-7"/>
                <w:sz w:val="12"/>
                <w:szCs w:val="12"/>
                <w:lang w:val="es-ES"/>
              </w:rPr>
              <w:t xml:space="preserve"> </w:t>
            </w:r>
            <w:proofErr w:type="spellStart"/>
            <w:r>
              <w:rPr>
                <w:rFonts w:ascii="Arial" w:eastAsia="Times New Roman" w:hAnsi="Arial" w:cs="Arial"/>
                <w:sz w:val="12"/>
                <w:szCs w:val="12"/>
                <w:lang w:val="es-ES"/>
              </w:rPr>
              <w:t>Cervico</w:t>
            </w:r>
            <w:proofErr w:type="spellEnd"/>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Vaginal</w:t>
            </w:r>
          </w:p>
        </w:tc>
        <w:tc>
          <w:tcPr>
            <w:tcW w:w="779" w:type="dxa"/>
            <w:tcBorders>
              <w:top w:val="double" w:sz="4" w:space="0" w:color="000000"/>
              <w:left w:val="single" w:sz="4" w:space="0" w:color="000000"/>
              <w:bottom w:val="double" w:sz="4" w:space="0" w:color="000000"/>
              <w:right w:val="single" w:sz="4" w:space="0" w:color="000000"/>
            </w:tcBorders>
            <w:vAlign w:val="center"/>
          </w:tcPr>
          <w:p w14:paraId="5341497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0AAD7A7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3C3FB4D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730A84B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7593033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23EEB2B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D92DF47"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3653EB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6E22CFC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Cono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Cervical</w:t>
            </w:r>
          </w:p>
        </w:tc>
        <w:tc>
          <w:tcPr>
            <w:tcW w:w="779" w:type="dxa"/>
            <w:tcBorders>
              <w:top w:val="double" w:sz="4" w:space="0" w:color="000000"/>
              <w:left w:val="single" w:sz="4" w:space="0" w:color="000000"/>
              <w:bottom w:val="double" w:sz="4" w:space="0" w:color="000000"/>
              <w:right w:val="single" w:sz="4" w:space="0" w:color="000000"/>
            </w:tcBorders>
            <w:vAlign w:val="center"/>
          </w:tcPr>
          <w:p w14:paraId="488B2B4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1E088FB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497E7DE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79" w:type="dxa"/>
            <w:tcBorders>
              <w:top w:val="double" w:sz="4" w:space="0" w:color="000000"/>
              <w:left w:val="single" w:sz="4" w:space="0" w:color="000000"/>
              <w:bottom w:val="double" w:sz="4" w:space="0" w:color="000000"/>
              <w:right w:val="single" w:sz="4" w:space="0" w:color="000000"/>
            </w:tcBorders>
            <w:vAlign w:val="center"/>
          </w:tcPr>
          <w:p w14:paraId="14AFFA2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3E1B923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42C513B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F97CB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68C615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004</w:t>
            </w:r>
          </w:p>
        </w:tc>
        <w:tc>
          <w:tcPr>
            <w:tcW w:w="2977" w:type="dxa"/>
            <w:tcBorders>
              <w:top w:val="double" w:sz="4" w:space="0" w:color="000000"/>
              <w:left w:val="single" w:sz="4" w:space="0" w:color="000000"/>
              <w:bottom w:val="double" w:sz="4" w:space="0" w:color="000000"/>
              <w:right w:val="single" w:sz="4" w:space="0" w:color="000000"/>
            </w:tcBorders>
          </w:tcPr>
          <w:p w14:paraId="727E0E9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Cérvix</w:t>
            </w:r>
          </w:p>
        </w:tc>
        <w:tc>
          <w:tcPr>
            <w:tcW w:w="779" w:type="dxa"/>
            <w:tcBorders>
              <w:top w:val="double" w:sz="4" w:space="0" w:color="000000"/>
              <w:left w:val="single" w:sz="4" w:space="0" w:color="000000"/>
              <w:bottom w:val="double" w:sz="4" w:space="0" w:color="000000"/>
              <w:right w:val="single" w:sz="4" w:space="0" w:color="000000"/>
            </w:tcBorders>
            <w:vAlign w:val="center"/>
          </w:tcPr>
          <w:p w14:paraId="69023FC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16555A1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636DB89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34F2DF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0FA3C7B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1931363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D5CEA1B"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7132AD8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005</w:t>
            </w:r>
          </w:p>
        </w:tc>
        <w:tc>
          <w:tcPr>
            <w:tcW w:w="2977" w:type="dxa"/>
            <w:tcBorders>
              <w:top w:val="double" w:sz="4" w:space="0" w:color="000000"/>
              <w:left w:val="single" w:sz="4" w:space="0" w:color="000000"/>
              <w:bottom w:val="double" w:sz="4" w:space="0" w:color="000000"/>
              <w:right w:val="single" w:sz="4" w:space="0" w:color="000000"/>
            </w:tcBorders>
          </w:tcPr>
          <w:p w14:paraId="4037281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Vaginal</w:t>
            </w:r>
          </w:p>
        </w:tc>
        <w:tc>
          <w:tcPr>
            <w:tcW w:w="779" w:type="dxa"/>
            <w:tcBorders>
              <w:top w:val="double" w:sz="4" w:space="0" w:color="000000"/>
              <w:left w:val="single" w:sz="4" w:space="0" w:color="000000"/>
              <w:bottom w:val="double" w:sz="4" w:space="0" w:color="000000"/>
              <w:right w:val="single" w:sz="4" w:space="0" w:color="000000"/>
            </w:tcBorders>
            <w:vAlign w:val="center"/>
          </w:tcPr>
          <w:p w14:paraId="1F091E4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3BDB0DD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5DAEC39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1492C44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5D80059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13638E7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4007B8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08DF23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006</w:t>
            </w:r>
          </w:p>
        </w:tc>
        <w:tc>
          <w:tcPr>
            <w:tcW w:w="2977" w:type="dxa"/>
            <w:tcBorders>
              <w:top w:val="double" w:sz="4" w:space="0" w:color="000000"/>
              <w:left w:val="single" w:sz="4" w:space="0" w:color="000000"/>
              <w:bottom w:val="double" w:sz="4" w:space="0" w:color="000000"/>
              <w:right w:val="single" w:sz="4" w:space="0" w:color="000000"/>
            </w:tcBorders>
          </w:tcPr>
          <w:p w14:paraId="0091EAB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Endocérvix</w:t>
            </w:r>
          </w:p>
        </w:tc>
        <w:tc>
          <w:tcPr>
            <w:tcW w:w="779" w:type="dxa"/>
            <w:tcBorders>
              <w:top w:val="double" w:sz="4" w:space="0" w:color="000000"/>
              <w:left w:val="single" w:sz="4" w:space="0" w:color="000000"/>
              <w:bottom w:val="double" w:sz="4" w:space="0" w:color="000000"/>
              <w:right w:val="single" w:sz="4" w:space="0" w:color="000000"/>
            </w:tcBorders>
            <w:vAlign w:val="center"/>
          </w:tcPr>
          <w:p w14:paraId="78E74EC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5CC69E6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4AB8E1D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1BDB77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56337A4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0FE7359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7916BA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118F224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007</w:t>
            </w:r>
          </w:p>
        </w:tc>
        <w:tc>
          <w:tcPr>
            <w:tcW w:w="2977" w:type="dxa"/>
            <w:tcBorders>
              <w:top w:val="double" w:sz="4" w:space="0" w:color="000000"/>
              <w:left w:val="single" w:sz="4" w:space="0" w:color="000000"/>
              <w:bottom w:val="double" w:sz="4" w:space="0" w:color="000000"/>
              <w:right w:val="single" w:sz="4" w:space="0" w:color="000000"/>
            </w:tcBorders>
          </w:tcPr>
          <w:p w14:paraId="3B223DB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Mama</w:t>
            </w:r>
          </w:p>
        </w:tc>
        <w:tc>
          <w:tcPr>
            <w:tcW w:w="779" w:type="dxa"/>
            <w:tcBorders>
              <w:top w:val="double" w:sz="4" w:space="0" w:color="000000"/>
              <w:left w:val="single" w:sz="4" w:space="0" w:color="000000"/>
              <w:bottom w:val="double" w:sz="4" w:space="0" w:color="000000"/>
              <w:right w:val="single" w:sz="4" w:space="0" w:color="000000"/>
            </w:tcBorders>
            <w:vAlign w:val="center"/>
          </w:tcPr>
          <w:p w14:paraId="2BA6FD2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404AD9A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128C814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348880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0097BC2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5819F9C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D019839"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0DB5809"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19CD02A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Endometrio</w:t>
            </w:r>
          </w:p>
        </w:tc>
        <w:tc>
          <w:tcPr>
            <w:tcW w:w="779" w:type="dxa"/>
            <w:tcBorders>
              <w:top w:val="double" w:sz="4" w:space="0" w:color="000000"/>
              <w:left w:val="single" w:sz="4" w:space="0" w:color="000000"/>
              <w:bottom w:val="double" w:sz="4" w:space="0" w:color="000000"/>
              <w:right w:val="single" w:sz="4" w:space="0" w:color="000000"/>
            </w:tcBorders>
            <w:vAlign w:val="center"/>
          </w:tcPr>
          <w:p w14:paraId="68EB68A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2A1BB4E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03F7C5A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5366794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1D484C7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79A9AA9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32186E1"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139C63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009</w:t>
            </w:r>
          </w:p>
        </w:tc>
        <w:tc>
          <w:tcPr>
            <w:tcW w:w="2977" w:type="dxa"/>
            <w:tcBorders>
              <w:top w:val="double" w:sz="4" w:space="0" w:color="000000"/>
              <w:left w:val="single" w:sz="4" w:space="0" w:color="000000"/>
              <w:bottom w:val="double" w:sz="4" w:space="0" w:color="000000"/>
              <w:right w:val="single" w:sz="4" w:space="0" w:color="000000"/>
            </w:tcBorders>
          </w:tcPr>
          <w:p w14:paraId="6075B0B3"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proofErr w:type="spellStart"/>
            <w:r>
              <w:rPr>
                <w:rFonts w:ascii="Arial" w:eastAsia="Times New Roman" w:hAnsi="Arial" w:cs="Arial"/>
                <w:spacing w:val="-2"/>
                <w:sz w:val="12"/>
                <w:szCs w:val="12"/>
                <w:lang w:val="es-ES"/>
              </w:rPr>
              <w:t>Endocervix</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1E08ADE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4E0344F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6E79825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468AD9F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57D8AAC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2E1C6A2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7654F75"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840335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010</w:t>
            </w:r>
          </w:p>
        </w:tc>
        <w:tc>
          <w:tcPr>
            <w:tcW w:w="2977" w:type="dxa"/>
            <w:tcBorders>
              <w:top w:val="double" w:sz="4" w:space="0" w:color="000000"/>
              <w:left w:val="single" w:sz="4" w:space="0" w:color="000000"/>
              <w:bottom w:val="double" w:sz="4" w:space="0" w:color="000000"/>
              <w:right w:val="single" w:sz="4" w:space="0" w:color="000000"/>
            </w:tcBorders>
          </w:tcPr>
          <w:p w14:paraId="21FF578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Tubo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digestivo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5BCD4FE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6E7F087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1A73A16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6102E74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476F248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0DD8F61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EB5DB5F"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4A60E73"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011</w:t>
            </w:r>
          </w:p>
        </w:tc>
        <w:tc>
          <w:tcPr>
            <w:tcW w:w="2977" w:type="dxa"/>
            <w:tcBorders>
              <w:top w:val="double" w:sz="4" w:space="0" w:color="000000"/>
              <w:left w:val="single" w:sz="4" w:space="0" w:color="000000"/>
              <w:bottom w:val="double" w:sz="4" w:space="0" w:color="000000"/>
              <w:right w:val="single" w:sz="4" w:space="0" w:color="000000"/>
            </w:tcBorders>
          </w:tcPr>
          <w:p w14:paraId="51852E8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cuerda</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vocal</w:t>
            </w:r>
          </w:p>
        </w:tc>
        <w:tc>
          <w:tcPr>
            <w:tcW w:w="779" w:type="dxa"/>
            <w:tcBorders>
              <w:top w:val="double" w:sz="4" w:space="0" w:color="000000"/>
              <w:left w:val="single" w:sz="4" w:space="0" w:color="000000"/>
              <w:bottom w:val="double" w:sz="4" w:space="0" w:color="000000"/>
              <w:right w:val="single" w:sz="4" w:space="0" w:color="000000"/>
            </w:tcBorders>
            <w:vAlign w:val="center"/>
          </w:tcPr>
          <w:p w14:paraId="7D57390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163393A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53B4BD9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57DA4C1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6CA58FA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2683F0B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B336D75" w14:textId="77777777">
        <w:trPr>
          <w:trHeight w:val="298"/>
        </w:trPr>
        <w:tc>
          <w:tcPr>
            <w:tcW w:w="1106" w:type="dxa"/>
            <w:tcBorders>
              <w:top w:val="double" w:sz="4" w:space="0" w:color="000000"/>
              <w:left w:val="single" w:sz="4" w:space="0" w:color="000000"/>
              <w:bottom w:val="single" w:sz="4" w:space="0" w:color="000000"/>
              <w:right w:val="single" w:sz="4" w:space="0" w:color="000000"/>
            </w:tcBorders>
          </w:tcPr>
          <w:p w14:paraId="11AD84E9"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012</w:t>
            </w:r>
          </w:p>
        </w:tc>
        <w:tc>
          <w:tcPr>
            <w:tcW w:w="2977" w:type="dxa"/>
            <w:tcBorders>
              <w:top w:val="double" w:sz="4" w:space="0" w:color="000000"/>
              <w:left w:val="single" w:sz="4" w:space="0" w:color="000000"/>
              <w:bottom w:val="single" w:sz="4" w:space="0" w:color="000000"/>
              <w:right w:val="single" w:sz="4" w:space="0" w:color="000000"/>
            </w:tcBorders>
          </w:tcPr>
          <w:p w14:paraId="48D0975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vejiga</w:t>
            </w:r>
          </w:p>
        </w:tc>
        <w:tc>
          <w:tcPr>
            <w:tcW w:w="779" w:type="dxa"/>
            <w:tcBorders>
              <w:top w:val="double" w:sz="4" w:space="0" w:color="000000"/>
              <w:left w:val="single" w:sz="4" w:space="0" w:color="000000"/>
              <w:bottom w:val="single" w:sz="4" w:space="0" w:color="000000"/>
              <w:right w:val="single" w:sz="4" w:space="0" w:color="000000"/>
            </w:tcBorders>
            <w:vAlign w:val="center"/>
          </w:tcPr>
          <w:p w14:paraId="054BB7E2"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single" w:sz="4" w:space="0" w:color="000000"/>
              <w:right w:val="single" w:sz="4" w:space="0" w:color="000000"/>
            </w:tcBorders>
            <w:vAlign w:val="center"/>
          </w:tcPr>
          <w:p w14:paraId="44DA1E8F"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single" w:sz="4" w:space="0" w:color="000000"/>
              <w:right w:val="single" w:sz="4" w:space="0" w:color="000000"/>
            </w:tcBorders>
            <w:vAlign w:val="center"/>
          </w:tcPr>
          <w:p w14:paraId="7ED33C65"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single" w:sz="4" w:space="0" w:color="000000"/>
              <w:right w:val="single" w:sz="4" w:space="0" w:color="000000"/>
            </w:tcBorders>
            <w:vAlign w:val="center"/>
          </w:tcPr>
          <w:p w14:paraId="08C0F6D7"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single" w:sz="4" w:space="0" w:color="000000"/>
              <w:right w:val="single" w:sz="4" w:space="0" w:color="000000"/>
            </w:tcBorders>
            <w:vAlign w:val="center"/>
          </w:tcPr>
          <w:p w14:paraId="6DCA4B3A"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single" w:sz="4" w:space="0" w:color="000000"/>
              <w:right w:val="single" w:sz="4" w:space="0" w:color="000000"/>
            </w:tcBorders>
            <w:vAlign w:val="center"/>
          </w:tcPr>
          <w:p w14:paraId="04B4E7F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A4D7205" w14:textId="77777777">
        <w:trPr>
          <w:trHeight w:val="287"/>
        </w:trPr>
        <w:tc>
          <w:tcPr>
            <w:tcW w:w="1106" w:type="dxa"/>
            <w:tcBorders>
              <w:top w:val="single" w:sz="4" w:space="0" w:color="000000"/>
              <w:left w:val="single" w:sz="4" w:space="0" w:color="000000"/>
              <w:bottom w:val="double" w:sz="4" w:space="0" w:color="000000"/>
              <w:right w:val="single" w:sz="4" w:space="0" w:color="000000"/>
            </w:tcBorders>
          </w:tcPr>
          <w:p w14:paraId="6EFAF7F8"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013</w:t>
            </w:r>
          </w:p>
        </w:tc>
        <w:tc>
          <w:tcPr>
            <w:tcW w:w="2977" w:type="dxa"/>
            <w:tcBorders>
              <w:top w:val="single" w:sz="4" w:space="0" w:color="000000"/>
              <w:left w:val="single" w:sz="4" w:space="0" w:color="000000"/>
              <w:bottom w:val="double" w:sz="4" w:space="0" w:color="000000"/>
              <w:right w:val="single" w:sz="4" w:space="0" w:color="000000"/>
            </w:tcBorders>
          </w:tcPr>
          <w:p w14:paraId="2D07D676"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ovario</w:t>
            </w:r>
          </w:p>
        </w:tc>
        <w:tc>
          <w:tcPr>
            <w:tcW w:w="779" w:type="dxa"/>
            <w:tcBorders>
              <w:top w:val="single" w:sz="4" w:space="0" w:color="000000"/>
              <w:left w:val="single" w:sz="4" w:space="0" w:color="000000"/>
              <w:bottom w:val="double" w:sz="4" w:space="0" w:color="000000"/>
              <w:right w:val="single" w:sz="4" w:space="0" w:color="000000"/>
            </w:tcBorders>
            <w:vAlign w:val="center"/>
          </w:tcPr>
          <w:p w14:paraId="20BB3FF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single" w:sz="4" w:space="0" w:color="000000"/>
              <w:left w:val="single" w:sz="4" w:space="0" w:color="000000"/>
              <w:bottom w:val="double" w:sz="4" w:space="0" w:color="000000"/>
              <w:right w:val="single" w:sz="4" w:space="0" w:color="000000"/>
            </w:tcBorders>
            <w:vAlign w:val="center"/>
          </w:tcPr>
          <w:p w14:paraId="4A91AB11"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single" w:sz="4" w:space="0" w:color="000000"/>
              <w:left w:val="single" w:sz="4" w:space="0" w:color="000000"/>
              <w:bottom w:val="double" w:sz="4" w:space="0" w:color="000000"/>
              <w:right w:val="single" w:sz="4" w:space="0" w:color="000000"/>
            </w:tcBorders>
            <w:vAlign w:val="center"/>
          </w:tcPr>
          <w:p w14:paraId="515C77D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single" w:sz="4" w:space="0" w:color="000000"/>
              <w:left w:val="single" w:sz="4" w:space="0" w:color="000000"/>
              <w:bottom w:val="double" w:sz="4" w:space="0" w:color="000000"/>
              <w:right w:val="single" w:sz="4" w:space="0" w:color="000000"/>
            </w:tcBorders>
            <w:vAlign w:val="center"/>
          </w:tcPr>
          <w:p w14:paraId="636DD2E2"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single" w:sz="4" w:space="0" w:color="000000"/>
              <w:left w:val="single" w:sz="4" w:space="0" w:color="000000"/>
              <w:bottom w:val="double" w:sz="4" w:space="0" w:color="000000"/>
              <w:right w:val="single" w:sz="4" w:space="0" w:color="000000"/>
            </w:tcBorders>
            <w:vAlign w:val="center"/>
          </w:tcPr>
          <w:p w14:paraId="0740244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single" w:sz="4" w:space="0" w:color="000000"/>
              <w:left w:val="single" w:sz="4" w:space="0" w:color="000000"/>
              <w:bottom w:val="double" w:sz="4" w:space="0" w:color="000000"/>
              <w:right w:val="single" w:sz="4" w:space="0" w:color="000000"/>
            </w:tcBorders>
            <w:vAlign w:val="center"/>
          </w:tcPr>
          <w:p w14:paraId="42BBD0F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FB8E97E"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81C0A2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014</w:t>
            </w:r>
          </w:p>
        </w:tc>
        <w:tc>
          <w:tcPr>
            <w:tcW w:w="2977" w:type="dxa"/>
            <w:tcBorders>
              <w:top w:val="double" w:sz="4" w:space="0" w:color="000000"/>
              <w:left w:val="single" w:sz="4" w:space="0" w:color="000000"/>
              <w:bottom w:val="double" w:sz="4" w:space="0" w:color="000000"/>
              <w:right w:val="single" w:sz="4" w:space="0" w:color="000000"/>
            </w:tcBorders>
          </w:tcPr>
          <w:p w14:paraId="76BF2A7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pene</w:t>
            </w:r>
          </w:p>
        </w:tc>
        <w:tc>
          <w:tcPr>
            <w:tcW w:w="779" w:type="dxa"/>
            <w:tcBorders>
              <w:top w:val="double" w:sz="4" w:space="0" w:color="000000"/>
              <w:left w:val="single" w:sz="4" w:space="0" w:color="000000"/>
              <w:bottom w:val="double" w:sz="4" w:space="0" w:color="000000"/>
              <w:right w:val="single" w:sz="4" w:space="0" w:color="000000"/>
            </w:tcBorders>
            <w:vAlign w:val="center"/>
          </w:tcPr>
          <w:p w14:paraId="1ECC7045"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23FBCF8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0E5513F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70EB7465"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13DD311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27B1168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FA8921F"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3E25B1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015</w:t>
            </w:r>
          </w:p>
        </w:tc>
        <w:tc>
          <w:tcPr>
            <w:tcW w:w="2977" w:type="dxa"/>
            <w:tcBorders>
              <w:top w:val="double" w:sz="4" w:space="0" w:color="000000"/>
              <w:left w:val="single" w:sz="4" w:space="0" w:color="000000"/>
              <w:bottom w:val="double" w:sz="4" w:space="0" w:color="000000"/>
              <w:right w:val="single" w:sz="4" w:space="0" w:color="000000"/>
            </w:tcBorders>
          </w:tcPr>
          <w:p w14:paraId="1DCC824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piel</w:t>
            </w:r>
          </w:p>
        </w:tc>
        <w:tc>
          <w:tcPr>
            <w:tcW w:w="779" w:type="dxa"/>
            <w:tcBorders>
              <w:top w:val="double" w:sz="4" w:space="0" w:color="000000"/>
              <w:left w:val="single" w:sz="4" w:space="0" w:color="000000"/>
              <w:bottom w:val="double" w:sz="4" w:space="0" w:color="000000"/>
              <w:right w:val="single" w:sz="4" w:space="0" w:color="000000"/>
            </w:tcBorders>
            <w:vAlign w:val="center"/>
          </w:tcPr>
          <w:p w14:paraId="49AEB53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0" w:type="dxa"/>
            <w:tcBorders>
              <w:top w:val="double" w:sz="4" w:space="0" w:color="000000"/>
              <w:left w:val="single" w:sz="4" w:space="0" w:color="000000"/>
              <w:bottom w:val="double" w:sz="4" w:space="0" w:color="000000"/>
              <w:right w:val="single" w:sz="4" w:space="0" w:color="000000"/>
            </w:tcBorders>
            <w:vAlign w:val="center"/>
          </w:tcPr>
          <w:p w14:paraId="4E6B97A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10A61892"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4F095B46"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34FF7C26"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484A90F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D50EAB5"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30FA9E2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016</w:t>
            </w:r>
          </w:p>
        </w:tc>
        <w:tc>
          <w:tcPr>
            <w:tcW w:w="2977" w:type="dxa"/>
            <w:tcBorders>
              <w:top w:val="double" w:sz="4" w:space="0" w:color="000000"/>
              <w:left w:val="single" w:sz="4" w:space="0" w:color="000000"/>
              <w:bottom w:val="double" w:sz="4" w:space="0" w:color="000000"/>
              <w:right w:val="single" w:sz="4" w:space="0" w:color="000000"/>
            </w:tcBorders>
          </w:tcPr>
          <w:p w14:paraId="199237C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2"/>
                <w:sz w:val="12"/>
                <w:szCs w:val="12"/>
                <w:lang w:val="es-ES"/>
              </w:rPr>
              <w:t xml:space="preserve"> </w:t>
            </w:r>
            <w:r>
              <w:rPr>
                <w:rFonts w:ascii="Arial" w:eastAsia="Times New Roman" w:hAnsi="Arial" w:cs="Arial"/>
                <w:spacing w:val="-4"/>
                <w:sz w:val="12"/>
                <w:szCs w:val="12"/>
                <w:lang w:val="es-ES"/>
              </w:rPr>
              <w:t>Venas</w:t>
            </w:r>
          </w:p>
        </w:tc>
        <w:tc>
          <w:tcPr>
            <w:tcW w:w="779" w:type="dxa"/>
            <w:tcBorders>
              <w:top w:val="double" w:sz="4" w:space="0" w:color="000000"/>
              <w:left w:val="single" w:sz="4" w:space="0" w:color="000000"/>
              <w:bottom w:val="double" w:sz="4" w:space="0" w:color="000000"/>
              <w:right w:val="single" w:sz="4" w:space="0" w:color="000000"/>
            </w:tcBorders>
            <w:vAlign w:val="center"/>
          </w:tcPr>
          <w:p w14:paraId="19729F9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5D60421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50D4199D"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73E76AC8"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0FF8773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4A01421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4CB0A9D"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1448FBB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017</w:t>
            </w:r>
          </w:p>
        </w:tc>
        <w:tc>
          <w:tcPr>
            <w:tcW w:w="2977" w:type="dxa"/>
            <w:tcBorders>
              <w:top w:val="double" w:sz="4" w:space="0" w:color="000000"/>
              <w:left w:val="single" w:sz="4" w:space="0" w:color="000000"/>
              <w:bottom w:val="double" w:sz="4" w:space="0" w:color="000000"/>
              <w:right w:val="single" w:sz="4" w:space="0" w:color="000000"/>
            </w:tcBorders>
          </w:tcPr>
          <w:p w14:paraId="4EEE87A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proofErr w:type="spellStart"/>
            <w:r>
              <w:rPr>
                <w:rFonts w:ascii="Arial" w:eastAsia="Times New Roman" w:hAnsi="Arial" w:cs="Arial"/>
                <w:spacing w:val="-2"/>
                <w:sz w:val="12"/>
                <w:szCs w:val="12"/>
                <w:lang w:val="es-ES"/>
              </w:rPr>
              <w:t>Salpinges</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2FD6230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450985F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19658C8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67CD068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3F809A66"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43B012B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5A8A509"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0C6306D9"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018</w:t>
            </w:r>
          </w:p>
        </w:tc>
        <w:tc>
          <w:tcPr>
            <w:tcW w:w="2977" w:type="dxa"/>
            <w:tcBorders>
              <w:top w:val="double" w:sz="4" w:space="0" w:color="000000"/>
              <w:left w:val="single" w:sz="4" w:space="0" w:color="000000"/>
              <w:bottom w:val="double" w:sz="4" w:space="0" w:color="000000"/>
              <w:right w:val="single" w:sz="4" w:space="0" w:color="000000"/>
            </w:tcBorders>
          </w:tcPr>
          <w:p w14:paraId="4E0A7631"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Útero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sin</w:t>
            </w:r>
            <w:r>
              <w:rPr>
                <w:rFonts w:ascii="Arial" w:eastAsia="Times New Roman" w:hAnsi="Arial" w:cs="Arial"/>
                <w:spacing w:val="-2"/>
                <w:sz w:val="12"/>
                <w:szCs w:val="12"/>
                <w:lang w:val="es-ES"/>
              </w:rPr>
              <w:t xml:space="preserve"> anexos</w:t>
            </w:r>
          </w:p>
        </w:tc>
        <w:tc>
          <w:tcPr>
            <w:tcW w:w="779" w:type="dxa"/>
            <w:tcBorders>
              <w:top w:val="double" w:sz="4" w:space="0" w:color="000000"/>
              <w:left w:val="single" w:sz="4" w:space="0" w:color="000000"/>
              <w:bottom w:val="double" w:sz="4" w:space="0" w:color="000000"/>
              <w:right w:val="single" w:sz="4" w:space="0" w:color="000000"/>
            </w:tcBorders>
            <w:vAlign w:val="center"/>
          </w:tcPr>
          <w:p w14:paraId="02651AF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7BC7E4B8"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3E9E5E22"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5C8E0F7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50F5707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72E8BD0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7688EDA"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1D02EE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019</w:t>
            </w:r>
          </w:p>
        </w:tc>
        <w:tc>
          <w:tcPr>
            <w:tcW w:w="2977" w:type="dxa"/>
            <w:tcBorders>
              <w:top w:val="double" w:sz="4" w:space="0" w:color="000000"/>
              <w:left w:val="single" w:sz="4" w:space="0" w:color="000000"/>
              <w:bottom w:val="double" w:sz="4" w:space="0" w:color="000000"/>
              <w:right w:val="single" w:sz="4" w:space="0" w:color="000000"/>
            </w:tcBorders>
          </w:tcPr>
          <w:p w14:paraId="7AA4053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2"/>
                <w:sz w:val="12"/>
                <w:szCs w:val="12"/>
                <w:lang w:val="es-ES"/>
              </w:rPr>
              <w:t xml:space="preserve"> Ovarios</w:t>
            </w:r>
          </w:p>
        </w:tc>
        <w:tc>
          <w:tcPr>
            <w:tcW w:w="779" w:type="dxa"/>
            <w:tcBorders>
              <w:top w:val="double" w:sz="4" w:space="0" w:color="000000"/>
              <w:left w:val="single" w:sz="4" w:space="0" w:color="000000"/>
              <w:bottom w:val="double" w:sz="4" w:space="0" w:color="000000"/>
              <w:right w:val="single" w:sz="4" w:space="0" w:color="000000"/>
            </w:tcBorders>
            <w:vAlign w:val="center"/>
          </w:tcPr>
          <w:p w14:paraId="0169231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3974ED6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55C5129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04660AD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59B981A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CAF2D4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933DEEB"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13D126A"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020</w:t>
            </w:r>
          </w:p>
        </w:tc>
        <w:tc>
          <w:tcPr>
            <w:tcW w:w="2977" w:type="dxa"/>
            <w:tcBorders>
              <w:top w:val="double" w:sz="4" w:space="0" w:color="000000"/>
              <w:left w:val="single" w:sz="4" w:space="0" w:color="000000"/>
              <w:bottom w:val="double" w:sz="4" w:space="0" w:color="000000"/>
              <w:right w:val="single" w:sz="4" w:space="0" w:color="000000"/>
            </w:tcBorders>
          </w:tcPr>
          <w:p w14:paraId="4EF868D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restos</w:t>
            </w:r>
            <w:r>
              <w:rPr>
                <w:rFonts w:ascii="Arial" w:eastAsia="Times New Roman" w:hAnsi="Arial" w:cs="Arial"/>
                <w:spacing w:val="-2"/>
                <w:sz w:val="12"/>
                <w:szCs w:val="12"/>
                <w:lang w:val="es-ES"/>
              </w:rPr>
              <w:t xml:space="preserve"> ovulares</w:t>
            </w:r>
          </w:p>
        </w:tc>
        <w:tc>
          <w:tcPr>
            <w:tcW w:w="779" w:type="dxa"/>
            <w:tcBorders>
              <w:top w:val="double" w:sz="4" w:space="0" w:color="000000"/>
              <w:left w:val="single" w:sz="4" w:space="0" w:color="000000"/>
              <w:bottom w:val="double" w:sz="4" w:space="0" w:color="000000"/>
              <w:right w:val="single" w:sz="4" w:space="0" w:color="000000"/>
            </w:tcBorders>
            <w:vAlign w:val="center"/>
          </w:tcPr>
          <w:p w14:paraId="2AD9DA9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02A3A35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5ABDAA8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3942DA4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54BD98B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899393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5A24C0"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5FBE09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021</w:t>
            </w:r>
          </w:p>
        </w:tc>
        <w:tc>
          <w:tcPr>
            <w:tcW w:w="2977" w:type="dxa"/>
            <w:tcBorders>
              <w:top w:val="double" w:sz="4" w:space="0" w:color="000000"/>
              <w:left w:val="single" w:sz="4" w:space="0" w:color="000000"/>
              <w:bottom w:val="double" w:sz="4" w:space="0" w:color="000000"/>
              <w:right w:val="single" w:sz="4" w:space="0" w:color="000000"/>
            </w:tcBorders>
          </w:tcPr>
          <w:p w14:paraId="3AE31CF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Testículos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sin</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35DB77CA"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3F8F597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79684FAB"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31C555B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7A7664C2"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2B045C6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C1660AE"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A40B636"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022</w:t>
            </w:r>
          </w:p>
        </w:tc>
        <w:tc>
          <w:tcPr>
            <w:tcW w:w="2977" w:type="dxa"/>
            <w:tcBorders>
              <w:top w:val="double" w:sz="4" w:space="0" w:color="000000"/>
              <w:left w:val="single" w:sz="4" w:space="0" w:color="000000"/>
              <w:bottom w:val="double" w:sz="4" w:space="0" w:color="000000"/>
              <w:right w:val="single" w:sz="4" w:space="0" w:color="000000"/>
            </w:tcBorders>
          </w:tcPr>
          <w:p w14:paraId="7F9B14F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2"/>
                <w:sz w:val="12"/>
                <w:szCs w:val="12"/>
                <w:lang w:val="es-ES"/>
              </w:rPr>
              <w:t xml:space="preserve"> Amígdalas</w:t>
            </w:r>
          </w:p>
        </w:tc>
        <w:tc>
          <w:tcPr>
            <w:tcW w:w="779" w:type="dxa"/>
            <w:tcBorders>
              <w:top w:val="double" w:sz="4" w:space="0" w:color="000000"/>
              <w:left w:val="single" w:sz="4" w:space="0" w:color="000000"/>
              <w:bottom w:val="double" w:sz="4" w:space="0" w:color="000000"/>
              <w:right w:val="single" w:sz="4" w:space="0" w:color="000000"/>
            </w:tcBorders>
            <w:vAlign w:val="center"/>
          </w:tcPr>
          <w:p w14:paraId="7B81839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32A2ACA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25C61FF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3CC52165"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719EF14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799B764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A19F0E8"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6187E50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023</w:t>
            </w:r>
          </w:p>
        </w:tc>
        <w:tc>
          <w:tcPr>
            <w:tcW w:w="2977" w:type="dxa"/>
            <w:tcBorders>
              <w:top w:val="double" w:sz="4" w:space="0" w:color="000000"/>
              <w:left w:val="single" w:sz="4" w:space="0" w:color="000000"/>
              <w:bottom w:val="double" w:sz="4" w:space="0" w:color="000000"/>
              <w:right w:val="single" w:sz="4" w:space="0" w:color="000000"/>
            </w:tcBorders>
          </w:tcPr>
          <w:p w14:paraId="356A140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Ganglio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linfático</w:t>
            </w:r>
          </w:p>
        </w:tc>
        <w:tc>
          <w:tcPr>
            <w:tcW w:w="779" w:type="dxa"/>
            <w:tcBorders>
              <w:top w:val="double" w:sz="4" w:space="0" w:color="000000"/>
              <w:left w:val="single" w:sz="4" w:space="0" w:color="000000"/>
              <w:bottom w:val="double" w:sz="4" w:space="0" w:color="000000"/>
              <w:right w:val="single" w:sz="4" w:space="0" w:color="000000"/>
            </w:tcBorders>
            <w:vAlign w:val="center"/>
          </w:tcPr>
          <w:p w14:paraId="418E821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1321A5BE"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0CE0276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0E53F81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4661CFF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17329D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FF4351A" w14:textId="77777777">
        <w:trPr>
          <w:trHeight w:val="277"/>
        </w:trPr>
        <w:tc>
          <w:tcPr>
            <w:tcW w:w="1106" w:type="dxa"/>
            <w:tcBorders>
              <w:top w:val="double" w:sz="4" w:space="0" w:color="000000"/>
              <w:left w:val="single" w:sz="4" w:space="0" w:color="000000"/>
              <w:bottom w:val="double" w:sz="6" w:space="0" w:color="000000"/>
              <w:right w:val="single" w:sz="4" w:space="0" w:color="000000"/>
            </w:tcBorders>
          </w:tcPr>
          <w:p w14:paraId="403BC42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03-PAT-</w:t>
            </w:r>
            <w:r>
              <w:rPr>
                <w:rFonts w:ascii="Arial" w:eastAsia="Times New Roman" w:hAnsi="Arial" w:cs="Arial"/>
                <w:spacing w:val="-5"/>
                <w:sz w:val="12"/>
                <w:szCs w:val="12"/>
                <w:lang w:val="es-ES"/>
              </w:rPr>
              <w:t>024</w:t>
            </w:r>
          </w:p>
        </w:tc>
        <w:tc>
          <w:tcPr>
            <w:tcW w:w="2977" w:type="dxa"/>
            <w:tcBorders>
              <w:top w:val="double" w:sz="4" w:space="0" w:color="000000"/>
              <w:left w:val="single" w:sz="4" w:space="0" w:color="000000"/>
              <w:bottom w:val="double" w:sz="6" w:space="0" w:color="000000"/>
              <w:right w:val="single" w:sz="4" w:space="0" w:color="000000"/>
            </w:tcBorders>
          </w:tcPr>
          <w:p w14:paraId="4FE0FE2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Conducto</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deferente</w:t>
            </w:r>
          </w:p>
        </w:tc>
        <w:tc>
          <w:tcPr>
            <w:tcW w:w="779" w:type="dxa"/>
            <w:tcBorders>
              <w:top w:val="double" w:sz="4" w:space="0" w:color="000000"/>
              <w:left w:val="single" w:sz="4" w:space="0" w:color="000000"/>
              <w:bottom w:val="double" w:sz="6" w:space="0" w:color="000000"/>
              <w:right w:val="single" w:sz="4" w:space="0" w:color="000000"/>
            </w:tcBorders>
            <w:vAlign w:val="center"/>
          </w:tcPr>
          <w:p w14:paraId="058242C2" w14:textId="77777777" w:rsidR="00D3344B" w:rsidRDefault="00143C25">
            <w:pPr>
              <w:widowControl w:val="0"/>
              <w:suppressAutoHyphens w:val="0"/>
              <w:spacing w:before="109" w:after="0" w:line="14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6" w:space="0" w:color="000000"/>
              <w:right w:val="single" w:sz="4" w:space="0" w:color="000000"/>
            </w:tcBorders>
            <w:vAlign w:val="center"/>
          </w:tcPr>
          <w:p w14:paraId="7147CF3C" w14:textId="77777777" w:rsidR="00D3344B" w:rsidRDefault="00143C25">
            <w:pPr>
              <w:widowControl w:val="0"/>
              <w:suppressAutoHyphens w:val="0"/>
              <w:spacing w:before="109" w:after="0" w:line="14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6" w:space="0" w:color="000000"/>
              <w:right w:val="single" w:sz="4" w:space="0" w:color="000000"/>
            </w:tcBorders>
            <w:vAlign w:val="center"/>
          </w:tcPr>
          <w:p w14:paraId="6AE62AED" w14:textId="77777777" w:rsidR="00D3344B" w:rsidRDefault="00143C25">
            <w:pPr>
              <w:widowControl w:val="0"/>
              <w:suppressAutoHyphens w:val="0"/>
              <w:spacing w:before="109" w:after="0" w:line="14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6" w:space="0" w:color="000000"/>
              <w:right w:val="single" w:sz="4" w:space="0" w:color="000000"/>
            </w:tcBorders>
            <w:vAlign w:val="center"/>
          </w:tcPr>
          <w:p w14:paraId="1B09C94D" w14:textId="77777777" w:rsidR="00D3344B" w:rsidRDefault="00143C25">
            <w:pPr>
              <w:widowControl w:val="0"/>
              <w:suppressAutoHyphens w:val="0"/>
              <w:spacing w:before="109" w:after="0" w:line="14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6" w:space="0" w:color="000000"/>
              <w:right w:val="single" w:sz="4" w:space="0" w:color="000000"/>
            </w:tcBorders>
            <w:vAlign w:val="center"/>
          </w:tcPr>
          <w:p w14:paraId="617C448B" w14:textId="77777777" w:rsidR="00D3344B" w:rsidRDefault="00143C25">
            <w:pPr>
              <w:widowControl w:val="0"/>
              <w:suppressAutoHyphens w:val="0"/>
              <w:spacing w:before="109" w:after="0" w:line="14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6" w:space="0" w:color="000000"/>
              <w:right w:val="single" w:sz="4" w:space="0" w:color="000000"/>
            </w:tcBorders>
            <w:vAlign w:val="center"/>
          </w:tcPr>
          <w:p w14:paraId="775E83D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CD63E94" w14:textId="77777777">
        <w:trPr>
          <w:trHeight w:val="279"/>
        </w:trPr>
        <w:tc>
          <w:tcPr>
            <w:tcW w:w="1106" w:type="dxa"/>
            <w:tcBorders>
              <w:top w:val="double" w:sz="6" w:space="0" w:color="000000"/>
              <w:left w:val="single" w:sz="4" w:space="0" w:color="000000"/>
              <w:bottom w:val="double" w:sz="4" w:space="0" w:color="000000"/>
              <w:right w:val="single" w:sz="4" w:space="0" w:color="000000"/>
            </w:tcBorders>
          </w:tcPr>
          <w:p w14:paraId="56A62599" w14:textId="77777777" w:rsidR="00D3344B" w:rsidRDefault="00143C25">
            <w:pPr>
              <w:widowControl w:val="0"/>
              <w:suppressAutoHyphens w:val="0"/>
              <w:spacing w:before="4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025</w:t>
            </w:r>
          </w:p>
        </w:tc>
        <w:tc>
          <w:tcPr>
            <w:tcW w:w="2977" w:type="dxa"/>
            <w:tcBorders>
              <w:top w:val="double" w:sz="6" w:space="0" w:color="000000"/>
              <w:left w:val="single" w:sz="4" w:space="0" w:color="000000"/>
              <w:bottom w:val="double" w:sz="4" w:space="0" w:color="000000"/>
              <w:right w:val="single" w:sz="4" w:space="0" w:color="000000"/>
            </w:tcBorders>
          </w:tcPr>
          <w:p w14:paraId="3EFD41DD" w14:textId="77777777" w:rsidR="00D3344B" w:rsidRDefault="00143C25">
            <w:pPr>
              <w:widowControl w:val="0"/>
              <w:suppressAutoHyphens w:val="0"/>
              <w:spacing w:before="49"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Apéndice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cecal</w:t>
            </w:r>
          </w:p>
        </w:tc>
        <w:tc>
          <w:tcPr>
            <w:tcW w:w="779" w:type="dxa"/>
            <w:tcBorders>
              <w:top w:val="double" w:sz="6" w:space="0" w:color="000000"/>
              <w:left w:val="single" w:sz="4" w:space="0" w:color="000000"/>
              <w:bottom w:val="double" w:sz="4" w:space="0" w:color="000000"/>
              <w:right w:val="single" w:sz="4" w:space="0" w:color="000000"/>
            </w:tcBorders>
            <w:vAlign w:val="center"/>
          </w:tcPr>
          <w:p w14:paraId="14D4889D" w14:textId="77777777" w:rsidR="00D3344B" w:rsidRDefault="00143C25">
            <w:pPr>
              <w:widowControl w:val="0"/>
              <w:suppressAutoHyphens w:val="0"/>
              <w:spacing w:before="10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6" w:space="0" w:color="000000"/>
              <w:left w:val="single" w:sz="4" w:space="0" w:color="000000"/>
              <w:bottom w:val="double" w:sz="4" w:space="0" w:color="000000"/>
              <w:right w:val="single" w:sz="4" w:space="0" w:color="000000"/>
            </w:tcBorders>
            <w:vAlign w:val="center"/>
          </w:tcPr>
          <w:p w14:paraId="3889B3E5" w14:textId="77777777" w:rsidR="00D3344B" w:rsidRDefault="00143C25">
            <w:pPr>
              <w:widowControl w:val="0"/>
              <w:suppressAutoHyphens w:val="0"/>
              <w:spacing w:before="10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6" w:space="0" w:color="000000"/>
              <w:left w:val="single" w:sz="4" w:space="0" w:color="000000"/>
              <w:bottom w:val="double" w:sz="4" w:space="0" w:color="000000"/>
              <w:right w:val="single" w:sz="4" w:space="0" w:color="000000"/>
            </w:tcBorders>
            <w:vAlign w:val="center"/>
          </w:tcPr>
          <w:p w14:paraId="15C72F43" w14:textId="77777777" w:rsidR="00D3344B" w:rsidRDefault="00143C25">
            <w:pPr>
              <w:widowControl w:val="0"/>
              <w:suppressAutoHyphens w:val="0"/>
              <w:spacing w:before="10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6" w:space="0" w:color="000000"/>
              <w:left w:val="single" w:sz="4" w:space="0" w:color="000000"/>
              <w:bottom w:val="double" w:sz="4" w:space="0" w:color="000000"/>
              <w:right w:val="single" w:sz="4" w:space="0" w:color="000000"/>
            </w:tcBorders>
            <w:vAlign w:val="center"/>
          </w:tcPr>
          <w:p w14:paraId="156CD35E" w14:textId="77777777" w:rsidR="00D3344B" w:rsidRDefault="00143C25">
            <w:pPr>
              <w:widowControl w:val="0"/>
              <w:suppressAutoHyphens w:val="0"/>
              <w:spacing w:before="10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6" w:space="0" w:color="000000"/>
              <w:left w:val="single" w:sz="4" w:space="0" w:color="000000"/>
              <w:bottom w:val="double" w:sz="4" w:space="0" w:color="000000"/>
              <w:right w:val="single" w:sz="4" w:space="0" w:color="000000"/>
            </w:tcBorders>
            <w:vAlign w:val="center"/>
          </w:tcPr>
          <w:p w14:paraId="0AF56F34" w14:textId="77777777" w:rsidR="00D3344B" w:rsidRDefault="00143C25">
            <w:pPr>
              <w:widowControl w:val="0"/>
              <w:suppressAutoHyphens w:val="0"/>
              <w:spacing w:before="10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6" w:space="0" w:color="000000"/>
              <w:left w:val="single" w:sz="4" w:space="0" w:color="000000"/>
              <w:bottom w:val="double" w:sz="4" w:space="0" w:color="000000"/>
              <w:right w:val="single" w:sz="4" w:space="0" w:color="000000"/>
            </w:tcBorders>
            <w:vAlign w:val="center"/>
          </w:tcPr>
          <w:p w14:paraId="04B7DE4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0143173"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622B7AD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026</w:t>
            </w:r>
          </w:p>
        </w:tc>
        <w:tc>
          <w:tcPr>
            <w:tcW w:w="2977" w:type="dxa"/>
            <w:tcBorders>
              <w:top w:val="double" w:sz="4" w:space="0" w:color="000000"/>
              <w:left w:val="single" w:sz="4" w:space="0" w:color="000000"/>
              <w:bottom w:val="double" w:sz="4" w:space="0" w:color="000000"/>
              <w:right w:val="single" w:sz="4" w:space="0" w:color="000000"/>
            </w:tcBorders>
          </w:tcPr>
          <w:p w14:paraId="3915A55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Saco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herniario</w:t>
            </w:r>
          </w:p>
        </w:tc>
        <w:tc>
          <w:tcPr>
            <w:tcW w:w="779" w:type="dxa"/>
            <w:tcBorders>
              <w:top w:val="double" w:sz="4" w:space="0" w:color="000000"/>
              <w:left w:val="single" w:sz="4" w:space="0" w:color="000000"/>
              <w:bottom w:val="double" w:sz="4" w:space="0" w:color="000000"/>
              <w:right w:val="single" w:sz="4" w:space="0" w:color="000000"/>
            </w:tcBorders>
            <w:vAlign w:val="center"/>
          </w:tcPr>
          <w:p w14:paraId="0E73C1E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09E2C4F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5BA9F4FE"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22288AE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086525C6"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2B66C15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E570525"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1B9D28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027</w:t>
            </w:r>
          </w:p>
        </w:tc>
        <w:tc>
          <w:tcPr>
            <w:tcW w:w="2977" w:type="dxa"/>
            <w:tcBorders>
              <w:top w:val="double" w:sz="4" w:space="0" w:color="000000"/>
              <w:left w:val="single" w:sz="4" w:space="0" w:color="000000"/>
              <w:bottom w:val="double" w:sz="4" w:space="0" w:color="000000"/>
              <w:right w:val="single" w:sz="4" w:space="0" w:color="000000"/>
            </w:tcBorders>
          </w:tcPr>
          <w:p w14:paraId="10CD94E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Tejido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cavidad</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oral</w:t>
            </w:r>
          </w:p>
        </w:tc>
        <w:tc>
          <w:tcPr>
            <w:tcW w:w="779" w:type="dxa"/>
            <w:tcBorders>
              <w:top w:val="double" w:sz="4" w:space="0" w:color="000000"/>
              <w:left w:val="single" w:sz="4" w:space="0" w:color="000000"/>
              <w:bottom w:val="double" w:sz="4" w:space="0" w:color="000000"/>
              <w:right w:val="single" w:sz="4" w:space="0" w:color="000000"/>
            </w:tcBorders>
            <w:vAlign w:val="center"/>
          </w:tcPr>
          <w:p w14:paraId="39D5327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42FCBD17"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74EF035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1060986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64C3288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2DF72BC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A4772EA"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6B6D61D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028</w:t>
            </w:r>
          </w:p>
        </w:tc>
        <w:tc>
          <w:tcPr>
            <w:tcW w:w="2977" w:type="dxa"/>
            <w:tcBorders>
              <w:top w:val="double" w:sz="4" w:space="0" w:color="000000"/>
              <w:left w:val="single" w:sz="4" w:space="0" w:color="000000"/>
              <w:bottom w:val="double" w:sz="4" w:space="0" w:color="000000"/>
              <w:right w:val="single" w:sz="4" w:space="0" w:color="000000"/>
            </w:tcBorders>
          </w:tcPr>
          <w:p w14:paraId="5E4E4EB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Tejido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ano-</w:t>
            </w:r>
            <w:r>
              <w:rPr>
                <w:rFonts w:ascii="Arial" w:eastAsia="Times New Roman" w:hAnsi="Arial" w:cs="Arial"/>
                <w:spacing w:val="-2"/>
                <w:sz w:val="12"/>
                <w:szCs w:val="12"/>
                <w:lang w:val="es-ES"/>
              </w:rPr>
              <w:t>rectal</w:t>
            </w:r>
          </w:p>
        </w:tc>
        <w:tc>
          <w:tcPr>
            <w:tcW w:w="779" w:type="dxa"/>
            <w:tcBorders>
              <w:top w:val="double" w:sz="4" w:space="0" w:color="000000"/>
              <w:left w:val="single" w:sz="4" w:space="0" w:color="000000"/>
              <w:bottom w:val="double" w:sz="4" w:space="0" w:color="000000"/>
              <w:right w:val="single" w:sz="4" w:space="0" w:color="000000"/>
            </w:tcBorders>
            <w:vAlign w:val="center"/>
          </w:tcPr>
          <w:p w14:paraId="7D2DA5F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5B4470A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6BA3CAE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05ABFE4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32459A5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33DF0B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05794D8"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210793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029</w:t>
            </w:r>
          </w:p>
        </w:tc>
        <w:tc>
          <w:tcPr>
            <w:tcW w:w="2977" w:type="dxa"/>
            <w:tcBorders>
              <w:top w:val="double" w:sz="4" w:space="0" w:color="000000"/>
              <w:left w:val="single" w:sz="4" w:space="0" w:color="000000"/>
              <w:bottom w:val="double" w:sz="4" w:space="0" w:color="000000"/>
              <w:right w:val="single" w:sz="4" w:space="0" w:color="000000"/>
            </w:tcBorders>
          </w:tcPr>
          <w:p w14:paraId="5D05FBC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Pieza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chica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Vesícula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biliar</w:t>
            </w:r>
          </w:p>
        </w:tc>
        <w:tc>
          <w:tcPr>
            <w:tcW w:w="779" w:type="dxa"/>
            <w:tcBorders>
              <w:top w:val="double" w:sz="4" w:space="0" w:color="000000"/>
              <w:left w:val="single" w:sz="4" w:space="0" w:color="000000"/>
              <w:bottom w:val="double" w:sz="4" w:space="0" w:color="000000"/>
              <w:right w:val="single" w:sz="4" w:space="0" w:color="000000"/>
            </w:tcBorders>
            <w:vAlign w:val="center"/>
          </w:tcPr>
          <w:p w14:paraId="4998FD39"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0D375E2F"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2024E8D3"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43049F86"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2368AC5A"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1A8B5E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127A7D0" w14:textId="77777777">
        <w:trPr>
          <w:trHeight w:val="495"/>
        </w:trPr>
        <w:tc>
          <w:tcPr>
            <w:tcW w:w="1106" w:type="dxa"/>
            <w:tcBorders>
              <w:top w:val="double" w:sz="4" w:space="0" w:color="000000"/>
              <w:left w:val="single" w:sz="4" w:space="0" w:color="000000"/>
              <w:bottom w:val="double" w:sz="4" w:space="0" w:color="000000"/>
              <w:right w:val="single" w:sz="4" w:space="0" w:color="000000"/>
            </w:tcBorders>
          </w:tcPr>
          <w:p w14:paraId="7AF5FD34"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030</w:t>
            </w:r>
          </w:p>
        </w:tc>
        <w:tc>
          <w:tcPr>
            <w:tcW w:w="2977" w:type="dxa"/>
            <w:tcBorders>
              <w:top w:val="double" w:sz="4" w:space="0" w:color="000000"/>
              <w:left w:val="single" w:sz="4" w:space="0" w:color="000000"/>
              <w:bottom w:val="double" w:sz="4" w:space="0" w:color="000000"/>
              <w:right w:val="single" w:sz="4" w:space="0" w:color="000000"/>
            </w:tcBorders>
          </w:tcPr>
          <w:p w14:paraId="49FFBE48" w14:textId="77777777" w:rsidR="00D3344B" w:rsidRDefault="00143C25">
            <w:pPr>
              <w:widowControl w:val="0"/>
              <w:suppressAutoHyphens w:val="0"/>
              <w:spacing w:before="75" w:after="0" w:line="240" w:lineRule="auto"/>
              <w:rPr>
                <w:rFonts w:ascii="Arial" w:eastAsia="Times New Roman" w:hAnsi="Arial" w:cs="Arial"/>
                <w:sz w:val="12"/>
                <w:szCs w:val="12"/>
                <w:lang w:val="es-ES"/>
              </w:rPr>
            </w:pPr>
            <w:r>
              <w:rPr>
                <w:rFonts w:ascii="Arial" w:eastAsia="Times New Roman" w:hAnsi="Arial" w:cs="Arial"/>
                <w:sz w:val="12"/>
                <w:szCs w:val="12"/>
                <w:lang w:val="es-ES"/>
              </w:rPr>
              <w:t>Pieza quirúrgica chica de Tejidos blandos (tejido adiposo,</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epiplón)</w:t>
            </w:r>
          </w:p>
        </w:tc>
        <w:tc>
          <w:tcPr>
            <w:tcW w:w="779" w:type="dxa"/>
            <w:tcBorders>
              <w:top w:val="double" w:sz="4" w:space="0" w:color="000000"/>
              <w:left w:val="single" w:sz="4" w:space="0" w:color="000000"/>
              <w:bottom w:val="double" w:sz="4" w:space="0" w:color="000000"/>
              <w:right w:val="single" w:sz="4" w:space="0" w:color="000000"/>
            </w:tcBorders>
            <w:vAlign w:val="center"/>
          </w:tcPr>
          <w:p w14:paraId="7333BCE0"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22E1CCB8"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1" w:type="dxa"/>
            <w:tcBorders>
              <w:top w:val="double" w:sz="4" w:space="0" w:color="000000"/>
              <w:left w:val="single" w:sz="4" w:space="0" w:color="000000"/>
              <w:bottom w:val="double" w:sz="4" w:space="0" w:color="000000"/>
              <w:right w:val="single" w:sz="4" w:space="0" w:color="000000"/>
            </w:tcBorders>
            <w:vAlign w:val="center"/>
          </w:tcPr>
          <w:p w14:paraId="4B7785AF"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4350786B"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012885A7"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A9C16E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82E3A7D" w14:textId="77777777">
        <w:trPr>
          <w:trHeight w:val="585"/>
        </w:trPr>
        <w:tc>
          <w:tcPr>
            <w:tcW w:w="1106" w:type="dxa"/>
            <w:tcBorders>
              <w:top w:val="double" w:sz="4" w:space="0" w:color="000000"/>
              <w:left w:val="single" w:sz="4" w:space="0" w:color="000000"/>
              <w:bottom w:val="double" w:sz="4" w:space="0" w:color="000000"/>
              <w:right w:val="single" w:sz="4" w:space="0" w:color="000000"/>
            </w:tcBorders>
          </w:tcPr>
          <w:p w14:paraId="095D9A44"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031</w:t>
            </w:r>
          </w:p>
        </w:tc>
        <w:tc>
          <w:tcPr>
            <w:tcW w:w="2977" w:type="dxa"/>
            <w:tcBorders>
              <w:top w:val="double" w:sz="4" w:space="0" w:color="000000"/>
              <w:left w:val="single" w:sz="4" w:space="0" w:color="000000"/>
              <w:bottom w:val="double" w:sz="4" w:space="0" w:color="000000"/>
              <w:right w:val="single" w:sz="4" w:space="0" w:color="000000"/>
            </w:tcBorders>
          </w:tcPr>
          <w:p w14:paraId="66F3C74E" w14:textId="77777777" w:rsidR="00D3344B" w:rsidRDefault="00143C25">
            <w:pPr>
              <w:widowControl w:val="0"/>
              <w:suppressAutoHyphens w:val="0"/>
              <w:spacing w:before="122" w:after="0" w:line="235"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Segmento</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intestino</w:t>
            </w:r>
            <w:r>
              <w:rPr>
                <w:rFonts w:ascii="Arial" w:eastAsia="Times New Roman" w:hAnsi="Arial" w:cs="Arial"/>
                <w:spacing w:val="80"/>
                <w:sz w:val="12"/>
                <w:szCs w:val="12"/>
                <w:lang w:val="es-ES"/>
              </w:rPr>
              <w:t xml:space="preserve"> </w:t>
            </w:r>
            <w:r>
              <w:rPr>
                <w:rFonts w:ascii="Arial" w:eastAsia="Times New Roman" w:hAnsi="Arial" w:cs="Arial"/>
                <w:spacing w:val="-2"/>
                <w:sz w:val="12"/>
                <w:szCs w:val="12"/>
                <w:lang w:val="es-ES"/>
              </w:rPr>
              <w:t>delgado/grueso</w:t>
            </w:r>
          </w:p>
        </w:tc>
        <w:tc>
          <w:tcPr>
            <w:tcW w:w="779" w:type="dxa"/>
            <w:tcBorders>
              <w:top w:val="double" w:sz="4" w:space="0" w:color="000000"/>
              <w:left w:val="single" w:sz="4" w:space="0" w:color="000000"/>
              <w:bottom w:val="double" w:sz="4" w:space="0" w:color="000000"/>
              <w:right w:val="single" w:sz="4" w:space="0" w:color="000000"/>
            </w:tcBorders>
            <w:vAlign w:val="center"/>
          </w:tcPr>
          <w:p w14:paraId="3131DE0E"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612091A8"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3980BA51"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1A787890"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1AB5FC90"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52A6E86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EC2F89" w14:textId="77777777">
        <w:trPr>
          <w:trHeight w:val="599"/>
        </w:trPr>
        <w:tc>
          <w:tcPr>
            <w:tcW w:w="1106" w:type="dxa"/>
            <w:tcBorders>
              <w:top w:val="double" w:sz="4" w:space="0" w:color="000000"/>
              <w:left w:val="single" w:sz="4" w:space="0" w:color="000000"/>
              <w:bottom w:val="double" w:sz="4" w:space="0" w:color="000000"/>
              <w:right w:val="single" w:sz="4" w:space="0" w:color="000000"/>
            </w:tcBorders>
          </w:tcPr>
          <w:p w14:paraId="5086B868"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032</w:t>
            </w:r>
          </w:p>
        </w:tc>
        <w:tc>
          <w:tcPr>
            <w:tcW w:w="2977" w:type="dxa"/>
            <w:tcBorders>
              <w:top w:val="double" w:sz="4" w:space="0" w:color="000000"/>
              <w:left w:val="single" w:sz="4" w:space="0" w:color="000000"/>
              <w:bottom w:val="double" w:sz="4" w:space="0" w:color="000000"/>
              <w:right w:val="single" w:sz="4" w:space="0" w:color="000000"/>
            </w:tcBorders>
          </w:tcPr>
          <w:p w14:paraId="5B5D564E" w14:textId="77777777" w:rsidR="00D3344B" w:rsidRDefault="00143C25">
            <w:pPr>
              <w:widowControl w:val="0"/>
              <w:suppressAutoHyphens w:val="0"/>
              <w:spacing w:before="127"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útero</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anexos</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(ovarios</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40"/>
                <w:sz w:val="12"/>
                <w:szCs w:val="12"/>
                <w:lang w:val="es-ES"/>
              </w:rPr>
              <w:t xml:space="preserve"> </w:t>
            </w:r>
            <w:proofErr w:type="spellStart"/>
            <w:r>
              <w:rPr>
                <w:rFonts w:ascii="Arial" w:eastAsia="Times New Roman" w:hAnsi="Arial" w:cs="Arial"/>
                <w:spacing w:val="-2"/>
                <w:sz w:val="12"/>
                <w:szCs w:val="12"/>
                <w:lang w:val="es-ES"/>
              </w:rPr>
              <w:t>salpinges</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26C4D716"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687C3E48"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016E4174"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7DD1A4D3"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6EAD40DD"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079E609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2FA3BC1"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3CE87AD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033</w:t>
            </w:r>
          </w:p>
        </w:tc>
        <w:tc>
          <w:tcPr>
            <w:tcW w:w="2977" w:type="dxa"/>
            <w:tcBorders>
              <w:top w:val="double" w:sz="4" w:space="0" w:color="000000"/>
              <w:left w:val="single" w:sz="4" w:space="0" w:color="000000"/>
              <w:bottom w:val="double" w:sz="4" w:space="0" w:color="000000"/>
              <w:right w:val="single" w:sz="4" w:space="0" w:color="000000"/>
            </w:tcBorders>
          </w:tcPr>
          <w:p w14:paraId="3DBCEB9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Tiroides</w:t>
            </w:r>
          </w:p>
        </w:tc>
        <w:tc>
          <w:tcPr>
            <w:tcW w:w="779" w:type="dxa"/>
            <w:tcBorders>
              <w:top w:val="double" w:sz="4" w:space="0" w:color="000000"/>
              <w:left w:val="single" w:sz="4" w:space="0" w:color="000000"/>
              <w:bottom w:val="double" w:sz="4" w:space="0" w:color="000000"/>
              <w:right w:val="single" w:sz="4" w:space="0" w:color="000000"/>
            </w:tcBorders>
            <w:vAlign w:val="center"/>
          </w:tcPr>
          <w:p w14:paraId="13A79C4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2023637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08AC19B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4D622AA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4A0B784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3512F2D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8E02DB9"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4D3304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034</w:t>
            </w:r>
          </w:p>
        </w:tc>
        <w:tc>
          <w:tcPr>
            <w:tcW w:w="2977" w:type="dxa"/>
            <w:tcBorders>
              <w:top w:val="double" w:sz="4" w:space="0" w:color="000000"/>
              <w:left w:val="single" w:sz="4" w:space="0" w:color="000000"/>
              <w:bottom w:val="double" w:sz="4" w:space="0" w:color="000000"/>
              <w:right w:val="single" w:sz="4" w:space="0" w:color="000000"/>
            </w:tcBorders>
          </w:tcPr>
          <w:p w14:paraId="74F10E5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Nódulo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mamario</w:t>
            </w:r>
          </w:p>
        </w:tc>
        <w:tc>
          <w:tcPr>
            <w:tcW w:w="779" w:type="dxa"/>
            <w:tcBorders>
              <w:top w:val="double" w:sz="4" w:space="0" w:color="000000"/>
              <w:left w:val="single" w:sz="4" w:space="0" w:color="000000"/>
              <w:bottom w:val="double" w:sz="4" w:space="0" w:color="000000"/>
              <w:right w:val="single" w:sz="4" w:space="0" w:color="000000"/>
            </w:tcBorders>
            <w:vAlign w:val="center"/>
          </w:tcPr>
          <w:p w14:paraId="5EBF9F3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784C77DE"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289F6CE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072160BE"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2688FA7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6FFC9B5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0D95463"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B46F93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035</w:t>
            </w:r>
          </w:p>
        </w:tc>
        <w:tc>
          <w:tcPr>
            <w:tcW w:w="2977" w:type="dxa"/>
            <w:tcBorders>
              <w:top w:val="double" w:sz="4" w:space="0" w:color="000000"/>
              <w:left w:val="single" w:sz="4" w:space="0" w:color="000000"/>
              <w:bottom w:val="double" w:sz="4" w:space="0" w:color="000000"/>
              <w:right w:val="single" w:sz="4" w:space="0" w:color="000000"/>
            </w:tcBorders>
          </w:tcPr>
          <w:p w14:paraId="4CD4434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proofErr w:type="spellStart"/>
            <w:r>
              <w:rPr>
                <w:rFonts w:ascii="Arial" w:eastAsia="Times New Roman" w:hAnsi="Arial" w:cs="Arial"/>
                <w:sz w:val="12"/>
                <w:szCs w:val="12"/>
                <w:lang w:val="es-ES"/>
              </w:rPr>
              <w:t>Salpinge</w:t>
            </w:r>
            <w:proofErr w:type="spellEnd"/>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4"/>
                <w:sz w:val="12"/>
                <w:szCs w:val="12"/>
                <w:lang w:val="es-ES"/>
              </w:rPr>
              <w:t xml:space="preserve"> 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06258B0E"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69545B85"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6447E970"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35D34BA6"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0609F09B"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466020D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20BA832"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C874A3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036</w:t>
            </w:r>
          </w:p>
        </w:tc>
        <w:tc>
          <w:tcPr>
            <w:tcW w:w="2977" w:type="dxa"/>
            <w:tcBorders>
              <w:top w:val="double" w:sz="4" w:space="0" w:color="000000"/>
              <w:left w:val="single" w:sz="4" w:space="0" w:color="000000"/>
              <w:bottom w:val="double" w:sz="4" w:space="0" w:color="000000"/>
              <w:right w:val="single" w:sz="4" w:space="0" w:color="000000"/>
            </w:tcBorders>
          </w:tcPr>
          <w:p w14:paraId="4D36B0F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ovario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4630BCAA"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56C2AF0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05C1A79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7148067A"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732D6B5B"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307C77C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FE970EE"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044041A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037</w:t>
            </w:r>
          </w:p>
        </w:tc>
        <w:tc>
          <w:tcPr>
            <w:tcW w:w="2977" w:type="dxa"/>
            <w:tcBorders>
              <w:top w:val="double" w:sz="4" w:space="0" w:color="000000"/>
              <w:left w:val="single" w:sz="4" w:space="0" w:color="000000"/>
              <w:bottom w:val="double" w:sz="4" w:space="0" w:color="000000"/>
              <w:right w:val="single" w:sz="4" w:space="0" w:color="000000"/>
            </w:tcBorders>
          </w:tcPr>
          <w:p w14:paraId="3023AC6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Piel</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4"/>
                <w:sz w:val="12"/>
                <w:szCs w:val="12"/>
                <w:lang w:val="es-ES"/>
              </w:rPr>
              <w:t xml:space="preserve"> 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639A24F0"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2B880180"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1BAE5E13"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0B5BB8D3"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58CE39C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7A8BCAA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EE18FF6"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99E50C6"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038</w:t>
            </w:r>
          </w:p>
        </w:tc>
        <w:tc>
          <w:tcPr>
            <w:tcW w:w="2977" w:type="dxa"/>
            <w:tcBorders>
              <w:top w:val="double" w:sz="4" w:space="0" w:color="000000"/>
              <w:left w:val="single" w:sz="4" w:space="0" w:color="000000"/>
              <w:bottom w:val="double" w:sz="4" w:space="0" w:color="000000"/>
              <w:right w:val="single" w:sz="4" w:space="0" w:color="000000"/>
            </w:tcBorders>
          </w:tcPr>
          <w:p w14:paraId="698D8E8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Bazo</w:t>
            </w:r>
          </w:p>
        </w:tc>
        <w:tc>
          <w:tcPr>
            <w:tcW w:w="779" w:type="dxa"/>
            <w:tcBorders>
              <w:top w:val="double" w:sz="4" w:space="0" w:color="000000"/>
              <w:left w:val="single" w:sz="4" w:space="0" w:color="000000"/>
              <w:bottom w:val="double" w:sz="4" w:space="0" w:color="000000"/>
              <w:right w:val="single" w:sz="4" w:space="0" w:color="000000"/>
            </w:tcBorders>
            <w:vAlign w:val="center"/>
          </w:tcPr>
          <w:p w14:paraId="76A0A4C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0BDE762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7067ACC7"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545C3CB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7192EE9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2CD8A93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C2FA91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E5C7B1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039</w:t>
            </w:r>
          </w:p>
        </w:tc>
        <w:tc>
          <w:tcPr>
            <w:tcW w:w="2977" w:type="dxa"/>
            <w:tcBorders>
              <w:top w:val="double" w:sz="4" w:space="0" w:color="000000"/>
              <w:left w:val="single" w:sz="4" w:space="0" w:color="000000"/>
              <w:bottom w:val="double" w:sz="4" w:space="0" w:color="000000"/>
              <w:right w:val="single" w:sz="4" w:space="0" w:color="000000"/>
            </w:tcBorders>
          </w:tcPr>
          <w:p w14:paraId="3CEA764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Próstata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w:t>
            </w:r>
            <w:proofErr w:type="spellStart"/>
            <w:r>
              <w:rPr>
                <w:rFonts w:ascii="Arial" w:eastAsia="Times New Roman" w:hAnsi="Arial" w:cs="Arial"/>
                <w:spacing w:val="-2"/>
                <w:sz w:val="12"/>
                <w:szCs w:val="12"/>
                <w:lang w:val="es-ES"/>
              </w:rPr>
              <w:t>multifracmentada</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09C8245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5E26C6F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10ABD5C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2B34602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13586DA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4272E10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059FFBC" w14:textId="77777777">
        <w:trPr>
          <w:trHeight w:val="510"/>
        </w:trPr>
        <w:tc>
          <w:tcPr>
            <w:tcW w:w="1106" w:type="dxa"/>
            <w:tcBorders>
              <w:top w:val="double" w:sz="4" w:space="0" w:color="000000"/>
              <w:left w:val="single" w:sz="4" w:space="0" w:color="000000"/>
              <w:bottom w:val="double" w:sz="4" w:space="0" w:color="000000"/>
              <w:right w:val="single" w:sz="4" w:space="0" w:color="000000"/>
            </w:tcBorders>
          </w:tcPr>
          <w:p w14:paraId="5B762E71"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040</w:t>
            </w:r>
          </w:p>
        </w:tc>
        <w:tc>
          <w:tcPr>
            <w:tcW w:w="2977" w:type="dxa"/>
            <w:tcBorders>
              <w:top w:val="double" w:sz="4" w:space="0" w:color="000000"/>
              <w:left w:val="single" w:sz="4" w:space="0" w:color="000000"/>
              <w:bottom w:val="double" w:sz="4" w:space="0" w:color="000000"/>
              <w:right w:val="single" w:sz="4" w:space="0" w:color="000000"/>
            </w:tcBorders>
          </w:tcPr>
          <w:p w14:paraId="5FE09E82" w14:textId="77777777" w:rsidR="00D3344B" w:rsidRDefault="00143C25">
            <w:pPr>
              <w:widowControl w:val="0"/>
              <w:suppressAutoHyphens w:val="0"/>
              <w:spacing w:before="82"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37"/>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39"/>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37"/>
                <w:sz w:val="12"/>
                <w:szCs w:val="12"/>
                <w:lang w:val="es-ES"/>
              </w:rPr>
              <w:t xml:space="preserve"> </w:t>
            </w:r>
            <w:proofErr w:type="spellStart"/>
            <w:r>
              <w:rPr>
                <w:rFonts w:ascii="Arial" w:eastAsia="Times New Roman" w:hAnsi="Arial" w:cs="Arial"/>
                <w:sz w:val="12"/>
                <w:szCs w:val="12"/>
                <w:lang w:val="es-ES"/>
              </w:rPr>
              <w:t>dePróstata</w:t>
            </w:r>
            <w:proofErr w:type="spellEnd"/>
            <w:r>
              <w:rPr>
                <w:rFonts w:ascii="Arial" w:eastAsia="Times New Roman" w:hAnsi="Arial" w:cs="Arial"/>
                <w:spacing w:val="39"/>
                <w:sz w:val="12"/>
                <w:szCs w:val="12"/>
                <w:lang w:val="es-ES"/>
              </w:rPr>
              <w:t xml:space="preserve"> </w:t>
            </w:r>
            <w:r>
              <w:rPr>
                <w:rFonts w:ascii="Arial" w:eastAsia="Times New Roman" w:hAnsi="Arial" w:cs="Arial"/>
                <w:sz w:val="12"/>
                <w:szCs w:val="12"/>
                <w:lang w:val="es-ES"/>
              </w:rPr>
              <w:t>(resección</w:t>
            </w:r>
            <w:r>
              <w:rPr>
                <w:rFonts w:ascii="Arial" w:eastAsia="Times New Roman" w:hAnsi="Arial" w:cs="Arial"/>
                <w:spacing w:val="40"/>
                <w:sz w:val="12"/>
                <w:szCs w:val="12"/>
                <w:lang w:val="es-ES"/>
              </w:rPr>
              <w:t xml:space="preserve"> </w:t>
            </w:r>
            <w:proofErr w:type="spellStart"/>
            <w:r>
              <w:rPr>
                <w:rFonts w:ascii="Arial" w:eastAsia="Times New Roman" w:hAnsi="Arial" w:cs="Arial"/>
                <w:sz w:val="12"/>
                <w:szCs w:val="12"/>
                <w:lang w:val="es-ES"/>
              </w:rPr>
              <w:t>trans-rectal</w:t>
            </w:r>
            <w:proofErr w:type="spellEnd"/>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por</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lóbulo)</w:t>
            </w:r>
          </w:p>
        </w:tc>
        <w:tc>
          <w:tcPr>
            <w:tcW w:w="779" w:type="dxa"/>
            <w:tcBorders>
              <w:top w:val="double" w:sz="4" w:space="0" w:color="000000"/>
              <w:left w:val="single" w:sz="4" w:space="0" w:color="000000"/>
              <w:bottom w:val="double" w:sz="4" w:space="0" w:color="000000"/>
              <w:right w:val="single" w:sz="4" w:space="0" w:color="000000"/>
            </w:tcBorders>
            <w:vAlign w:val="center"/>
          </w:tcPr>
          <w:p w14:paraId="472DCBED" w14:textId="77777777" w:rsidR="00D3344B" w:rsidRDefault="00143C25">
            <w:pPr>
              <w:widowControl w:val="0"/>
              <w:suppressAutoHyphens w:val="0"/>
              <w:spacing w:before="12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42F50FC0" w14:textId="77777777" w:rsidR="00D3344B" w:rsidRDefault="00143C25">
            <w:pPr>
              <w:widowControl w:val="0"/>
              <w:suppressAutoHyphens w:val="0"/>
              <w:spacing w:before="12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4E6A0B9F" w14:textId="77777777" w:rsidR="00D3344B" w:rsidRDefault="00143C25">
            <w:pPr>
              <w:widowControl w:val="0"/>
              <w:suppressAutoHyphens w:val="0"/>
              <w:spacing w:before="12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554CA88E" w14:textId="77777777" w:rsidR="00D3344B" w:rsidRDefault="00143C25">
            <w:pPr>
              <w:widowControl w:val="0"/>
              <w:suppressAutoHyphens w:val="0"/>
              <w:spacing w:before="12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78EB2899" w14:textId="77777777" w:rsidR="00D3344B" w:rsidRDefault="00143C25">
            <w:pPr>
              <w:widowControl w:val="0"/>
              <w:suppressAutoHyphens w:val="0"/>
              <w:spacing w:before="12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70816DB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5718AE4"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7B4A07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041</w:t>
            </w:r>
          </w:p>
        </w:tc>
        <w:tc>
          <w:tcPr>
            <w:tcW w:w="2977" w:type="dxa"/>
            <w:tcBorders>
              <w:top w:val="double" w:sz="4" w:space="0" w:color="000000"/>
              <w:left w:val="single" w:sz="4" w:space="0" w:color="000000"/>
              <w:bottom w:val="double" w:sz="4" w:space="0" w:color="000000"/>
              <w:right w:val="single" w:sz="4" w:space="0" w:color="000000"/>
            </w:tcBorders>
          </w:tcPr>
          <w:p w14:paraId="377C046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Prostatectomia</w:t>
            </w:r>
            <w:proofErr w:type="spellEnd"/>
            <w:r>
              <w:rPr>
                <w:rFonts w:ascii="Arial" w:eastAsia="Times New Roman" w:hAnsi="Arial" w:cs="Arial"/>
                <w:spacing w:val="14"/>
                <w:sz w:val="12"/>
                <w:szCs w:val="12"/>
                <w:lang w:val="es-ES"/>
              </w:rPr>
              <w:t xml:space="preserve"> </w:t>
            </w:r>
            <w:r>
              <w:rPr>
                <w:rFonts w:ascii="Arial" w:eastAsia="Times New Roman" w:hAnsi="Arial" w:cs="Arial"/>
                <w:spacing w:val="-2"/>
                <w:sz w:val="12"/>
                <w:szCs w:val="12"/>
                <w:lang w:val="es-ES"/>
              </w:rPr>
              <w:t>(próstata</w:t>
            </w:r>
            <w:r>
              <w:rPr>
                <w:rFonts w:ascii="Arial" w:eastAsia="Times New Roman" w:hAnsi="Arial" w:cs="Arial"/>
                <w:spacing w:val="12"/>
                <w:sz w:val="12"/>
                <w:szCs w:val="12"/>
                <w:lang w:val="es-ES"/>
              </w:rPr>
              <w:t xml:space="preserve"> </w:t>
            </w:r>
            <w:r>
              <w:rPr>
                <w:rFonts w:ascii="Arial" w:eastAsia="Times New Roman" w:hAnsi="Arial" w:cs="Arial"/>
                <w:spacing w:val="-2"/>
                <w:sz w:val="12"/>
                <w:szCs w:val="12"/>
                <w:lang w:val="es-ES"/>
              </w:rPr>
              <w:t>completa)</w:t>
            </w:r>
          </w:p>
        </w:tc>
        <w:tc>
          <w:tcPr>
            <w:tcW w:w="779" w:type="dxa"/>
            <w:tcBorders>
              <w:top w:val="double" w:sz="4" w:space="0" w:color="000000"/>
              <w:left w:val="single" w:sz="4" w:space="0" w:color="000000"/>
              <w:bottom w:val="double" w:sz="4" w:space="0" w:color="000000"/>
              <w:right w:val="single" w:sz="4" w:space="0" w:color="000000"/>
            </w:tcBorders>
            <w:vAlign w:val="center"/>
          </w:tcPr>
          <w:p w14:paraId="2BC1350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16.50</w:t>
            </w:r>
          </w:p>
        </w:tc>
        <w:tc>
          <w:tcPr>
            <w:tcW w:w="780" w:type="dxa"/>
            <w:tcBorders>
              <w:top w:val="double" w:sz="4" w:space="0" w:color="000000"/>
              <w:left w:val="single" w:sz="4" w:space="0" w:color="000000"/>
              <w:bottom w:val="double" w:sz="4" w:space="0" w:color="000000"/>
              <w:right w:val="single" w:sz="4" w:space="0" w:color="000000"/>
            </w:tcBorders>
            <w:vAlign w:val="center"/>
          </w:tcPr>
          <w:p w14:paraId="2E1C89C4"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15.00</w:t>
            </w:r>
          </w:p>
        </w:tc>
        <w:tc>
          <w:tcPr>
            <w:tcW w:w="781" w:type="dxa"/>
            <w:tcBorders>
              <w:top w:val="double" w:sz="4" w:space="0" w:color="000000"/>
              <w:left w:val="single" w:sz="4" w:space="0" w:color="000000"/>
              <w:bottom w:val="double" w:sz="4" w:space="0" w:color="000000"/>
              <w:right w:val="single" w:sz="4" w:space="0" w:color="000000"/>
            </w:tcBorders>
            <w:vAlign w:val="center"/>
          </w:tcPr>
          <w:p w14:paraId="17DDE27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79" w:type="dxa"/>
            <w:tcBorders>
              <w:top w:val="double" w:sz="4" w:space="0" w:color="000000"/>
              <w:left w:val="single" w:sz="4" w:space="0" w:color="000000"/>
              <w:bottom w:val="double" w:sz="4" w:space="0" w:color="000000"/>
              <w:right w:val="single" w:sz="4" w:space="0" w:color="000000"/>
            </w:tcBorders>
            <w:vAlign w:val="center"/>
          </w:tcPr>
          <w:p w14:paraId="3645ED4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33ABEAB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65597F3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AA6BAD8"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FEA0B9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042</w:t>
            </w:r>
          </w:p>
        </w:tc>
        <w:tc>
          <w:tcPr>
            <w:tcW w:w="2977" w:type="dxa"/>
            <w:tcBorders>
              <w:top w:val="double" w:sz="4" w:space="0" w:color="000000"/>
              <w:left w:val="single" w:sz="4" w:space="0" w:color="000000"/>
              <w:bottom w:val="double" w:sz="4" w:space="0" w:color="000000"/>
              <w:right w:val="single" w:sz="4" w:space="0" w:color="000000"/>
            </w:tcBorders>
          </w:tcPr>
          <w:p w14:paraId="30CC8E7B"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Gastrectomía</w:t>
            </w:r>
          </w:p>
        </w:tc>
        <w:tc>
          <w:tcPr>
            <w:tcW w:w="779" w:type="dxa"/>
            <w:tcBorders>
              <w:top w:val="double" w:sz="4" w:space="0" w:color="000000"/>
              <w:left w:val="single" w:sz="4" w:space="0" w:color="000000"/>
              <w:bottom w:val="double" w:sz="4" w:space="0" w:color="000000"/>
              <w:right w:val="single" w:sz="4" w:space="0" w:color="000000"/>
            </w:tcBorders>
            <w:vAlign w:val="center"/>
          </w:tcPr>
          <w:p w14:paraId="3282D59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80" w:type="dxa"/>
            <w:tcBorders>
              <w:top w:val="double" w:sz="4" w:space="0" w:color="000000"/>
              <w:left w:val="single" w:sz="4" w:space="0" w:color="000000"/>
              <w:bottom w:val="double" w:sz="4" w:space="0" w:color="000000"/>
              <w:right w:val="single" w:sz="4" w:space="0" w:color="000000"/>
            </w:tcBorders>
            <w:vAlign w:val="center"/>
          </w:tcPr>
          <w:p w14:paraId="60497BB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1" w:type="dxa"/>
            <w:tcBorders>
              <w:top w:val="double" w:sz="4" w:space="0" w:color="000000"/>
              <w:left w:val="single" w:sz="4" w:space="0" w:color="000000"/>
              <w:bottom w:val="double" w:sz="4" w:space="0" w:color="000000"/>
              <w:right w:val="single" w:sz="4" w:space="0" w:color="000000"/>
            </w:tcBorders>
            <w:vAlign w:val="center"/>
          </w:tcPr>
          <w:p w14:paraId="7E1CF91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388CFC1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13AFC74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79" w:type="dxa"/>
            <w:tcBorders>
              <w:top w:val="double" w:sz="4" w:space="0" w:color="000000"/>
              <w:left w:val="single" w:sz="4" w:space="0" w:color="000000"/>
              <w:bottom w:val="double" w:sz="4" w:space="0" w:color="000000"/>
              <w:right w:val="single" w:sz="4" w:space="0" w:color="000000"/>
            </w:tcBorders>
            <w:vAlign w:val="center"/>
          </w:tcPr>
          <w:p w14:paraId="597C251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484867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395AB6C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043</w:t>
            </w:r>
          </w:p>
        </w:tc>
        <w:tc>
          <w:tcPr>
            <w:tcW w:w="2977" w:type="dxa"/>
            <w:tcBorders>
              <w:top w:val="double" w:sz="4" w:space="0" w:color="000000"/>
              <w:left w:val="single" w:sz="4" w:space="0" w:color="000000"/>
              <w:bottom w:val="double" w:sz="4" w:space="0" w:color="000000"/>
              <w:right w:val="single" w:sz="4" w:space="0" w:color="000000"/>
            </w:tcBorders>
          </w:tcPr>
          <w:p w14:paraId="6821CC1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Tumor</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intestino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delgado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w:t>
            </w:r>
            <w:r>
              <w:rPr>
                <w:rFonts w:ascii="Arial" w:eastAsia="Times New Roman" w:hAnsi="Arial" w:cs="Arial"/>
                <w:spacing w:val="-2"/>
                <w:sz w:val="12"/>
                <w:szCs w:val="12"/>
                <w:lang w:val="es-ES"/>
              </w:rPr>
              <w:t xml:space="preserve"> grueso</w:t>
            </w:r>
          </w:p>
        </w:tc>
        <w:tc>
          <w:tcPr>
            <w:tcW w:w="779" w:type="dxa"/>
            <w:tcBorders>
              <w:top w:val="double" w:sz="4" w:space="0" w:color="000000"/>
              <w:left w:val="single" w:sz="4" w:space="0" w:color="000000"/>
              <w:bottom w:val="double" w:sz="4" w:space="0" w:color="000000"/>
              <w:right w:val="single" w:sz="4" w:space="0" w:color="000000"/>
            </w:tcBorders>
            <w:vAlign w:val="center"/>
          </w:tcPr>
          <w:p w14:paraId="73A0C26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80" w:type="dxa"/>
            <w:tcBorders>
              <w:top w:val="double" w:sz="4" w:space="0" w:color="000000"/>
              <w:left w:val="single" w:sz="4" w:space="0" w:color="000000"/>
              <w:bottom w:val="double" w:sz="4" w:space="0" w:color="000000"/>
              <w:right w:val="single" w:sz="4" w:space="0" w:color="000000"/>
            </w:tcBorders>
            <w:vAlign w:val="center"/>
          </w:tcPr>
          <w:p w14:paraId="79502238"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1" w:type="dxa"/>
            <w:tcBorders>
              <w:top w:val="double" w:sz="4" w:space="0" w:color="000000"/>
              <w:left w:val="single" w:sz="4" w:space="0" w:color="000000"/>
              <w:bottom w:val="double" w:sz="4" w:space="0" w:color="000000"/>
              <w:right w:val="single" w:sz="4" w:space="0" w:color="000000"/>
            </w:tcBorders>
            <w:vAlign w:val="center"/>
          </w:tcPr>
          <w:p w14:paraId="123DAEF7"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636DED8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0B3D5B6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79" w:type="dxa"/>
            <w:tcBorders>
              <w:top w:val="double" w:sz="4" w:space="0" w:color="000000"/>
              <w:left w:val="single" w:sz="4" w:space="0" w:color="000000"/>
              <w:bottom w:val="double" w:sz="4" w:space="0" w:color="000000"/>
              <w:right w:val="single" w:sz="4" w:space="0" w:color="000000"/>
            </w:tcBorders>
            <w:vAlign w:val="center"/>
          </w:tcPr>
          <w:p w14:paraId="4BE8940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8A2439C" w14:textId="77777777">
        <w:trPr>
          <w:trHeight w:val="253"/>
        </w:trPr>
        <w:tc>
          <w:tcPr>
            <w:tcW w:w="1106" w:type="dxa"/>
            <w:tcBorders>
              <w:top w:val="double" w:sz="4" w:space="0" w:color="000000"/>
              <w:left w:val="single" w:sz="4" w:space="0" w:color="000000"/>
              <w:bottom w:val="double" w:sz="4" w:space="0" w:color="000000"/>
              <w:right w:val="single" w:sz="4" w:space="0" w:color="000000"/>
            </w:tcBorders>
          </w:tcPr>
          <w:p w14:paraId="5B26A771" w14:textId="77777777" w:rsidR="00D3344B" w:rsidRDefault="00143C25">
            <w:pPr>
              <w:widowControl w:val="0"/>
              <w:suppressAutoHyphens w:val="0"/>
              <w:spacing w:before="3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044</w:t>
            </w:r>
          </w:p>
        </w:tc>
        <w:tc>
          <w:tcPr>
            <w:tcW w:w="2977" w:type="dxa"/>
            <w:tcBorders>
              <w:top w:val="double" w:sz="4" w:space="0" w:color="000000"/>
              <w:left w:val="single" w:sz="4" w:space="0" w:color="000000"/>
              <w:bottom w:val="double" w:sz="4" w:space="0" w:color="000000"/>
              <w:right w:val="single" w:sz="4" w:space="0" w:color="000000"/>
            </w:tcBorders>
          </w:tcPr>
          <w:p w14:paraId="74F286B2" w14:textId="77777777" w:rsidR="00D3344B" w:rsidRDefault="00143C25">
            <w:pPr>
              <w:widowControl w:val="0"/>
              <w:suppressAutoHyphens w:val="0"/>
              <w:spacing w:before="87" w:after="0" w:line="146" w:lineRule="exact"/>
              <w:rPr>
                <w:rFonts w:ascii="Arial" w:eastAsia="Times New Roman" w:hAnsi="Arial" w:cs="Arial"/>
                <w:sz w:val="12"/>
                <w:szCs w:val="12"/>
                <w:lang w:val="es-ES"/>
              </w:rPr>
            </w:pPr>
            <w:r>
              <w:rPr>
                <w:rFonts w:ascii="Arial" w:eastAsia="Times New Roman" w:hAnsi="Arial" w:cs="Arial"/>
                <w:sz w:val="12"/>
                <w:szCs w:val="12"/>
                <w:lang w:val="es-ES"/>
              </w:rPr>
              <w:t>Tumor</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ovario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(ooforectomía)</w:t>
            </w:r>
          </w:p>
        </w:tc>
        <w:tc>
          <w:tcPr>
            <w:tcW w:w="779" w:type="dxa"/>
            <w:tcBorders>
              <w:top w:val="double" w:sz="4" w:space="0" w:color="000000"/>
              <w:left w:val="single" w:sz="4" w:space="0" w:color="000000"/>
              <w:bottom w:val="double" w:sz="4" w:space="0" w:color="000000"/>
              <w:right w:val="single" w:sz="4" w:space="0" w:color="000000"/>
            </w:tcBorders>
            <w:vAlign w:val="center"/>
          </w:tcPr>
          <w:p w14:paraId="1726430B" w14:textId="77777777" w:rsidR="00D3344B" w:rsidRDefault="00143C25">
            <w:pPr>
              <w:widowControl w:val="0"/>
              <w:suppressAutoHyphens w:val="0"/>
              <w:spacing w:before="7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31E6B186" w14:textId="77777777" w:rsidR="00D3344B" w:rsidRDefault="00143C25">
            <w:pPr>
              <w:widowControl w:val="0"/>
              <w:suppressAutoHyphens w:val="0"/>
              <w:spacing w:before="7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81" w:type="dxa"/>
            <w:tcBorders>
              <w:top w:val="double" w:sz="4" w:space="0" w:color="000000"/>
              <w:left w:val="single" w:sz="4" w:space="0" w:color="000000"/>
              <w:bottom w:val="double" w:sz="4" w:space="0" w:color="000000"/>
              <w:right w:val="single" w:sz="4" w:space="0" w:color="000000"/>
            </w:tcBorders>
            <w:vAlign w:val="center"/>
          </w:tcPr>
          <w:p w14:paraId="7A3521D1" w14:textId="77777777" w:rsidR="00D3344B" w:rsidRDefault="00143C25">
            <w:pPr>
              <w:widowControl w:val="0"/>
              <w:suppressAutoHyphens w:val="0"/>
              <w:spacing w:before="7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79" w:type="dxa"/>
            <w:tcBorders>
              <w:top w:val="double" w:sz="4" w:space="0" w:color="000000"/>
              <w:left w:val="single" w:sz="4" w:space="0" w:color="000000"/>
              <w:bottom w:val="double" w:sz="4" w:space="0" w:color="000000"/>
              <w:right w:val="single" w:sz="4" w:space="0" w:color="000000"/>
            </w:tcBorders>
            <w:vAlign w:val="center"/>
          </w:tcPr>
          <w:p w14:paraId="635F3B58" w14:textId="77777777" w:rsidR="00D3344B" w:rsidRDefault="00143C25">
            <w:pPr>
              <w:widowControl w:val="0"/>
              <w:suppressAutoHyphens w:val="0"/>
              <w:spacing w:before="7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577498E0" w14:textId="77777777" w:rsidR="00D3344B" w:rsidRDefault="00143C25">
            <w:pPr>
              <w:widowControl w:val="0"/>
              <w:suppressAutoHyphens w:val="0"/>
              <w:spacing w:before="75"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2F19B7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17B586"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408666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045</w:t>
            </w:r>
          </w:p>
        </w:tc>
        <w:tc>
          <w:tcPr>
            <w:tcW w:w="2977" w:type="dxa"/>
            <w:tcBorders>
              <w:top w:val="double" w:sz="4" w:space="0" w:color="000000"/>
              <w:left w:val="single" w:sz="4" w:space="0" w:color="000000"/>
              <w:bottom w:val="double" w:sz="4" w:space="0" w:color="000000"/>
              <w:right w:val="single" w:sz="4" w:space="0" w:color="000000"/>
            </w:tcBorders>
          </w:tcPr>
          <w:p w14:paraId="614E4A9F" w14:textId="77777777" w:rsidR="00D3344B" w:rsidRDefault="00143C25">
            <w:pPr>
              <w:widowControl w:val="0"/>
              <w:suppressAutoHyphens w:val="0"/>
              <w:spacing w:before="118" w:after="0" w:line="146" w:lineRule="exact"/>
              <w:rPr>
                <w:rFonts w:ascii="Arial" w:eastAsia="Times New Roman" w:hAnsi="Arial" w:cs="Arial"/>
                <w:sz w:val="12"/>
                <w:szCs w:val="12"/>
                <w:lang w:val="es-ES"/>
              </w:rPr>
            </w:pPr>
            <w:r>
              <w:rPr>
                <w:rFonts w:ascii="Arial" w:eastAsia="Times New Roman" w:hAnsi="Arial" w:cs="Arial"/>
                <w:sz w:val="12"/>
                <w:szCs w:val="12"/>
                <w:lang w:val="es-ES"/>
              </w:rPr>
              <w:t>Útero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tumor</w:t>
            </w:r>
            <w:r>
              <w:rPr>
                <w:rFonts w:ascii="Arial" w:eastAsia="Times New Roman" w:hAnsi="Arial" w:cs="Arial"/>
                <w:spacing w:val="-4"/>
                <w:sz w:val="12"/>
                <w:szCs w:val="12"/>
                <w:lang w:val="es-ES"/>
              </w:rPr>
              <w:t xml:space="preserve"> </w:t>
            </w:r>
            <w:proofErr w:type="gramStart"/>
            <w:r>
              <w:rPr>
                <w:rFonts w:ascii="Arial" w:eastAsia="Times New Roman" w:hAnsi="Arial" w:cs="Arial"/>
                <w:sz w:val="12"/>
                <w:szCs w:val="12"/>
                <w:lang w:val="es-ES"/>
              </w:rPr>
              <w:t>(</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Ovarios</w:t>
            </w:r>
            <w:proofErr w:type="gramEnd"/>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6"/>
                <w:sz w:val="12"/>
                <w:szCs w:val="12"/>
                <w:lang w:val="es-ES"/>
              </w:rPr>
              <w:t xml:space="preserve"> </w:t>
            </w:r>
            <w:proofErr w:type="spellStart"/>
            <w:r>
              <w:rPr>
                <w:rFonts w:ascii="Arial" w:eastAsia="Times New Roman" w:hAnsi="Arial" w:cs="Arial"/>
                <w:sz w:val="12"/>
                <w:szCs w:val="12"/>
                <w:lang w:val="es-ES"/>
              </w:rPr>
              <w:t>salpinges</w:t>
            </w:r>
            <w:proofErr w:type="spellEnd"/>
            <w:r>
              <w:rPr>
                <w:rFonts w:ascii="Arial" w:eastAsia="Times New Roman" w:hAnsi="Arial" w:cs="Arial"/>
                <w:spacing w:val="-2"/>
                <w:sz w:val="12"/>
                <w:szCs w:val="12"/>
                <w:lang w:val="es-ES"/>
              </w:rPr>
              <w:t xml:space="preserve"> </w:t>
            </w:r>
            <w:r>
              <w:rPr>
                <w:rFonts w:ascii="Arial" w:eastAsia="Times New Roman" w:hAnsi="Arial" w:cs="Arial"/>
                <w:spacing w:val="-10"/>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1391AC9A"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16.50</w:t>
            </w:r>
          </w:p>
        </w:tc>
        <w:tc>
          <w:tcPr>
            <w:tcW w:w="780" w:type="dxa"/>
            <w:tcBorders>
              <w:top w:val="double" w:sz="4" w:space="0" w:color="000000"/>
              <w:left w:val="single" w:sz="4" w:space="0" w:color="000000"/>
              <w:bottom w:val="double" w:sz="4" w:space="0" w:color="000000"/>
              <w:right w:val="single" w:sz="4" w:space="0" w:color="000000"/>
            </w:tcBorders>
            <w:vAlign w:val="center"/>
          </w:tcPr>
          <w:p w14:paraId="5697469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15.00</w:t>
            </w:r>
          </w:p>
        </w:tc>
        <w:tc>
          <w:tcPr>
            <w:tcW w:w="781" w:type="dxa"/>
            <w:tcBorders>
              <w:top w:val="double" w:sz="4" w:space="0" w:color="000000"/>
              <w:left w:val="single" w:sz="4" w:space="0" w:color="000000"/>
              <w:bottom w:val="double" w:sz="4" w:space="0" w:color="000000"/>
              <w:right w:val="single" w:sz="4" w:space="0" w:color="000000"/>
            </w:tcBorders>
            <w:vAlign w:val="center"/>
          </w:tcPr>
          <w:p w14:paraId="047B127A"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79" w:type="dxa"/>
            <w:tcBorders>
              <w:top w:val="double" w:sz="4" w:space="0" w:color="000000"/>
              <w:left w:val="single" w:sz="4" w:space="0" w:color="000000"/>
              <w:bottom w:val="double" w:sz="4" w:space="0" w:color="000000"/>
              <w:right w:val="single" w:sz="4" w:space="0" w:color="000000"/>
            </w:tcBorders>
            <w:vAlign w:val="center"/>
          </w:tcPr>
          <w:p w14:paraId="0080981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6057153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07D6235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B6C1640"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19BB07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046</w:t>
            </w:r>
          </w:p>
        </w:tc>
        <w:tc>
          <w:tcPr>
            <w:tcW w:w="2977" w:type="dxa"/>
            <w:tcBorders>
              <w:top w:val="double" w:sz="4" w:space="0" w:color="000000"/>
              <w:left w:val="single" w:sz="4" w:space="0" w:color="000000"/>
              <w:bottom w:val="double" w:sz="4" w:space="0" w:color="000000"/>
              <w:right w:val="single" w:sz="4" w:space="0" w:color="000000"/>
            </w:tcBorders>
          </w:tcPr>
          <w:p w14:paraId="5CCEB14E" w14:textId="77777777" w:rsidR="00D3344B" w:rsidRDefault="00143C25">
            <w:pPr>
              <w:widowControl w:val="0"/>
              <w:suppressAutoHyphens w:val="0"/>
              <w:spacing w:before="121" w:after="0" w:line="145" w:lineRule="exact"/>
              <w:rPr>
                <w:rFonts w:ascii="Arial" w:eastAsia="Times New Roman" w:hAnsi="Arial" w:cs="Arial"/>
                <w:sz w:val="12"/>
                <w:szCs w:val="12"/>
                <w:lang w:val="es-ES"/>
              </w:rPr>
            </w:pPr>
            <w:r>
              <w:rPr>
                <w:rFonts w:ascii="Arial" w:eastAsia="Times New Roman" w:hAnsi="Arial" w:cs="Arial"/>
                <w:sz w:val="12"/>
                <w:szCs w:val="12"/>
                <w:lang w:val="es-ES"/>
              </w:rPr>
              <w:t>Tumor</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testículo</w:t>
            </w:r>
            <w:r>
              <w:rPr>
                <w:rFonts w:ascii="Arial" w:eastAsia="Times New Roman" w:hAnsi="Arial" w:cs="Arial"/>
                <w:spacing w:val="29"/>
                <w:sz w:val="12"/>
                <w:szCs w:val="12"/>
                <w:lang w:val="es-ES"/>
              </w:rPr>
              <w:t xml:space="preserve"> </w:t>
            </w:r>
            <w:proofErr w:type="gramStart"/>
            <w:r>
              <w:rPr>
                <w:rFonts w:ascii="Arial" w:eastAsia="Times New Roman" w:hAnsi="Arial" w:cs="Arial"/>
                <w:sz w:val="12"/>
                <w:szCs w:val="12"/>
                <w:lang w:val="es-ES"/>
              </w:rPr>
              <w:t>(</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orquiectomía</w:t>
            </w:r>
            <w:proofErr w:type="gramEnd"/>
            <w:r>
              <w:rPr>
                <w:rFonts w:ascii="Arial" w:eastAsia="Times New Roman" w:hAnsi="Arial" w:cs="Arial"/>
                <w:spacing w:val="-5"/>
                <w:sz w:val="12"/>
                <w:szCs w:val="12"/>
                <w:lang w:val="es-ES"/>
              </w:rPr>
              <w:t xml:space="preserve"> </w:t>
            </w:r>
            <w:r>
              <w:rPr>
                <w:rFonts w:ascii="Arial" w:eastAsia="Times New Roman" w:hAnsi="Arial" w:cs="Arial"/>
                <w:spacing w:val="-10"/>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0074EDE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20D6A3D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81" w:type="dxa"/>
            <w:tcBorders>
              <w:top w:val="double" w:sz="4" w:space="0" w:color="000000"/>
              <w:left w:val="single" w:sz="4" w:space="0" w:color="000000"/>
              <w:bottom w:val="double" w:sz="4" w:space="0" w:color="000000"/>
              <w:right w:val="single" w:sz="4" w:space="0" w:color="000000"/>
            </w:tcBorders>
            <w:vAlign w:val="center"/>
          </w:tcPr>
          <w:p w14:paraId="65580D1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79" w:type="dxa"/>
            <w:tcBorders>
              <w:top w:val="double" w:sz="4" w:space="0" w:color="000000"/>
              <w:left w:val="single" w:sz="4" w:space="0" w:color="000000"/>
              <w:bottom w:val="double" w:sz="4" w:space="0" w:color="000000"/>
              <w:right w:val="single" w:sz="4" w:space="0" w:color="000000"/>
            </w:tcBorders>
            <w:vAlign w:val="center"/>
          </w:tcPr>
          <w:p w14:paraId="7DFA906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10833A6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1565549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9312045"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2C9E81D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047</w:t>
            </w:r>
          </w:p>
        </w:tc>
        <w:tc>
          <w:tcPr>
            <w:tcW w:w="2977" w:type="dxa"/>
            <w:tcBorders>
              <w:top w:val="double" w:sz="4" w:space="0" w:color="000000"/>
              <w:left w:val="single" w:sz="4" w:space="0" w:color="000000"/>
              <w:bottom w:val="double" w:sz="4" w:space="0" w:color="000000"/>
              <w:right w:val="single" w:sz="4" w:space="0" w:color="000000"/>
            </w:tcBorders>
          </w:tcPr>
          <w:p w14:paraId="57E736C5"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Citología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diversa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Liquido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ascitis</w:t>
            </w:r>
          </w:p>
        </w:tc>
        <w:tc>
          <w:tcPr>
            <w:tcW w:w="779" w:type="dxa"/>
            <w:tcBorders>
              <w:top w:val="double" w:sz="4" w:space="0" w:color="000000"/>
              <w:left w:val="single" w:sz="4" w:space="0" w:color="000000"/>
              <w:bottom w:val="double" w:sz="4" w:space="0" w:color="000000"/>
              <w:right w:val="single" w:sz="4" w:space="0" w:color="000000"/>
            </w:tcBorders>
            <w:vAlign w:val="center"/>
          </w:tcPr>
          <w:p w14:paraId="5C2D097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46D11BA2"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1" w:type="dxa"/>
            <w:tcBorders>
              <w:top w:val="double" w:sz="4" w:space="0" w:color="000000"/>
              <w:left w:val="single" w:sz="4" w:space="0" w:color="000000"/>
              <w:bottom w:val="double" w:sz="4" w:space="0" w:color="000000"/>
              <w:right w:val="single" w:sz="4" w:space="0" w:color="000000"/>
            </w:tcBorders>
            <w:vAlign w:val="center"/>
          </w:tcPr>
          <w:p w14:paraId="5F1DE3E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18BDDF4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472B7B0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6A1B023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300BDF9"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CAFCF8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048</w:t>
            </w:r>
          </w:p>
        </w:tc>
        <w:tc>
          <w:tcPr>
            <w:tcW w:w="2977" w:type="dxa"/>
            <w:tcBorders>
              <w:top w:val="double" w:sz="4" w:space="0" w:color="000000"/>
              <w:left w:val="single" w:sz="4" w:space="0" w:color="000000"/>
              <w:bottom w:val="double" w:sz="4" w:space="0" w:color="000000"/>
              <w:right w:val="single" w:sz="4" w:space="0" w:color="000000"/>
            </w:tcBorders>
          </w:tcPr>
          <w:p w14:paraId="5FBA684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Citología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diversa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quistes</w:t>
            </w:r>
          </w:p>
        </w:tc>
        <w:tc>
          <w:tcPr>
            <w:tcW w:w="779" w:type="dxa"/>
            <w:tcBorders>
              <w:top w:val="double" w:sz="4" w:space="0" w:color="000000"/>
              <w:left w:val="single" w:sz="4" w:space="0" w:color="000000"/>
              <w:bottom w:val="double" w:sz="4" w:space="0" w:color="000000"/>
              <w:right w:val="single" w:sz="4" w:space="0" w:color="000000"/>
            </w:tcBorders>
            <w:vAlign w:val="center"/>
          </w:tcPr>
          <w:p w14:paraId="0D3F6900"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54ABEC7B"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1" w:type="dxa"/>
            <w:tcBorders>
              <w:top w:val="double" w:sz="4" w:space="0" w:color="000000"/>
              <w:left w:val="single" w:sz="4" w:space="0" w:color="000000"/>
              <w:bottom w:val="double" w:sz="4" w:space="0" w:color="000000"/>
              <w:right w:val="single" w:sz="4" w:space="0" w:color="000000"/>
            </w:tcBorders>
            <w:vAlign w:val="center"/>
          </w:tcPr>
          <w:p w14:paraId="629C0F76"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180A0779"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53CD6C1F"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0AB9BFD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27D9DE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1E84B56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049</w:t>
            </w:r>
          </w:p>
        </w:tc>
        <w:tc>
          <w:tcPr>
            <w:tcW w:w="2977" w:type="dxa"/>
            <w:tcBorders>
              <w:top w:val="double" w:sz="4" w:space="0" w:color="000000"/>
              <w:left w:val="single" w:sz="4" w:space="0" w:color="000000"/>
              <w:bottom w:val="double" w:sz="4" w:space="0" w:color="000000"/>
              <w:right w:val="single" w:sz="4" w:space="0" w:color="000000"/>
            </w:tcBorders>
          </w:tcPr>
          <w:p w14:paraId="642FEFE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Biopsia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por</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aspiración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aguja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delgada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(BAFF)</w:t>
            </w:r>
          </w:p>
        </w:tc>
        <w:tc>
          <w:tcPr>
            <w:tcW w:w="779" w:type="dxa"/>
            <w:tcBorders>
              <w:top w:val="double" w:sz="4" w:space="0" w:color="000000"/>
              <w:left w:val="single" w:sz="4" w:space="0" w:color="000000"/>
              <w:bottom w:val="double" w:sz="4" w:space="0" w:color="000000"/>
              <w:right w:val="single" w:sz="4" w:space="0" w:color="000000"/>
            </w:tcBorders>
            <w:vAlign w:val="center"/>
          </w:tcPr>
          <w:p w14:paraId="1E12852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478BBB2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1" w:type="dxa"/>
            <w:tcBorders>
              <w:top w:val="double" w:sz="4" w:space="0" w:color="000000"/>
              <w:left w:val="single" w:sz="4" w:space="0" w:color="000000"/>
              <w:bottom w:val="double" w:sz="4" w:space="0" w:color="000000"/>
              <w:right w:val="single" w:sz="4" w:space="0" w:color="000000"/>
            </w:tcBorders>
            <w:vAlign w:val="center"/>
          </w:tcPr>
          <w:p w14:paraId="5698B78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3BC51AB2"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139DED0B"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2C9B725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E7F7E74" w14:textId="77777777">
        <w:trPr>
          <w:trHeight w:val="296"/>
        </w:trPr>
        <w:tc>
          <w:tcPr>
            <w:tcW w:w="1106" w:type="dxa"/>
            <w:tcBorders>
              <w:top w:val="double" w:sz="4" w:space="0" w:color="000000"/>
              <w:left w:val="single" w:sz="4" w:space="0" w:color="000000"/>
              <w:bottom w:val="single" w:sz="4" w:space="0" w:color="000000"/>
              <w:right w:val="single" w:sz="4" w:space="0" w:color="000000"/>
            </w:tcBorders>
          </w:tcPr>
          <w:p w14:paraId="081EEF1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050</w:t>
            </w:r>
          </w:p>
        </w:tc>
        <w:tc>
          <w:tcPr>
            <w:tcW w:w="2977" w:type="dxa"/>
            <w:tcBorders>
              <w:top w:val="double" w:sz="4" w:space="0" w:color="000000"/>
              <w:left w:val="single" w:sz="4" w:space="0" w:color="000000"/>
              <w:bottom w:val="single" w:sz="4" w:space="0" w:color="000000"/>
              <w:right w:val="single" w:sz="4" w:space="0" w:color="000000"/>
            </w:tcBorders>
          </w:tcPr>
          <w:p w14:paraId="25C75F8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Secreción</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pezón</w:t>
            </w:r>
          </w:p>
        </w:tc>
        <w:tc>
          <w:tcPr>
            <w:tcW w:w="779" w:type="dxa"/>
            <w:tcBorders>
              <w:top w:val="double" w:sz="4" w:space="0" w:color="000000"/>
              <w:left w:val="single" w:sz="4" w:space="0" w:color="000000"/>
              <w:bottom w:val="single" w:sz="4" w:space="0" w:color="000000"/>
              <w:right w:val="single" w:sz="4" w:space="0" w:color="000000"/>
            </w:tcBorders>
            <w:vAlign w:val="center"/>
          </w:tcPr>
          <w:p w14:paraId="6CA9C3BE" w14:textId="77777777" w:rsidR="00D3344B" w:rsidRDefault="00143C25">
            <w:pPr>
              <w:widowControl w:val="0"/>
              <w:suppressAutoHyphens w:val="0"/>
              <w:spacing w:before="107"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single" w:sz="4" w:space="0" w:color="000000"/>
              <w:right w:val="single" w:sz="4" w:space="0" w:color="000000"/>
            </w:tcBorders>
            <w:vAlign w:val="center"/>
          </w:tcPr>
          <w:p w14:paraId="47C74536" w14:textId="77777777" w:rsidR="00D3344B" w:rsidRDefault="00143C25">
            <w:pPr>
              <w:widowControl w:val="0"/>
              <w:suppressAutoHyphens w:val="0"/>
              <w:spacing w:before="107"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1" w:type="dxa"/>
            <w:tcBorders>
              <w:top w:val="double" w:sz="4" w:space="0" w:color="000000"/>
              <w:left w:val="single" w:sz="4" w:space="0" w:color="000000"/>
              <w:bottom w:val="single" w:sz="4" w:space="0" w:color="000000"/>
              <w:right w:val="single" w:sz="4" w:space="0" w:color="000000"/>
            </w:tcBorders>
            <w:vAlign w:val="center"/>
          </w:tcPr>
          <w:p w14:paraId="42B705C1" w14:textId="77777777" w:rsidR="00D3344B" w:rsidRDefault="00143C25">
            <w:pPr>
              <w:widowControl w:val="0"/>
              <w:suppressAutoHyphens w:val="0"/>
              <w:spacing w:before="107"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single" w:sz="4" w:space="0" w:color="000000"/>
              <w:right w:val="single" w:sz="4" w:space="0" w:color="000000"/>
            </w:tcBorders>
            <w:vAlign w:val="center"/>
          </w:tcPr>
          <w:p w14:paraId="02648E7D" w14:textId="77777777" w:rsidR="00D3344B" w:rsidRDefault="00143C25">
            <w:pPr>
              <w:widowControl w:val="0"/>
              <w:suppressAutoHyphens w:val="0"/>
              <w:spacing w:before="107"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single" w:sz="4" w:space="0" w:color="000000"/>
              <w:right w:val="single" w:sz="4" w:space="0" w:color="000000"/>
            </w:tcBorders>
            <w:vAlign w:val="center"/>
          </w:tcPr>
          <w:p w14:paraId="66BB0EED" w14:textId="77777777" w:rsidR="00D3344B" w:rsidRDefault="00143C25">
            <w:pPr>
              <w:widowControl w:val="0"/>
              <w:suppressAutoHyphens w:val="0"/>
              <w:spacing w:before="107"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single" w:sz="4" w:space="0" w:color="000000"/>
              <w:right w:val="single" w:sz="4" w:space="0" w:color="000000"/>
            </w:tcBorders>
            <w:vAlign w:val="center"/>
          </w:tcPr>
          <w:p w14:paraId="313878D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143C7D5" w14:textId="77777777">
        <w:trPr>
          <w:trHeight w:val="289"/>
        </w:trPr>
        <w:tc>
          <w:tcPr>
            <w:tcW w:w="1106" w:type="dxa"/>
            <w:tcBorders>
              <w:top w:val="single" w:sz="4" w:space="0" w:color="000000"/>
              <w:left w:val="single" w:sz="4" w:space="0" w:color="000000"/>
              <w:bottom w:val="double" w:sz="4" w:space="0" w:color="000000"/>
              <w:right w:val="single" w:sz="4" w:space="0" w:color="000000"/>
            </w:tcBorders>
          </w:tcPr>
          <w:p w14:paraId="5C231F80"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051</w:t>
            </w:r>
          </w:p>
        </w:tc>
        <w:tc>
          <w:tcPr>
            <w:tcW w:w="2977" w:type="dxa"/>
            <w:tcBorders>
              <w:top w:val="single" w:sz="4" w:space="0" w:color="000000"/>
              <w:left w:val="single" w:sz="4" w:space="0" w:color="000000"/>
              <w:bottom w:val="double" w:sz="4" w:space="0" w:color="000000"/>
              <w:right w:val="single" w:sz="4" w:space="0" w:color="000000"/>
            </w:tcBorders>
          </w:tcPr>
          <w:p w14:paraId="4A7C58E7"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Citología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pleural</w:t>
            </w:r>
          </w:p>
        </w:tc>
        <w:tc>
          <w:tcPr>
            <w:tcW w:w="779" w:type="dxa"/>
            <w:tcBorders>
              <w:top w:val="single" w:sz="4" w:space="0" w:color="000000"/>
              <w:left w:val="single" w:sz="4" w:space="0" w:color="000000"/>
              <w:bottom w:val="double" w:sz="4" w:space="0" w:color="000000"/>
              <w:right w:val="single" w:sz="4" w:space="0" w:color="000000"/>
            </w:tcBorders>
            <w:vAlign w:val="center"/>
          </w:tcPr>
          <w:p w14:paraId="1F6B62DF"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single" w:sz="4" w:space="0" w:color="000000"/>
              <w:left w:val="single" w:sz="4" w:space="0" w:color="000000"/>
              <w:bottom w:val="double" w:sz="4" w:space="0" w:color="000000"/>
              <w:right w:val="single" w:sz="4" w:space="0" w:color="000000"/>
            </w:tcBorders>
            <w:vAlign w:val="center"/>
          </w:tcPr>
          <w:p w14:paraId="75BCCD6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1" w:type="dxa"/>
            <w:tcBorders>
              <w:top w:val="single" w:sz="4" w:space="0" w:color="000000"/>
              <w:left w:val="single" w:sz="4" w:space="0" w:color="000000"/>
              <w:bottom w:val="double" w:sz="4" w:space="0" w:color="000000"/>
              <w:right w:val="single" w:sz="4" w:space="0" w:color="000000"/>
            </w:tcBorders>
            <w:vAlign w:val="center"/>
          </w:tcPr>
          <w:p w14:paraId="672060FF"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single" w:sz="4" w:space="0" w:color="000000"/>
              <w:left w:val="single" w:sz="4" w:space="0" w:color="000000"/>
              <w:bottom w:val="double" w:sz="4" w:space="0" w:color="000000"/>
              <w:right w:val="single" w:sz="4" w:space="0" w:color="000000"/>
            </w:tcBorders>
            <w:vAlign w:val="center"/>
          </w:tcPr>
          <w:p w14:paraId="6036179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single" w:sz="4" w:space="0" w:color="000000"/>
              <w:left w:val="single" w:sz="4" w:space="0" w:color="000000"/>
              <w:bottom w:val="double" w:sz="4" w:space="0" w:color="000000"/>
              <w:right w:val="single" w:sz="4" w:space="0" w:color="000000"/>
            </w:tcBorders>
            <w:vAlign w:val="center"/>
          </w:tcPr>
          <w:p w14:paraId="1633C67D"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single" w:sz="4" w:space="0" w:color="000000"/>
              <w:left w:val="single" w:sz="4" w:space="0" w:color="000000"/>
              <w:bottom w:val="double" w:sz="4" w:space="0" w:color="000000"/>
              <w:right w:val="single" w:sz="4" w:space="0" w:color="000000"/>
            </w:tcBorders>
            <w:vAlign w:val="center"/>
          </w:tcPr>
          <w:p w14:paraId="5B52599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22F0A2"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2055DEEB"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052</w:t>
            </w:r>
          </w:p>
        </w:tc>
        <w:tc>
          <w:tcPr>
            <w:tcW w:w="2977" w:type="dxa"/>
            <w:tcBorders>
              <w:top w:val="double" w:sz="4" w:space="0" w:color="000000"/>
              <w:left w:val="single" w:sz="4" w:space="0" w:color="000000"/>
              <w:bottom w:val="double" w:sz="4" w:space="0" w:color="000000"/>
              <w:right w:val="single" w:sz="4" w:space="0" w:color="000000"/>
            </w:tcBorders>
          </w:tcPr>
          <w:p w14:paraId="19559B1E"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Pza.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quirúrgica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grande,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placenta</w:t>
            </w:r>
          </w:p>
        </w:tc>
        <w:tc>
          <w:tcPr>
            <w:tcW w:w="779" w:type="dxa"/>
            <w:tcBorders>
              <w:top w:val="double" w:sz="4" w:space="0" w:color="000000"/>
              <w:left w:val="single" w:sz="4" w:space="0" w:color="000000"/>
              <w:bottom w:val="double" w:sz="4" w:space="0" w:color="000000"/>
              <w:right w:val="single" w:sz="4" w:space="0" w:color="000000"/>
            </w:tcBorders>
            <w:vAlign w:val="center"/>
          </w:tcPr>
          <w:p w14:paraId="042C804B"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3A42636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1FED01D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626C3792"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6C9CCB2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562AA5A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8EA45DB"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00764A5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053</w:t>
            </w:r>
          </w:p>
        </w:tc>
        <w:tc>
          <w:tcPr>
            <w:tcW w:w="2977" w:type="dxa"/>
            <w:tcBorders>
              <w:top w:val="double" w:sz="4" w:space="0" w:color="000000"/>
              <w:left w:val="single" w:sz="4" w:space="0" w:color="000000"/>
              <w:bottom w:val="double" w:sz="4" w:space="0" w:color="000000"/>
              <w:right w:val="single" w:sz="4" w:space="0" w:color="000000"/>
            </w:tcBorders>
          </w:tcPr>
          <w:p w14:paraId="550E12F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Mastectomía</w:t>
            </w:r>
          </w:p>
        </w:tc>
        <w:tc>
          <w:tcPr>
            <w:tcW w:w="779" w:type="dxa"/>
            <w:tcBorders>
              <w:top w:val="double" w:sz="4" w:space="0" w:color="000000"/>
              <w:left w:val="single" w:sz="4" w:space="0" w:color="000000"/>
              <w:bottom w:val="double" w:sz="4" w:space="0" w:color="000000"/>
              <w:right w:val="single" w:sz="4" w:space="0" w:color="000000"/>
            </w:tcBorders>
            <w:vAlign w:val="center"/>
          </w:tcPr>
          <w:p w14:paraId="17FA6C2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16.50</w:t>
            </w:r>
          </w:p>
        </w:tc>
        <w:tc>
          <w:tcPr>
            <w:tcW w:w="780" w:type="dxa"/>
            <w:tcBorders>
              <w:top w:val="double" w:sz="4" w:space="0" w:color="000000"/>
              <w:left w:val="single" w:sz="4" w:space="0" w:color="000000"/>
              <w:bottom w:val="double" w:sz="4" w:space="0" w:color="000000"/>
              <w:right w:val="single" w:sz="4" w:space="0" w:color="000000"/>
            </w:tcBorders>
            <w:vAlign w:val="center"/>
          </w:tcPr>
          <w:p w14:paraId="7D13814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15.00</w:t>
            </w:r>
          </w:p>
        </w:tc>
        <w:tc>
          <w:tcPr>
            <w:tcW w:w="781" w:type="dxa"/>
            <w:tcBorders>
              <w:top w:val="double" w:sz="4" w:space="0" w:color="000000"/>
              <w:left w:val="single" w:sz="4" w:space="0" w:color="000000"/>
              <w:bottom w:val="double" w:sz="4" w:space="0" w:color="000000"/>
              <w:right w:val="single" w:sz="4" w:space="0" w:color="000000"/>
            </w:tcBorders>
            <w:vAlign w:val="center"/>
          </w:tcPr>
          <w:p w14:paraId="7053B00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79" w:type="dxa"/>
            <w:tcBorders>
              <w:top w:val="double" w:sz="4" w:space="0" w:color="000000"/>
              <w:left w:val="single" w:sz="4" w:space="0" w:color="000000"/>
              <w:bottom w:val="double" w:sz="4" w:space="0" w:color="000000"/>
              <w:right w:val="single" w:sz="4" w:space="0" w:color="000000"/>
            </w:tcBorders>
            <w:vAlign w:val="center"/>
          </w:tcPr>
          <w:p w14:paraId="5595B72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6BA0BB5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104101A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9B67A67"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3E86ADA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054</w:t>
            </w:r>
          </w:p>
        </w:tc>
        <w:tc>
          <w:tcPr>
            <w:tcW w:w="2977" w:type="dxa"/>
            <w:tcBorders>
              <w:top w:val="double" w:sz="4" w:space="0" w:color="000000"/>
              <w:left w:val="single" w:sz="4" w:space="0" w:color="000000"/>
              <w:bottom w:val="double" w:sz="4" w:space="0" w:color="000000"/>
              <w:right w:val="single" w:sz="4" w:space="0" w:color="000000"/>
            </w:tcBorders>
          </w:tcPr>
          <w:p w14:paraId="4FC0203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Mastectomía</w:t>
            </w:r>
            <w:r>
              <w:rPr>
                <w:rFonts w:ascii="Arial" w:eastAsia="Times New Roman" w:hAnsi="Arial" w:cs="Arial"/>
                <w:spacing w:val="24"/>
                <w:sz w:val="12"/>
                <w:szCs w:val="12"/>
                <w:lang w:val="es-ES"/>
              </w:rPr>
              <w:t xml:space="preserve"> </w:t>
            </w:r>
            <w:r>
              <w:rPr>
                <w:rFonts w:ascii="Arial" w:eastAsia="Times New Roman" w:hAnsi="Arial" w:cs="Arial"/>
                <w:spacing w:val="-2"/>
                <w:sz w:val="12"/>
                <w:szCs w:val="12"/>
                <w:lang w:val="es-ES"/>
              </w:rPr>
              <w:t>simple</w:t>
            </w:r>
          </w:p>
        </w:tc>
        <w:tc>
          <w:tcPr>
            <w:tcW w:w="779" w:type="dxa"/>
            <w:tcBorders>
              <w:top w:val="double" w:sz="4" w:space="0" w:color="000000"/>
              <w:left w:val="single" w:sz="4" w:space="0" w:color="000000"/>
              <w:bottom w:val="double" w:sz="4" w:space="0" w:color="000000"/>
              <w:right w:val="single" w:sz="4" w:space="0" w:color="000000"/>
            </w:tcBorders>
            <w:vAlign w:val="center"/>
          </w:tcPr>
          <w:p w14:paraId="18A04A80"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80" w:type="dxa"/>
            <w:tcBorders>
              <w:top w:val="double" w:sz="4" w:space="0" w:color="000000"/>
              <w:left w:val="single" w:sz="4" w:space="0" w:color="000000"/>
              <w:bottom w:val="double" w:sz="4" w:space="0" w:color="000000"/>
              <w:right w:val="single" w:sz="4" w:space="0" w:color="000000"/>
            </w:tcBorders>
            <w:vAlign w:val="center"/>
          </w:tcPr>
          <w:p w14:paraId="5856E1A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1" w:type="dxa"/>
            <w:tcBorders>
              <w:top w:val="double" w:sz="4" w:space="0" w:color="000000"/>
              <w:left w:val="single" w:sz="4" w:space="0" w:color="000000"/>
              <w:bottom w:val="double" w:sz="4" w:space="0" w:color="000000"/>
              <w:right w:val="single" w:sz="4" w:space="0" w:color="000000"/>
            </w:tcBorders>
            <w:vAlign w:val="center"/>
          </w:tcPr>
          <w:p w14:paraId="181B6C4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6F15CADD"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32146FC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79" w:type="dxa"/>
            <w:tcBorders>
              <w:top w:val="double" w:sz="4" w:space="0" w:color="000000"/>
              <w:left w:val="single" w:sz="4" w:space="0" w:color="000000"/>
              <w:bottom w:val="double" w:sz="4" w:space="0" w:color="000000"/>
              <w:right w:val="single" w:sz="4" w:space="0" w:color="000000"/>
            </w:tcBorders>
            <w:vAlign w:val="center"/>
          </w:tcPr>
          <w:p w14:paraId="551109E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CBD8CF3"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388288D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055</w:t>
            </w:r>
          </w:p>
        </w:tc>
        <w:tc>
          <w:tcPr>
            <w:tcW w:w="2977" w:type="dxa"/>
            <w:tcBorders>
              <w:top w:val="double" w:sz="4" w:space="0" w:color="000000"/>
              <w:left w:val="single" w:sz="4" w:space="0" w:color="000000"/>
              <w:bottom w:val="double" w:sz="4" w:space="0" w:color="000000"/>
              <w:right w:val="single" w:sz="4" w:space="0" w:color="000000"/>
            </w:tcBorders>
          </w:tcPr>
          <w:p w14:paraId="02C7E47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Cuadrantectomia</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49946C9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80" w:type="dxa"/>
            <w:tcBorders>
              <w:top w:val="double" w:sz="4" w:space="0" w:color="000000"/>
              <w:left w:val="single" w:sz="4" w:space="0" w:color="000000"/>
              <w:bottom w:val="double" w:sz="4" w:space="0" w:color="000000"/>
              <w:right w:val="single" w:sz="4" w:space="0" w:color="000000"/>
            </w:tcBorders>
            <w:vAlign w:val="center"/>
          </w:tcPr>
          <w:p w14:paraId="5E16C202"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1" w:type="dxa"/>
            <w:tcBorders>
              <w:top w:val="double" w:sz="4" w:space="0" w:color="000000"/>
              <w:left w:val="single" w:sz="4" w:space="0" w:color="000000"/>
              <w:bottom w:val="double" w:sz="4" w:space="0" w:color="000000"/>
              <w:right w:val="single" w:sz="4" w:space="0" w:color="000000"/>
            </w:tcBorders>
            <w:vAlign w:val="center"/>
          </w:tcPr>
          <w:p w14:paraId="2A1DBFD0"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79" w:type="dxa"/>
            <w:tcBorders>
              <w:top w:val="double" w:sz="4" w:space="0" w:color="000000"/>
              <w:left w:val="single" w:sz="4" w:space="0" w:color="000000"/>
              <w:bottom w:val="double" w:sz="4" w:space="0" w:color="000000"/>
              <w:right w:val="single" w:sz="4" w:space="0" w:color="000000"/>
            </w:tcBorders>
            <w:vAlign w:val="center"/>
          </w:tcPr>
          <w:p w14:paraId="5254566B"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08842822"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79" w:type="dxa"/>
            <w:tcBorders>
              <w:top w:val="double" w:sz="4" w:space="0" w:color="000000"/>
              <w:left w:val="single" w:sz="4" w:space="0" w:color="000000"/>
              <w:bottom w:val="double" w:sz="4" w:space="0" w:color="000000"/>
              <w:right w:val="single" w:sz="4" w:space="0" w:color="000000"/>
            </w:tcBorders>
            <w:vAlign w:val="center"/>
          </w:tcPr>
          <w:p w14:paraId="51044AF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CA6B293"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7ED5133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03-PAT-</w:t>
            </w:r>
            <w:r>
              <w:rPr>
                <w:rFonts w:ascii="Arial" w:eastAsia="Times New Roman" w:hAnsi="Arial" w:cs="Arial"/>
                <w:spacing w:val="-5"/>
                <w:sz w:val="12"/>
                <w:szCs w:val="12"/>
                <w:lang w:val="es-ES"/>
              </w:rPr>
              <w:t>056</w:t>
            </w:r>
          </w:p>
        </w:tc>
        <w:tc>
          <w:tcPr>
            <w:tcW w:w="2977" w:type="dxa"/>
            <w:tcBorders>
              <w:top w:val="double" w:sz="4" w:space="0" w:color="000000"/>
              <w:left w:val="single" w:sz="4" w:space="0" w:color="000000"/>
              <w:bottom w:val="double" w:sz="4" w:space="0" w:color="000000"/>
              <w:right w:val="single" w:sz="4" w:space="0" w:color="000000"/>
            </w:tcBorders>
          </w:tcPr>
          <w:p w14:paraId="4F4F86D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Tiroides</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con</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38F3C563"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12.00</w:t>
            </w:r>
          </w:p>
        </w:tc>
        <w:tc>
          <w:tcPr>
            <w:tcW w:w="780" w:type="dxa"/>
            <w:tcBorders>
              <w:top w:val="double" w:sz="4" w:space="0" w:color="000000"/>
              <w:left w:val="single" w:sz="4" w:space="0" w:color="000000"/>
              <w:bottom w:val="double" w:sz="4" w:space="0" w:color="000000"/>
              <w:right w:val="single" w:sz="4" w:space="0" w:color="000000"/>
            </w:tcBorders>
            <w:vAlign w:val="center"/>
          </w:tcPr>
          <w:p w14:paraId="7AE8290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10.50</w:t>
            </w:r>
          </w:p>
        </w:tc>
        <w:tc>
          <w:tcPr>
            <w:tcW w:w="781" w:type="dxa"/>
            <w:tcBorders>
              <w:top w:val="double" w:sz="4" w:space="0" w:color="000000"/>
              <w:left w:val="single" w:sz="4" w:space="0" w:color="000000"/>
              <w:bottom w:val="double" w:sz="4" w:space="0" w:color="000000"/>
              <w:right w:val="single" w:sz="4" w:space="0" w:color="000000"/>
            </w:tcBorders>
            <w:vAlign w:val="center"/>
          </w:tcPr>
          <w:p w14:paraId="377BB981"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79" w:type="dxa"/>
            <w:tcBorders>
              <w:top w:val="double" w:sz="4" w:space="0" w:color="000000"/>
              <w:left w:val="single" w:sz="4" w:space="0" w:color="000000"/>
              <w:bottom w:val="double" w:sz="4" w:space="0" w:color="000000"/>
              <w:right w:val="single" w:sz="4" w:space="0" w:color="000000"/>
            </w:tcBorders>
            <w:vAlign w:val="center"/>
          </w:tcPr>
          <w:p w14:paraId="2088655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2BA4FF3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73DFD2C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864FB74"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521DA2E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55FFF26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Chlamydia</w:t>
            </w:r>
            <w:r>
              <w:rPr>
                <w:rFonts w:ascii="Arial" w:eastAsia="Times New Roman" w:hAnsi="Arial" w:cs="Arial"/>
                <w:spacing w:val="-10"/>
                <w:sz w:val="12"/>
                <w:szCs w:val="12"/>
                <w:lang w:val="es-ES"/>
              </w:rPr>
              <w:t xml:space="preserve"> </w:t>
            </w:r>
            <w:proofErr w:type="spellStart"/>
            <w:r>
              <w:rPr>
                <w:rFonts w:ascii="Arial" w:eastAsia="Times New Roman" w:hAnsi="Arial" w:cs="Arial"/>
                <w:sz w:val="12"/>
                <w:szCs w:val="12"/>
                <w:lang w:val="es-ES"/>
              </w:rPr>
              <w:t>trachomatis</w:t>
            </w:r>
            <w:proofErr w:type="spellEnd"/>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por</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fluorescencia</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directa</w:t>
            </w:r>
          </w:p>
        </w:tc>
        <w:tc>
          <w:tcPr>
            <w:tcW w:w="779" w:type="dxa"/>
            <w:tcBorders>
              <w:top w:val="double" w:sz="4" w:space="0" w:color="000000"/>
              <w:left w:val="single" w:sz="4" w:space="0" w:color="000000"/>
              <w:bottom w:val="double" w:sz="4" w:space="0" w:color="000000"/>
              <w:right w:val="single" w:sz="4" w:space="0" w:color="000000"/>
            </w:tcBorders>
            <w:vAlign w:val="center"/>
          </w:tcPr>
          <w:p w14:paraId="57033BDF"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321CCDC7"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1" w:type="dxa"/>
            <w:tcBorders>
              <w:top w:val="double" w:sz="4" w:space="0" w:color="000000"/>
              <w:left w:val="single" w:sz="4" w:space="0" w:color="000000"/>
              <w:bottom w:val="double" w:sz="4" w:space="0" w:color="000000"/>
              <w:right w:val="single" w:sz="4" w:space="0" w:color="000000"/>
            </w:tcBorders>
            <w:vAlign w:val="center"/>
          </w:tcPr>
          <w:p w14:paraId="160F1720"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5BF6D335"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80" w:type="dxa"/>
            <w:tcBorders>
              <w:top w:val="double" w:sz="4" w:space="0" w:color="000000"/>
              <w:left w:val="single" w:sz="4" w:space="0" w:color="000000"/>
              <w:bottom w:val="double" w:sz="4" w:space="0" w:color="000000"/>
              <w:right w:val="single" w:sz="4" w:space="0" w:color="000000"/>
            </w:tcBorders>
            <w:vAlign w:val="center"/>
          </w:tcPr>
          <w:p w14:paraId="27117504"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79" w:type="dxa"/>
            <w:tcBorders>
              <w:top w:val="double" w:sz="4" w:space="0" w:color="000000"/>
              <w:left w:val="single" w:sz="4" w:space="0" w:color="000000"/>
              <w:bottom w:val="double" w:sz="4" w:space="0" w:color="000000"/>
              <w:right w:val="single" w:sz="4" w:space="0" w:color="000000"/>
            </w:tcBorders>
            <w:vAlign w:val="center"/>
          </w:tcPr>
          <w:p w14:paraId="63C2EF5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3C7C7A8"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650F6DF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03-PI-</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1BFAEBA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Citomegalovirus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CMV</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04306694"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4FDBF29D"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43F74960"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00C6C7A3"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64E570EF"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512A6DE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FD40E0C"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0243587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6CA59E4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Citomegalovirus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CMV</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28B6DE59"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0A7CB5CE"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6D575F86"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4BF880A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176C72F1"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36824D1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8DA5A14"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452BC00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004</w:t>
            </w:r>
          </w:p>
        </w:tc>
        <w:tc>
          <w:tcPr>
            <w:tcW w:w="2977" w:type="dxa"/>
            <w:tcBorders>
              <w:top w:val="double" w:sz="4" w:space="0" w:color="000000"/>
              <w:left w:val="single" w:sz="4" w:space="0" w:color="000000"/>
              <w:bottom w:val="double" w:sz="4" w:space="0" w:color="000000"/>
              <w:right w:val="single" w:sz="4" w:space="0" w:color="000000"/>
            </w:tcBorders>
          </w:tcPr>
          <w:p w14:paraId="3A725B9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26"/>
                <w:sz w:val="12"/>
                <w:szCs w:val="12"/>
                <w:lang w:val="es-ES"/>
              </w:rPr>
              <w:t xml:space="preserve"> </w:t>
            </w:r>
            <w:r>
              <w:rPr>
                <w:rFonts w:ascii="Arial" w:eastAsia="Times New Roman" w:hAnsi="Arial" w:cs="Arial"/>
                <w:sz w:val="12"/>
                <w:szCs w:val="12"/>
                <w:lang w:val="es-ES"/>
              </w:rPr>
              <w:t>EPSTEIN</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BARR</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EBV-VCA</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5031105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054CBAF1"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6BAC612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4F17F873"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0" w:type="dxa"/>
            <w:tcBorders>
              <w:top w:val="double" w:sz="4" w:space="0" w:color="000000"/>
              <w:left w:val="single" w:sz="4" w:space="0" w:color="000000"/>
              <w:bottom w:val="double" w:sz="4" w:space="0" w:color="000000"/>
              <w:right w:val="single" w:sz="4" w:space="0" w:color="000000"/>
            </w:tcBorders>
            <w:vAlign w:val="center"/>
          </w:tcPr>
          <w:p w14:paraId="65A3212D"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3E3CAD8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5FC9BFD"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2BBE8E0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005</w:t>
            </w:r>
          </w:p>
        </w:tc>
        <w:tc>
          <w:tcPr>
            <w:tcW w:w="2977" w:type="dxa"/>
            <w:tcBorders>
              <w:top w:val="double" w:sz="4" w:space="0" w:color="000000"/>
              <w:left w:val="single" w:sz="4" w:space="0" w:color="000000"/>
              <w:bottom w:val="double" w:sz="4" w:space="0" w:color="000000"/>
              <w:right w:val="single" w:sz="4" w:space="0" w:color="000000"/>
            </w:tcBorders>
          </w:tcPr>
          <w:p w14:paraId="485B777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EPSTEIN</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BARR</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EBV-VCA</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7801D5CE"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79744308"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7C3C8C34"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39DBA24C"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0" w:type="dxa"/>
            <w:tcBorders>
              <w:top w:val="double" w:sz="4" w:space="0" w:color="000000"/>
              <w:left w:val="single" w:sz="4" w:space="0" w:color="000000"/>
              <w:bottom w:val="double" w:sz="4" w:space="0" w:color="000000"/>
              <w:right w:val="single" w:sz="4" w:space="0" w:color="000000"/>
            </w:tcBorders>
            <w:vAlign w:val="center"/>
          </w:tcPr>
          <w:p w14:paraId="39EE1DBE"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7EF7DD9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D7D749F" w14:textId="77777777">
        <w:trPr>
          <w:trHeight w:val="529"/>
        </w:trPr>
        <w:tc>
          <w:tcPr>
            <w:tcW w:w="1106" w:type="dxa"/>
            <w:tcBorders>
              <w:top w:val="double" w:sz="4" w:space="0" w:color="000000"/>
              <w:left w:val="single" w:sz="4" w:space="0" w:color="000000"/>
              <w:bottom w:val="double" w:sz="4" w:space="0" w:color="000000"/>
              <w:right w:val="single" w:sz="4" w:space="0" w:color="000000"/>
            </w:tcBorders>
          </w:tcPr>
          <w:p w14:paraId="46F8D9F4"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006</w:t>
            </w:r>
          </w:p>
        </w:tc>
        <w:tc>
          <w:tcPr>
            <w:tcW w:w="2977" w:type="dxa"/>
            <w:tcBorders>
              <w:top w:val="double" w:sz="4" w:space="0" w:color="000000"/>
              <w:left w:val="single" w:sz="4" w:space="0" w:color="000000"/>
              <w:bottom w:val="double" w:sz="4" w:space="0" w:color="000000"/>
              <w:right w:val="single" w:sz="4" w:space="0" w:color="000000"/>
            </w:tcBorders>
          </w:tcPr>
          <w:p w14:paraId="53CE4373" w14:textId="77777777" w:rsidR="00D3344B" w:rsidRDefault="00143C25">
            <w:pPr>
              <w:widowControl w:val="0"/>
              <w:tabs>
                <w:tab w:val="left" w:pos="3446"/>
              </w:tabs>
              <w:suppressAutoHyphens w:val="0"/>
              <w:spacing w:before="92" w:after="0" w:line="240" w:lineRule="auto"/>
              <w:ind w:right="62"/>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EPSTEIN</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BARR</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 xml:space="preserve">EBV-VCA </w:t>
            </w:r>
            <w:r>
              <w:rPr>
                <w:rFonts w:ascii="Arial" w:eastAsia="Times New Roman" w:hAnsi="Arial" w:cs="Arial"/>
                <w:spacing w:val="-4"/>
                <w:sz w:val="12"/>
                <w:szCs w:val="12"/>
                <w:lang w:val="es-ES"/>
              </w:rPr>
              <w:t>IgG</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(recombinante)</w:t>
            </w:r>
          </w:p>
        </w:tc>
        <w:tc>
          <w:tcPr>
            <w:tcW w:w="779" w:type="dxa"/>
            <w:tcBorders>
              <w:top w:val="double" w:sz="4" w:space="0" w:color="000000"/>
              <w:left w:val="single" w:sz="4" w:space="0" w:color="000000"/>
              <w:bottom w:val="double" w:sz="4" w:space="0" w:color="000000"/>
              <w:right w:val="single" w:sz="4" w:space="0" w:color="000000"/>
            </w:tcBorders>
            <w:vAlign w:val="center"/>
          </w:tcPr>
          <w:p w14:paraId="2AFE7C81" w14:textId="77777777" w:rsidR="00D3344B" w:rsidRDefault="00143C25">
            <w:pPr>
              <w:widowControl w:val="0"/>
              <w:suppressAutoHyphens w:val="0"/>
              <w:spacing w:before="14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14.25</w:t>
            </w:r>
          </w:p>
        </w:tc>
        <w:tc>
          <w:tcPr>
            <w:tcW w:w="780" w:type="dxa"/>
            <w:tcBorders>
              <w:top w:val="double" w:sz="4" w:space="0" w:color="000000"/>
              <w:left w:val="single" w:sz="4" w:space="0" w:color="000000"/>
              <w:bottom w:val="double" w:sz="4" w:space="0" w:color="000000"/>
              <w:right w:val="single" w:sz="4" w:space="0" w:color="000000"/>
            </w:tcBorders>
            <w:vAlign w:val="center"/>
          </w:tcPr>
          <w:p w14:paraId="7FFB1FA6" w14:textId="77777777" w:rsidR="00D3344B" w:rsidRDefault="00143C25">
            <w:pPr>
              <w:widowControl w:val="0"/>
              <w:suppressAutoHyphens w:val="0"/>
              <w:spacing w:before="14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14.00</w:t>
            </w:r>
          </w:p>
        </w:tc>
        <w:tc>
          <w:tcPr>
            <w:tcW w:w="781" w:type="dxa"/>
            <w:tcBorders>
              <w:top w:val="double" w:sz="4" w:space="0" w:color="000000"/>
              <w:left w:val="single" w:sz="4" w:space="0" w:color="000000"/>
              <w:bottom w:val="double" w:sz="4" w:space="0" w:color="000000"/>
              <w:right w:val="single" w:sz="4" w:space="0" w:color="000000"/>
            </w:tcBorders>
            <w:vAlign w:val="center"/>
          </w:tcPr>
          <w:p w14:paraId="5FFA2BBF" w14:textId="77777777" w:rsidR="00D3344B" w:rsidRDefault="00143C25">
            <w:pPr>
              <w:widowControl w:val="0"/>
              <w:suppressAutoHyphens w:val="0"/>
              <w:spacing w:before="14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13.75</w:t>
            </w:r>
          </w:p>
        </w:tc>
        <w:tc>
          <w:tcPr>
            <w:tcW w:w="779" w:type="dxa"/>
            <w:tcBorders>
              <w:top w:val="double" w:sz="4" w:space="0" w:color="000000"/>
              <w:left w:val="single" w:sz="4" w:space="0" w:color="000000"/>
              <w:bottom w:val="double" w:sz="4" w:space="0" w:color="000000"/>
              <w:right w:val="single" w:sz="4" w:space="0" w:color="000000"/>
            </w:tcBorders>
            <w:vAlign w:val="center"/>
          </w:tcPr>
          <w:p w14:paraId="1B6D35C0" w14:textId="77777777" w:rsidR="00D3344B" w:rsidRDefault="00143C25">
            <w:pPr>
              <w:widowControl w:val="0"/>
              <w:suppressAutoHyphens w:val="0"/>
              <w:spacing w:before="14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13.50</w:t>
            </w:r>
          </w:p>
        </w:tc>
        <w:tc>
          <w:tcPr>
            <w:tcW w:w="780" w:type="dxa"/>
            <w:tcBorders>
              <w:top w:val="double" w:sz="4" w:space="0" w:color="000000"/>
              <w:left w:val="single" w:sz="4" w:space="0" w:color="000000"/>
              <w:bottom w:val="double" w:sz="4" w:space="0" w:color="000000"/>
              <w:right w:val="single" w:sz="4" w:space="0" w:color="000000"/>
            </w:tcBorders>
            <w:vAlign w:val="center"/>
          </w:tcPr>
          <w:p w14:paraId="47B3C7CA" w14:textId="77777777" w:rsidR="00D3344B" w:rsidRDefault="00143C25">
            <w:pPr>
              <w:widowControl w:val="0"/>
              <w:suppressAutoHyphens w:val="0"/>
              <w:spacing w:before="145"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13.00</w:t>
            </w:r>
          </w:p>
        </w:tc>
        <w:tc>
          <w:tcPr>
            <w:tcW w:w="779" w:type="dxa"/>
            <w:tcBorders>
              <w:top w:val="double" w:sz="4" w:space="0" w:color="000000"/>
              <w:left w:val="single" w:sz="4" w:space="0" w:color="000000"/>
              <w:bottom w:val="double" w:sz="4" w:space="0" w:color="000000"/>
              <w:right w:val="single" w:sz="4" w:space="0" w:color="000000"/>
            </w:tcBorders>
            <w:vAlign w:val="center"/>
          </w:tcPr>
          <w:p w14:paraId="57045D5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1056D12"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30EFE36F"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007</w:t>
            </w:r>
          </w:p>
        </w:tc>
        <w:tc>
          <w:tcPr>
            <w:tcW w:w="2977" w:type="dxa"/>
            <w:tcBorders>
              <w:top w:val="double" w:sz="4" w:space="0" w:color="000000"/>
              <w:left w:val="single" w:sz="4" w:space="0" w:color="000000"/>
              <w:bottom w:val="double" w:sz="4" w:space="0" w:color="000000"/>
              <w:right w:val="single" w:sz="4" w:space="0" w:color="000000"/>
            </w:tcBorders>
          </w:tcPr>
          <w:p w14:paraId="7DF4F3D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2"/>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proofErr w:type="spellStart"/>
            <w:r>
              <w:rPr>
                <w:rFonts w:ascii="Arial" w:eastAsia="Times New Roman" w:hAnsi="Arial" w:cs="Arial"/>
                <w:sz w:val="12"/>
                <w:szCs w:val="12"/>
                <w:lang w:val="es-ES"/>
              </w:rPr>
              <w:t>Helicobacter</w:t>
            </w:r>
            <w:proofErr w:type="spellEnd"/>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pylori</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393B42C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3.70</w:t>
            </w:r>
          </w:p>
        </w:tc>
        <w:tc>
          <w:tcPr>
            <w:tcW w:w="780" w:type="dxa"/>
            <w:tcBorders>
              <w:top w:val="double" w:sz="4" w:space="0" w:color="000000"/>
              <w:left w:val="single" w:sz="4" w:space="0" w:color="000000"/>
              <w:bottom w:val="double" w:sz="4" w:space="0" w:color="000000"/>
              <w:right w:val="single" w:sz="4" w:space="0" w:color="000000"/>
            </w:tcBorders>
            <w:vAlign w:val="center"/>
          </w:tcPr>
          <w:p w14:paraId="317D33F1"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1" w:type="dxa"/>
            <w:tcBorders>
              <w:top w:val="double" w:sz="4" w:space="0" w:color="000000"/>
              <w:left w:val="single" w:sz="4" w:space="0" w:color="000000"/>
              <w:bottom w:val="double" w:sz="4" w:space="0" w:color="000000"/>
              <w:right w:val="single" w:sz="4" w:space="0" w:color="000000"/>
            </w:tcBorders>
            <w:vAlign w:val="center"/>
          </w:tcPr>
          <w:p w14:paraId="2B3E7D1E"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3.45</w:t>
            </w:r>
          </w:p>
        </w:tc>
        <w:tc>
          <w:tcPr>
            <w:tcW w:w="779" w:type="dxa"/>
            <w:tcBorders>
              <w:top w:val="double" w:sz="4" w:space="0" w:color="000000"/>
              <w:left w:val="single" w:sz="4" w:space="0" w:color="000000"/>
              <w:bottom w:val="double" w:sz="4" w:space="0" w:color="000000"/>
              <w:right w:val="single" w:sz="4" w:space="0" w:color="000000"/>
            </w:tcBorders>
            <w:vAlign w:val="center"/>
          </w:tcPr>
          <w:p w14:paraId="1752B63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5B24953F"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257E801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0247180"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4835F62C"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5931DD6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Herpes</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simple</w:t>
            </w:r>
            <w:r>
              <w:rPr>
                <w:rFonts w:ascii="Arial" w:eastAsia="Times New Roman" w:hAnsi="Arial" w:cs="Arial"/>
                <w:spacing w:val="29"/>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HSV</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2"/>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6906F761"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4B4D2AF7"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6A7620B1"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50D113C5"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7FF054DD"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41F49C7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CBF55E5"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712332A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009</w:t>
            </w:r>
          </w:p>
        </w:tc>
        <w:tc>
          <w:tcPr>
            <w:tcW w:w="2977" w:type="dxa"/>
            <w:tcBorders>
              <w:top w:val="double" w:sz="4" w:space="0" w:color="000000"/>
              <w:left w:val="single" w:sz="4" w:space="0" w:color="000000"/>
              <w:bottom w:val="double" w:sz="4" w:space="0" w:color="000000"/>
              <w:right w:val="single" w:sz="4" w:space="0" w:color="000000"/>
            </w:tcBorders>
          </w:tcPr>
          <w:p w14:paraId="6E5A69B5"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Herpes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Simple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5"/>
                <w:sz w:val="12"/>
                <w:szCs w:val="12"/>
                <w:lang w:val="es-ES"/>
              </w:rPr>
              <w:t xml:space="preserve"> </w:t>
            </w:r>
            <w:proofErr w:type="spellStart"/>
            <w:r>
              <w:rPr>
                <w:rFonts w:ascii="Arial" w:eastAsia="Times New Roman" w:hAnsi="Arial" w:cs="Arial"/>
                <w:spacing w:val="-2"/>
                <w:sz w:val="12"/>
                <w:szCs w:val="12"/>
                <w:lang w:val="es-ES"/>
              </w:rPr>
              <w:t>HSVIgM</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1D964482"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28CEFD87"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27E0F6C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7C67850E"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2A6871B5"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03DEFDE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49370B0"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734EF6E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010</w:t>
            </w:r>
          </w:p>
        </w:tc>
        <w:tc>
          <w:tcPr>
            <w:tcW w:w="2977" w:type="dxa"/>
            <w:tcBorders>
              <w:top w:val="double" w:sz="4" w:space="0" w:color="000000"/>
              <w:left w:val="single" w:sz="4" w:space="0" w:color="000000"/>
              <w:bottom w:val="double" w:sz="4" w:space="0" w:color="000000"/>
              <w:right w:val="single" w:sz="4" w:space="0" w:color="000000"/>
            </w:tcBorders>
          </w:tcPr>
          <w:p w14:paraId="3762C50D"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Herpes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Simple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HSV</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632E41FC"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00A65E95"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09871B2D"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1F2A44CC"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339E14F9"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529761E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8648349"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7756CDAD"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011</w:t>
            </w:r>
          </w:p>
        </w:tc>
        <w:tc>
          <w:tcPr>
            <w:tcW w:w="2977" w:type="dxa"/>
            <w:tcBorders>
              <w:top w:val="double" w:sz="4" w:space="0" w:color="000000"/>
              <w:left w:val="single" w:sz="4" w:space="0" w:color="000000"/>
              <w:bottom w:val="double" w:sz="4" w:space="0" w:color="000000"/>
              <w:right w:val="single" w:sz="4" w:space="0" w:color="000000"/>
            </w:tcBorders>
          </w:tcPr>
          <w:p w14:paraId="581D597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Herpes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Simple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HSV2</w:t>
            </w:r>
            <w:r>
              <w:rPr>
                <w:rFonts w:ascii="Arial" w:eastAsia="Times New Roman" w:hAnsi="Arial" w:cs="Arial"/>
                <w:spacing w:val="-4"/>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78FDE831"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3FC1A852"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036329D5"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0E48944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116CBDE9"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13BE58E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430177"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130D4F4E"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012</w:t>
            </w:r>
          </w:p>
        </w:tc>
        <w:tc>
          <w:tcPr>
            <w:tcW w:w="2977" w:type="dxa"/>
            <w:tcBorders>
              <w:top w:val="double" w:sz="4" w:space="0" w:color="000000"/>
              <w:left w:val="single" w:sz="4" w:space="0" w:color="000000"/>
              <w:bottom w:val="double" w:sz="4" w:space="0" w:color="000000"/>
              <w:right w:val="single" w:sz="4" w:space="0" w:color="000000"/>
            </w:tcBorders>
          </w:tcPr>
          <w:p w14:paraId="00A81744"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Micoplasma</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4B913A7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8.25</w:t>
            </w:r>
          </w:p>
        </w:tc>
        <w:tc>
          <w:tcPr>
            <w:tcW w:w="780" w:type="dxa"/>
            <w:tcBorders>
              <w:top w:val="double" w:sz="4" w:space="0" w:color="000000"/>
              <w:left w:val="single" w:sz="4" w:space="0" w:color="000000"/>
              <w:bottom w:val="double" w:sz="4" w:space="0" w:color="000000"/>
              <w:right w:val="single" w:sz="4" w:space="0" w:color="000000"/>
            </w:tcBorders>
            <w:vAlign w:val="center"/>
          </w:tcPr>
          <w:p w14:paraId="1D7C8189"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8.00</w:t>
            </w:r>
          </w:p>
        </w:tc>
        <w:tc>
          <w:tcPr>
            <w:tcW w:w="781" w:type="dxa"/>
            <w:tcBorders>
              <w:top w:val="double" w:sz="4" w:space="0" w:color="000000"/>
              <w:left w:val="single" w:sz="4" w:space="0" w:color="000000"/>
              <w:bottom w:val="double" w:sz="4" w:space="0" w:color="000000"/>
              <w:right w:val="single" w:sz="4" w:space="0" w:color="000000"/>
            </w:tcBorders>
            <w:vAlign w:val="center"/>
          </w:tcPr>
          <w:p w14:paraId="4C821A5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7.75</w:t>
            </w:r>
          </w:p>
        </w:tc>
        <w:tc>
          <w:tcPr>
            <w:tcW w:w="779" w:type="dxa"/>
            <w:tcBorders>
              <w:top w:val="double" w:sz="4" w:space="0" w:color="000000"/>
              <w:left w:val="single" w:sz="4" w:space="0" w:color="000000"/>
              <w:bottom w:val="double" w:sz="4" w:space="0" w:color="000000"/>
              <w:right w:val="single" w:sz="4" w:space="0" w:color="000000"/>
            </w:tcBorders>
            <w:vAlign w:val="center"/>
          </w:tcPr>
          <w:p w14:paraId="363976F0"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5594AE4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43EEB28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684D0F3"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209BFCB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013</w:t>
            </w:r>
          </w:p>
        </w:tc>
        <w:tc>
          <w:tcPr>
            <w:tcW w:w="2977" w:type="dxa"/>
            <w:tcBorders>
              <w:top w:val="double" w:sz="4" w:space="0" w:color="000000"/>
              <w:left w:val="single" w:sz="4" w:space="0" w:color="000000"/>
              <w:bottom w:val="double" w:sz="4" w:space="0" w:color="000000"/>
              <w:right w:val="single" w:sz="4" w:space="0" w:color="000000"/>
            </w:tcBorders>
          </w:tcPr>
          <w:p w14:paraId="1B3A9AB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Parotiditis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IgG,</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324E856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9.90</w:t>
            </w:r>
          </w:p>
        </w:tc>
        <w:tc>
          <w:tcPr>
            <w:tcW w:w="780" w:type="dxa"/>
            <w:tcBorders>
              <w:top w:val="double" w:sz="4" w:space="0" w:color="000000"/>
              <w:left w:val="single" w:sz="4" w:space="0" w:color="000000"/>
              <w:bottom w:val="double" w:sz="4" w:space="0" w:color="000000"/>
              <w:right w:val="single" w:sz="4" w:space="0" w:color="000000"/>
            </w:tcBorders>
            <w:vAlign w:val="center"/>
          </w:tcPr>
          <w:p w14:paraId="09614E63"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9.75</w:t>
            </w:r>
          </w:p>
        </w:tc>
        <w:tc>
          <w:tcPr>
            <w:tcW w:w="781" w:type="dxa"/>
            <w:tcBorders>
              <w:top w:val="double" w:sz="4" w:space="0" w:color="000000"/>
              <w:left w:val="single" w:sz="4" w:space="0" w:color="000000"/>
              <w:bottom w:val="double" w:sz="4" w:space="0" w:color="000000"/>
              <w:right w:val="single" w:sz="4" w:space="0" w:color="000000"/>
            </w:tcBorders>
            <w:vAlign w:val="center"/>
          </w:tcPr>
          <w:p w14:paraId="7508F0BF"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9.50</w:t>
            </w:r>
          </w:p>
        </w:tc>
        <w:tc>
          <w:tcPr>
            <w:tcW w:w="779" w:type="dxa"/>
            <w:tcBorders>
              <w:top w:val="double" w:sz="4" w:space="0" w:color="000000"/>
              <w:left w:val="single" w:sz="4" w:space="0" w:color="000000"/>
              <w:bottom w:val="double" w:sz="4" w:space="0" w:color="000000"/>
              <w:right w:val="single" w:sz="4" w:space="0" w:color="000000"/>
            </w:tcBorders>
            <w:vAlign w:val="center"/>
          </w:tcPr>
          <w:p w14:paraId="7308C5D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9.25</w:t>
            </w:r>
          </w:p>
        </w:tc>
        <w:tc>
          <w:tcPr>
            <w:tcW w:w="780" w:type="dxa"/>
            <w:tcBorders>
              <w:top w:val="double" w:sz="4" w:space="0" w:color="000000"/>
              <w:left w:val="single" w:sz="4" w:space="0" w:color="000000"/>
              <w:bottom w:val="double" w:sz="4" w:space="0" w:color="000000"/>
              <w:right w:val="single" w:sz="4" w:space="0" w:color="000000"/>
            </w:tcBorders>
            <w:vAlign w:val="center"/>
          </w:tcPr>
          <w:p w14:paraId="329AF66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79" w:type="dxa"/>
            <w:tcBorders>
              <w:top w:val="double" w:sz="4" w:space="0" w:color="000000"/>
              <w:left w:val="single" w:sz="4" w:space="0" w:color="000000"/>
              <w:bottom w:val="double" w:sz="4" w:space="0" w:color="000000"/>
              <w:right w:val="single" w:sz="4" w:space="0" w:color="000000"/>
            </w:tcBorders>
            <w:vAlign w:val="center"/>
          </w:tcPr>
          <w:p w14:paraId="7DEC1F9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B61CAB8"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1050E61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014</w:t>
            </w:r>
          </w:p>
        </w:tc>
        <w:tc>
          <w:tcPr>
            <w:tcW w:w="2977" w:type="dxa"/>
            <w:tcBorders>
              <w:top w:val="double" w:sz="4" w:space="0" w:color="000000"/>
              <w:left w:val="single" w:sz="4" w:space="0" w:color="000000"/>
              <w:bottom w:val="double" w:sz="4" w:space="0" w:color="000000"/>
              <w:right w:val="single" w:sz="4" w:space="0" w:color="000000"/>
            </w:tcBorders>
          </w:tcPr>
          <w:p w14:paraId="0A983589"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1"/>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Rubéola</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0C4A8431"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21BE00D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113375C1"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7E391652"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6F1A443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5DB8F37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783F8AE"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11AAB330"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015</w:t>
            </w:r>
          </w:p>
        </w:tc>
        <w:tc>
          <w:tcPr>
            <w:tcW w:w="2977" w:type="dxa"/>
            <w:tcBorders>
              <w:top w:val="double" w:sz="4" w:space="0" w:color="000000"/>
              <w:left w:val="single" w:sz="4" w:space="0" w:color="000000"/>
              <w:bottom w:val="double" w:sz="4" w:space="0" w:color="000000"/>
              <w:right w:val="single" w:sz="4" w:space="0" w:color="000000"/>
            </w:tcBorders>
          </w:tcPr>
          <w:p w14:paraId="5CA8F0B5"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1"/>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Rubéola</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5827396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73D2029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5ABAB42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479DE65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0F9AEEA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45C23BF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7A517FD"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2CE805A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016</w:t>
            </w:r>
          </w:p>
        </w:tc>
        <w:tc>
          <w:tcPr>
            <w:tcW w:w="2977" w:type="dxa"/>
            <w:tcBorders>
              <w:top w:val="double" w:sz="4" w:space="0" w:color="000000"/>
              <w:left w:val="single" w:sz="4" w:space="0" w:color="000000"/>
              <w:bottom w:val="double" w:sz="4" w:space="0" w:color="000000"/>
              <w:right w:val="single" w:sz="4" w:space="0" w:color="000000"/>
            </w:tcBorders>
          </w:tcPr>
          <w:p w14:paraId="5C2D945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Sarampión</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5BA16C3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3.85</w:t>
            </w:r>
          </w:p>
        </w:tc>
        <w:tc>
          <w:tcPr>
            <w:tcW w:w="780" w:type="dxa"/>
            <w:tcBorders>
              <w:top w:val="double" w:sz="4" w:space="0" w:color="000000"/>
              <w:left w:val="single" w:sz="4" w:space="0" w:color="000000"/>
              <w:bottom w:val="double" w:sz="4" w:space="0" w:color="000000"/>
              <w:right w:val="single" w:sz="4" w:space="0" w:color="000000"/>
            </w:tcBorders>
            <w:vAlign w:val="center"/>
          </w:tcPr>
          <w:p w14:paraId="5AC0FE7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3.80</w:t>
            </w:r>
          </w:p>
        </w:tc>
        <w:tc>
          <w:tcPr>
            <w:tcW w:w="781" w:type="dxa"/>
            <w:tcBorders>
              <w:top w:val="double" w:sz="4" w:space="0" w:color="000000"/>
              <w:left w:val="single" w:sz="4" w:space="0" w:color="000000"/>
              <w:bottom w:val="double" w:sz="4" w:space="0" w:color="000000"/>
              <w:right w:val="single" w:sz="4" w:space="0" w:color="000000"/>
            </w:tcBorders>
            <w:vAlign w:val="center"/>
          </w:tcPr>
          <w:p w14:paraId="38EF644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52E6454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0" w:type="dxa"/>
            <w:tcBorders>
              <w:top w:val="double" w:sz="4" w:space="0" w:color="000000"/>
              <w:left w:val="single" w:sz="4" w:space="0" w:color="000000"/>
              <w:bottom w:val="double" w:sz="4" w:space="0" w:color="000000"/>
              <w:right w:val="single" w:sz="4" w:space="0" w:color="000000"/>
            </w:tcBorders>
            <w:vAlign w:val="center"/>
          </w:tcPr>
          <w:p w14:paraId="66FD17C0"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168501D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EC0C1D8"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6395E7D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017</w:t>
            </w:r>
          </w:p>
        </w:tc>
        <w:tc>
          <w:tcPr>
            <w:tcW w:w="2977" w:type="dxa"/>
            <w:tcBorders>
              <w:top w:val="double" w:sz="4" w:space="0" w:color="000000"/>
              <w:left w:val="single" w:sz="4" w:space="0" w:color="000000"/>
              <w:bottom w:val="double" w:sz="4" w:space="0" w:color="000000"/>
              <w:right w:val="single" w:sz="4" w:space="0" w:color="000000"/>
            </w:tcBorders>
          </w:tcPr>
          <w:p w14:paraId="08EB7C3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Sarampión</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4D093FC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3.85</w:t>
            </w:r>
          </w:p>
        </w:tc>
        <w:tc>
          <w:tcPr>
            <w:tcW w:w="780" w:type="dxa"/>
            <w:tcBorders>
              <w:top w:val="double" w:sz="4" w:space="0" w:color="000000"/>
              <w:left w:val="single" w:sz="4" w:space="0" w:color="000000"/>
              <w:bottom w:val="double" w:sz="4" w:space="0" w:color="000000"/>
              <w:right w:val="single" w:sz="4" w:space="0" w:color="000000"/>
            </w:tcBorders>
            <w:vAlign w:val="center"/>
          </w:tcPr>
          <w:p w14:paraId="76E030B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3.80</w:t>
            </w:r>
          </w:p>
        </w:tc>
        <w:tc>
          <w:tcPr>
            <w:tcW w:w="781" w:type="dxa"/>
            <w:tcBorders>
              <w:top w:val="double" w:sz="4" w:space="0" w:color="000000"/>
              <w:left w:val="single" w:sz="4" w:space="0" w:color="000000"/>
              <w:bottom w:val="double" w:sz="4" w:space="0" w:color="000000"/>
              <w:right w:val="single" w:sz="4" w:space="0" w:color="000000"/>
            </w:tcBorders>
            <w:vAlign w:val="center"/>
          </w:tcPr>
          <w:p w14:paraId="11B9FFF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279DDA7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0" w:type="dxa"/>
            <w:tcBorders>
              <w:top w:val="double" w:sz="4" w:space="0" w:color="000000"/>
              <w:left w:val="single" w:sz="4" w:space="0" w:color="000000"/>
              <w:bottom w:val="double" w:sz="4" w:space="0" w:color="000000"/>
              <w:right w:val="single" w:sz="4" w:space="0" w:color="000000"/>
            </w:tcBorders>
            <w:vAlign w:val="center"/>
          </w:tcPr>
          <w:p w14:paraId="6DD3978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6968A64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8F0AF0A"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73D96E8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018</w:t>
            </w:r>
          </w:p>
        </w:tc>
        <w:tc>
          <w:tcPr>
            <w:tcW w:w="2977" w:type="dxa"/>
            <w:tcBorders>
              <w:top w:val="double" w:sz="4" w:space="0" w:color="000000"/>
              <w:left w:val="single" w:sz="4" w:space="0" w:color="000000"/>
              <w:bottom w:val="double" w:sz="4" w:space="0" w:color="000000"/>
              <w:right w:val="single" w:sz="4" w:space="0" w:color="000000"/>
            </w:tcBorders>
          </w:tcPr>
          <w:p w14:paraId="77733DC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Toxoplasma</w:t>
            </w:r>
            <w:r>
              <w:rPr>
                <w:rFonts w:ascii="Arial" w:eastAsia="Times New Roman" w:hAnsi="Arial" w:cs="Arial"/>
                <w:spacing w:val="-9"/>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1B164022"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3FA7126C"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077A8A50"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0318C0B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67A5A89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59414B4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F69C954"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0477F5D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019</w:t>
            </w:r>
          </w:p>
        </w:tc>
        <w:tc>
          <w:tcPr>
            <w:tcW w:w="2977" w:type="dxa"/>
            <w:tcBorders>
              <w:top w:val="double" w:sz="4" w:space="0" w:color="000000"/>
              <w:left w:val="single" w:sz="4" w:space="0" w:color="000000"/>
              <w:bottom w:val="double" w:sz="4" w:space="0" w:color="000000"/>
              <w:right w:val="single" w:sz="4" w:space="0" w:color="000000"/>
            </w:tcBorders>
          </w:tcPr>
          <w:p w14:paraId="091EFF7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Toxoplasma</w:t>
            </w:r>
            <w:r>
              <w:rPr>
                <w:rFonts w:ascii="Arial" w:eastAsia="Times New Roman" w:hAnsi="Arial" w:cs="Arial"/>
                <w:spacing w:val="-9"/>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053B413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4D418B4F"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1" w:type="dxa"/>
            <w:tcBorders>
              <w:top w:val="double" w:sz="4" w:space="0" w:color="000000"/>
              <w:left w:val="single" w:sz="4" w:space="0" w:color="000000"/>
              <w:bottom w:val="double" w:sz="4" w:space="0" w:color="000000"/>
              <w:right w:val="single" w:sz="4" w:space="0" w:color="000000"/>
            </w:tcBorders>
            <w:vAlign w:val="center"/>
          </w:tcPr>
          <w:p w14:paraId="668A359B"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5F37685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6BAA435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7DE759B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E850C85"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085D5B2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020</w:t>
            </w:r>
          </w:p>
        </w:tc>
        <w:tc>
          <w:tcPr>
            <w:tcW w:w="2977" w:type="dxa"/>
            <w:tcBorders>
              <w:top w:val="double" w:sz="4" w:space="0" w:color="000000"/>
              <w:left w:val="single" w:sz="4" w:space="0" w:color="000000"/>
              <w:bottom w:val="double" w:sz="4" w:space="0" w:color="000000"/>
              <w:right w:val="single" w:sz="4" w:space="0" w:color="000000"/>
            </w:tcBorders>
          </w:tcPr>
          <w:p w14:paraId="007DE30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Varicela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zoster</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787A1A9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double" w:sz="4" w:space="0" w:color="000000"/>
              <w:right w:val="single" w:sz="4" w:space="0" w:color="000000"/>
            </w:tcBorders>
            <w:vAlign w:val="center"/>
          </w:tcPr>
          <w:p w14:paraId="7F5AF76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5FD25361"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double" w:sz="4" w:space="0" w:color="000000"/>
              <w:left w:val="single" w:sz="4" w:space="0" w:color="000000"/>
              <w:bottom w:val="double" w:sz="4" w:space="0" w:color="000000"/>
              <w:right w:val="single" w:sz="4" w:space="0" w:color="000000"/>
            </w:tcBorders>
            <w:vAlign w:val="center"/>
          </w:tcPr>
          <w:p w14:paraId="22D5A12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78944B1A"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6C1220E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99F34E3"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213E12A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021</w:t>
            </w:r>
          </w:p>
        </w:tc>
        <w:tc>
          <w:tcPr>
            <w:tcW w:w="2977" w:type="dxa"/>
            <w:tcBorders>
              <w:top w:val="double" w:sz="4" w:space="0" w:color="000000"/>
              <w:left w:val="single" w:sz="4" w:space="0" w:color="000000"/>
              <w:bottom w:val="double" w:sz="4" w:space="0" w:color="000000"/>
              <w:right w:val="single" w:sz="4" w:space="0" w:color="000000"/>
            </w:tcBorders>
          </w:tcPr>
          <w:p w14:paraId="655D427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Varicela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zoster</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45CBADDD"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double" w:sz="4" w:space="0" w:color="000000"/>
              <w:right w:val="single" w:sz="4" w:space="0" w:color="000000"/>
            </w:tcBorders>
            <w:vAlign w:val="center"/>
          </w:tcPr>
          <w:p w14:paraId="31D9E0EF"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0E970F03"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double" w:sz="4" w:space="0" w:color="000000"/>
              <w:left w:val="single" w:sz="4" w:space="0" w:color="000000"/>
              <w:bottom w:val="double" w:sz="4" w:space="0" w:color="000000"/>
              <w:right w:val="single" w:sz="4" w:space="0" w:color="000000"/>
            </w:tcBorders>
            <w:vAlign w:val="center"/>
          </w:tcPr>
          <w:p w14:paraId="5427A5EE"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10156C03" w14:textId="77777777" w:rsidR="00D3344B" w:rsidRDefault="00143C25">
            <w:pPr>
              <w:widowControl w:val="0"/>
              <w:suppressAutoHyphens w:val="0"/>
              <w:spacing w:before="109"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20DD6CA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37594E6"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1BBCD4F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022</w:t>
            </w:r>
          </w:p>
        </w:tc>
        <w:tc>
          <w:tcPr>
            <w:tcW w:w="2977" w:type="dxa"/>
            <w:tcBorders>
              <w:top w:val="double" w:sz="4" w:space="0" w:color="000000"/>
              <w:left w:val="single" w:sz="4" w:space="0" w:color="000000"/>
              <w:bottom w:val="double" w:sz="4" w:space="0" w:color="000000"/>
              <w:right w:val="single" w:sz="4" w:space="0" w:color="000000"/>
            </w:tcBorders>
          </w:tcPr>
          <w:p w14:paraId="3642BBC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VIH</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32"/>
                <w:sz w:val="12"/>
                <w:szCs w:val="12"/>
                <w:lang w:val="es-ES"/>
              </w:rPr>
              <w:t xml:space="preserve"> </w:t>
            </w:r>
            <w:r>
              <w:rPr>
                <w:rFonts w:ascii="Arial" w:eastAsia="Times New Roman" w:hAnsi="Arial" w:cs="Arial"/>
                <w:spacing w:val="-2"/>
                <w:sz w:val="12"/>
                <w:szCs w:val="12"/>
                <w:lang w:val="es-ES"/>
              </w:rPr>
              <w:t>(ELISA)</w:t>
            </w:r>
          </w:p>
        </w:tc>
        <w:tc>
          <w:tcPr>
            <w:tcW w:w="779" w:type="dxa"/>
            <w:tcBorders>
              <w:top w:val="double" w:sz="4" w:space="0" w:color="000000"/>
              <w:left w:val="single" w:sz="4" w:space="0" w:color="000000"/>
              <w:bottom w:val="double" w:sz="4" w:space="0" w:color="000000"/>
              <w:right w:val="single" w:sz="4" w:space="0" w:color="000000"/>
            </w:tcBorders>
            <w:vAlign w:val="center"/>
          </w:tcPr>
          <w:p w14:paraId="392BB0E4"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5C2DF99C"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3.10</w:t>
            </w:r>
          </w:p>
        </w:tc>
        <w:tc>
          <w:tcPr>
            <w:tcW w:w="781" w:type="dxa"/>
            <w:tcBorders>
              <w:top w:val="double" w:sz="4" w:space="0" w:color="000000"/>
              <w:left w:val="single" w:sz="4" w:space="0" w:color="000000"/>
              <w:bottom w:val="double" w:sz="4" w:space="0" w:color="000000"/>
              <w:right w:val="single" w:sz="4" w:space="0" w:color="000000"/>
            </w:tcBorders>
            <w:vAlign w:val="center"/>
          </w:tcPr>
          <w:p w14:paraId="6ACDCD41"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744832EB"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2.85</w:t>
            </w:r>
          </w:p>
        </w:tc>
        <w:tc>
          <w:tcPr>
            <w:tcW w:w="780" w:type="dxa"/>
            <w:tcBorders>
              <w:top w:val="double" w:sz="4" w:space="0" w:color="000000"/>
              <w:left w:val="single" w:sz="4" w:space="0" w:color="000000"/>
              <w:bottom w:val="double" w:sz="4" w:space="0" w:color="000000"/>
              <w:right w:val="single" w:sz="4" w:space="0" w:color="000000"/>
            </w:tcBorders>
            <w:vAlign w:val="center"/>
          </w:tcPr>
          <w:p w14:paraId="10D6486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07A4419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03924E0"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10DE213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024</w:t>
            </w:r>
          </w:p>
        </w:tc>
        <w:tc>
          <w:tcPr>
            <w:tcW w:w="2977" w:type="dxa"/>
            <w:tcBorders>
              <w:top w:val="double" w:sz="4" w:space="0" w:color="000000"/>
              <w:left w:val="single" w:sz="4" w:space="0" w:color="000000"/>
              <w:bottom w:val="double" w:sz="4" w:space="0" w:color="000000"/>
              <w:right w:val="single" w:sz="4" w:space="0" w:color="000000"/>
            </w:tcBorders>
          </w:tcPr>
          <w:p w14:paraId="34ADC0E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Hepatitis</w:t>
            </w:r>
            <w:r>
              <w:rPr>
                <w:rFonts w:ascii="Arial" w:eastAsia="Times New Roman" w:hAnsi="Arial" w:cs="Arial"/>
                <w:spacing w:val="-8"/>
                <w:sz w:val="12"/>
                <w:szCs w:val="12"/>
                <w:lang w:val="es-ES"/>
              </w:rPr>
              <w:t xml:space="preserve"> </w:t>
            </w:r>
            <w:r>
              <w:rPr>
                <w:rFonts w:ascii="Arial" w:eastAsia="Times New Roman" w:hAnsi="Arial" w:cs="Arial"/>
                <w:spacing w:val="-10"/>
                <w:sz w:val="12"/>
                <w:szCs w:val="12"/>
                <w:lang w:val="es-ES"/>
              </w:rPr>
              <w:t>A</w:t>
            </w:r>
          </w:p>
        </w:tc>
        <w:tc>
          <w:tcPr>
            <w:tcW w:w="779" w:type="dxa"/>
            <w:tcBorders>
              <w:top w:val="double" w:sz="4" w:space="0" w:color="000000"/>
              <w:left w:val="single" w:sz="4" w:space="0" w:color="000000"/>
              <w:bottom w:val="double" w:sz="4" w:space="0" w:color="000000"/>
              <w:right w:val="single" w:sz="4" w:space="0" w:color="000000"/>
            </w:tcBorders>
            <w:vAlign w:val="center"/>
          </w:tcPr>
          <w:p w14:paraId="08CF44E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80" w:type="dxa"/>
            <w:tcBorders>
              <w:top w:val="double" w:sz="4" w:space="0" w:color="000000"/>
              <w:left w:val="single" w:sz="4" w:space="0" w:color="000000"/>
              <w:bottom w:val="double" w:sz="4" w:space="0" w:color="000000"/>
              <w:right w:val="single" w:sz="4" w:space="0" w:color="000000"/>
            </w:tcBorders>
            <w:vAlign w:val="center"/>
          </w:tcPr>
          <w:p w14:paraId="12930E9D"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1" w:type="dxa"/>
            <w:tcBorders>
              <w:top w:val="double" w:sz="4" w:space="0" w:color="000000"/>
              <w:left w:val="single" w:sz="4" w:space="0" w:color="000000"/>
              <w:bottom w:val="double" w:sz="4" w:space="0" w:color="000000"/>
              <w:right w:val="single" w:sz="4" w:space="0" w:color="000000"/>
            </w:tcBorders>
            <w:vAlign w:val="center"/>
          </w:tcPr>
          <w:p w14:paraId="2EA45575"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716F3AB9"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double" w:sz="4" w:space="0" w:color="000000"/>
              <w:right w:val="single" w:sz="4" w:space="0" w:color="000000"/>
            </w:tcBorders>
            <w:vAlign w:val="center"/>
          </w:tcPr>
          <w:p w14:paraId="532CC783"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79" w:type="dxa"/>
            <w:tcBorders>
              <w:top w:val="double" w:sz="4" w:space="0" w:color="000000"/>
              <w:left w:val="single" w:sz="4" w:space="0" w:color="000000"/>
              <w:bottom w:val="double" w:sz="4" w:space="0" w:color="000000"/>
              <w:right w:val="single" w:sz="4" w:space="0" w:color="000000"/>
            </w:tcBorders>
            <w:vAlign w:val="center"/>
          </w:tcPr>
          <w:p w14:paraId="77EED39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B4414A1"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4B485C2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025</w:t>
            </w:r>
          </w:p>
        </w:tc>
        <w:tc>
          <w:tcPr>
            <w:tcW w:w="2977" w:type="dxa"/>
            <w:tcBorders>
              <w:top w:val="double" w:sz="4" w:space="0" w:color="000000"/>
              <w:left w:val="single" w:sz="4" w:space="0" w:color="000000"/>
              <w:bottom w:val="double" w:sz="4" w:space="0" w:color="000000"/>
              <w:right w:val="single" w:sz="4" w:space="0" w:color="000000"/>
            </w:tcBorders>
          </w:tcPr>
          <w:p w14:paraId="3203EF2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Hepatitis</w:t>
            </w:r>
            <w:r>
              <w:rPr>
                <w:rFonts w:ascii="Arial" w:eastAsia="Times New Roman" w:hAnsi="Arial" w:cs="Arial"/>
                <w:spacing w:val="-8"/>
                <w:sz w:val="12"/>
                <w:szCs w:val="12"/>
                <w:lang w:val="es-ES"/>
              </w:rPr>
              <w:t xml:space="preserve"> </w:t>
            </w:r>
            <w:r>
              <w:rPr>
                <w:rFonts w:ascii="Arial" w:eastAsia="Times New Roman" w:hAnsi="Arial" w:cs="Arial"/>
                <w:spacing w:val="-10"/>
                <w:sz w:val="12"/>
                <w:szCs w:val="12"/>
                <w:lang w:val="es-ES"/>
              </w:rPr>
              <w:t>B</w:t>
            </w:r>
          </w:p>
        </w:tc>
        <w:tc>
          <w:tcPr>
            <w:tcW w:w="779" w:type="dxa"/>
            <w:tcBorders>
              <w:top w:val="double" w:sz="4" w:space="0" w:color="000000"/>
              <w:left w:val="single" w:sz="4" w:space="0" w:color="000000"/>
              <w:bottom w:val="double" w:sz="4" w:space="0" w:color="000000"/>
              <w:right w:val="single" w:sz="4" w:space="0" w:color="000000"/>
            </w:tcBorders>
            <w:vAlign w:val="center"/>
          </w:tcPr>
          <w:p w14:paraId="5BFB753A"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58CD10C7"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4E0992E9"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3.85</w:t>
            </w:r>
          </w:p>
        </w:tc>
        <w:tc>
          <w:tcPr>
            <w:tcW w:w="779" w:type="dxa"/>
            <w:tcBorders>
              <w:top w:val="double" w:sz="4" w:space="0" w:color="000000"/>
              <w:left w:val="single" w:sz="4" w:space="0" w:color="000000"/>
              <w:bottom w:val="double" w:sz="4" w:space="0" w:color="000000"/>
              <w:right w:val="single" w:sz="4" w:space="0" w:color="000000"/>
            </w:tcBorders>
            <w:vAlign w:val="center"/>
          </w:tcPr>
          <w:p w14:paraId="6055CEB5"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80" w:type="dxa"/>
            <w:tcBorders>
              <w:top w:val="double" w:sz="4" w:space="0" w:color="000000"/>
              <w:left w:val="single" w:sz="4" w:space="0" w:color="000000"/>
              <w:bottom w:val="double" w:sz="4" w:space="0" w:color="000000"/>
              <w:right w:val="single" w:sz="4" w:space="0" w:color="000000"/>
            </w:tcBorders>
            <w:vAlign w:val="center"/>
          </w:tcPr>
          <w:p w14:paraId="56E7DC54" w14:textId="77777777" w:rsidR="00D3344B" w:rsidRDefault="00143C25">
            <w:pPr>
              <w:widowControl w:val="0"/>
              <w:suppressAutoHyphens w:val="0"/>
              <w:spacing w:before="110"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17FC75E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AF7C856" w14:textId="77777777">
        <w:trPr>
          <w:trHeight w:val="288"/>
        </w:trPr>
        <w:tc>
          <w:tcPr>
            <w:tcW w:w="1106" w:type="dxa"/>
            <w:tcBorders>
              <w:top w:val="double" w:sz="4" w:space="0" w:color="000000"/>
              <w:left w:val="single" w:sz="4" w:space="0" w:color="000000"/>
              <w:bottom w:val="double" w:sz="4" w:space="0" w:color="000000"/>
              <w:right w:val="single" w:sz="4" w:space="0" w:color="000000"/>
            </w:tcBorders>
          </w:tcPr>
          <w:p w14:paraId="0DD84C0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026</w:t>
            </w:r>
          </w:p>
        </w:tc>
        <w:tc>
          <w:tcPr>
            <w:tcW w:w="2977" w:type="dxa"/>
            <w:tcBorders>
              <w:top w:val="double" w:sz="4" w:space="0" w:color="000000"/>
              <w:left w:val="single" w:sz="4" w:space="0" w:color="000000"/>
              <w:bottom w:val="double" w:sz="4" w:space="0" w:color="000000"/>
              <w:right w:val="single" w:sz="4" w:space="0" w:color="000000"/>
            </w:tcBorders>
          </w:tcPr>
          <w:p w14:paraId="3DE9F68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Hepatitis</w:t>
            </w:r>
            <w:r>
              <w:rPr>
                <w:rFonts w:ascii="Arial" w:eastAsia="Times New Roman" w:hAnsi="Arial" w:cs="Arial"/>
                <w:spacing w:val="-8"/>
                <w:sz w:val="12"/>
                <w:szCs w:val="12"/>
                <w:lang w:val="es-ES"/>
              </w:rPr>
              <w:t xml:space="preserve"> </w:t>
            </w:r>
            <w:r>
              <w:rPr>
                <w:rFonts w:ascii="Arial" w:eastAsia="Times New Roman" w:hAnsi="Arial" w:cs="Arial"/>
                <w:spacing w:val="-10"/>
                <w:sz w:val="12"/>
                <w:szCs w:val="12"/>
                <w:lang w:val="es-ES"/>
              </w:rPr>
              <w:t>C</w:t>
            </w:r>
          </w:p>
        </w:tc>
        <w:tc>
          <w:tcPr>
            <w:tcW w:w="779" w:type="dxa"/>
            <w:tcBorders>
              <w:top w:val="double" w:sz="4" w:space="0" w:color="000000"/>
              <w:left w:val="single" w:sz="4" w:space="0" w:color="000000"/>
              <w:bottom w:val="double" w:sz="4" w:space="0" w:color="000000"/>
              <w:right w:val="single" w:sz="4" w:space="0" w:color="000000"/>
            </w:tcBorders>
            <w:vAlign w:val="center"/>
          </w:tcPr>
          <w:p w14:paraId="53A332D1"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36E16859"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006CF1CE"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3.85</w:t>
            </w:r>
          </w:p>
        </w:tc>
        <w:tc>
          <w:tcPr>
            <w:tcW w:w="779" w:type="dxa"/>
            <w:tcBorders>
              <w:top w:val="double" w:sz="4" w:space="0" w:color="000000"/>
              <w:left w:val="single" w:sz="4" w:space="0" w:color="000000"/>
              <w:bottom w:val="double" w:sz="4" w:space="0" w:color="000000"/>
              <w:right w:val="single" w:sz="4" w:space="0" w:color="000000"/>
            </w:tcBorders>
            <w:vAlign w:val="center"/>
          </w:tcPr>
          <w:p w14:paraId="6E852CA5"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80" w:type="dxa"/>
            <w:tcBorders>
              <w:top w:val="double" w:sz="4" w:space="0" w:color="000000"/>
              <w:left w:val="single" w:sz="4" w:space="0" w:color="000000"/>
              <w:bottom w:val="double" w:sz="4" w:space="0" w:color="000000"/>
              <w:right w:val="single" w:sz="4" w:space="0" w:color="000000"/>
            </w:tcBorders>
            <w:vAlign w:val="center"/>
          </w:tcPr>
          <w:p w14:paraId="060EBAB8" w14:textId="77777777" w:rsidR="00D3344B" w:rsidRDefault="00143C25">
            <w:pPr>
              <w:widowControl w:val="0"/>
              <w:suppressAutoHyphens w:val="0"/>
              <w:spacing w:before="110"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7E1DDEC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B53212E"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6ECD81D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027</w:t>
            </w:r>
          </w:p>
        </w:tc>
        <w:tc>
          <w:tcPr>
            <w:tcW w:w="2977" w:type="dxa"/>
            <w:tcBorders>
              <w:top w:val="double" w:sz="4" w:space="0" w:color="000000"/>
              <w:left w:val="single" w:sz="4" w:space="0" w:color="000000"/>
              <w:bottom w:val="double" w:sz="4" w:space="0" w:color="000000"/>
              <w:right w:val="single" w:sz="4" w:space="0" w:color="000000"/>
            </w:tcBorders>
          </w:tcPr>
          <w:p w14:paraId="5CFB76A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Ac</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Parvovirus</w:t>
            </w:r>
            <w:r>
              <w:rPr>
                <w:rFonts w:ascii="Arial" w:eastAsia="Times New Roman" w:hAnsi="Arial" w:cs="Arial"/>
                <w:spacing w:val="30"/>
                <w:sz w:val="12"/>
                <w:szCs w:val="12"/>
                <w:lang w:val="es-ES"/>
              </w:rPr>
              <w:t xml:space="preserve"> </w:t>
            </w:r>
            <w:r>
              <w:rPr>
                <w:rFonts w:ascii="Arial" w:eastAsia="Times New Roman" w:hAnsi="Arial" w:cs="Arial"/>
                <w:spacing w:val="-4"/>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36034187"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35F5AA9D"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2C9F2952"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79" w:type="dxa"/>
            <w:tcBorders>
              <w:top w:val="double" w:sz="4" w:space="0" w:color="000000"/>
              <w:left w:val="single" w:sz="4" w:space="0" w:color="000000"/>
              <w:bottom w:val="double" w:sz="4" w:space="0" w:color="000000"/>
              <w:right w:val="single" w:sz="4" w:space="0" w:color="000000"/>
            </w:tcBorders>
            <w:vAlign w:val="center"/>
          </w:tcPr>
          <w:p w14:paraId="7100F1EC"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4.60</w:t>
            </w:r>
          </w:p>
        </w:tc>
        <w:tc>
          <w:tcPr>
            <w:tcW w:w="780" w:type="dxa"/>
            <w:tcBorders>
              <w:top w:val="double" w:sz="4" w:space="0" w:color="000000"/>
              <w:left w:val="single" w:sz="4" w:space="0" w:color="000000"/>
              <w:bottom w:val="double" w:sz="4" w:space="0" w:color="000000"/>
              <w:right w:val="single" w:sz="4" w:space="0" w:color="000000"/>
            </w:tcBorders>
            <w:vAlign w:val="center"/>
          </w:tcPr>
          <w:p w14:paraId="4C4DE158"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79" w:type="dxa"/>
            <w:tcBorders>
              <w:top w:val="double" w:sz="4" w:space="0" w:color="000000"/>
              <w:left w:val="single" w:sz="4" w:space="0" w:color="000000"/>
              <w:bottom w:val="double" w:sz="4" w:space="0" w:color="000000"/>
              <w:right w:val="single" w:sz="4" w:space="0" w:color="000000"/>
            </w:tcBorders>
            <w:vAlign w:val="center"/>
          </w:tcPr>
          <w:p w14:paraId="62CADB7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A87E2F3"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5F2CA239"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028</w:t>
            </w:r>
          </w:p>
        </w:tc>
        <w:tc>
          <w:tcPr>
            <w:tcW w:w="2977" w:type="dxa"/>
            <w:tcBorders>
              <w:top w:val="double" w:sz="4" w:space="0" w:color="000000"/>
              <w:left w:val="single" w:sz="4" w:space="0" w:color="000000"/>
              <w:bottom w:val="double" w:sz="4" w:space="0" w:color="000000"/>
              <w:right w:val="single" w:sz="4" w:space="0" w:color="000000"/>
            </w:tcBorders>
          </w:tcPr>
          <w:p w14:paraId="4E584D9B"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Ac</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Parvovirus</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2CA6188A" w14:textId="77777777" w:rsidR="00D3344B" w:rsidRDefault="00143C25">
            <w:pPr>
              <w:widowControl w:val="0"/>
              <w:suppressAutoHyphens w:val="0"/>
              <w:spacing w:before="11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7B0828D1" w14:textId="77777777" w:rsidR="00D3344B" w:rsidRDefault="00143C25">
            <w:pPr>
              <w:widowControl w:val="0"/>
              <w:suppressAutoHyphens w:val="0"/>
              <w:spacing w:before="11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4.90</w:t>
            </w:r>
          </w:p>
        </w:tc>
        <w:tc>
          <w:tcPr>
            <w:tcW w:w="781" w:type="dxa"/>
            <w:tcBorders>
              <w:top w:val="double" w:sz="4" w:space="0" w:color="000000"/>
              <w:left w:val="single" w:sz="4" w:space="0" w:color="000000"/>
              <w:bottom w:val="double" w:sz="4" w:space="0" w:color="000000"/>
              <w:right w:val="single" w:sz="4" w:space="0" w:color="000000"/>
            </w:tcBorders>
            <w:vAlign w:val="center"/>
          </w:tcPr>
          <w:p w14:paraId="0312CD18" w14:textId="77777777" w:rsidR="00D3344B" w:rsidRDefault="00143C25">
            <w:pPr>
              <w:widowControl w:val="0"/>
              <w:suppressAutoHyphens w:val="0"/>
              <w:spacing w:before="11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79" w:type="dxa"/>
            <w:tcBorders>
              <w:top w:val="double" w:sz="4" w:space="0" w:color="000000"/>
              <w:left w:val="single" w:sz="4" w:space="0" w:color="000000"/>
              <w:bottom w:val="double" w:sz="4" w:space="0" w:color="000000"/>
              <w:right w:val="single" w:sz="4" w:space="0" w:color="000000"/>
            </w:tcBorders>
            <w:vAlign w:val="center"/>
          </w:tcPr>
          <w:p w14:paraId="0352CC3E" w14:textId="77777777" w:rsidR="00D3344B" w:rsidRDefault="00143C25">
            <w:pPr>
              <w:widowControl w:val="0"/>
              <w:suppressAutoHyphens w:val="0"/>
              <w:spacing w:before="11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4.60</w:t>
            </w:r>
          </w:p>
        </w:tc>
        <w:tc>
          <w:tcPr>
            <w:tcW w:w="780" w:type="dxa"/>
            <w:tcBorders>
              <w:top w:val="double" w:sz="4" w:space="0" w:color="000000"/>
              <w:left w:val="single" w:sz="4" w:space="0" w:color="000000"/>
              <w:bottom w:val="double" w:sz="4" w:space="0" w:color="000000"/>
              <w:right w:val="single" w:sz="4" w:space="0" w:color="000000"/>
            </w:tcBorders>
            <w:vAlign w:val="center"/>
          </w:tcPr>
          <w:p w14:paraId="1A7214AF" w14:textId="77777777" w:rsidR="00D3344B" w:rsidRDefault="00143C25">
            <w:pPr>
              <w:widowControl w:val="0"/>
              <w:suppressAutoHyphens w:val="0"/>
              <w:spacing w:before="11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79" w:type="dxa"/>
            <w:tcBorders>
              <w:top w:val="double" w:sz="4" w:space="0" w:color="000000"/>
              <w:left w:val="single" w:sz="4" w:space="0" w:color="000000"/>
              <w:bottom w:val="double" w:sz="4" w:space="0" w:color="000000"/>
              <w:right w:val="single" w:sz="4" w:space="0" w:color="000000"/>
            </w:tcBorders>
            <w:vAlign w:val="center"/>
          </w:tcPr>
          <w:p w14:paraId="259043D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F1A527B"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3A1A42FE"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029</w:t>
            </w:r>
          </w:p>
        </w:tc>
        <w:tc>
          <w:tcPr>
            <w:tcW w:w="2977" w:type="dxa"/>
            <w:tcBorders>
              <w:top w:val="double" w:sz="4" w:space="0" w:color="000000"/>
              <w:left w:val="single" w:sz="4" w:space="0" w:color="000000"/>
              <w:bottom w:val="double" w:sz="4" w:space="0" w:color="000000"/>
              <w:right w:val="single" w:sz="4" w:space="0" w:color="000000"/>
            </w:tcBorders>
          </w:tcPr>
          <w:p w14:paraId="1C88E564"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Alfafetoproteína</w:t>
            </w:r>
          </w:p>
        </w:tc>
        <w:tc>
          <w:tcPr>
            <w:tcW w:w="779" w:type="dxa"/>
            <w:tcBorders>
              <w:top w:val="double" w:sz="4" w:space="0" w:color="000000"/>
              <w:left w:val="single" w:sz="4" w:space="0" w:color="000000"/>
              <w:bottom w:val="double" w:sz="4" w:space="0" w:color="000000"/>
              <w:right w:val="single" w:sz="4" w:space="0" w:color="000000"/>
            </w:tcBorders>
            <w:vAlign w:val="center"/>
          </w:tcPr>
          <w:p w14:paraId="4AD4DC02"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630918C8"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double" w:sz="4" w:space="0" w:color="000000"/>
              <w:right w:val="single" w:sz="4" w:space="0" w:color="000000"/>
            </w:tcBorders>
            <w:vAlign w:val="center"/>
          </w:tcPr>
          <w:p w14:paraId="6F08AB9C"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79" w:type="dxa"/>
            <w:tcBorders>
              <w:top w:val="double" w:sz="4" w:space="0" w:color="000000"/>
              <w:left w:val="single" w:sz="4" w:space="0" w:color="000000"/>
              <w:bottom w:val="double" w:sz="4" w:space="0" w:color="000000"/>
              <w:right w:val="single" w:sz="4" w:space="0" w:color="000000"/>
            </w:tcBorders>
            <w:vAlign w:val="center"/>
          </w:tcPr>
          <w:p w14:paraId="3AAC82A6"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0" w:type="dxa"/>
            <w:tcBorders>
              <w:top w:val="double" w:sz="4" w:space="0" w:color="000000"/>
              <w:left w:val="single" w:sz="4" w:space="0" w:color="000000"/>
              <w:bottom w:val="double" w:sz="4" w:space="0" w:color="000000"/>
              <w:right w:val="single" w:sz="4" w:space="0" w:color="000000"/>
            </w:tcBorders>
            <w:vAlign w:val="center"/>
          </w:tcPr>
          <w:p w14:paraId="071CE14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79" w:type="dxa"/>
            <w:tcBorders>
              <w:top w:val="double" w:sz="4" w:space="0" w:color="000000"/>
              <w:left w:val="single" w:sz="4" w:space="0" w:color="000000"/>
              <w:bottom w:val="double" w:sz="4" w:space="0" w:color="000000"/>
              <w:right w:val="single" w:sz="4" w:space="0" w:color="000000"/>
            </w:tcBorders>
            <w:vAlign w:val="center"/>
          </w:tcPr>
          <w:p w14:paraId="79FAA1B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D3FF181"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4FDAF54D"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030</w:t>
            </w:r>
          </w:p>
        </w:tc>
        <w:tc>
          <w:tcPr>
            <w:tcW w:w="2977" w:type="dxa"/>
            <w:tcBorders>
              <w:top w:val="double" w:sz="4" w:space="0" w:color="000000"/>
              <w:left w:val="single" w:sz="4" w:space="0" w:color="000000"/>
              <w:bottom w:val="double" w:sz="4" w:space="0" w:color="000000"/>
              <w:right w:val="single" w:sz="4" w:space="0" w:color="000000"/>
            </w:tcBorders>
          </w:tcPr>
          <w:p w14:paraId="1E0162C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Anfetaminas</w:t>
            </w:r>
            <w:r>
              <w:rPr>
                <w:rFonts w:ascii="Arial" w:eastAsia="Times New Roman" w:hAnsi="Arial" w:cs="Arial"/>
                <w:spacing w:val="-9"/>
                <w:sz w:val="12"/>
                <w:szCs w:val="12"/>
                <w:lang w:val="es-ES"/>
              </w:rPr>
              <w:t xml:space="preserve"> </w:t>
            </w:r>
            <w:r>
              <w:rPr>
                <w:rFonts w:ascii="Arial" w:eastAsia="Times New Roman" w:hAnsi="Arial" w:cs="Arial"/>
                <w:spacing w:val="-2"/>
                <w:sz w:val="12"/>
                <w:szCs w:val="12"/>
                <w:lang w:val="es-ES"/>
              </w:rPr>
              <w:t>Cualitativo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3637B4BA"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121D1924"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015A3E31"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E10958B"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5D45FB18"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60BEA80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F564905"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69208BBF"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031</w:t>
            </w:r>
          </w:p>
        </w:tc>
        <w:tc>
          <w:tcPr>
            <w:tcW w:w="2977" w:type="dxa"/>
            <w:tcBorders>
              <w:top w:val="double" w:sz="4" w:space="0" w:color="000000"/>
              <w:left w:val="single" w:sz="4" w:space="0" w:color="000000"/>
              <w:bottom w:val="double" w:sz="4" w:space="0" w:color="000000"/>
              <w:right w:val="single" w:sz="4" w:space="0" w:color="000000"/>
            </w:tcBorders>
          </w:tcPr>
          <w:p w14:paraId="209E0CD5"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Antígeno</w:t>
            </w:r>
            <w:r>
              <w:rPr>
                <w:rFonts w:ascii="Arial" w:eastAsia="Times New Roman" w:hAnsi="Arial" w:cs="Arial"/>
                <w:spacing w:val="13"/>
                <w:sz w:val="12"/>
                <w:szCs w:val="12"/>
                <w:lang w:val="es-ES"/>
              </w:rPr>
              <w:t xml:space="preserve"> </w:t>
            </w:r>
            <w:r>
              <w:rPr>
                <w:rFonts w:ascii="Arial" w:eastAsia="Times New Roman" w:hAnsi="Arial" w:cs="Arial"/>
                <w:spacing w:val="-2"/>
                <w:sz w:val="12"/>
                <w:szCs w:val="12"/>
                <w:lang w:val="es-ES"/>
              </w:rPr>
              <w:t>Carcinoembrionario</w:t>
            </w:r>
            <w:r>
              <w:rPr>
                <w:rFonts w:ascii="Arial" w:eastAsia="Times New Roman" w:hAnsi="Arial" w:cs="Arial"/>
                <w:spacing w:val="15"/>
                <w:sz w:val="12"/>
                <w:szCs w:val="12"/>
                <w:lang w:val="es-ES"/>
              </w:rPr>
              <w:t xml:space="preserve"> </w:t>
            </w:r>
            <w:r>
              <w:rPr>
                <w:rFonts w:ascii="Arial" w:eastAsia="Times New Roman" w:hAnsi="Arial" w:cs="Arial"/>
                <w:spacing w:val="-4"/>
                <w:sz w:val="12"/>
                <w:szCs w:val="12"/>
                <w:lang w:val="es-ES"/>
              </w:rPr>
              <w:t>(CEA)</w:t>
            </w:r>
          </w:p>
        </w:tc>
        <w:tc>
          <w:tcPr>
            <w:tcW w:w="779" w:type="dxa"/>
            <w:tcBorders>
              <w:top w:val="double" w:sz="4" w:space="0" w:color="000000"/>
              <w:left w:val="single" w:sz="4" w:space="0" w:color="000000"/>
              <w:bottom w:val="double" w:sz="4" w:space="0" w:color="000000"/>
              <w:right w:val="single" w:sz="4" w:space="0" w:color="000000"/>
            </w:tcBorders>
            <w:vAlign w:val="center"/>
          </w:tcPr>
          <w:p w14:paraId="6A5F172D"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2.30</w:t>
            </w:r>
          </w:p>
        </w:tc>
        <w:tc>
          <w:tcPr>
            <w:tcW w:w="780" w:type="dxa"/>
            <w:tcBorders>
              <w:top w:val="double" w:sz="4" w:space="0" w:color="000000"/>
              <w:left w:val="single" w:sz="4" w:space="0" w:color="000000"/>
              <w:bottom w:val="double" w:sz="4" w:space="0" w:color="000000"/>
              <w:right w:val="single" w:sz="4" w:space="0" w:color="000000"/>
            </w:tcBorders>
            <w:vAlign w:val="center"/>
          </w:tcPr>
          <w:p w14:paraId="5D090458"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81" w:type="dxa"/>
            <w:tcBorders>
              <w:top w:val="double" w:sz="4" w:space="0" w:color="000000"/>
              <w:left w:val="single" w:sz="4" w:space="0" w:color="000000"/>
              <w:bottom w:val="double" w:sz="4" w:space="0" w:color="000000"/>
              <w:right w:val="single" w:sz="4" w:space="0" w:color="000000"/>
            </w:tcBorders>
            <w:vAlign w:val="center"/>
          </w:tcPr>
          <w:p w14:paraId="3DF88C7F"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2.05</w:t>
            </w:r>
          </w:p>
        </w:tc>
        <w:tc>
          <w:tcPr>
            <w:tcW w:w="779" w:type="dxa"/>
            <w:tcBorders>
              <w:top w:val="double" w:sz="4" w:space="0" w:color="000000"/>
              <w:left w:val="single" w:sz="4" w:space="0" w:color="000000"/>
              <w:bottom w:val="double" w:sz="4" w:space="0" w:color="000000"/>
              <w:right w:val="single" w:sz="4" w:space="0" w:color="000000"/>
            </w:tcBorders>
            <w:vAlign w:val="center"/>
          </w:tcPr>
          <w:p w14:paraId="0332A687"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492B39F9" w14:textId="77777777" w:rsidR="00D3344B" w:rsidRDefault="00143C25">
            <w:pPr>
              <w:widowControl w:val="0"/>
              <w:suppressAutoHyphens w:val="0"/>
              <w:spacing w:before="11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1.80</w:t>
            </w:r>
          </w:p>
        </w:tc>
        <w:tc>
          <w:tcPr>
            <w:tcW w:w="779" w:type="dxa"/>
            <w:tcBorders>
              <w:top w:val="double" w:sz="4" w:space="0" w:color="000000"/>
              <w:left w:val="single" w:sz="4" w:space="0" w:color="000000"/>
              <w:bottom w:val="double" w:sz="4" w:space="0" w:color="000000"/>
              <w:right w:val="single" w:sz="4" w:space="0" w:color="000000"/>
            </w:tcBorders>
            <w:vAlign w:val="center"/>
          </w:tcPr>
          <w:p w14:paraId="1A5BD06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55F5B04"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3C3C239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032</w:t>
            </w:r>
          </w:p>
        </w:tc>
        <w:tc>
          <w:tcPr>
            <w:tcW w:w="2977" w:type="dxa"/>
            <w:tcBorders>
              <w:top w:val="double" w:sz="4" w:space="0" w:color="000000"/>
              <w:left w:val="single" w:sz="4" w:space="0" w:color="000000"/>
              <w:bottom w:val="double" w:sz="4" w:space="0" w:color="000000"/>
              <w:right w:val="single" w:sz="4" w:space="0" w:color="000000"/>
            </w:tcBorders>
          </w:tcPr>
          <w:p w14:paraId="6A2E9C2A"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Barbitúricos</w:t>
            </w:r>
            <w:r>
              <w:rPr>
                <w:rFonts w:ascii="Arial" w:eastAsia="Times New Roman" w:hAnsi="Arial" w:cs="Arial"/>
                <w:spacing w:val="14"/>
                <w:sz w:val="12"/>
                <w:szCs w:val="12"/>
                <w:lang w:val="es-ES"/>
              </w:rPr>
              <w:t xml:space="preserve"> </w:t>
            </w:r>
            <w:r>
              <w:rPr>
                <w:rFonts w:ascii="Arial" w:eastAsia="Times New Roman" w:hAnsi="Arial" w:cs="Arial"/>
                <w:spacing w:val="-2"/>
                <w:sz w:val="12"/>
                <w:szCs w:val="12"/>
                <w:lang w:val="es-ES"/>
              </w:rPr>
              <w:t>Cualitativo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1929F391"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7971C243"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1C36743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014F66F"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F3EF0B7"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5CA5880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1B28266"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46337B5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033</w:t>
            </w:r>
          </w:p>
        </w:tc>
        <w:tc>
          <w:tcPr>
            <w:tcW w:w="2977" w:type="dxa"/>
            <w:tcBorders>
              <w:top w:val="double" w:sz="4" w:space="0" w:color="000000"/>
              <w:left w:val="single" w:sz="4" w:space="0" w:color="000000"/>
              <w:bottom w:val="double" w:sz="4" w:space="0" w:color="000000"/>
              <w:right w:val="single" w:sz="4" w:space="0" w:color="000000"/>
            </w:tcBorders>
          </w:tcPr>
          <w:p w14:paraId="400EF4F2"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Benzodiacepinas</w:t>
            </w:r>
            <w:r>
              <w:rPr>
                <w:rFonts w:ascii="Arial" w:eastAsia="Times New Roman" w:hAnsi="Arial" w:cs="Arial"/>
                <w:spacing w:val="17"/>
                <w:sz w:val="12"/>
                <w:szCs w:val="12"/>
                <w:lang w:val="es-ES"/>
              </w:rPr>
              <w:t xml:space="preserve"> </w:t>
            </w:r>
            <w:r>
              <w:rPr>
                <w:rFonts w:ascii="Arial" w:eastAsia="Times New Roman" w:hAnsi="Arial" w:cs="Arial"/>
                <w:spacing w:val="-2"/>
                <w:sz w:val="12"/>
                <w:szCs w:val="12"/>
                <w:lang w:val="es-ES"/>
              </w:rPr>
              <w:t>Cualitativas</w:t>
            </w:r>
          </w:p>
        </w:tc>
        <w:tc>
          <w:tcPr>
            <w:tcW w:w="779" w:type="dxa"/>
            <w:tcBorders>
              <w:top w:val="double" w:sz="4" w:space="0" w:color="000000"/>
              <w:left w:val="single" w:sz="4" w:space="0" w:color="000000"/>
              <w:bottom w:val="double" w:sz="4" w:space="0" w:color="000000"/>
              <w:right w:val="single" w:sz="4" w:space="0" w:color="000000"/>
            </w:tcBorders>
            <w:vAlign w:val="center"/>
          </w:tcPr>
          <w:p w14:paraId="18D7C0E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28113C36"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383F9D9D"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B8E5A23"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1F24E335"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652D30B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EEC13DD" w14:textId="77777777">
        <w:trPr>
          <w:trHeight w:val="289"/>
        </w:trPr>
        <w:tc>
          <w:tcPr>
            <w:tcW w:w="1106" w:type="dxa"/>
            <w:tcBorders>
              <w:top w:val="double" w:sz="4" w:space="0" w:color="000000"/>
              <w:left w:val="single" w:sz="4" w:space="0" w:color="000000"/>
              <w:bottom w:val="double" w:sz="4" w:space="0" w:color="000000"/>
              <w:right w:val="single" w:sz="4" w:space="0" w:color="000000"/>
            </w:tcBorders>
          </w:tcPr>
          <w:p w14:paraId="0841331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034</w:t>
            </w:r>
          </w:p>
        </w:tc>
        <w:tc>
          <w:tcPr>
            <w:tcW w:w="2977" w:type="dxa"/>
            <w:tcBorders>
              <w:top w:val="double" w:sz="4" w:space="0" w:color="000000"/>
              <w:left w:val="single" w:sz="4" w:space="0" w:color="000000"/>
              <w:bottom w:val="double" w:sz="4" w:space="0" w:color="000000"/>
              <w:right w:val="single" w:sz="4" w:space="0" w:color="000000"/>
            </w:tcBorders>
          </w:tcPr>
          <w:p w14:paraId="48519707" w14:textId="77777777" w:rsidR="00D3344B" w:rsidRDefault="00143C25">
            <w:pPr>
              <w:widowControl w:val="0"/>
              <w:suppressAutoHyphens w:val="0"/>
              <w:spacing w:before="58"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Canabinoides</w:t>
            </w:r>
            <w:proofErr w:type="spellEnd"/>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THC</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(Marihuana)</w:t>
            </w:r>
            <w:r>
              <w:rPr>
                <w:rFonts w:ascii="Arial" w:eastAsia="Times New Roman" w:hAnsi="Arial" w:cs="Arial"/>
                <w:spacing w:val="-9"/>
                <w:sz w:val="12"/>
                <w:szCs w:val="12"/>
                <w:lang w:val="es-ES"/>
              </w:rPr>
              <w:t xml:space="preserve"> </w:t>
            </w:r>
            <w:r>
              <w:rPr>
                <w:rFonts w:ascii="Arial" w:eastAsia="Times New Roman" w:hAnsi="Arial" w:cs="Arial"/>
                <w:spacing w:val="-2"/>
                <w:sz w:val="12"/>
                <w:szCs w:val="12"/>
                <w:lang w:val="es-ES"/>
              </w:rPr>
              <w:t>Cualitativo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7D1BBEA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2C6F22EE"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3E9BD8E8"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BDD0AF4"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9FA2833" w14:textId="77777777" w:rsidR="00D3344B" w:rsidRDefault="00143C25">
            <w:pPr>
              <w:widowControl w:val="0"/>
              <w:suppressAutoHyphens w:val="0"/>
              <w:spacing w:before="109"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3CE52C9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6FC862C" w14:textId="77777777">
        <w:trPr>
          <w:trHeight w:val="299"/>
        </w:trPr>
        <w:tc>
          <w:tcPr>
            <w:tcW w:w="1106" w:type="dxa"/>
            <w:tcBorders>
              <w:top w:val="double" w:sz="4" w:space="0" w:color="000000"/>
              <w:left w:val="single" w:sz="4" w:space="0" w:color="000000"/>
              <w:bottom w:val="single" w:sz="4" w:space="0" w:color="000000"/>
              <w:right w:val="single" w:sz="4" w:space="0" w:color="000000"/>
            </w:tcBorders>
          </w:tcPr>
          <w:p w14:paraId="01C2E6EC"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035</w:t>
            </w:r>
          </w:p>
        </w:tc>
        <w:tc>
          <w:tcPr>
            <w:tcW w:w="2977" w:type="dxa"/>
            <w:tcBorders>
              <w:top w:val="double" w:sz="4" w:space="0" w:color="000000"/>
              <w:left w:val="single" w:sz="4" w:space="0" w:color="000000"/>
              <w:bottom w:val="single" w:sz="4" w:space="0" w:color="000000"/>
              <w:right w:val="single" w:sz="4" w:space="0" w:color="000000"/>
            </w:tcBorders>
          </w:tcPr>
          <w:p w14:paraId="2D2192D9"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Cocaína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Cualitativa</w:t>
            </w:r>
          </w:p>
        </w:tc>
        <w:tc>
          <w:tcPr>
            <w:tcW w:w="779" w:type="dxa"/>
            <w:tcBorders>
              <w:top w:val="double" w:sz="4" w:space="0" w:color="000000"/>
              <w:left w:val="single" w:sz="4" w:space="0" w:color="000000"/>
              <w:bottom w:val="single" w:sz="4" w:space="0" w:color="000000"/>
              <w:right w:val="single" w:sz="4" w:space="0" w:color="000000"/>
            </w:tcBorders>
            <w:vAlign w:val="center"/>
          </w:tcPr>
          <w:p w14:paraId="7C0B61A0" w14:textId="77777777" w:rsidR="00D3344B" w:rsidRDefault="00143C25">
            <w:pPr>
              <w:widowControl w:val="0"/>
              <w:suppressAutoHyphens w:val="0"/>
              <w:spacing w:before="109"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single" w:sz="4" w:space="0" w:color="000000"/>
              <w:right w:val="single" w:sz="4" w:space="0" w:color="000000"/>
            </w:tcBorders>
            <w:vAlign w:val="center"/>
          </w:tcPr>
          <w:p w14:paraId="5BAD4351" w14:textId="77777777" w:rsidR="00D3344B" w:rsidRDefault="00143C25">
            <w:pPr>
              <w:widowControl w:val="0"/>
              <w:suppressAutoHyphens w:val="0"/>
              <w:spacing w:before="109"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single" w:sz="4" w:space="0" w:color="000000"/>
              <w:right w:val="single" w:sz="4" w:space="0" w:color="000000"/>
            </w:tcBorders>
            <w:vAlign w:val="center"/>
          </w:tcPr>
          <w:p w14:paraId="20FC4E93" w14:textId="77777777" w:rsidR="00D3344B" w:rsidRDefault="00143C25">
            <w:pPr>
              <w:widowControl w:val="0"/>
              <w:suppressAutoHyphens w:val="0"/>
              <w:spacing w:before="109"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single" w:sz="4" w:space="0" w:color="000000"/>
              <w:right w:val="single" w:sz="4" w:space="0" w:color="000000"/>
            </w:tcBorders>
            <w:vAlign w:val="center"/>
          </w:tcPr>
          <w:p w14:paraId="0A5F1035" w14:textId="77777777" w:rsidR="00D3344B" w:rsidRDefault="00143C25">
            <w:pPr>
              <w:widowControl w:val="0"/>
              <w:suppressAutoHyphens w:val="0"/>
              <w:spacing w:before="109"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single" w:sz="4" w:space="0" w:color="000000"/>
              <w:right w:val="single" w:sz="4" w:space="0" w:color="000000"/>
            </w:tcBorders>
            <w:vAlign w:val="center"/>
          </w:tcPr>
          <w:p w14:paraId="7BFD7A92" w14:textId="77777777" w:rsidR="00D3344B" w:rsidRDefault="00143C25">
            <w:pPr>
              <w:widowControl w:val="0"/>
              <w:suppressAutoHyphens w:val="0"/>
              <w:spacing w:before="109"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single" w:sz="4" w:space="0" w:color="000000"/>
              <w:right w:val="single" w:sz="4" w:space="0" w:color="000000"/>
            </w:tcBorders>
            <w:vAlign w:val="center"/>
          </w:tcPr>
          <w:p w14:paraId="465431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9499404" w14:textId="77777777">
        <w:trPr>
          <w:trHeight w:val="437"/>
        </w:trPr>
        <w:tc>
          <w:tcPr>
            <w:tcW w:w="1106" w:type="dxa"/>
            <w:tcBorders>
              <w:top w:val="single" w:sz="4" w:space="0" w:color="000000"/>
              <w:left w:val="single" w:sz="4" w:space="0" w:color="000000"/>
              <w:bottom w:val="double" w:sz="4" w:space="0" w:color="000000"/>
              <w:right w:val="single" w:sz="4" w:space="0" w:color="000000"/>
            </w:tcBorders>
          </w:tcPr>
          <w:p w14:paraId="40B40B12" w14:textId="77777777" w:rsidR="00D3344B" w:rsidRDefault="00143C25">
            <w:pPr>
              <w:widowControl w:val="0"/>
              <w:suppressAutoHyphens w:val="0"/>
              <w:spacing w:before="13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036</w:t>
            </w:r>
          </w:p>
        </w:tc>
        <w:tc>
          <w:tcPr>
            <w:tcW w:w="2977" w:type="dxa"/>
            <w:tcBorders>
              <w:top w:val="single" w:sz="4" w:space="0" w:color="000000"/>
              <w:left w:val="single" w:sz="4" w:space="0" w:color="000000"/>
              <w:bottom w:val="double" w:sz="4" w:space="0" w:color="000000"/>
              <w:right w:val="single" w:sz="4" w:space="0" w:color="000000"/>
            </w:tcBorders>
          </w:tcPr>
          <w:p w14:paraId="56197725" w14:textId="77777777" w:rsidR="00D3344B" w:rsidRDefault="00143C25">
            <w:pPr>
              <w:widowControl w:val="0"/>
              <w:suppressAutoHyphens w:val="0"/>
              <w:spacing w:before="47" w:after="0" w:line="240" w:lineRule="auto"/>
              <w:rPr>
                <w:rFonts w:ascii="Arial" w:eastAsia="Times New Roman" w:hAnsi="Arial" w:cs="Arial"/>
                <w:sz w:val="12"/>
                <w:szCs w:val="12"/>
                <w:lang w:val="es-ES"/>
              </w:rPr>
            </w:pPr>
            <w:r>
              <w:rPr>
                <w:rFonts w:ascii="Arial" w:eastAsia="Times New Roman" w:hAnsi="Arial" w:cs="Arial"/>
                <w:sz w:val="12"/>
                <w:szCs w:val="12"/>
                <w:lang w:val="es-ES"/>
              </w:rPr>
              <w:t>Cuantificación</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Hormona</w:t>
            </w:r>
            <w:r>
              <w:rPr>
                <w:rFonts w:ascii="Arial" w:eastAsia="Times New Roman" w:hAnsi="Arial" w:cs="Arial"/>
                <w:spacing w:val="80"/>
                <w:sz w:val="12"/>
                <w:szCs w:val="12"/>
                <w:lang w:val="es-ES"/>
              </w:rPr>
              <w:t xml:space="preserve"> </w:t>
            </w:r>
            <w:r>
              <w:rPr>
                <w:rFonts w:ascii="Arial" w:eastAsia="Times New Roman" w:hAnsi="Arial" w:cs="Arial"/>
                <w:sz w:val="12"/>
                <w:szCs w:val="12"/>
                <w:lang w:val="es-ES"/>
              </w:rPr>
              <w:t>Gonadotropina</w:t>
            </w:r>
            <w:r>
              <w:rPr>
                <w:rFonts w:ascii="Arial" w:eastAsia="Times New Roman" w:hAnsi="Arial" w:cs="Arial"/>
                <w:spacing w:val="80"/>
                <w:sz w:val="12"/>
                <w:szCs w:val="12"/>
                <w:lang w:val="es-ES"/>
              </w:rPr>
              <w:t xml:space="preserve"> </w:t>
            </w:r>
            <w:proofErr w:type="spellStart"/>
            <w:r>
              <w:rPr>
                <w:rFonts w:ascii="Arial" w:eastAsia="Times New Roman" w:hAnsi="Arial" w:cs="Arial"/>
                <w:sz w:val="12"/>
                <w:szCs w:val="12"/>
                <w:lang w:val="es-ES"/>
              </w:rPr>
              <w:t>Corionica</w:t>
            </w:r>
            <w:proofErr w:type="spellEnd"/>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Humana</w:t>
            </w:r>
          </w:p>
        </w:tc>
        <w:tc>
          <w:tcPr>
            <w:tcW w:w="779" w:type="dxa"/>
            <w:tcBorders>
              <w:top w:val="single" w:sz="4" w:space="0" w:color="000000"/>
              <w:left w:val="single" w:sz="4" w:space="0" w:color="000000"/>
              <w:bottom w:val="double" w:sz="4" w:space="0" w:color="000000"/>
              <w:right w:val="single" w:sz="4" w:space="0" w:color="000000"/>
            </w:tcBorders>
            <w:vAlign w:val="center"/>
          </w:tcPr>
          <w:p w14:paraId="29FCBCD4"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single" w:sz="4" w:space="0" w:color="000000"/>
              <w:left w:val="single" w:sz="4" w:space="0" w:color="000000"/>
              <w:bottom w:val="double" w:sz="4" w:space="0" w:color="000000"/>
              <w:right w:val="single" w:sz="4" w:space="0" w:color="000000"/>
            </w:tcBorders>
            <w:vAlign w:val="center"/>
          </w:tcPr>
          <w:p w14:paraId="5FE4EA8E"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1" w:type="dxa"/>
            <w:tcBorders>
              <w:top w:val="single" w:sz="4" w:space="0" w:color="000000"/>
              <w:left w:val="single" w:sz="4" w:space="0" w:color="000000"/>
              <w:bottom w:val="double" w:sz="4" w:space="0" w:color="000000"/>
              <w:right w:val="single" w:sz="4" w:space="0" w:color="000000"/>
            </w:tcBorders>
            <w:vAlign w:val="center"/>
          </w:tcPr>
          <w:p w14:paraId="6C0725BF"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single" w:sz="4" w:space="0" w:color="000000"/>
              <w:left w:val="single" w:sz="4" w:space="0" w:color="000000"/>
              <w:bottom w:val="double" w:sz="4" w:space="0" w:color="000000"/>
              <w:right w:val="single" w:sz="4" w:space="0" w:color="000000"/>
            </w:tcBorders>
            <w:vAlign w:val="center"/>
          </w:tcPr>
          <w:p w14:paraId="693FFA42"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single" w:sz="4" w:space="0" w:color="000000"/>
              <w:left w:val="single" w:sz="4" w:space="0" w:color="000000"/>
              <w:bottom w:val="double" w:sz="4" w:space="0" w:color="000000"/>
              <w:right w:val="single" w:sz="4" w:space="0" w:color="000000"/>
            </w:tcBorders>
            <w:vAlign w:val="center"/>
          </w:tcPr>
          <w:p w14:paraId="5670A924"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single" w:sz="4" w:space="0" w:color="000000"/>
              <w:left w:val="single" w:sz="4" w:space="0" w:color="000000"/>
              <w:bottom w:val="double" w:sz="4" w:space="0" w:color="000000"/>
              <w:right w:val="single" w:sz="4" w:space="0" w:color="000000"/>
            </w:tcBorders>
            <w:vAlign w:val="center"/>
          </w:tcPr>
          <w:p w14:paraId="3B15AAE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EBC42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6C0373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037</w:t>
            </w:r>
          </w:p>
        </w:tc>
        <w:tc>
          <w:tcPr>
            <w:tcW w:w="2977" w:type="dxa"/>
            <w:tcBorders>
              <w:top w:val="double" w:sz="4" w:space="0" w:color="000000"/>
              <w:left w:val="single" w:sz="4" w:space="0" w:color="000000"/>
              <w:bottom w:val="double" w:sz="4" w:space="0" w:color="000000"/>
              <w:right w:val="single" w:sz="4" w:space="0" w:color="000000"/>
            </w:tcBorders>
          </w:tcPr>
          <w:p w14:paraId="37132A0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Ferritina</w:t>
            </w:r>
          </w:p>
        </w:tc>
        <w:tc>
          <w:tcPr>
            <w:tcW w:w="779" w:type="dxa"/>
            <w:tcBorders>
              <w:top w:val="double" w:sz="4" w:space="0" w:color="000000"/>
              <w:left w:val="single" w:sz="4" w:space="0" w:color="000000"/>
              <w:bottom w:val="double" w:sz="4" w:space="0" w:color="000000"/>
              <w:right w:val="single" w:sz="4" w:space="0" w:color="000000"/>
            </w:tcBorders>
            <w:vAlign w:val="center"/>
          </w:tcPr>
          <w:p w14:paraId="7540EBDE"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2.70</w:t>
            </w:r>
          </w:p>
        </w:tc>
        <w:tc>
          <w:tcPr>
            <w:tcW w:w="780" w:type="dxa"/>
            <w:tcBorders>
              <w:top w:val="double" w:sz="4" w:space="0" w:color="000000"/>
              <w:left w:val="single" w:sz="4" w:space="0" w:color="000000"/>
              <w:bottom w:val="double" w:sz="4" w:space="0" w:color="000000"/>
              <w:right w:val="single" w:sz="4" w:space="0" w:color="000000"/>
            </w:tcBorders>
            <w:vAlign w:val="center"/>
          </w:tcPr>
          <w:p w14:paraId="56A597DC"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81" w:type="dxa"/>
            <w:tcBorders>
              <w:top w:val="double" w:sz="4" w:space="0" w:color="000000"/>
              <w:left w:val="single" w:sz="4" w:space="0" w:color="000000"/>
              <w:bottom w:val="double" w:sz="4" w:space="0" w:color="000000"/>
              <w:right w:val="single" w:sz="4" w:space="0" w:color="000000"/>
            </w:tcBorders>
            <w:vAlign w:val="center"/>
          </w:tcPr>
          <w:p w14:paraId="29BFC8A3"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79" w:type="dxa"/>
            <w:tcBorders>
              <w:top w:val="double" w:sz="4" w:space="0" w:color="000000"/>
              <w:left w:val="single" w:sz="4" w:space="0" w:color="000000"/>
              <w:bottom w:val="double" w:sz="4" w:space="0" w:color="000000"/>
              <w:right w:val="single" w:sz="4" w:space="0" w:color="000000"/>
            </w:tcBorders>
            <w:vAlign w:val="center"/>
          </w:tcPr>
          <w:p w14:paraId="3D80D667"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12AE084F"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39817ED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C349B6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AD152B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038</w:t>
            </w:r>
          </w:p>
        </w:tc>
        <w:tc>
          <w:tcPr>
            <w:tcW w:w="2977" w:type="dxa"/>
            <w:tcBorders>
              <w:top w:val="double" w:sz="4" w:space="0" w:color="000000"/>
              <w:left w:val="single" w:sz="4" w:space="0" w:color="000000"/>
              <w:bottom w:val="double" w:sz="4" w:space="0" w:color="000000"/>
              <w:right w:val="single" w:sz="4" w:space="0" w:color="000000"/>
            </w:tcBorders>
          </w:tcPr>
          <w:p w14:paraId="7B5F90B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Insulina</w:t>
            </w:r>
          </w:p>
        </w:tc>
        <w:tc>
          <w:tcPr>
            <w:tcW w:w="779" w:type="dxa"/>
            <w:tcBorders>
              <w:top w:val="double" w:sz="4" w:space="0" w:color="000000"/>
              <w:left w:val="single" w:sz="4" w:space="0" w:color="000000"/>
              <w:bottom w:val="double" w:sz="4" w:space="0" w:color="000000"/>
              <w:right w:val="single" w:sz="4" w:space="0" w:color="000000"/>
            </w:tcBorders>
            <w:vAlign w:val="center"/>
          </w:tcPr>
          <w:p w14:paraId="1C40CDE0"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7D26BFCC"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81" w:type="dxa"/>
            <w:tcBorders>
              <w:top w:val="double" w:sz="4" w:space="0" w:color="000000"/>
              <w:left w:val="single" w:sz="4" w:space="0" w:color="000000"/>
              <w:bottom w:val="double" w:sz="4" w:space="0" w:color="000000"/>
              <w:right w:val="single" w:sz="4" w:space="0" w:color="000000"/>
            </w:tcBorders>
            <w:vAlign w:val="center"/>
          </w:tcPr>
          <w:p w14:paraId="5298E281"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4E365032"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2.30</w:t>
            </w:r>
          </w:p>
        </w:tc>
        <w:tc>
          <w:tcPr>
            <w:tcW w:w="780" w:type="dxa"/>
            <w:tcBorders>
              <w:top w:val="double" w:sz="4" w:space="0" w:color="000000"/>
              <w:left w:val="single" w:sz="4" w:space="0" w:color="000000"/>
              <w:bottom w:val="double" w:sz="4" w:space="0" w:color="000000"/>
              <w:right w:val="single" w:sz="4" w:space="0" w:color="000000"/>
            </w:tcBorders>
            <w:vAlign w:val="center"/>
          </w:tcPr>
          <w:p w14:paraId="14AF6622"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27EDE34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B2B5A7C"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393A368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03-PI-</w:t>
            </w:r>
            <w:r>
              <w:rPr>
                <w:rFonts w:ascii="Arial" w:eastAsia="Times New Roman" w:hAnsi="Arial" w:cs="Arial"/>
                <w:spacing w:val="-5"/>
                <w:sz w:val="12"/>
                <w:szCs w:val="12"/>
                <w:lang w:val="es-ES"/>
              </w:rPr>
              <w:t>039</w:t>
            </w:r>
          </w:p>
        </w:tc>
        <w:tc>
          <w:tcPr>
            <w:tcW w:w="2977" w:type="dxa"/>
            <w:tcBorders>
              <w:top w:val="double" w:sz="4" w:space="0" w:color="000000"/>
              <w:left w:val="single" w:sz="4" w:space="0" w:color="000000"/>
              <w:bottom w:val="double" w:sz="4" w:space="0" w:color="000000"/>
              <w:right w:val="single" w:sz="4" w:space="0" w:color="000000"/>
            </w:tcBorders>
          </w:tcPr>
          <w:p w14:paraId="094B965E"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Insulina</w:t>
            </w:r>
            <w:r>
              <w:rPr>
                <w:rFonts w:ascii="Arial" w:eastAsia="Times New Roman" w:hAnsi="Arial" w:cs="Arial"/>
                <w:spacing w:val="14"/>
                <w:sz w:val="12"/>
                <w:szCs w:val="12"/>
                <w:lang w:val="es-ES"/>
              </w:rPr>
              <w:t xml:space="preserve"> </w:t>
            </w:r>
            <w:proofErr w:type="spellStart"/>
            <w:r>
              <w:rPr>
                <w:rFonts w:ascii="Arial" w:eastAsia="Times New Roman" w:hAnsi="Arial" w:cs="Arial"/>
                <w:spacing w:val="-2"/>
                <w:sz w:val="12"/>
                <w:szCs w:val="12"/>
                <w:lang w:val="es-ES"/>
              </w:rPr>
              <w:t>post-prandial</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3D4512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80" w:type="dxa"/>
            <w:tcBorders>
              <w:top w:val="double" w:sz="4" w:space="0" w:color="000000"/>
              <w:left w:val="single" w:sz="4" w:space="0" w:color="000000"/>
              <w:bottom w:val="double" w:sz="4" w:space="0" w:color="000000"/>
              <w:right w:val="single" w:sz="4" w:space="0" w:color="000000"/>
            </w:tcBorders>
            <w:vAlign w:val="center"/>
          </w:tcPr>
          <w:p w14:paraId="7339A65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05B0719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5D036B7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3.40</w:t>
            </w:r>
          </w:p>
        </w:tc>
        <w:tc>
          <w:tcPr>
            <w:tcW w:w="780" w:type="dxa"/>
            <w:tcBorders>
              <w:top w:val="double" w:sz="4" w:space="0" w:color="000000"/>
              <w:left w:val="single" w:sz="4" w:space="0" w:color="000000"/>
              <w:bottom w:val="double" w:sz="4" w:space="0" w:color="000000"/>
              <w:right w:val="single" w:sz="4" w:space="0" w:color="000000"/>
            </w:tcBorders>
            <w:vAlign w:val="center"/>
          </w:tcPr>
          <w:p w14:paraId="673F002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76F6F53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1B74AE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93B36C4"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040</w:t>
            </w:r>
          </w:p>
        </w:tc>
        <w:tc>
          <w:tcPr>
            <w:tcW w:w="2977" w:type="dxa"/>
            <w:tcBorders>
              <w:top w:val="double" w:sz="4" w:space="0" w:color="000000"/>
              <w:left w:val="single" w:sz="4" w:space="0" w:color="000000"/>
              <w:bottom w:val="double" w:sz="4" w:space="0" w:color="000000"/>
              <w:right w:val="single" w:sz="4" w:space="0" w:color="000000"/>
            </w:tcBorders>
          </w:tcPr>
          <w:p w14:paraId="7FB0D07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Metanfetaminas</w:t>
            </w:r>
            <w:r>
              <w:rPr>
                <w:rFonts w:ascii="Arial" w:eastAsia="Times New Roman" w:hAnsi="Arial" w:cs="Arial"/>
                <w:spacing w:val="17"/>
                <w:sz w:val="12"/>
                <w:szCs w:val="12"/>
                <w:lang w:val="es-ES"/>
              </w:rPr>
              <w:t xml:space="preserve"> </w:t>
            </w:r>
            <w:r>
              <w:rPr>
                <w:rFonts w:ascii="Arial" w:eastAsia="Times New Roman" w:hAnsi="Arial" w:cs="Arial"/>
                <w:spacing w:val="-2"/>
                <w:sz w:val="12"/>
                <w:szCs w:val="12"/>
                <w:lang w:val="es-ES"/>
              </w:rPr>
              <w:t>Cualitativas</w:t>
            </w:r>
          </w:p>
        </w:tc>
        <w:tc>
          <w:tcPr>
            <w:tcW w:w="779" w:type="dxa"/>
            <w:tcBorders>
              <w:top w:val="double" w:sz="4" w:space="0" w:color="000000"/>
              <w:left w:val="single" w:sz="4" w:space="0" w:color="000000"/>
              <w:bottom w:val="double" w:sz="4" w:space="0" w:color="000000"/>
              <w:right w:val="single" w:sz="4" w:space="0" w:color="000000"/>
            </w:tcBorders>
            <w:vAlign w:val="center"/>
          </w:tcPr>
          <w:p w14:paraId="3D399E0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66711D4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1C7D34B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0A5C16F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09EABED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0DA7997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B7C9DA7"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1FC0CC7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041</w:t>
            </w:r>
          </w:p>
        </w:tc>
        <w:tc>
          <w:tcPr>
            <w:tcW w:w="2977" w:type="dxa"/>
            <w:tcBorders>
              <w:top w:val="double" w:sz="4" w:space="0" w:color="000000"/>
              <w:left w:val="single" w:sz="4" w:space="0" w:color="000000"/>
              <w:bottom w:val="double" w:sz="4" w:space="0" w:color="000000"/>
              <w:right w:val="single" w:sz="4" w:space="0" w:color="000000"/>
            </w:tcBorders>
          </w:tcPr>
          <w:p w14:paraId="426FED2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Drogas</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Abuso</w:t>
            </w:r>
            <w:r>
              <w:rPr>
                <w:rFonts w:ascii="Arial" w:eastAsia="Times New Roman" w:hAnsi="Arial" w:cs="Arial"/>
                <w:spacing w:val="-4"/>
                <w:sz w:val="12"/>
                <w:szCs w:val="12"/>
                <w:lang w:val="es-ES"/>
              </w:rPr>
              <w:t xml:space="preserve"> </w:t>
            </w:r>
            <w:r>
              <w:rPr>
                <w:rFonts w:ascii="Arial" w:eastAsia="Times New Roman" w:hAnsi="Arial" w:cs="Arial"/>
                <w:spacing w:val="-5"/>
                <w:sz w:val="12"/>
                <w:szCs w:val="12"/>
                <w:lang w:val="es-ES"/>
              </w:rPr>
              <w:t>(6)</w:t>
            </w:r>
          </w:p>
        </w:tc>
        <w:tc>
          <w:tcPr>
            <w:tcW w:w="779" w:type="dxa"/>
            <w:tcBorders>
              <w:top w:val="double" w:sz="4" w:space="0" w:color="000000"/>
              <w:left w:val="single" w:sz="4" w:space="0" w:color="000000"/>
              <w:bottom w:val="double" w:sz="4" w:space="0" w:color="000000"/>
              <w:right w:val="single" w:sz="4" w:space="0" w:color="000000"/>
            </w:tcBorders>
            <w:vAlign w:val="center"/>
          </w:tcPr>
          <w:p w14:paraId="5AE9024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double" w:sz="4" w:space="0" w:color="000000"/>
              <w:left w:val="single" w:sz="4" w:space="0" w:color="000000"/>
              <w:bottom w:val="double" w:sz="4" w:space="0" w:color="000000"/>
              <w:right w:val="single" w:sz="4" w:space="0" w:color="000000"/>
            </w:tcBorders>
            <w:vAlign w:val="center"/>
          </w:tcPr>
          <w:p w14:paraId="380917D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1" w:type="dxa"/>
            <w:tcBorders>
              <w:top w:val="double" w:sz="4" w:space="0" w:color="000000"/>
              <w:left w:val="single" w:sz="4" w:space="0" w:color="000000"/>
              <w:bottom w:val="double" w:sz="4" w:space="0" w:color="000000"/>
              <w:right w:val="single" w:sz="4" w:space="0" w:color="000000"/>
            </w:tcBorders>
            <w:vAlign w:val="center"/>
          </w:tcPr>
          <w:p w14:paraId="4FE54A5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2A62736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80" w:type="dxa"/>
            <w:tcBorders>
              <w:top w:val="double" w:sz="4" w:space="0" w:color="000000"/>
              <w:left w:val="single" w:sz="4" w:space="0" w:color="000000"/>
              <w:bottom w:val="double" w:sz="4" w:space="0" w:color="000000"/>
              <w:right w:val="single" w:sz="4" w:space="0" w:color="000000"/>
            </w:tcBorders>
            <w:vAlign w:val="center"/>
          </w:tcPr>
          <w:p w14:paraId="1DF30BC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79" w:type="dxa"/>
            <w:tcBorders>
              <w:top w:val="double" w:sz="4" w:space="0" w:color="000000"/>
              <w:left w:val="single" w:sz="4" w:space="0" w:color="000000"/>
              <w:bottom w:val="double" w:sz="4" w:space="0" w:color="000000"/>
              <w:right w:val="single" w:sz="4" w:space="0" w:color="000000"/>
            </w:tcBorders>
            <w:vAlign w:val="center"/>
          </w:tcPr>
          <w:p w14:paraId="1018338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ABFC51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6B8D59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042</w:t>
            </w:r>
          </w:p>
        </w:tc>
        <w:tc>
          <w:tcPr>
            <w:tcW w:w="2977" w:type="dxa"/>
            <w:tcBorders>
              <w:top w:val="double" w:sz="4" w:space="0" w:color="000000"/>
              <w:left w:val="single" w:sz="4" w:space="0" w:color="000000"/>
              <w:bottom w:val="double" w:sz="4" w:space="0" w:color="000000"/>
              <w:right w:val="single" w:sz="4" w:space="0" w:color="000000"/>
            </w:tcBorders>
          </w:tcPr>
          <w:p w14:paraId="3BE6544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Anticuerpos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VIH</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(prueba</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rápida)</w:t>
            </w:r>
          </w:p>
        </w:tc>
        <w:tc>
          <w:tcPr>
            <w:tcW w:w="779" w:type="dxa"/>
            <w:tcBorders>
              <w:top w:val="double" w:sz="4" w:space="0" w:color="000000"/>
              <w:left w:val="single" w:sz="4" w:space="0" w:color="000000"/>
              <w:bottom w:val="double" w:sz="4" w:space="0" w:color="000000"/>
              <w:right w:val="single" w:sz="4" w:space="0" w:color="000000"/>
            </w:tcBorders>
            <w:vAlign w:val="center"/>
          </w:tcPr>
          <w:p w14:paraId="0E3CD70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4F12053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1.66</w:t>
            </w:r>
          </w:p>
        </w:tc>
        <w:tc>
          <w:tcPr>
            <w:tcW w:w="781" w:type="dxa"/>
            <w:tcBorders>
              <w:top w:val="double" w:sz="4" w:space="0" w:color="000000"/>
              <w:left w:val="single" w:sz="4" w:space="0" w:color="000000"/>
              <w:bottom w:val="double" w:sz="4" w:space="0" w:color="000000"/>
              <w:right w:val="single" w:sz="4" w:space="0" w:color="000000"/>
            </w:tcBorders>
            <w:vAlign w:val="center"/>
          </w:tcPr>
          <w:p w14:paraId="015E77A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2022153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0" w:type="dxa"/>
            <w:tcBorders>
              <w:top w:val="double" w:sz="4" w:space="0" w:color="000000"/>
              <w:left w:val="single" w:sz="4" w:space="0" w:color="000000"/>
              <w:bottom w:val="double" w:sz="4" w:space="0" w:color="000000"/>
              <w:right w:val="single" w:sz="4" w:space="0" w:color="000000"/>
            </w:tcBorders>
            <w:vAlign w:val="center"/>
          </w:tcPr>
          <w:p w14:paraId="5695CCD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79" w:type="dxa"/>
            <w:tcBorders>
              <w:top w:val="double" w:sz="4" w:space="0" w:color="000000"/>
              <w:left w:val="single" w:sz="4" w:space="0" w:color="000000"/>
              <w:bottom w:val="double" w:sz="4" w:space="0" w:color="000000"/>
              <w:right w:val="single" w:sz="4" w:space="0" w:color="000000"/>
            </w:tcBorders>
            <w:vAlign w:val="center"/>
          </w:tcPr>
          <w:p w14:paraId="4BE0D10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C78FD3B"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9F820F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03-PI-</w:t>
            </w:r>
            <w:r>
              <w:rPr>
                <w:rFonts w:ascii="Arial" w:eastAsia="Times New Roman" w:hAnsi="Arial" w:cs="Arial"/>
                <w:spacing w:val="-5"/>
                <w:sz w:val="12"/>
                <w:szCs w:val="12"/>
                <w:lang w:val="es-ES"/>
              </w:rPr>
              <w:t>044</w:t>
            </w:r>
          </w:p>
        </w:tc>
        <w:tc>
          <w:tcPr>
            <w:tcW w:w="2977" w:type="dxa"/>
            <w:tcBorders>
              <w:top w:val="double" w:sz="4" w:space="0" w:color="000000"/>
              <w:left w:val="single" w:sz="4" w:space="0" w:color="000000"/>
              <w:bottom w:val="double" w:sz="4" w:space="0" w:color="000000"/>
              <w:right w:val="single" w:sz="4" w:space="0" w:color="000000"/>
            </w:tcBorders>
          </w:tcPr>
          <w:p w14:paraId="3F15DDB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Adulterantes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orina</w:t>
            </w:r>
          </w:p>
        </w:tc>
        <w:tc>
          <w:tcPr>
            <w:tcW w:w="779" w:type="dxa"/>
            <w:tcBorders>
              <w:top w:val="double" w:sz="4" w:space="0" w:color="000000"/>
              <w:left w:val="single" w:sz="4" w:space="0" w:color="000000"/>
              <w:bottom w:val="double" w:sz="4" w:space="0" w:color="000000"/>
              <w:right w:val="single" w:sz="4" w:space="0" w:color="000000"/>
            </w:tcBorders>
            <w:vAlign w:val="center"/>
          </w:tcPr>
          <w:p w14:paraId="44E715F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70415FF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1" w:type="dxa"/>
            <w:tcBorders>
              <w:top w:val="double" w:sz="4" w:space="0" w:color="000000"/>
              <w:left w:val="single" w:sz="4" w:space="0" w:color="000000"/>
              <w:bottom w:val="double" w:sz="4" w:space="0" w:color="000000"/>
              <w:right w:val="single" w:sz="4" w:space="0" w:color="000000"/>
            </w:tcBorders>
            <w:vAlign w:val="center"/>
          </w:tcPr>
          <w:p w14:paraId="170B876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30558FC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5D7A4CBD"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37DEE16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FDE6894" w14:textId="77777777">
        <w:trPr>
          <w:trHeight w:val="781"/>
        </w:trPr>
        <w:tc>
          <w:tcPr>
            <w:tcW w:w="1106" w:type="dxa"/>
            <w:tcBorders>
              <w:top w:val="double" w:sz="4" w:space="0" w:color="000000"/>
              <w:left w:val="single" w:sz="4" w:space="0" w:color="000000"/>
              <w:bottom w:val="double" w:sz="4" w:space="0" w:color="000000"/>
              <w:right w:val="single" w:sz="4" w:space="0" w:color="000000"/>
            </w:tcBorders>
          </w:tcPr>
          <w:p w14:paraId="4897CD13" w14:textId="77777777" w:rsidR="00D3344B" w:rsidRDefault="00143C25">
            <w:pPr>
              <w:widowControl w:val="0"/>
              <w:suppressAutoHyphens w:val="0"/>
              <w:spacing w:before="119"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03-PR-</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02A3297F"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Pruebas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proofErr w:type="spellStart"/>
            <w:r>
              <w:rPr>
                <w:rFonts w:ascii="Arial" w:eastAsia="Times New Roman" w:hAnsi="Arial" w:cs="Arial"/>
                <w:sz w:val="12"/>
                <w:szCs w:val="12"/>
                <w:lang w:val="es-ES"/>
              </w:rPr>
              <w:t>Coaglutinación</w:t>
            </w:r>
            <w:proofErr w:type="spellEnd"/>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para</w:t>
            </w:r>
            <w:r>
              <w:rPr>
                <w:rFonts w:ascii="Arial" w:eastAsia="Times New Roman" w:hAnsi="Arial" w:cs="Arial"/>
                <w:spacing w:val="-4"/>
                <w:sz w:val="12"/>
                <w:szCs w:val="12"/>
                <w:lang w:val="es-ES"/>
              </w:rPr>
              <w:t xml:space="preserve"> </w:t>
            </w:r>
            <w:proofErr w:type="spellStart"/>
            <w:r>
              <w:rPr>
                <w:rFonts w:ascii="Arial" w:eastAsia="Times New Roman" w:hAnsi="Arial" w:cs="Arial"/>
                <w:sz w:val="12"/>
                <w:szCs w:val="12"/>
                <w:lang w:val="es-ES"/>
              </w:rPr>
              <w:t>Streptococcus</w:t>
            </w:r>
            <w:proofErr w:type="spellEnd"/>
            <w:r>
              <w:rPr>
                <w:rFonts w:ascii="Arial" w:eastAsia="Times New Roman" w:hAnsi="Arial" w:cs="Arial"/>
                <w:spacing w:val="-3"/>
                <w:sz w:val="12"/>
                <w:szCs w:val="12"/>
                <w:lang w:val="es-ES"/>
              </w:rPr>
              <w:t xml:space="preserve"> </w:t>
            </w:r>
            <w:proofErr w:type="spellStart"/>
            <w:r>
              <w:rPr>
                <w:rFonts w:ascii="Arial" w:eastAsia="Times New Roman" w:hAnsi="Arial" w:cs="Arial"/>
                <w:sz w:val="12"/>
                <w:szCs w:val="12"/>
                <w:lang w:val="es-ES"/>
              </w:rPr>
              <w:t>pneumoniae</w:t>
            </w:r>
            <w:proofErr w:type="spellEnd"/>
            <w:r>
              <w:rPr>
                <w:rFonts w:ascii="Arial" w:eastAsia="Times New Roman" w:hAnsi="Arial" w:cs="Arial"/>
                <w:sz w:val="12"/>
                <w:szCs w:val="12"/>
                <w:lang w:val="es-ES"/>
              </w:rPr>
              <w:t>,</w:t>
            </w:r>
            <w:r>
              <w:rPr>
                <w:rFonts w:ascii="Arial" w:eastAsia="Times New Roman" w:hAnsi="Arial" w:cs="Arial"/>
                <w:spacing w:val="40"/>
                <w:sz w:val="12"/>
                <w:szCs w:val="12"/>
                <w:lang w:val="es-ES"/>
              </w:rPr>
              <w:t xml:space="preserve"> </w:t>
            </w:r>
            <w:proofErr w:type="spellStart"/>
            <w:r>
              <w:rPr>
                <w:rFonts w:ascii="Arial" w:eastAsia="Times New Roman" w:hAnsi="Arial" w:cs="Arial"/>
                <w:sz w:val="12"/>
                <w:szCs w:val="12"/>
                <w:lang w:val="es-ES"/>
              </w:rPr>
              <w:t>Haemophilus</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influenzae</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streptococcus</w:t>
            </w:r>
            <w:proofErr w:type="spellEnd"/>
            <w:r>
              <w:rPr>
                <w:rFonts w:ascii="Arial" w:eastAsia="Times New Roman" w:hAnsi="Arial" w:cs="Arial"/>
                <w:sz w:val="12"/>
                <w:szCs w:val="12"/>
                <w:lang w:val="es-ES"/>
              </w:rPr>
              <w:t xml:space="preserve"> </w:t>
            </w:r>
            <w:proofErr w:type="spellStart"/>
            <w:r>
              <w:rPr>
                <w:rFonts w:ascii="Arial" w:eastAsia="Times New Roman" w:hAnsi="Arial" w:cs="Arial"/>
                <w:sz w:val="12"/>
                <w:szCs w:val="12"/>
                <w:lang w:val="es-ES"/>
              </w:rPr>
              <w:t>agalactiae</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487BAD93"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4BBEC256"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7032373A"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517DB20B"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0" w:type="dxa"/>
            <w:tcBorders>
              <w:top w:val="double" w:sz="4" w:space="0" w:color="000000"/>
              <w:left w:val="single" w:sz="4" w:space="0" w:color="000000"/>
              <w:bottom w:val="double" w:sz="4" w:space="0" w:color="000000"/>
              <w:right w:val="single" w:sz="4" w:space="0" w:color="000000"/>
            </w:tcBorders>
            <w:vAlign w:val="center"/>
          </w:tcPr>
          <w:p w14:paraId="5E242124"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1.35</w:t>
            </w:r>
          </w:p>
        </w:tc>
        <w:tc>
          <w:tcPr>
            <w:tcW w:w="779" w:type="dxa"/>
            <w:tcBorders>
              <w:top w:val="double" w:sz="4" w:space="0" w:color="000000"/>
              <w:left w:val="single" w:sz="4" w:space="0" w:color="000000"/>
              <w:bottom w:val="double" w:sz="4" w:space="0" w:color="000000"/>
              <w:right w:val="single" w:sz="4" w:space="0" w:color="000000"/>
            </w:tcBorders>
            <w:vAlign w:val="center"/>
          </w:tcPr>
          <w:p w14:paraId="2B18576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8AD48A2" w14:textId="77777777">
        <w:trPr>
          <w:trHeight w:val="437"/>
        </w:trPr>
        <w:tc>
          <w:tcPr>
            <w:tcW w:w="1106" w:type="dxa"/>
            <w:tcBorders>
              <w:top w:val="double" w:sz="4" w:space="0" w:color="000000"/>
              <w:left w:val="single" w:sz="4" w:space="0" w:color="000000"/>
              <w:bottom w:val="double" w:sz="4" w:space="0" w:color="000000"/>
              <w:right w:val="single" w:sz="4" w:space="0" w:color="000000"/>
            </w:tcBorders>
          </w:tcPr>
          <w:p w14:paraId="725EE542" w14:textId="77777777" w:rsidR="00D3344B" w:rsidRDefault="00143C25">
            <w:pPr>
              <w:widowControl w:val="0"/>
              <w:suppressAutoHyphens w:val="0"/>
              <w:spacing w:before="131"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03-PS-</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3D8DF99B" w14:textId="77777777" w:rsidR="00D3344B" w:rsidRDefault="00143C25">
            <w:pPr>
              <w:widowControl w:val="0"/>
              <w:suppressAutoHyphens w:val="0"/>
              <w:spacing w:before="46" w:after="0" w:line="240" w:lineRule="auto"/>
              <w:rPr>
                <w:rFonts w:ascii="Arial" w:eastAsia="Times New Roman" w:hAnsi="Arial" w:cs="Arial"/>
                <w:sz w:val="12"/>
                <w:szCs w:val="12"/>
                <w:lang w:val="es-ES"/>
              </w:rPr>
            </w:pPr>
            <w:r>
              <w:rPr>
                <w:rFonts w:ascii="Arial" w:eastAsia="Times New Roman" w:hAnsi="Arial" w:cs="Arial"/>
                <w:sz w:val="12"/>
                <w:szCs w:val="12"/>
                <w:lang w:val="es-ES"/>
              </w:rPr>
              <w:t>ANTIBIOGRAMA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CONCENTRACION</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INHIBITORIA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MINIMA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MIC</w:t>
            </w:r>
          </w:p>
        </w:tc>
        <w:tc>
          <w:tcPr>
            <w:tcW w:w="779" w:type="dxa"/>
            <w:tcBorders>
              <w:top w:val="double" w:sz="4" w:space="0" w:color="000000"/>
              <w:left w:val="single" w:sz="4" w:space="0" w:color="000000"/>
              <w:bottom w:val="double" w:sz="4" w:space="0" w:color="000000"/>
              <w:right w:val="single" w:sz="4" w:space="0" w:color="000000"/>
            </w:tcBorders>
            <w:vAlign w:val="center"/>
          </w:tcPr>
          <w:p w14:paraId="0AAD870E"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3.60</w:t>
            </w:r>
          </w:p>
        </w:tc>
        <w:tc>
          <w:tcPr>
            <w:tcW w:w="780" w:type="dxa"/>
            <w:tcBorders>
              <w:top w:val="double" w:sz="4" w:space="0" w:color="000000"/>
              <w:left w:val="single" w:sz="4" w:space="0" w:color="000000"/>
              <w:bottom w:val="double" w:sz="4" w:space="0" w:color="000000"/>
              <w:right w:val="single" w:sz="4" w:space="0" w:color="000000"/>
            </w:tcBorders>
            <w:vAlign w:val="center"/>
          </w:tcPr>
          <w:p w14:paraId="3E22CC19"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1" w:type="dxa"/>
            <w:tcBorders>
              <w:top w:val="double" w:sz="4" w:space="0" w:color="000000"/>
              <w:left w:val="single" w:sz="4" w:space="0" w:color="000000"/>
              <w:bottom w:val="double" w:sz="4" w:space="0" w:color="000000"/>
              <w:right w:val="single" w:sz="4" w:space="0" w:color="000000"/>
            </w:tcBorders>
            <w:vAlign w:val="center"/>
          </w:tcPr>
          <w:p w14:paraId="57FCB4C5"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3.45</w:t>
            </w:r>
          </w:p>
        </w:tc>
        <w:tc>
          <w:tcPr>
            <w:tcW w:w="779" w:type="dxa"/>
            <w:tcBorders>
              <w:top w:val="double" w:sz="4" w:space="0" w:color="000000"/>
              <w:left w:val="single" w:sz="4" w:space="0" w:color="000000"/>
              <w:bottom w:val="double" w:sz="4" w:space="0" w:color="000000"/>
              <w:right w:val="single" w:sz="4" w:space="0" w:color="000000"/>
            </w:tcBorders>
            <w:vAlign w:val="center"/>
          </w:tcPr>
          <w:p w14:paraId="14AFD3AB"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3.40</w:t>
            </w:r>
          </w:p>
        </w:tc>
        <w:tc>
          <w:tcPr>
            <w:tcW w:w="780" w:type="dxa"/>
            <w:tcBorders>
              <w:top w:val="double" w:sz="4" w:space="0" w:color="000000"/>
              <w:left w:val="single" w:sz="4" w:space="0" w:color="000000"/>
              <w:bottom w:val="double" w:sz="4" w:space="0" w:color="000000"/>
              <w:right w:val="single" w:sz="4" w:space="0" w:color="000000"/>
            </w:tcBorders>
            <w:vAlign w:val="center"/>
          </w:tcPr>
          <w:p w14:paraId="38580264" w14:textId="77777777" w:rsidR="00D3344B" w:rsidRDefault="00143C25">
            <w:pPr>
              <w:widowControl w:val="0"/>
              <w:suppressAutoHyphens w:val="0"/>
              <w:spacing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3.30</w:t>
            </w:r>
          </w:p>
        </w:tc>
        <w:tc>
          <w:tcPr>
            <w:tcW w:w="779" w:type="dxa"/>
            <w:tcBorders>
              <w:top w:val="double" w:sz="4" w:space="0" w:color="000000"/>
              <w:left w:val="single" w:sz="4" w:space="0" w:color="000000"/>
              <w:bottom w:val="double" w:sz="4" w:space="0" w:color="000000"/>
              <w:right w:val="single" w:sz="4" w:space="0" w:color="000000"/>
            </w:tcBorders>
            <w:vAlign w:val="center"/>
          </w:tcPr>
          <w:p w14:paraId="236083C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8CD495B"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3AC83DA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03-TN-</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2EF2F2F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Cryptosporidium</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9607EE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45F1E14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6B5B32F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24BED1A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477C9AE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124F571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8D73EE2"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683D16B"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03-TN-</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4A05D9E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Eosinofilos</w:t>
            </w:r>
            <w:proofErr w:type="spellEnd"/>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moco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Nasal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(3</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Muestras)</w:t>
            </w:r>
          </w:p>
        </w:tc>
        <w:tc>
          <w:tcPr>
            <w:tcW w:w="779" w:type="dxa"/>
            <w:tcBorders>
              <w:top w:val="double" w:sz="4" w:space="0" w:color="000000"/>
              <w:left w:val="single" w:sz="4" w:space="0" w:color="000000"/>
              <w:bottom w:val="double" w:sz="4" w:space="0" w:color="000000"/>
              <w:right w:val="single" w:sz="4" w:space="0" w:color="000000"/>
            </w:tcBorders>
            <w:vAlign w:val="center"/>
          </w:tcPr>
          <w:p w14:paraId="5D85393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5AF041E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4E1D15B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4CD7867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034E73C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3BC460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2158100"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494217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03-TN-</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11D4C95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Tinción</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GRAM</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w:t>
            </w:r>
            <w:r>
              <w:rPr>
                <w:rFonts w:ascii="Arial" w:eastAsia="Times New Roman" w:hAnsi="Arial" w:cs="Arial"/>
                <w:spacing w:val="-4"/>
                <w:sz w:val="12"/>
                <w:szCs w:val="12"/>
                <w:lang w:val="es-ES"/>
              </w:rPr>
              <w:t xml:space="preserve"> </w:t>
            </w:r>
            <w:proofErr w:type="spellStart"/>
            <w:r>
              <w:rPr>
                <w:rFonts w:ascii="Arial" w:eastAsia="Times New Roman" w:hAnsi="Arial" w:cs="Arial"/>
                <w:sz w:val="12"/>
                <w:szCs w:val="12"/>
                <w:lang w:val="es-ES"/>
              </w:rPr>
              <w:t>Ziehls</w:t>
            </w:r>
            <w:proofErr w:type="spellEnd"/>
            <w:r>
              <w:rPr>
                <w:rFonts w:ascii="Arial" w:eastAsia="Times New Roman" w:hAnsi="Arial" w:cs="Arial"/>
                <w:spacing w:val="-2"/>
                <w:sz w:val="12"/>
                <w:szCs w:val="12"/>
                <w:lang w:val="es-ES"/>
              </w:rPr>
              <w:t xml:space="preserve"> </w:t>
            </w:r>
            <w:proofErr w:type="spellStart"/>
            <w:r>
              <w:rPr>
                <w:rFonts w:ascii="Arial" w:eastAsia="Times New Roman" w:hAnsi="Arial" w:cs="Arial"/>
                <w:spacing w:val="-2"/>
                <w:sz w:val="12"/>
                <w:szCs w:val="12"/>
                <w:lang w:val="es-ES"/>
              </w:rPr>
              <w:t>Neelsen</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2B3DEDA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01D2AC4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0A27273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1B18F8A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2808C11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2E40EB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2BBCA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E02984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03-VPH-</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44985C8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Detección</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VPH</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ALTO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RIESGO</w:t>
            </w:r>
          </w:p>
        </w:tc>
        <w:tc>
          <w:tcPr>
            <w:tcW w:w="779" w:type="dxa"/>
            <w:tcBorders>
              <w:top w:val="double" w:sz="4" w:space="0" w:color="000000"/>
              <w:left w:val="single" w:sz="4" w:space="0" w:color="000000"/>
              <w:bottom w:val="double" w:sz="4" w:space="0" w:color="000000"/>
              <w:right w:val="single" w:sz="4" w:space="0" w:color="000000"/>
            </w:tcBorders>
            <w:vAlign w:val="center"/>
          </w:tcPr>
          <w:p w14:paraId="24231372"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17.25</w:t>
            </w:r>
          </w:p>
        </w:tc>
        <w:tc>
          <w:tcPr>
            <w:tcW w:w="780" w:type="dxa"/>
            <w:tcBorders>
              <w:top w:val="double" w:sz="4" w:space="0" w:color="000000"/>
              <w:left w:val="single" w:sz="4" w:space="0" w:color="000000"/>
              <w:bottom w:val="double" w:sz="4" w:space="0" w:color="000000"/>
              <w:right w:val="single" w:sz="4" w:space="0" w:color="000000"/>
            </w:tcBorders>
            <w:vAlign w:val="center"/>
          </w:tcPr>
          <w:p w14:paraId="70ADB2CF"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15.75</w:t>
            </w:r>
          </w:p>
        </w:tc>
        <w:tc>
          <w:tcPr>
            <w:tcW w:w="781" w:type="dxa"/>
            <w:tcBorders>
              <w:top w:val="double" w:sz="4" w:space="0" w:color="000000"/>
              <w:left w:val="single" w:sz="4" w:space="0" w:color="000000"/>
              <w:bottom w:val="double" w:sz="4" w:space="0" w:color="000000"/>
              <w:right w:val="single" w:sz="4" w:space="0" w:color="000000"/>
            </w:tcBorders>
            <w:vAlign w:val="center"/>
          </w:tcPr>
          <w:p w14:paraId="52B1AA75"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14.50</w:t>
            </w:r>
          </w:p>
        </w:tc>
        <w:tc>
          <w:tcPr>
            <w:tcW w:w="779" w:type="dxa"/>
            <w:tcBorders>
              <w:top w:val="double" w:sz="4" w:space="0" w:color="000000"/>
              <w:left w:val="single" w:sz="4" w:space="0" w:color="000000"/>
              <w:bottom w:val="double" w:sz="4" w:space="0" w:color="000000"/>
              <w:right w:val="single" w:sz="4" w:space="0" w:color="000000"/>
            </w:tcBorders>
            <w:vAlign w:val="center"/>
          </w:tcPr>
          <w:p w14:paraId="04E51CB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13.00</w:t>
            </w:r>
          </w:p>
        </w:tc>
        <w:tc>
          <w:tcPr>
            <w:tcW w:w="780" w:type="dxa"/>
            <w:tcBorders>
              <w:top w:val="double" w:sz="4" w:space="0" w:color="000000"/>
              <w:left w:val="single" w:sz="4" w:space="0" w:color="000000"/>
              <w:bottom w:val="double" w:sz="4" w:space="0" w:color="000000"/>
              <w:right w:val="single" w:sz="4" w:space="0" w:color="000000"/>
            </w:tcBorders>
            <w:vAlign w:val="center"/>
          </w:tcPr>
          <w:p w14:paraId="648AE2D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11.25</w:t>
            </w:r>
          </w:p>
        </w:tc>
        <w:tc>
          <w:tcPr>
            <w:tcW w:w="779" w:type="dxa"/>
            <w:tcBorders>
              <w:top w:val="double" w:sz="4" w:space="0" w:color="000000"/>
              <w:left w:val="single" w:sz="4" w:space="0" w:color="000000"/>
              <w:bottom w:val="double" w:sz="4" w:space="0" w:color="000000"/>
              <w:right w:val="single" w:sz="4" w:space="0" w:color="000000"/>
            </w:tcBorders>
            <w:vAlign w:val="center"/>
          </w:tcPr>
          <w:p w14:paraId="3F2CDD1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58F44A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3F092E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5F40920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Biometría</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Hemática</w:t>
            </w:r>
          </w:p>
        </w:tc>
        <w:tc>
          <w:tcPr>
            <w:tcW w:w="779" w:type="dxa"/>
            <w:tcBorders>
              <w:top w:val="double" w:sz="4" w:space="0" w:color="000000"/>
              <w:left w:val="single" w:sz="4" w:space="0" w:color="000000"/>
              <w:bottom w:val="double" w:sz="4" w:space="0" w:color="000000"/>
              <w:right w:val="single" w:sz="4" w:space="0" w:color="000000"/>
            </w:tcBorders>
            <w:vAlign w:val="center"/>
          </w:tcPr>
          <w:p w14:paraId="4B2E8516"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52B46A7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1" w:type="dxa"/>
            <w:tcBorders>
              <w:top w:val="double" w:sz="4" w:space="0" w:color="000000"/>
              <w:left w:val="single" w:sz="4" w:space="0" w:color="000000"/>
              <w:bottom w:val="double" w:sz="4" w:space="0" w:color="000000"/>
              <w:right w:val="single" w:sz="4" w:space="0" w:color="000000"/>
            </w:tcBorders>
            <w:vAlign w:val="center"/>
          </w:tcPr>
          <w:p w14:paraId="6E65506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FC9DB2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3DE9444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79" w:type="dxa"/>
            <w:tcBorders>
              <w:top w:val="double" w:sz="4" w:space="0" w:color="000000"/>
              <w:left w:val="single" w:sz="4" w:space="0" w:color="000000"/>
              <w:bottom w:val="double" w:sz="4" w:space="0" w:color="000000"/>
              <w:right w:val="single" w:sz="4" w:space="0" w:color="000000"/>
            </w:tcBorders>
            <w:vAlign w:val="center"/>
          </w:tcPr>
          <w:p w14:paraId="38EE35B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439BE6A"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448D99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002</w:t>
            </w:r>
          </w:p>
        </w:tc>
        <w:tc>
          <w:tcPr>
            <w:tcW w:w="2977" w:type="dxa"/>
            <w:tcBorders>
              <w:top w:val="double" w:sz="4" w:space="0" w:color="000000"/>
              <w:left w:val="single" w:sz="4" w:space="0" w:color="000000"/>
              <w:bottom w:val="double" w:sz="4" w:space="0" w:color="000000"/>
              <w:right w:val="single" w:sz="4" w:space="0" w:color="000000"/>
            </w:tcBorders>
          </w:tcPr>
          <w:p w14:paraId="79CF339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Grupo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sanguíneo</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ABO</w:t>
            </w:r>
          </w:p>
        </w:tc>
        <w:tc>
          <w:tcPr>
            <w:tcW w:w="779" w:type="dxa"/>
            <w:tcBorders>
              <w:top w:val="double" w:sz="4" w:space="0" w:color="000000"/>
              <w:left w:val="single" w:sz="4" w:space="0" w:color="000000"/>
              <w:bottom w:val="double" w:sz="4" w:space="0" w:color="000000"/>
              <w:right w:val="single" w:sz="4" w:space="0" w:color="000000"/>
            </w:tcBorders>
            <w:vAlign w:val="center"/>
          </w:tcPr>
          <w:p w14:paraId="1CFA1BB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4207086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22D998E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10CCA99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169207F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B48D5A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690F782"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64AB27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003</w:t>
            </w:r>
          </w:p>
        </w:tc>
        <w:tc>
          <w:tcPr>
            <w:tcW w:w="2977" w:type="dxa"/>
            <w:tcBorders>
              <w:top w:val="double" w:sz="4" w:space="0" w:color="000000"/>
              <w:left w:val="single" w:sz="4" w:space="0" w:color="000000"/>
              <w:bottom w:val="double" w:sz="4" w:space="0" w:color="000000"/>
              <w:right w:val="single" w:sz="4" w:space="0" w:color="000000"/>
            </w:tcBorders>
          </w:tcPr>
          <w:p w14:paraId="1AAD3D6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Tiempo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Protrombina</w:t>
            </w:r>
          </w:p>
        </w:tc>
        <w:tc>
          <w:tcPr>
            <w:tcW w:w="779" w:type="dxa"/>
            <w:tcBorders>
              <w:top w:val="double" w:sz="4" w:space="0" w:color="000000"/>
              <w:left w:val="single" w:sz="4" w:space="0" w:color="000000"/>
              <w:bottom w:val="double" w:sz="4" w:space="0" w:color="000000"/>
              <w:right w:val="single" w:sz="4" w:space="0" w:color="000000"/>
            </w:tcBorders>
            <w:vAlign w:val="center"/>
          </w:tcPr>
          <w:p w14:paraId="031A28F0"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1DA1245B"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49FC6E22"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7419EC3C"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2188AA7E"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13015E7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F4334AD"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27403A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004</w:t>
            </w:r>
          </w:p>
        </w:tc>
        <w:tc>
          <w:tcPr>
            <w:tcW w:w="2977" w:type="dxa"/>
            <w:tcBorders>
              <w:top w:val="double" w:sz="4" w:space="0" w:color="000000"/>
              <w:left w:val="single" w:sz="4" w:space="0" w:color="000000"/>
              <w:bottom w:val="double" w:sz="4" w:space="0" w:color="000000"/>
              <w:right w:val="single" w:sz="4" w:space="0" w:color="000000"/>
            </w:tcBorders>
          </w:tcPr>
          <w:p w14:paraId="67BC0350"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Tiempo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1"/>
                <w:sz w:val="12"/>
                <w:szCs w:val="12"/>
                <w:lang w:val="es-ES"/>
              </w:rPr>
              <w:t xml:space="preserve"> </w:t>
            </w:r>
            <w:r>
              <w:rPr>
                <w:rFonts w:ascii="Arial" w:eastAsia="Times New Roman" w:hAnsi="Arial" w:cs="Arial"/>
                <w:spacing w:val="-2"/>
                <w:sz w:val="12"/>
                <w:szCs w:val="12"/>
                <w:lang w:val="es-ES"/>
              </w:rPr>
              <w:t>Tromboplastina</w:t>
            </w:r>
          </w:p>
        </w:tc>
        <w:tc>
          <w:tcPr>
            <w:tcW w:w="779" w:type="dxa"/>
            <w:tcBorders>
              <w:top w:val="double" w:sz="4" w:space="0" w:color="000000"/>
              <w:left w:val="single" w:sz="4" w:space="0" w:color="000000"/>
              <w:bottom w:val="double" w:sz="4" w:space="0" w:color="000000"/>
              <w:right w:val="single" w:sz="4" w:space="0" w:color="000000"/>
            </w:tcBorders>
            <w:vAlign w:val="center"/>
          </w:tcPr>
          <w:p w14:paraId="32D80D5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2585D24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19E09C5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58D9EE4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3B96D04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23C09C9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B470204"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048AE0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005</w:t>
            </w:r>
          </w:p>
        </w:tc>
        <w:tc>
          <w:tcPr>
            <w:tcW w:w="2977" w:type="dxa"/>
            <w:tcBorders>
              <w:top w:val="double" w:sz="4" w:space="0" w:color="000000"/>
              <w:left w:val="single" w:sz="4" w:space="0" w:color="000000"/>
              <w:bottom w:val="double" w:sz="4" w:space="0" w:color="000000"/>
              <w:right w:val="single" w:sz="4" w:space="0" w:color="000000"/>
            </w:tcBorders>
          </w:tcPr>
          <w:p w14:paraId="3F4A4DC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Amiba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2"/>
                <w:sz w:val="12"/>
                <w:szCs w:val="12"/>
                <w:lang w:val="es-ES"/>
              </w:rPr>
              <w:t xml:space="preserve"> fresco</w:t>
            </w:r>
          </w:p>
        </w:tc>
        <w:tc>
          <w:tcPr>
            <w:tcW w:w="779" w:type="dxa"/>
            <w:tcBorders>
              <w:top w:val="double" w:sz="4" w:space="0" w:color="000000"/>
              <w:left w:val="single" w:sz="4" w:space="0" w:color="000000"/>
              <w:bottom w:val="double" w:sz="4" w:space="0" w:color="000000"/>
              <w:right w:val="single" w:sz="4" w:space="0" w:color="000000"/>
            </w:tcBorders>
            <w:vAlign w:val="center"/>
          </w:tcPr>
          <w:p w14:paraId="20971E2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606C2A2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309A53F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2B94FCB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0DB07A6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4653E36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BAF69D6" w14:textId="77777777">
        <w:trPr>
          <w:trHeight w:val="496"/>
        </w:trPr>
        <w:tc>
          <w:tcPr>
            <w:tcW w:w="1106" w:type="dxa"/>
            <w:tcBorders>
              <w:top w:val="double" w:sz="4" w:space="0" w:color="000000"/>
              <w:left w:val="single" w:sz="4" w:space="0" w:color="000000"/>
              <w:bottom w:val="double" w:sz="4" w:space="0" w:color="000000"/>
              <w:right w:val="single" w:sz="4" w:space="0" w:color="000000"/>
            </w:tcBorders>
          </w:tcPr>
          <w:p w14:paraId="0E251E03"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006</w:t>
            </w:r>
          </w:p>
        </w:tc>
        <w:tc>
          <w:tcPr>
            <w:tcW w:w="2977" w:type="dxa"/>
            <w:tcBorders>
              <w:top w:val="double" w:sz="4" w:space="0" w:color="000000"/>
              <w:left w:val="single" w:sz="4" w:space="0" w:color="000000"/>
              <w:bottom w:val="double" w:sz="4" w:space="0" w:color="000000"/>
              <w:right w:val="single" w:sz="4" w:space="0" w:color="000000"/>
            </w:tcBorders>
          </w:tcPr>
          <w:p w14:paraId="40FD024D"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Química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sanguínea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parcial:</w:t>
            </w:r>
            <w:r>
              <w:rPr>
                <w:rFonts w:ascii="Arial" w:eastAsia="Times New Roman" w:hAnsi="Arial" w:cs="Arial"/>
                <w:spacing w:val="-6"/>
                <w:sz w:val="12"/>
                <w:szCs w:val="12"/>
                <w:lang w:val="es-ES"/>
              </w:rPr>
              <w:t xml:space="preserve"> </w:t>
            </w:r>
            <w:proofErr w:type="spellStart"/>
            <w:r>
              <w:rPr>
                <w:rFonts w:ascii="Arial" w:eastAsia="Times New Roman" w:hAnsi="Arial" w:cs="Arial"/>
                <w:sz w:val="12"/>
                <w:szCs w:val="12"/>
                <w:lang w:val="es-ES"/>
              </w:rPr>
              <w:t>Gluc</w:t>
            </w:r>
            <w:proofErr w:type="spellEnd"/>
            <w:r>
              <w:rPr>
                <w:rFonts w:ascii="Arial" w:eastAsia="Times New Roman" w:hAnsi="Arial" w:cs="Arial"/>
                <w:sz w:val="12"/>
                <w:szCs w:val="12"/>
                <w:lang w:val="es-ES"/>
              </w:rPr>
              <w:t>,</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Urea,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BUN,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Crea,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(QSP)</w:t>
            </w:r>
          </w:p>
        </w:tc>
        <w:tc>
          <w:tcPr>
            <w:tcW w:w="779" w:type="dxa"/>
            <w:tcBorders>
              <w:top w:val="double" w:sz="4" w:space="0" w:color="000000"/>
              <w:left w:val="single" w:sz="4" w:space="0" w:color="000000"/>
              <w:bottom w:val="double" w:sz="4" w:space="0" w:color="000000"/>
              <w:right w:val="single" w:sz="4" w:space="0" w:color="000000"/>
            </w:tcBorders>
            <w:vAlign w:val="center"/>
          </w:tcPr>
          <w:p w14:paraId="454E1A11"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604ACCB3"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1" w:type="dxa"/>
            <w:tcBorders>
              <w:top w:val="double" w:sz="4" w:space="0" w:color="000000"/>
              <w:left w:val="single" w:sz="4" w:space="0" w:color="000000"/>
              <w:bottom w:val="double" w:sz="4" w:space="0" w:color="000000"/>
              <w:right w:val="single" w:sz="4" w:space="0" w:color="000000"/>
            </w:tcBorders>
            <w:vAlign w:val="center"/>
          </w:tcPr>
          <w:p w14:paraId="309BD6A8"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6586A686"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79AF450F"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53F93D3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0A8D7BF" w14:textId="77777777">
        <w:trPr>
          <w:trHeight w:val="406"/>
        </w:trPr>
        <w:tc>
          <w:tcPr>
            <w:tcW w:w="1106" w:type="dxa"/>
            <w:tcBorders>
              <w:top w:val="double" w:sz="4" w:space="0" w:color="000000"/>
              <w:left w:val="single" w:sz="4" w:space="0" w:color="000000"/>
              <w:bottom w:val="double" w:sz="4" w:space="0" w:color="000000"/>
              <w:right w:val="single" w:sz="4" w:space="0" w:color="000000"/>
            </w:tcBorders>
          </w:tcPr>
          <w:p w14:paraId="337C0950" w14:textId="77777777" w:rsidR="00D3344B" w:rsidRDefault="00143C25">
            <w:pPr>
              <w:widowControl w:val="0"/>
              <w:suppressAutoHyphens w:val="0"/>
              <w:spacing w:before="11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007</w:t>
            </w:r>
          </w:p>
        </w:tc>
        <w:tc>
          <w:tcPr>
            <w:tcW w:w="2977" w:type="dxa"/>
            <w:tcBorders>
              <w:top w:val="double" w:sz="4" w:space="0" w:color="000000"/>
              <w:left w:val="single" w:sz="4" w:space="0" w:color="000000"/>
              <w:bottom w:val="double" w:sz="4" w:space="0" w:color="000000"/>
              <w:right w:val="single" w:sz="4" w:space="0" w:color="000000"/>
            </w:tcBorders>
          </w:tcPr>
          <w:p w14:paraId="387E2259" w14:textId="77777777" w:rsidR="00D3344B" w:rsidRDefault="00143C25">
            <w:pPr>
              <w:widowControl w:val="0"/>
              <w:suppressAutoHyphens w:val="0"/>
              <w:spacing w:before="3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Química sanguínea completa: </w:t>
            </w:r>
            <w:proofErr w:type="spellStart"/>
            <w:proofErr w:type="gramStart"/>
            <w:r>
              <w:rPr>
                <w:rFonts w:ascii="Arial" w:eastAsia="Times New Roman" w:hAnsi="Arial" w:cs="Arial"/>
                <w:sz w:val="12"/>
                <w:szCs w:val="12"/>
                <w:lang w:val="es-ES"/>
              </w:rPr>
              <w:t>Gluc,Urea</w:t>
            </w:r>
            <w:proofErr w:type="spellEnd"/>
            <w:proofErr w:type="gramEnd"/>
            <w:r>
              <w:rPr>
                <w:rFonts w:ascii="Arial" w:eastAsia="Times New Roman" w:hAnsi="Arial" w:cs="Arial"/>
                <w:sz w:val="12"/>
                <w:szCs w:val="12"/>
                <w:lang w:val="es-ES"/>
              </w:rPr>
              <w:t>, BUN, Crea, AU,</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CT(QSC)</w:t>
            </w:r>
          </w:p>
        </w:tc>
        <w:tc>
          <w:tcPr>
            <w:tcW w:w="779" w:type="dxa"/>
            <w:tcBorders>
              <w:top w:val="double" w:sz="4" w:space="0" w:color="000000"/>
              <w:left w:val="single" w:sz="4" w:space="0" w:color="000000"/>
              <w:bottom w:val="double" w:sz="4" w:space="0" w:color="000000"/>
              <w:right w:val="single" w:sz="4" w:space="0" w:color="000000"/>
            </w:tcBorders>
            <w:vAlign w:val="center"/>
          </w:tcPr>
          <w:p w14:paraId="59F87377"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2B7292D8"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1.66</w:t>
            </w:r>
          </w:p>
        </w:tc>
        <w:tc>
          <w:tcPr>
            <w:tcW w:w="781" w:type="dxa"/>
            <w:tcBorders>
              <w:top w:val="double" w:sz="4" w:space="0" w:color="000000"/>
              <w:left w:val="single" w:sz="4" w:space="0" w:color="000000"/>
              <w:bottom w:val="double" w:sz="4" w:space="0" w:color="000000"/>
              <w:right w:val="single" w:sz="4" w:space="0" w:color="000000"/>
            </w:tcBorders>
            <w:vAlign w:val="center"/>
          </w:tcPr>
          <w:p w14:paraId="6578308C"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79" w:type="dxa"/>
            <w:tcBorders>
              <w:top w:val="double" w:sz="4" w:space="0" w:color="000000"/>
              <w:left w:val="single" w:sz="4" w:space="0" w:color="000000"/>
              <w:bottom w:val="double" w:sz="4" w:space="0" w:color="000000"/>
              <w:right w:val="single" w:sz="4" w:space="0" w:color="000000"/>
            </w:tcBorders>
            <w:vAlign w:val="center"/>
          </w:tcPr>
          <w:p w14:paraId="4EEB6105"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36F5E7D1"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12CAFF1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589CF4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38696B5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008</w:t>
            </w:r>
          </w:p>
        </w:tc>
        <w:tc>
          <w:tcPr>
            <w:tcW w:w="2977" w:type="dxa"/>
            <w:tcBorders>
              <w:top w:val="double" w:sz="4" w:space="0" w:color="000000"/>
              <w:left w:val="single" w:sz="4" w:space="0" w:color="000000"/>
              <w:bottom w:val="double" w:sz="4" w:space="0" w:color="000000"/>
              <w:right w:val="single" w:sz="4" w:space="0" w:color="000000"/>
            </w:tcBorders>
          </w:tcPr>
          <w:p w14:paraId="3F46CD5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Glucosa</w:t>
            </w:r>
          </w:p>
        </w:tc>
        <w:tc>
          <w:tcPr>
            <w:tcW w:w="779" w:type="dxa"/>
            <w:tcBorders>
              <w:top w:val="double" w:sz="4" w:space="0" w:color="000000"/>
              <w:left w:val="single" w:sz="4" w:space="0" w:color="000000"/>
              <w:bottom w:val="double" w:sz="4" w:space="0" w:color="000000"/>
              <w:right w:val="single" w:sz="4" w:space="0" w:color="000000"/>
            </w:tcBorders>
            <w:vAlign w:val="center"/>
          </w:tcPr>
          <w:p w14:paraId="1A40E81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4715620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1A5E509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2F4613C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2E71CD9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5EE86C2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DFCF7F9"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2E2096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009</w:t>
            </w:r>
          </w:p>
        </w:tc>
        <w:tc>
          <w:tcPr>
            <w:tcW w:w="2977" w:type="dxa"/>
            <w:tcBorders>
              <w:top w:val="double" w:sz="4" w:space="0" w:color="000000"/>
              <w:left w:val="single" w:sz="4" w:space="0" w:color="000000"/>
              <w:bottom w:val="double" w:sz="4" w:space="0" w:color="000000"/>
              <w:right w:val="single" w:sz="4" w:space="0" w:color="000000"/>
            </w:tcBorders>
          </w:tcPr>
          <w:p w14:paraId="14904F4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Nitrógeno</w:t>
            </w:r>
            <w:r>
              <w:rPr>
                <w:rFonts w:ascii="Arial" w:eastAsia="Times New Roman" w:hAnsi="Arial" w:cs="Arial"/>
                <w:spacing w:val="-11"/>
                <w:sz w:val="12"/>
                <w:szCs w:val="12"/>
                <w:lang w:val="es-ES"/>
              </w:rPr>
              <w:t xml:space="preserve"> </w:t>
            </w:r>
            <w:r>
              <w:rPr>
                <w:rFonts w:ascii="Arial" w:eastAsia="Times New Roman" w:hAnsi="Arial" w:cs="Arial"/>
                <w:spacing w:val="-2"/>
                <w:sz w:val="12"/>
                <w:szCs w:val="12"/>
                <w:lang w:val="es-ES"/>
              </w:rPr>
              <w:t>ureico</w:t>
            </w:r>
          </w:p>
        </w:tc>
        <w:tc>
          <w:tcPr>
            <w:tcW w:w="779" w:type="dxa"/>
            <w:tcBorders>
              <w:top w:val="double" w:sz="4" w:space="0" w:color="000000"/>
              <w:left w:val="single" w:sz="4" w:space="0" w:color="000000"/>
              <w:bottom w:val="double" w:sz="4" w:space="0" w:color="000000"/>
              <w:right w:val="single" w:sz="4" w:space="0" w:color="000000"/>
            </w:tcBorders>
            <w:vAlign w:val="center"/>
          </w:tcPr>
          <w:p w14:paraId="7F3DFE8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08597F0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6C6B9D4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777E06F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38DEC8F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55D16AD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9A93F4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CC1EFE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010</w:t>
            </w:r>
          </w:p>
        </w:tc>
        <w:tc>
          <w:tcPr>
            <w:tcW w:w="2977" w:type="dxa"/>
            <w:tcBorders>
              <w:top w:val="double" w:sz="4" w:space="0" w:color="000000"/>
              <w:left w:val="single" w:sz="4" w:space="0" w:color="000000"/>
              <w:bottom w:val="double" w:sz="4" w:space="0" w:color="000000"/>
              <w:right w:val="single" w:sz="4" w:space="0" w:color="000000"/>
            </w:tcBorders>
          </w:tcPr>
          <w:p w14:paraId="471E93EB"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Creatinina</w:t>
            </w:r>
          </w:p>
        </w:tc>
        <w:tc>
          <w:tcPr>
            <w:tcW w:w="779" w:type="dxa"/>
            <w:tcBorders>
              <w:top w:val="double" w:sz="4" w:space="0" w:color="000000"/>
              <w:left w:val="single" w:sz="4" w:space="0" w:color="000000"/>
              <w:bottom w:val="double" w:sz="4" w:space="0" w:color="000000"/>
              <w:right w:val="single" w:sz="4" w:space="0" w:color="000000"/>
            </w:tcBorders>
            <w:vAlign w:val="center"/>
          </w:tcPr>
          <w:p w14:paraId="7B1D6E0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331292E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6A998C4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1FA7E8D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079B966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6E4FC2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7F8815E"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CEC5C2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011</w:t>
            </w:r>
          </w:p>
        </w:tc>
        <w:tc>
          <w:tcPr>
            <w:tcW w:w="2977" w:type="dxa"/>
            <w:tcBorders>
              <w:top w:val="double" w:sz="4" w:space="0" w:color="000000"/>
              <w:left w:val="single" w:sz="4" w:space="0" w:color="000000"/>
              <w:bottom w:val="double" w:sz="4" w:space="0" w:color="000000"/>
              <w:right w:val="single" w:sz="4" w:space="0" w:color="000000"/>
            </w:tcBorders>
          </w:tcPr>
          <w:p w14:paraId="12993A1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Ácido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úrico</w:t>
            </w:r>
          </w:p>
        </w:tc>
        <w:tc>
          <w:tcPr>
            <w:tcW w:w="779" w:type="dxa"/>
            <w:tcBorders>
              <w:top w:val="double" w:sz="4" w:space="0" w:color="000000"/>
              <w:left w:val="single" w:sz="4" w:space="0" w:color="000000"/>
              <w:bottom w:val="double" w:sz="4" w:space="0" w:color="000000"/>
              <w:right w:val="single" w:sz="4" w:space="0" w:color="000000"/>
            </w:tcBorders>
            <w:vAlign w:val="center"/>
          </w:tcPr>
          <w:p w14:paraId="1B553A4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2FA96DB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11E1E61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22458C9A"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612FADE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D2FA5C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4E8142D"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387A92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012</w:t>
            </w:r>
          </w:p>
        </w:tc>
        <w:tc>
          <w:tcPr>
            <w:tcW w:w="2977" w:type="dxa"/>
            <w:tcBorders>
              <w:top w:val="double" w:sz="4" w:space="0" w:color="000000"/>
              <w:left w:val="single" w:sz="4" w:space="0" w:color="000000"/>
              <w:bottom w:val="double" w:sz="4" w:space="0" w:color="000000"/>
              <w:right w:val="single" w:sz="4" w:space="0" w:color="000000"/>
            </w:tcBorders>
          </w:tcPr>
          <w:p w14:paraId="0671D56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Colesterol</w:t>
            </w:r>
            <w:r>
              <w:rPr>
                <w:rFonts w:ascii="Arial" w:eastAsia="Times New Roman" w:hAnsi="Arial" w:cs="Arial"/>
                <w:spacing w:val="-10"/>
                <w:sz w:val="12"/>
                <w:szCs w:val="12"/>
                <w:lang w:val="es-ES"/>
              </w:rPr>
              <w:t xml:space="preserve"> </w:t>
            </w:r>
            <w:r>
              <w:rPr>
                <w:rFonts w:ascii="Arial" w:eastAsia="Times New Roman" w:hAnsi="Arial" w:cs="Arial"/>
                <w:spacing w:val="-2"/>
                <w:sz w:val="12"/>
                <w:szCs w:val="12"/>
                <w:lang w:val="es-ES"/>
              </w:rPr>
              <w:t>total</w:t>
            </w:r>
          </w:p>
        </w:tc>
        <w:tc>
          <w:tcPr>
            <w:tcW w:w="779" w:type="dxa"/>
            <w:tcBorders>
              <w:top w:val="double" w:sz="4" w:space="0" w:color="000000"/>
              <w:left w:val="single" w:sz="4" w:space="0" w:color="000000"/>
              <w:bottom w:val="double" w:sz="4" w:space="0" w:color="000000"/>
              <w:right w:val="single" w:sz="4" w:space="0" w:color="000000"/>
            </w:tcBorders>
            <w:vAlign w:val="center"/>
          </w:tcPr>
          <w:p w14:paraId="581490C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2803239F"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1" w:type="dxa"/>
            <w:tcBorders>
              <w:top w:val="double" w:sz="4" w:space="0" w:color="000000"/>
              <w:left w:val="single" w:sz="4" w:space="0" w:color="000000"/>
              <w:bottom w:val="double" w:sz="4" w:space="0" w:color="000000"/>
              <w:right w:val="single" w:sz="4" w:space="0" w:color="000000"/>
            </w:tcBorders>
            <w:vAlign w:val="center"/>
          </w:tcPr>
          <w:p w14:paraId="1B7A51DF"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3EA399F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2555D32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double" w:sz="4" w:space="0" w:color="000000"/>
              <w:right w:val="single" w:sz="4" w:space="0" w:color="000000"/>
            </w:tcBorders>
            <w:vAlign w:val="center"/>
          </w:tcPr>
          <w:p w14:paraId="68912FE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721E576"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65AD8F6"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013</w:t>
            </w:r>
          </w:p>
        </w:tc>
        <w:tc>
          <w:tcPr>
            <w:tcW w:w="2977" w:type="dxa"/>
            <w:tcBorders>
              <w:top w:val="double" w:sz="4" w:space="0" w:color="000000"/>
              <w:left w:val="single" w:sz="4" w:space="0" w:color="000000"/>
              <w:bottom w:val="double" w:sz="4" w:space="0" w:color="000000"/>
              <w:right w:val="single" w:sz="4" w:space="0" w:color="000000"/>
            </w:tcBorders>
          </w:tcPr>
          <w:p w14:paraId="164254A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Triglicéridos</w:t>
            </w:r>
          </w:p>
        </w:tc>
        <w:tc>
          <w:tcPr>
            <w:tcW w:w="779" w:type="dxa"/>
            <w:tcBorders>
              <w:top w:val="double" w:sz="4" w:space="0" w:color="000000"/>
              <w:left w:val="single" w:sz="4" w:space="0" w:color="000000"/>
              <w:bottom w:val="double" w:sz="4" w:space="0" w:color="000000"/>
              <w:right w:val="single" w:sz="4" w:space="0" w:color="000000"/>
            </w:tcBorders>
            <w:vAlign w:val="center"/>
          </w:tcPr>
          <w:p w14:paraId="09B7155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4FBA6FB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1" w:type="dxa"/>
            <w:tcBorders>
              <w:top w:val="double" w:sz="4" w:space="0" w:color="000000"/>
              <w:left w:val="single" w:sz="4" w:space="0" w:color="000000"/>
              <w:bottom w:val="double" w:sz="4" w:space="0" w:color="000000"/>
              <w:right w:val="single" w:sz="4" w:space="0" w:color="000000"/>
            </w:tcBorders>
            <w:vAlign w:val="center"/>
          </w:tcPr>
          <w:p w14:paraId="3E5B9EE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double" w:sz="4" w:space="0" w:color="000000"/>
              <w:right w:val="single" w:sz="4" w:space="0" w:color="000000"/>
            </w:tcBorders>
            <w:vAlign w:val="center"/>
          </w:tcPr>
          <w:p w14:paraId="5BEC20AB"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80" w:type="dxa"/>
            <w:tcBorders>
              <w:top w:val="double" w:sz="4" w:space="0" w:color="000000"/>
              <w:left w:val="single" w:sz="4" w:space="0" w:color="000000"/>
              <w:bottom w:val="double" w:sz="4" w:space="0" w:color="000000"/>
              <w:right w:val="single" w:sz="4" w:space="0" w:color="000000"/>
            </w:tcBorders>
            <w:vAlign w:val="center"/>
          </w:tcPr>
          <w:p w14:paraId="0CAE19AA"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0.45</w:t>
            </w:r>
          </w:p>
        </w:tc>
        <w:tc>
          <w:tcPr>
            <w:tcW w:w="779" w:type="dxa"/>
            <w:tcBorders>
              <w:top w:val="double" w:sz="4" w:space="0" w:color="000000"/>
              <w:left w:val="single" w:sz="4" w:space="0" w:color="000000"/>
              <w:bottom w:val="double" w:sz="4" w:space="0" w:color="000000"/>
              <w:right w:val="single" w:sz="4" w:space="0" w:color="000000"/>
            </w:tcBorders>
            <w:vAlign w:val="center"/>
          </w:tcPr>
          <w:p w14:paraId="0E1B448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82AEFCF" w14:textId="77777777">
        <w:trPr>
          <w:trHeight w:val="451"/>
        </w:trPr>
        <w:tc>
          <w:tcPr>
            <w:tcW w:w="1106" w:type="dxa"/>
            <w:tcBorders>
              <w:top w:val="double" w:sz="4" w:space="0" w:color="000000"/>
              <w:left w:val="single" w:sz="4" w:space="0" w:color="000000"/>
              <w:bottom w:val="double" w:sz="4" w:space="0" w:color="000000"/>
              <w:right w:val="single" w:sz="4" w:space="0" w:color="000000"/>
            </w:tcBorders>
          </w:tcPr>
          <w:p w14:paraId="7A6CAC97" w14:textId="77777777" w:rsidR="00D3344B" w:rsidRDefault="00143C25">
            <w:pPr>
              <w:widowControl w:val="0"/>
              <w:suppressAutoHyphens w:val="0"/>
              <w:spacing w:before="13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014</w:t>
            </w:r>
          </w:p>
        </w:tc>
        <w:tc>
          <w:tcPr>
            <w:tcW w:w="2977" w:type="dxa"/>
            <w:tcBorders>
              <w:top w:val="double" w:sz="4" w:space="0" w:color="000000"/>
              <w:left w:val="single" w:sz="4" w:space="0" w:color="000000"/>
              <w:bottom w:val="double" w:sz="4" w:space="0" w:color="000000"/>
              <w:right w:val="single" w:sz="4" w:space="0" w:color="000000"/>
            </w:tcBorders>
          </w:tcPr>
          <w:p w14:paraId="36261D0F" w14:textId="77777777" w:rsidR="00D3344B" w:rsidRDefault="00143C25">
            <w:pPr>
              <w:widowControl w:val="0"/>
              <w:suppressAutoHyphens w:val="0"/>
              <w:spacing w:before="51" w:after="0" w:line="240" w:lineRule="auto"/>
              <w:rPr>
                <w:rFonts w:ascii="Arial" w:eastAsia="Times New Roman" w:hAnsi="Arial" w:cs="Arial"/>
                <w:sz w:val="12"/>
                <w:szCs w:val="12"/>
                <w:lang w:val="es-ES"/>
              </w:rPr>
            </w:pPr>
            <w:r>
              <w:rPr>
                <w:rFonts w:ascii="Arial" w:eastAsia="Times New Roman" w:hAnsi="Arial" w:cs="Arial"/>
                <w:sz w:val="12"/>
                <w:szCs w:val="12"/>
                <w:lang w:val="es-ES"/>
              </w:rPr>
              <w:t>Prueba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funcionamiento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Hepático: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BT,</w:t>
            </w:r>
            <w:r>
              <w:rPr>
                <w:rFonts w:ascii="Arial" w:eastAsia="Times New Roman" w:hAnsi="Arial" w:cs="Arial"/>
                <w:spacing w:val="-2"/>
                <w:sz w:val="12"/>
                <w:szCs w:val="12"/>
                <w:lang w:val="es-ES"/>
              </w:rPr>
              <w:t xml:space="preserve"> </w:t>
            </w:r>
            <w:proofErr w:type="gramStart"/>
            <w:r>
              <w:rPr>
                <w:rFonts w:ascii="Arial" w:eastAsia="Times New Roman" w:hAnsi="Arial" w:cs="Arial"/>
                <w:sz w:val="12"/>
                <w:szCs w:val="12"/>
                <w:lang w:val="es-ES"/>
              </w:rPr>
              <w:t>BD,BI</w:t>
            </w:r>
            <w:proofErr w:type="gramEnd"/>
            <w:r>
              <w:rPr>
                <w:rFonts w:ascii="Arial" w:eastAsia="Times New Roman" w:hAnsi="Arial" w:cs="Arial"/>
                <w:sz w:val="12"/>
                <w:szCs w:val="12"/>
                <w:lang w:val="es-ES"/>
              </w:rPr>
              <w:t>,AST,ALT,</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ALP,PT,ALB,RA/G</w:t>
            </w:r>
            <w:r>
              <w:rPr>
                <w:rFonts w:ascii="Arial" w:eastAsia="Times New Roman" w:hAnsi="Arial" w:cs="Arial"/>
                <w:spacing w:val="-1"/>
                <w:sz w:val="12"/>
                <w:szCs w:val="12"/>
                <w:lang w:val="es-ES"/>
              </w:rPr>
              <w:t xml:space="preserve"> </w:t>
            </w:r>
            <w:r>
              <w:rPr>
                <w:rFonts w:ascii="Arial" w:eastAsia="Times New Roman" w:hAnsi="Arial" w:cs="Arial"/>
                <w:sz w:val="12"/>
                <w:szCs w:val="12"/>
                <w:lang w:val="es-ES"/>
              </w:rPr>
              <w:t>(PFH)</w:t>
            </w:r>
          </w:p>
        </w:tc>
        <w:tc>
          <w:tcPr>
            <w:tcW w:w="779" w:type="dxa"/>
            <w:tcBorders>
              <w:top w:val="double" w:sz="4" w:space="0" w:color="000000"/>
              <w:left w:val="single" w:sz="4" w:space="0" w:color="000000"/>
              <w:bottom w:val="double" w:sz="4" w:space="0" w:color="000000"/>
              <w:right w:val="single" w:sz="4" w:space="0" w:color="000000"/>
            </w:tcBorders>
            <w:vAlign w:val="center"/>
          </w:tcPr>
          <w:p w14:paraId="6F359A32" w14:textId="77777777" w:rsidR="00D3344B" w:rsidRDefault="00143C25">
            <w:pPr>
              <w:widowControl w:val="0"/>
              <w:suppressAutoHyphens w:val="0"/>
              <w:spacing w:before="1"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76695085" w14:textId="77777777" w:rsidR="00D3344B" w:rsidRDefault="00143C25">
            <w:pPr>
              <w:widowControl w:val="0"/>
              <w:suppressAutoHyphens w:val="0"/>
              <w:spacing w:before="1"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4142EEEF" w14:textId="77777777" w:rsidR="00D3344B" w:rsidRDefault="00143C25">
            <w:pPr>
              <w:widowControl w:val="0"/>
              <w:suppressAutoHyphens w:val="0"/>
              <w:spacing w:before="1"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double" w:sz="4" w:space="0" w:color="000000"/>
              <w:left w:val="single" w:sz="4" w:space="0" w:color="000000"/>
              <w:bottom w:val="double" w:sz="4" w:space="0" w:color="000000"/>
              <w:right w:val="single" w:sz="4" w:space="0" w:color="000000"/>
            </w:tcBorders>
            <w:vAlign w:val="center"/>
          </w:tcPr>
          <w:p w14:paraId="3FD520F7" w14:textId="77777777" w:rsidR="00D3344B" w:rsidRDefault="00143C25">
            <w:pPr>
              <w:widowControl w:val="0"/>
              <w:suppressAutoHyphens w:val="0"/>
              <w:spacing w:before="1"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6E5E6AE9" w14:textId="77777777" w:rsidR="00D3344B" w:rsidRDefault="00143C25">
            <w:pPr>
              <w:widowControl w:val="0"/>
              <w:suppressAutoHyphens w:val="0"/>
              <w:spacing w:before="1"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37385BE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F5C669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23E9CD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015</w:t>
            </w:r>
          </w:p>
        </w:tc>
        <w:tc>
          <w:tcPr>
            <w:tcW w:w="2977" w:type="dxa"/>
            <w:tcBorders>
              <w:top w:val="double" w:sz="4" w:space="0" w:color="000000"/>
              <w:left w:val="single" w:sz="4" w:space="0" w:color="000000"/>
              <w:bottom w:val="double" w:sz="4" w:space="0" w:color="000000"/>
              <w:right w:val="single" w:sz="4" w:space="0" w:color="000000"/>
            </w:tcBorders>
          </w:tcPr>
          <w:p w14:paraId="67137FE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Bilirrubinas:</w:t>
            </w:r>
            <w:r>
              <w:rPr>
                <w:rFonts w:ascii="Arial" w:eastAsia="Times New Roman" w:hAnsi="Arial" w:cs="Arial"/>
                <w:spacing w:val="13"/>
                <w:sz w:val="12"/>
                <w:szCs w:val="12"/>
                <w:lang w:val="es-ES"/>
              </w:rPr>
              <w:t xml:space="preserve"> </w:t>
            </w:r>
            <w:proofErr w:type="gramStart"/>
            <w:r>
              <w:rPr>
                <w:rFonts w:ascii="Arial" w:eastAsia="Times New Roman" w:hAnsi="Arial" w:cs="Arial"/>
                <w:spacing w:val="-2"/>
                <w:sz w:val="12"/>
                <w:szCs w:val="12"/>
                <w:lang w:val="es-ES"/>
              </w:rPr>
              <w:t>BT,BD</w:t>
            </w:r>
            <w:proofErr w:type="gramEnd"/>
            <w:r>
              <w:rPr>
                <w:rFonts w:ascii="Arial" w:eastAsia="Times New Roman" w:hAnsi="Arial" w:cs="Arial"/>
                <w:spacing w:val="-2"/>
                <w:sz w:val="12"/>
                <w:szCs w:val="12"/>
                <w:lang w:val="es-ES"/>
              </w:rPr>
              <w:t>,BI</w:t>
            </w:r>
          </w:p>
        </w:tc>
        <w:tc>
          <w:tcPr>
            <w:tcW w:w="779" w:type="dxa"/>
            <w:tcBorders>
              <w:top w:val="double" w:sz="4" w:space="0" w:color="000000"/>
              <w:left w:val="single" w:sz="4" w:space="0" w:color="000000"/>
              <w:bottom w:val="double" w:sz="4" w:space="0" w:color="000000"/>
              <w:right w:val="single" w:sz="4" w:space="0" w:color="000000"/>
            </w:tcBorders>
            <w:vAlign w:val="center"/>
          </w:tcPr>
          <w:p w14:paraId="721EA9B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1D62BC4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6FDE037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333839A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1.05</w:t>
            </w:r>
          </w:p>
        </w:tc>
        <w:tc>
          <w:tcPr>
            <w:tcW w:w="780" w:type="dxa"/>
            <w:tcBorders>
              <w:top w:val="double" w:sz="4" w:space="0" w:color="000000"/>
              <w:left w:val="single" w:sz="4" w:space="0" w:color="000000"/>
              <w:bottom w:val="double" w:sz="4" w:space="0" w:color="000000"/>
              <w:right w:val="single" w:sz="4" w:space="0" w:color="000000"/>
            </w:tcBorders>
            <w:vAlign w:val="center"/>
          </w:tcPr>
          <w:p w14:paraId="0F09CAD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5B6580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AA432D2"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56D8FC2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016</w:t>
            </w:r>
          </w:p>
        </w:tc>
        <w:tc>
          <w:tcPr>
            <w:tcW w:w="2977" w:type="dxa"/>
            <w:tcBorders>
              <w:top w:val="double" w:sz="4" w:space="0" w:color="000000"/>
              <w:left w:val="single" w:sz="4" w:space="0" w:color="000000"/>
              <w:bottom w:val="double" w:sz="4" w:space="0" w:color="000000"/>
              <w:right w:val="single" w:sz="4" w:space="0" w:color="000000"/>
            </w:tcBorders>
          </w:tcPr>
          <w:p w14:paraId="5D4E7F0B"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AST</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(Aspartato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Amino</w:t>
            </w:r>
            <w:r>
              <w:rPr>
                <w:rFonts w:ascii="Arial" w:eastAsia="Times New Roman" w:hAnsi="Arial" w:cs="Arial"/>
                <w:spacing w:val="-6"/>
                <w:sz w:val="12"/>
                <w:szCs w:val="12"/>
                <w:lang w:val="es-ES"/>
              </w:rPr>
              <w:t xml:space="preserve"> </w:t>
            </w:r>
            <w:proofErr w:type="spellStart"/>
            <w:r>
              <w:rPr>
                <w:rFonts w:ascii="Arial" w:eastAsia="Times New Roman" w:hAnsi="Arial" w:cs="Arial"/>
                <w:spacing w:val="-2"/>
                <w:sz w:val="12"/>
                <w:szCs w:val="12"/>
                <w:lang w:val="es-ES"/>
              </w:rPr>
              <w:t>Transferaza</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276CB42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0" w:type="dxa"/>
            <w:tcBorders>
              <w:top w:val="double" w:sz="4" w:space="0" w:color="000000"/>
              <w:left w:val="single" w:sz="4" w:space="0" w:color="000000"/>
              <w:bottom w:val="double" w:sz="4" w:space="0" w:color="000000"/>
              <w:right w:val="single" w:sz="4" w:space="0" w:color="000000"/>
            </w:tcBorders>
            <w:vAlign w:val="center"/>
          </w:tcPr>
          <w:p w14:paraId="1047BF8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1" w:type="dxa"/>
            <w:tcBorders>
              <w:top w:val="double" w:sz="4" w:space="0" w:color="000000"/>
              <w:left w:val="single" w:sz="4" w:space="0" w:color="000000"/>
              <w:bottom w:val="double" w:sz="4" w:space="0" w:color="000000"/>
              <w:right w:val="single" w:sz="4" w:space="0" w:color="000000"/>
            </w:tcBorders>
            <w:vAlign w:val="center"/>
          </w:tcPr>
          <w:p w14:paraId="2B8BF1A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32C1F89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0.40</w:t>
            </w:r>
          </w:p>
        </w:tc>
        <w:tc>
          <w:tcPr>
            <w:tcW w:w="780" w:type="dxa"/>
            <w:tcBorders>
              <w:top w:val="double" w:sz="4" w:space="0" w:color="000000"/>
              <w:left w:val="single" w:sz="4" w:space="0" w:color="000000"/>
              <w:bottom w:val="double" w:sz="4" w:space="0" w:color="000000"/>
              <w:right w:val="single" w:sz="4" w:space="0" w:color="000000"/>
            </w:tcBorders>
            <w:vAlign w:val="center"/>
          </w:tcPr>
          <w:p w14:paraId="566BAFA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0.35</w:t>
            </w:r>
          </w:p>
        </w:tc>
        <w:tc>
          <w:tcPr>
            <w:tcW w:w="779" w:type="dxa"/>
            <w:tcBorders>
              <w:top w:val="double" w:sz="4" w:space="0" w:color="000000"/>
              <w:left w:val="single" w:sz="4" w:space="0" w:color="000000"/>
              <w:bottom w:val="double" w:sz="4" w:space="0" w:color="000000"/>
              <w:right w:val="single" w:sz="4" w:space="0" w:color="000000"/>
            </w:tcBorders>
            <w:vAlign w:val="center"/>
          </w:tcPr>
          <w:p w14:paraId="7C3E3C8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2EB8B9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83E9C3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017</w:t>
            </w:r>
          </w:p>
        </w:tc>
        <w:tc>
          <w:tcPr>
            <w:tcW w:w="2977" w:type="dxa"/>
            <w:tcBorders>
              <w:top w:val="double" w:sz="4" w:space="0" w:color="000000"/>
              <w:left w:val="single" w:sz="4" w:space="0" w:color="000000"/>
              <w:bottom w:val="double" w:sz="4" w:space="0" w:color="000000"/>
              <w:right w:val="single" w:sz="4" w:space="0" w:color="000000"/>
            </w:tcBorders>
          </w:tcPr>
          <w:p w14:paraId="64FB186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ALT</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Leucin</w:t>
            </w:r>
            <w:proofErr w:type="spellEnd"/>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Amino</w:t>
            </w:r>
            <w:r>
              <w:rPr>
                <w:rFonts w:ascii="Arial" w:eastAsia="Times New Roman" w:hAnsi="Arial" w:cs="Arial"/>
                <w:spacing w:val="-5"/>
                <w:sz w:val="12"/>
                <w:szCs w:val="12"/>
                <w:lang w:val="es-ES"/>
              </w:rPr>
              <w:t xml:space="preserve"> </w:t>
            </w:r>
            <w:proofErr w:type="spellStart"/>
            <w:r>
              <w:rPr>
                <w:rFonts w:ascii="Arial" w:eastAsia="Times New Roman" w:hAnsi="Arial" w:cs="Arial"/>
                <w:spacing w:val="-2"/>
                <w:sz w:val="12"/>
                <w:szCs w:val="12"/>
                <w:lang w:val="es-ES"/>
              </w:rPr>
              <w:t>Transferaza</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0FE348D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0" w:type="dxa"/>
            <w:tcBorders>
              <w:top w:val="double" w:sz="4" w:space="0" w:color="000000"/>
              <w:left w:val="single" w:sz="4" w:space="0" w:color="000000"/>
              <w:bottom w:val="double" w:sz="4" w:space="0" w:color="000000"/>
              <w:right w:val="single" w:sz="4" w:space="0" w:color="000000"/>
            </w:tcBorders>
            <w:vAlign w:val="center"/>
          </w:tcPr>
          <w:p w14:paraId="1D6EF0E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1" w:type="dxa"/>
            <w:tcBorders>
              <w:top w:val="double" w:sz="4" w:space="0" w:color="000000"/>
              <w:left w:val="single" w:sz="4" w:space="0" w:color="000000"/>
              <w:bottom w:val="double" w:sz="4" w:space="0" w:color="000000"/>
              <w:right w:val="single" w:sz="4" w:space="0" w:color="000000"/>
            </w:tcBorders>
            <w:vAlign w:val="center"/>
          </w:tcPr>
          <w:p w14:paraId="441D4EC6"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3363CEE2"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0.40</w:t>
            </w:r>
          </w:p>
        </w:tc>
        <w:tc>
          <w:tcPr>
            <w:tcW w:w="780" w:type="dxa"/>
            <w:tcBorders>
              <w:top w:val="double" w:sz="4" w:space="0" w:color="000000"/>
              <w:left w:val="single" w:sz="4" w:space="0" w:color="000000"/>
              <w:bottom w:val="double" w:sz="4" w:space="0" w:color="000000"/>
              <w:right w:val="single" w:sz="4" w:space="0" w:color="000000"/>
            </w:tcBorders>
            <w:vAlign w:val="center"/>
          </w:tcPr>
          <w:p w14:paraId="17047C7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0.35</w:t>
            </w:r>
          </w:p>
        </w:tc>
        <w:tc>
          <w:tcPr>
            <w:tcW w:w="779" w:type="dxa"/>
            <w:tcBorders>
              <w:top w:val="double" w:sz="4" w:space="0" w:color="000000"/>
              <w:left w:val="single" w:sz="4" w:space="0" w:color="000000"/>
              <w:bottom w:val="double" w:sz="4" w:space="0" w:color="000000"/>
              <w:right w:val="single" w:sz="4" w:space="0" w:color="000000"/>
            </w:tcBorders>
            <w:vAlign w:val="center"/>
          </w:tcPr>
          <w:p w14:paraId="2228665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C9856AE"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1564A1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018</w:t>
            </w:r>
          </w:p>
        </w:tc>
        <w:tc>
          <w:tcPr>
            <w:tcW w:w="2977" w:type="dxa"/>
            <w:tcBorders>
              <w:top w:val="double" w:sz="4" w:space="0" w:color="000000"/>
              <w:left w:val="single" w:sz="4" w:space="0" w:color="000000"/>
              <w:bottom w:val="double" w:sz="4" w:space="0" w:color="000000"/>
              <w:right w:val="single" w:sz="4" w:space="0" w:color="000000"/>
            </w:tcBorders>
          </w:tcPr>
          <w:p w14:paraId="0664227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Fosfatasa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Alcalina</w:t>
            </w:r>
          </w:p>
        </w:tc>
        <w:tc>
          <w:tcPr>
            <w:tcW w:w="779" w:type="dxa"/>
            <w:tcBorders>
              <w:top w:val="double" w:sz="4" w:space="0" w:color="000000"/>
              <w:left w:val="single" w:sz="4" w:space="0" w:color="000000"/>
              <w:bottom w:val="double" w:sz="4" w:space="0" w:color="000000"/>
              <w:right w:val="single" w:sz="4" w:space="0" w:color="000000"/>
            </w:tcBorders>
            <w:vAlign w:val="center"/>
          </w:tcPr>
          <w:p w14:paraId="4A8B8AEB"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665D4916"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1" w:type="dxa"/>
            <w:tcBorders>
              <w:top w:val="double" w:sz="4" w:space="0" w:color="000000"/>
              <w:left w:val="single" w:sz="4" w:space="0" w:color="000000"/>
              <w:bottom w:val="double" w:sz="4" w:space="0" w:color="000000"/>
              <w:right w:val="single" w:sz="4" w:space="0" w:color="000000"/>
            </w:tcBorders>
            <w:vAlign w:val="center"/>
          </w:tcPr>
          <w:p w14:paraId="23C9CA8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double" w:sz="4" w:space="0" w:color="000000"/>
              <w:right w:val="single" w:sz="4" w:space="0" w:color="000000"/>
            </w:tcBorders>
            <w:vAlign w:val="center"/>
          </w:tcPr>
          <w:p w14:paraId="0F6B685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80" w:type="dxa"/>
            <w:tcBorders>
              <w:top w:val="double" w:sz="4" w:space="0" w:color="000000"/>
              <w:left w:val="single" w:sz="4" w:space="0" w:color="000000"/>
              <w:bottom w:val="double" w:sz="4" w:space="0" w:color="000000"/>
              <w:right w:val="single" w:sz="4" w:space="0" w:color="000000"/>
            </w:tcBorders>
            <w:vAlign w:val="center"/>
          </w:tcPr>
          <w:p w14:paraId="268EE6DD"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0.45</w:t>
            </w:r>
          </w:p>
        </w:tc>
        <w:tc>
          <w:tcPr>
            <w:tcW w:w="779" w:type="dxa"/>
            <w:tcBorders>
              <w:top w:val="double" w:sz="4" w:space="0" w:color="000000"/>
              <w:left w:val="single" w:sz="4" w:space="0" w:color="000000"/>
              <w:bottom w:val="double" w:sz="4" w:space="0" w:color="000000"/>
              <w:right w:val="single" w:sz="4" w:space="0" w:color="000000"/>
            </w:tcBorders>
            <w:vAlign w:val="center"/>
          </w:tcPr>
          <w:p w14:paraId="533B7F8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9B9F54C"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B42159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019</w:t>
            </w:r>
          </w:p>
        </w:tc>
        <w:tc>
          <w:tcPr>
            <w:tcW w:w="2977" w:type="dxa"/>
            <w:tcBorders>
              <w:top w:val="double" w:sz="4" w:space="0" w:color="000000"/>
              <w:left w:val="single" w:sz="4" w:space="0" w:color="000000"/>
              <w:bottom w:val="double" w:sz="4" w:space="0" w:color="000000"/>
              <w:right w:val="single" w:sz="4" w:space="0" w:color="000000"/>
            </w:tcBorders>
          </w:tcPr>
          <w:p w14:paraId="6144486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Proteínas</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totales</w:t>
            </w:r>
          </w:p>
        </w:tc>
        <w:tc>
          <w:tcPr>
            <w:tcW w:w="779" w:type="dxa"/>
            <w:tcBorders>
              <w:top w:val="double" w:sz="4" w:space="0" w:color="000000"/>
              <w:left w:val="single" w:sz="4" w:space="0" w:color="000000"/>
              <w:bottom w:val="double" w:sz="4" w:space="0" w:color="000000"/>
              <w:right w:val="single" w:sz="4" w:space="0" w:color="000000"/>
            </w:tcBorders>
            <w:vAlign w:val="center"/>
          </w:tcPr>
          <w:p w14:paraId="1399A65B"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088FA0D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091B13C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6ED29CC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20D6205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51A3888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1CFEEE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3E040BF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020</w:t>
            </w:r>
          </w:p>
        </w:tc>
        <w:tc>
          <w:tcPr>
            <w:tcW w:w="2977" w:type="dxa"/>
            <w:tcBorders>
              <w:top w:val="double" w:sz="4" w:space="0" w:color="000000"/>
              <w:left w:val="single" w:sz="4" w:space="0" w:color="000000"/>
              <w:bottom w:val="double" w:sz="4" w:space="0" w:color="000000"/>
              <w:right w:val="single" w:sz="4" w:space="0" w:color="000000"/>
            </w:tcBorders>
          </w:tcPr>
          <w:p w14:paraId="3C4B2A9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Albumina</w:t>
            </w:r>
          </w:p>
        </w:tc>
        <w:tc>
          <w:tcPr>
            <w:tcW w:w="779" w:type="dxa"/>
            <w:tcBorders>
              <w:top w:val="double" w:sz="4" w:space="0" w:color="000000"/>
              <w:left w:val="single" w:sz="4" w:space="0" w:color="000000"/>
              <w:bottom w:val="double" w:sz="4" w:space="0" w:color="000000"/>
              <w:right w:val="single" w:sz="4" w:space="0" w:color="000000"/>
            </w:tcBorders>
            <w:vAlign w:val="center"/>
          </w:tcPr>
          <w:p w14:paraId="2AAEB1D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0AEA232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535488E1"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6D141287"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3617A95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44C983B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639A09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10C2C4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021</w:t>
            </w:r>
          </w:p>
        </w:tc>
        <w:tc>
          <w:tcPr>
            <w:tcW w:w="2977" w:type="dxa"/>
            <w:tcBorders>
              <w:top w:val="double" w:sz="4" w:space="0" w:color="000000"/>
              <w:left w:val="single" w:sz="4" w:space="0" w:color="000000"/>
              <w:bottom w:val="double" w:sz="4" w:space="0" w:color="000000"/>
              <w:right w:val="single" w:sz="4" w:space="0" w:color="000000"/>
            </w:tcBorders>
          </w:tcPr>
          <w:p w14:paraId="6B0C0B1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cardiaco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(AST,</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CK,</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LDH,</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CK-</w:t>
            </w:r>
            <w:r>
              <w:rPr>
                <w:rFonts w:ascii="Arial" w:eastAsia="Times New Roman" w:hAnsi="Arial" w:cs="Arial"/>
                <w:spacing w:val="-5"/>
                <w:sz w:val="12"/>
                <w:szCs w:val="12"/>
                <w:lang w:val="es-ES"/>
              </w:rPr>
              <w:t>MB)</w:t>
            </w:r>
          </w:p>
        </w:tc>
        <w:tc>
          <w:tcPr>
            <w:tcW w:w="779" w:type="dxa"/>
            <w:tcBorders>
              <w:top w:val="double" w:sz="4" w:space="0" w:color="000000"/>
              <w:left w:val="single" w:sz="4" w:space="0" w:color="000000"/>
              <w:bottom w:val="double" w:sz="4" w:space="0" w:color="000000"/>
              <w:right w:val="single" w:sz="4" w:space="0" w:color="000000"/>
            </w:tcBorders>
            <w:vAlign w:val="center"/>
          </w:tcPr>
          <w:p w14:paraId="48118981"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63D4FD4B"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3.80</w:t>
            </w:r>
          </w:p>
        </w:tc>
        <w:tc>
          <w:tcPr>
            <w:tcW w:w="781" w:type="dxa"/>
            <w:tcBorders>
              <w:top w:val="double" w:sz="4" w:space="0" w:color="000000"/>
              <w:left w:val="single" w:sz="4" w:space="0" w:color="000000"/>
              <w:bottom w:val="double" w:sz="4" w:space="0" w:color="000000"/>
              <w:right w:val="single" w:sz="4" w:space="0" w:color="000000"/>
            </w:tcBorders>
            <w:vAlign w:val="center"/>
          </w:tcPr>
          <w:p w14:paraId="7D060181"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3.60</w:t>
            </w:r>
          </w:p>
        </w:tc>
        <w:tc>
          <w:tcPr>
            <w:tcW w:w="779" w:type="dxa"/>
            <w:tcBorders>
              <w:top w:val="double" w:sz="4" w:space="0" w:color="000000"/>
              <w:left w:val="single" w:sz="4" w:space="0" w:color="000000"/>
              <w:bottom w:val="double" w:sz="4" w:space="0" w:color="000000"/>
              <w:right w:val="single" w:sz="4" w:space="0" w:color="000000"/>
            </w:tcBorders>
            <w:vAlign w:val="center"/>
          </w:tcPr>
          <w:p w14:paraId="6A74BB34"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1B3EB826"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502B3FC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1E93EA6"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0BD178C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022</w:t>
            </w:r>
          </w:p>
        </w:tc>
        <w:tc>
          <w:tcPr>
            <w:tcW w:w="2977" w:type="dxa"/>
            <w:tcBorders>
              <w:top w:val="double" w:sz="4" w:space="0" w:color="000000"/>
              <w:left w:val="single" w:sz="4" w:space="0" w:color="000000"/>
              <w:bottom w:val="double" w:sz="4" w:space="0" w:color="000000"/>
              <w:right w:val="single" w:sz="4" w:space="0" w:color="000000"/>
            </w:tcBorders>
          </w:tcPr>
          <w:p w14:paraId="7E1404B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Amilasa</w:t>
            </w:r>
          </w:p>
        </w:tc>
        <w:tc>
          <w:tcPr>
            <w:tcW w:w="779" w:type="dxa"/>
            <w:tcBorders>
              <w:top w:val="double" w:sz="4" w:space="0" w:color="000000"/>
              <w:left w:val="single" w:sz="4" w:space="0" w:color="000000"/>
              <w:bottom w:val="double" w:sz="4" w:space="0" w:color="000000"/>
              <w:right w:val="single" w:sz="4" w:space="0" w:color="000000"/>
            </w:tcBorders>
            <w:vAlign w:val="center"/>
          </w:tcPr>
          <w:p w14:paraId="610511A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1A83309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1" w:type="dxa"/>
            <w:tcBorders>
              <w:top w:val="double" w:sz="4" w:space="0" w:color="000000"/>
              <w:left w:val="single" w:sz="4" w:space="0" w:color="000000"/>
              <w:bottom w:val="double" w:sz="4" w:space="0" w:color="000000"/>
              <w:right w:val="single" w:sz="4" w:space="0" w:color="000000"/>
            </w:tcBorders>
            <w:vAlign w:val="center"/>
          </w:tcPr>
          <w:p w14:paraId="35EB496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1E6AB6C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7EF2AE0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F0B5C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3E05ED6" w14:textId="77777777">
        <w:trPr>
          <w:trHeight w:val="298"/>
        </w:trPr>
        <w:tc>
          <w:tcPr>
            <w:tcW w:w="1106" w:type="dxa"/>
            <w:tcBorders>
              <w:top w:val="double" w:sz="4" w:space="0" w:color="000000"/>
              <w:left w:val="single" w:sz="4" w:space="0" w:color="000000"/>
              <w:bottom w:val="single" w:sz="4" w:space="0" w:color="000000"/>
              <w:right w:val="single" w:sz="4" w:space="0" w:color="000000"/>
            </w:tcBorders>
          </w:tcPr>
          <w:p w14:paraId="5C152219"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023</w:t>
            </w:r>
          </w:p>
        </w:tc>
        <w:tc>
          <w:tcPr>
            <w:tcW w:w="2977" w:type="dxa"/>
            <w:tcBorders>
              <w:top w:val="double" w:sz="4" w:space="0" w:color="000000"/>
              <w:left w:val="single" w:sz="4" w:space="0" w:color="000000"/>
              <w:bottom w:val="single" w:sz="4" w:space="0" w:color="000000"/>
              <w:right w:val="single" w:sz="4" w:space="0" w:color="000000"/>
            </w:tcBorders>
          </w:tcPr>
          <w:p w14:paraId="31C9F0F9"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Electrolitos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séricos</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Na</w:t>
            </w:r>
            <w:proofErr w:type="spellEnd"/>
            <w:r>
              <w:rPr>
                <w:rFonts w:ascii="Arial" w:eastAsia="Times New Roman" w:hAnsi="Arial" w:cs="Arial"/>
                <w:sz w:val="12"/>
                <w:szCs w:val="12"/>
                <w:lang w:val="es-ES"/>
              </w:rPr>
              <w:t>,</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K,</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Cl,</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Ca)</w:t>
            </w:r>
          </w:p>
        </w:tc>
        <w:tc>
          <w:tcPr>
            <w:tcW w:w="779" w:type="dxa"/>
            <w:tcBorders>
              <w:top w:val="double" w:sz="4" w:space="0" w:color="000000"/>
              <w:left w:val="single" w:sz="4" w:space="0" w:color="000000"/>
              <w:bottom w:val="single" w:sz="4" w:space="0" w:color="000000"/>
              <w:right w:val="single" w:sz="4" w:space="0" w:color="000000"/>
            </w:tcBorders>
            <w:vAlign w:val="center"/>
          </w:tcPr>
          <w:p w14:paraId="2B2E5CC5"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single" w:sz="4" w:space="0" w:color="000000"/>
              <w:right w:val="single" w:sz="4" w:space="0" w:color="000000"/>
            </w:tcBorders>
            <w:vAlign w:val="center"/>
          </w:tcPr>
          <w:p w14:paraId="2CA9C304"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1" w:type="dxa"/>
            <w:tcBorders>
              <w:top w:val="double" w:sz="4" w:space="0" w:color="000000"/>
              <w:left w:val="single" w:sz="4" w:space="0" w:color="000000"/>
              <w:bottom w:val="single" w:sz="4" w:space="0" w:color="000000"/>
              <w:right w:val="single" w:sz="4" w:space="0" w:color="000000"/>
            </w:tcBorders>
            <w:vAlign w:val="center"/>
          </w:tcPr>
          <w:p w14:paraId="07AB34F1"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single" w:sz="4" w:space="0" w:color="000000"/>
              <w:right w:val="single" w:sz="4" w:space="0" w:color="000000"/>
            </w:tcBorders>
            <w:vAlign w:val="center"/>
          </w:tcPr>
          <w:p w14:paraId="4E1AB5C6"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single" w:sz="4" w:space="0" w:color="000000"/>
              <w:right w:val="single" w:sz="4" w:space="0" w:color="000000"/>
            </w:tcBorders>
            <w:vAlign w:val="center"/>
          </w:tcPr>
          <w:p w14:paraId="71BC5DEB"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single" w:sz="4" w:space="0" w:color="000000"/>
              <w:right w:val="single" w:sz="4" w:space="0" w:color="000000"/>
            </w:tcBorders>
            <w:vAlign w:val="center"/>
          </w:tcPr>
          <w:p w14:paraId="626BFD4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96C67B5" w14:textId="77777777">
        <w:trPr>
          <w:trHeight w:val="287"/>
        </w:trPr>
        <w:tc>
          <w:tcPr>
            <w:tcW w:w="1106" w:type="dxa"/>
            <w:tcBorders>
              <w:top w:val="single" w:sz="4" w:space="0" w:color="000000"/>
              <w:left w:val="single" w:sz="4" w:space="0" w:color="000000"/>
              <w:bottom w:val="double" w:sz="4" w:space="0" w:color="000000"/>
              <w:right w:val="single" w:sz="4" w:space="0" w:color="000000"/>
            </w:tcBorders>
          </w:tcPr>
          <w:p w14:paraId="31A333F9"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03-AC-</w:t>
            </w:r>
            <w:r>
              <w:rPr>
                <w:rFonts w:ascii="Arial" w:eastAsia="Times New Roman" w:hAnsi="Arial" w:cs="Arial"/>
                <w:spacing w:val="-5"/>
                <w:sz w:val="12"/>
                <w:szCs w:val="12"/>
                <w:lang w:val="es-ES"/>
              </w:rPr>
              <w:t>024</w:t>
            </w:r>
          </w:p>
        </w:tc>
        <w:tc>
          <w:tcPr>
            <w:tcW w:w="2977" w:type="dxa"/>
            <w:tcBorders>
              <w:top w:val="single" w:sz="4" w:space="0" w:color="000000"/>
              <w:left w:val="single" w:sz="4" w:space="0" w:color="000000"/>
              <w:bottom w:val="double" w:sz="4" w:space="0" w:color="000000"/>
              <w:right w:val="single" w:sz="4" w:space="0" w:color="000000"/>
            </w:tcBorders>
          </w:tcPr>
          <w:p w14:paraId="5D0DB770"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Factor</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reumatoide</w:t>
            </w:r>
          </w:p>
        </w:tc>
        <w:tc>
          <w:tcPr>
            <w:tcW w:w="779" w:type="dxa"/>
            <w:tcBorders>
              <w:top w:val="single" w:sz="4" w:space="0" w:color="000000"/>
              <w:left w:val="single" w:sz="4" w:space="0" w:color="000000"/>
              <w:bottom w:val="double" w:sz="4" w:space="0" w:color="000000"/>
              <w:right w:val="single" w:sz="4" w:space="0" w:color="000000"/>
            </w:tcBorders>
            <w:vAlign w:val="center"/>
          </w:tcPr>
          <w:p w14:paraId="724337A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single" w:sz="4" w:space="0" w:color="000000"/>
              <w:left w:val="single" w:sz="4" w:space="0" w:color="000000"/>
              <w:bottom w:val="double" w:sz="4" w:space="0" w:color="000000"/>
              <w:right w:val="single" w:sz="4" w:space="0" w:color="000000"/>
            </w:tcBorders>
            <w:vAlign w:val="center"/>
          </w:tcPr>
          <w:p w14:paraId="17BBC895"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1" w:type="dxa"/>
            <w:tcBorders>
              <w:top w:val="single" w:sz="4" w:space="0" w:color="000000"/>
              <w:left w:val="single" w:sz="4" w:space="0" w:color="000000"/>
              <w:bottom w:val="double" w:sz="4" w:space="0" w:color="000000"/>
              <w:right w:val="single" w:sz="4" w:space="0" w:color="000000"/>
            </w:tcBorders>
            <w:vAlign w:val="center"/>
          </w:tcPr>
          <w:p w14:paraId="1A0AC2CA"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1.05</w:t>
            </w:r>
          </w:p>
        </w:tc>
        <w:tc>
          <w:tcPr>
            <w:tcW w:w="779" w:type="dxa"/>
            <w:tcBorders>
              <w:top w:val="single" w:sz="4" w:space="0" w:color="000000"/>
              <w:left w:val="single" w:sz="4" w:space="0" w:color="000000"/>
              <w:bottom w:val="double" w:sz="4" w:space="0" w:color="000000"/>
              <w:right w:val="single" w:sz="4" w:space="0" w:color="000000"/>
            </w:tcBorders>
            <w:vAlign w:val="center"/>
          </w:tcPr>
          <w:p w14:paraId="29DF7DE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0" w:type="dxa"/>
            <w:tcBorders>
              <w:top w:val="single" w:sz="4" w:space="0" w:color="000000"/>
              <w:left w:val="single" w:sz="4" w:space="0" w:color="000000"/>
              <w:bottom w:val="double" w:sz="4" w:space="0" w:color="000000"/>
              <w:right w:val="single" w:sz="4" w:space="0" w:color="000000"/>
            </w:tcBorders>
            <w:vAlign w:val="center"/>
          </w:tcPr>
          <w:p w14:paraId="7DECC09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79" w:type="dxa"/>
            <w:tcBorders>
              <w:top w:val="single" w:sz="4" w:space="0" w:color="000000"/>
              <w:left w:val="single" w:sz="4" w:space="0" w:color="000000"/>
              <w:bottom w:val="double" w:sz="4" w:space="0" w:color="000000"/>
              <w:right w:val="single" w:sz="4" w:space="0" w:color="000000"/>
            </w:tcBorders>
            <w:vAlign w:val="center"/>
          </w:tcPr>
          <w:p w14:paraId="7EA4F58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533D148"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6ED3439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025</w:t>
            </w:r>
          </w:p>
        </w:tc>
        <w:tc>
          <w:tcPr>
            <w:tcW w:w="2977" w:type="dxa"/>
            <w:tcBorders>
              <w:top w:val="double" w:sz="4" w:space="0" w:color="000000"/>
              <w:left w:val="single" w:sz="4" w:space="0" w:color="000000"/>
              <w:bottom w:val="double" w:sz="4" w:space="0" w:color="000000"/>
              <w:right w:val="single" w:sz="4" w:space="0" w:color="000000"/>
            </w:tcBorders>
          </w:tcPr>
          <w:p w14:paraId="39D625C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Proteína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reactiva</w:t>
            </w:r>
          </w:p>
        </w:tc>
        <w:tc>
          <w:tcPr>
            <w:tcW w:w="779" w:type="dxa"/>
            <w:tcBorders>
              <w:top w:val="double" w:sz="4" w:space="0" w:color="000000"/>
              <w:left w:val="single" w:sz="4" w:space="0" w:color="000000"/>
              <w:bottom w:val="double" w:sz="4" w:space="0" w:color="000000"/>
              <w:right w:val="single" w:sz="4" w:space="0" w:color="000000"/>
            </w:tcBorders>
            <w:vAlign w:val="center"/>
          </w:tcPr>
          <w:p w14:paraId="6774C07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0508D91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1" w:type="dxa"/>
            <w:tcBorders>
              <w:top w:val="double" w:sz="4" w:space="0" w:color="000000"/>
              <w:left w:val="single" w:sz="4" w:space="0" w:color="000000"/>
              <w:bottom w:val="double" w:sz="4" w:space="0" w:color="000000"/>
              <w:right w:val="single" w:sz="4" w:space="0" w:color="000000"/>
            </w:tcBorders>
            <w:vAlign w:val="center"/>
          </w:tcPr>
          <w:p w14:paraId="3F7D403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1.05</w:t>
            </w:r>
          </w:p>
        </w:tc>
        <w:tc>
          <w:tcPr>
            <w:tcW w:w="779" w:type="dxa"/>
            <w:tcBorders>
              <w:top w:val="double" w:sz="4" w:space="0" w:color="000000"/>
              <w:left w:val="single" w:sz="4" w:space="0" w:color="000000"/>
              <w:bottom w:val="double" w:sz="4" w:space="0" w:color="000000"/>
              <w:right w:val="single" w:sz="4" w:space="0" w:color="000000"/>
            </w:tcBorders>
            <w:vAlign w:val="center"/>
          </w:tcPr>
          <w:p w14:paraId="4315574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0" w:type="dxa"/>
            <w:tcBorders>
              <w:top w:val="double" w:sz="4" w:space="0" w:color="000000"/>
              <w:left w:val="single" w:sz="4" w:space="0" w:color="000000"/>
              <w:bottom w:val="double" w:sz="4" w:space="0" w:color="000000"/>
              <w:right w:val="single" w:sz="4" w:space="0" w:color="000000"/>
            </w:tcBorders>
            <w:vAlign w:val="center"/>
          </w:tcPr>
          <w:p w14:paraId="24C2C5D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79" w:type="dxa"/>
            <w:tcBorders>
              <w:top w:val="double" w:sz="4" w:space="0" w:color="000000"/>
              <w:left w:val="single" w:sz="4" w:space="0" w:color="000000"/>
              <w:bottom w:val="double" w:sz="4" w:space="0" w:color="000000"/>
              <w:right w:val="single" w:sz="4" w:space="0" w:color="000000"/>
            </w:tcBorders>
            <w:vAlign w:val="center"/>
          </w:tcPr>
          <w:p w14:paraId="5F2DA5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C5182E"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FF09B8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026</w:t>
            </w:r>
          </w:p>
        </w:tc>
        <w:tc>
          <w:tcPr>
            <w:tcW w:w="2977" w:type="dxa"/>
            <w:tcBorders>
              <w:top w:val="double" w:sz="4" w:space="0" w:color="000000"/>
              <w:left w:val="single" w:sz="4" w:space="0" w:color="000000"/>
              <w:bottom w:val="double" w:sz="4" w:space="0" w:color="000000"/>
              <w:right w:val="single" w:sz="4" w:space="0" w:color="000000"/>
            </w:tcBorders>
          </w:tcPr>
          <w:p w14:paraId="2C8CA61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Reacciones</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febriles</w:t>
            </w:r>
          </w:p>
        </w:tc>
        <w:tc>
          <w:tcPr>
            <w:tcW w:w="779" w:type="dxa"/>
            <w:tcBorders>
              <w:top w:val="double" w:sz="4" w:space="0" w:color="000000"/>
              <w:left w:val="single" w:sz="4" w:space="0" w:color="000000"/>
              <w:bottom w:val="double" w:sz="4" w:space="0" w:color="000000"/>
              <w:right w:val="single" w:sz="4" w:space="0" w:color="000000"/>
            </w:tcBorders>
            <w:vAlign w:val="center"/>
          </w:tcPr>
          <w:p w14:paraId="2ACBFAA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6E5C752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1" w:type="dxa"/>
            <w:tcBorders>
              <w:top w:val="double" w:sz="4" w:space="0" w:color="000000"/>
              <w:left w:val="single" w:sz="4" w:space="0" w:color="000000"/>
              <w:bottom w:val="double" w:sz="4" w:space="0" w:color="000000"/>
              <w:right w:val="single" w:sz="4" w:space="0" w:color="000000"/>
            </w:tcBorders>
            <w:vAlign w:val="center"/>
          </w:tcPr>
          <w:p w14:paraId="6C07E6E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06324EE4"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5309370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79" w:type="dxa"/>
            <w:tcBorders>
              <w:top w:val="double" w:sz="4" w:space="0" w:color="000000"/>
              <w:left w:val="single" w:sz="4" w:space="0" w:color="000000"/>
              <w:bottom w:val="double" w:sz="4" w:space="0" w:color="000000"/>
              <w:right w:val="single" w:sz="4" w:space="0" w:color="000000"/>
            </w:tcBorders>
            <w:vAlign w:val="center"/>
          </w:tcPr>
          <w:p w14:paraId="238FE15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CD67BC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13D786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027</w:t>
            </w:r>
          </w:p>
        </w:tc>
        <w:tc>
          <w:tcPr>
            <w:tcW w:w="2977" w:type="dxa"/>
            <w:tcBorders>
              <w:top w:val="double" w:sz="4" w:space="0" w:color="000000"/>
              <w:left w:val="single" w:sz="4" w:space="0" w:color="000000"/>
              <w:bottom w:val="double" w:sz="4" w:space="0" w:color="000000"/>
              <w:right w:val="single" w:sz="4" w:space="0" w:color="000000"/>
            </w:tcBorders>
          </w:tcPr>
          <w:p w14:paraId="0E41ADA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Antiestreptolisinas</w:t>
            </w:r>
          </w:p>
        </w:tc>
        <w:tc>
          <w:tcPr>
            <w:tcW w:w="779" w:type="dxa"/>
            <w:tcBorders>
              <w:top w:val="double" w:sz="4" w:space="0" w:color="000000"/>
              <w:left w:val="single" w:sz="4" w:space="0" w:color="000000"/>
              <w:bottom w:val="double" w:sz="4" w:space="0" w:color="000000"/>
              <w:right w:val="single" w:sz="4" w:space="0" w:color="000000"/>
            </w:tcBorders>
            <w:vAlign w:val="center"/>
          </w:tcPr>
          <w:p w14:paraId="08B011D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65A9896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3409DB0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924CA3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136DEFE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7B984D3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D1829CF"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6B57BB5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028</w:t>
            </w:r>
          </w:p>
        </w:tc>
        <w:tc>
          <w:tcPr>
            <w:tcW w:w="2977" w:type="dxa"/>
            <w:tcBorders>
              <w:top w:val="double" w:sz="4" w:space="0" w:color="000000"/>
              <w:left w:val="single" w:sz="4" w:space="0" w:color="000000"/>
              <w:bottom w:val="double" w:sz="4" w:space="0" w:color="000000"/>
              <w:right w:val="single" w:sz="4" w:space="0" w:color="000000"/>
            </w:tcBorders>
          </w:tcPr>
          <w:p w14:paraId="1FBAD2F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Prueba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para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detección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sífilis</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(VDRL)</w:t>
            </w:r>
          </w:p>
        </w:tc>
        <w:tc>
          <w:tcPr>
            <w:tcW w:w="779" w:type="dxa"/>
            <w:tcBorders>
              <w:top w:val="double" w:sz="4" w:space="0" w:color="000000"/>
              <w:left w:val="single" w:sz="4" w:space="0" w:color="000000"/>
              <w:bottom w:val="double" w:sz="4" w:space="0" w:color="000000"/>
              <w:right w:val="single" w:sz="4" w:space="0" w:color="000000"/>
            </w:tcBorders>
            <w:vAlign w:val="center"/>
          </w:tcPr>
          <w:p w14:paraId="5D3C505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DE2975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1" w:type="dxa"/>
            <w:tcBorders>
              <w:top w:val="double" w:sz="4" w:space="0" w:color="000000"/>
              <w:left w:val="single" w:sz="4" w:space="0" w:color="000000"/>
              <w:bottom w:val="double" w:sz="4" w:space="0" w:color="000000"/>
              <w:right w:val="single" w:sz="4" w:space="0" w:color="000000"/>
            </w:tcBorders>
            <w:vAlign w:val="center"/>
          </w:tcPr>
          <w:p w14:paraId="28D56D0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1EC47FD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7368E37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19EC662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1DE3BDC"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308A7C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029</w:t>
            </w:r>
          </w:p>
        </w:tc>
        <w:tc>
          <w:tcPr>
            <w:tcW w:w="2977" w:type="dxa"/>
            <w:tcBorders>
              <w:top w:val="double" w:sz="4" w:space="0" w:color="000000"/>
              <w:left w:val="single" w:sz="4" w:space="0" w:color="000000"/>
              <w:bottom w:val="double" w:sz="4" w:space="0" w:color="000000"/>
              <w:right w:val="single" w:sz="4" w:space="0" w:color="000000"/>
            </w:tcBorders>
          </w:tcPr>
          <w:p w14:paraId="3E19D610"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Prueba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embarazo</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(PIE)</w:t>
            </w:r>
          </w:p>
        </w:tc>
        <w:tc>
          <w:tcPr>
            <w:tcW w:w="779" w:type="dxa"/>
            <w:tcBorders>
              <w:top w:val="double" w:sz="4" w:space="0" w:color="000000"/>
              <w:left w:val="single" w:sz="4" w:space="0" w:color="000000"/>
              <w:bottom w:val="double" w:sz="4" w:space="0" w:color="000000"/>
              <w:right w:val="single" w:sz="4" w:space="0" w:color="000000"/>
            </w:tcBorders>
            <w:vAlign w:val="center"/>
          </w:tcPr>
          <w:p w14:paraId="0035E9F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2F5CC35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1" w:type="dxa"/>
            <w:tcBorders>
              <w:top w:val="double" w:sz="4" w:space="0" w:color="000000"/>
              <w:left w:val="single" w:sz="4" w:space="0" w:color="000000"/>
              <w:bottom w:val="double" w:sz="4" w:space="0" w:color="000000"/>
              <w:right w:val="single" w:sz="4" w:space="0" w:color="000000"/>
            </w:tcBorders>
            <w:vAlign w:val="center"/>
          </w:tcPr>
          <w:p w14:paraId="14BF36C1"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06A450E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8C13A2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57E11B3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4AEB5E3"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5AB652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030</w:t>
            </w:r>
          </w:p>
        </w:tc>
        <w:tc>
          <w:tcPr>
            <w:tcW w:w="2977" w:type="dxa"/>
            <w:tcBorders>
              <w:top w:val="double" w:sz="4" w:space="0" w:color="000000"/>
              <w:left w:val="single" w:sz="4" w:space="0" w:color="000000"/>
              <w:bottom w:val="double" w:sz="4" w:space="0" w:color="000000"/>
              <w:right w:val="single" w:sz="4" w:space="0" w:color="000000"/>
            </w:tcBorders>
          </w:tcPr>
          <w:p w14:paraId="4B554BB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Gasometría</w:t>
            </w:r>
            <w:r>
              <w:rPr>
                <w:rFonts w:ascii="Arial" w:eastAsia="Times New Roman" w:hAnsi="Arial" w:cs="Arial"/>
                <w:spacing w:val="-11"/>
                <w:sz w:val="12"/>
                <w:szCs w:val="12"/>
                <w:lang w:val="es-ES"/>
              </w:rPr>
              <w:t xml:space="preserve"> </w:t>
            </w:r>
            <w:r>
              <w:rPr>
                <w:rFonts w:ascii="Arial" w:eastAsia="Times New Roman" w:hAnsi="Arial" w:cs="Arial"/>
                <w:spacing w:val="-2"/>
                <w:sz w:val="12"/>
                <w:szCs w:val="12"/>
                <w:lang w:val="es-ES"/>
              </w:rPr>
              <w:t>arterial</w:t>
            </w:r>
          </w:p>
        </w:tc>
        <w:tc>
          <w:tcPr>
            <w:tcW w:w="779" w:type="dxa"/>
            <w:tcBorders>
              <w:top w:val="double" w:sz="4" w:space="0" w:color="000000"/>
              <w:left w:val="single" w:sz="4" w:space="0" w:color="000000"/>
              <w:bottom w:val="double" w:sz="4" w:space="0" w:color="000000"/>
              <w:right w:val="single" w:sz="4" w:space="0" w:color="000000"/>
            </w:tcBorders>
            <w:vAlign w:val="center"/>
          </w:tcPr>
          <w:p w14:paraId="224743C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230063B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5.90</w:t>
            </w:r>
          </w:p>
        </w:tc>
        <w:tc>
          <w:tcPr>
            <w:tcW w:w="781" w:type="dxa"/>
            <w:tcBorders>
              <w:top w:val="double" w:sz="4" w:space="0" w:color="000000"/>
              <w:left w:val="single" w:sz="4" w:space="0" w:color="000000"/>
              <w:bottom w:val="double" w:sz="4" w:space="0" w:color="000000"/>
              <w:right w:val="single" w:sz="4" w:space="0" w:color="000000"/>
            </w:tcBorders>
            <w:vAlign w:val="center"/>
          </w:tcPr>
          <w:p w14:paraId="60FE3A5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5.85</w:t>
            </w:r>
          </w:p>
        </w:tc>
        <w:tc>
          <w:tcPr>
            <w:tcW w:w="779" w:type="dxa"/>
            <w:tcBorders>
              <w:top w:val="double" w:sz="4" w:space="0" w:color="000000"/>
              <w:left w:val="single" w:sz="4" w:space="0" w:color="000000"/>
              <w:bottom w:val="double" w:sz="4" w:space="0" w:color="000000"/>
              <w:right w:val="single" w:sz="4" w:space="0" w:color="000000"/>
            </w:tcBorders>
            <w:vAlign w:val="center"/>
          </w:tcPr>
          <w:p w14:paraId="141049A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0" w:type="dxa"/>
            <w:tcBorders>
              <w:top w:val="double" w:sz="4" w:space="0" w:color="000000"/>
              <w:left w:val="single" w:sz="4" w:space="0" w:color="000000"/>
              <w:bottom w:val="double" w:sz="4" w:space="0" w:color="000000"/>
              <w:right w:val="single" w:sz="4" w:space="0" w:color="000000"/>
            </w:tcBorders>
            <w:vAlign w:val="center"/>
          </w:tcPr>
          <w:p w14:paraId="4FE5B0A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79" w:type="dxa"/>
            <w:tcBorders>
              <w:top w:val="double" w:sz="4" w:space="0" w:color="000000"/>
              <w:left w:val="single" w:sz="4" w:space="0" w:color="000000"/>
              <w:bottom w:val="double" w:sz="4" w:space="0" w:color="000000"/>
              <w:right w:val="single" w:sz="4" w:space="0" w:color="000000"/>
            </w:tcBorders>
            <w:vAlign w:val="center"/>
          </w:tcPr>
          <w:p w14:paraId="39B5F61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E0BB940"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D847DAA"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031</w:t>
            </w:r>
          </w:p>
        </w:tc>
        <w:tc>
          <w:tcPr>
            <w:tcW w:w="2977" w:type="dxa"/>
            <w:tcBorders>
              <w:top w:val="double" w:sz="4" w:space="0" w:color="000000"/>
              <w:left w:val="single" w:sz="4" w:space="0" w:color="000000"/>
              <w:bottom w:val="double" w:sz="4" w:space="0" w:color="000000"/>
              <w:right w:val="single" w:sz="4" w:space="0" w:color="000000"/>
            </w:tcBorders>
          </w:tcPr>
          <w:p w14:paraId="2ED59F1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hormonal</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ginecológico</w:t>
            </w:r>
          </w:p>
        </w:tc>
        <w:tc>
          <w:tcPr>
            <w:tcW w:w="779" w:type="dxa"/>
            <w:tcBorders>
              <w:top w:val="double" w:sz="4" w:space="0" w:color="000000"/>
              <w:left w:val="single" w:sz="4" w:space="0" w:color="000000"/>
              <w:bottom w:val="double" w:sz="4" w:space="0" w:color="000000"/>
              <w:right w:val="single" w:sz="4" w:space="0" w:color="000000"/>
            </w:tcBorders>
            <w:vAlign w:val="center"/>
          </w:tcPr>
          <w:p w14:paraId="54447E3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9.25</w:t>
            </w:r>
          </w:p>
        </w:tc>
        <w:tc>
          <w:tcPr>
            <w:tcW w:w="780" w:type="dxa"/>
            <w:tcBorders>
              <w:top w:val="double" w:sz="4" w:space="0" w:color="000000"/>
              <w:left w:val="single" w:sz="4" w:space="0" w:color="000000"/>
              <w:bottom w:val="double" w:sz="4" w:space="0" w:color="000000"/>
              <w:right w:val="single" w:sz="4" w:space="0" w:color="000000"/>
            </w:tcBorders>
            <w:vAlign w:val="center"/>
          </w:tcPr>
          <w:p w14:paraId="62AA9D1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1" w:type="dxa"/>
            <w:tcBorders>
              <w:top w:val="double" w:sz="4" w:space="0" w:color="000000"/>
              <w:left w:val="single" w:sz="4" w:space="0" w:color="000000"/>
              <w:bottom w:val="double" w:sz="4" w:space="0" w:color="000000"/>
              <w:right w:val="single" w:sz="4" w:space="0" w:color="000000"/>
            </w:tcBorders>
            <w:vAlign w:val="center"/>
          </w:tcPr>
          <w:p w14:paraId="465902B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8.75</w:t>
            </w:r>
          </w:p>
        </w:tc>
        <w:tc>
          <w:tcPr>
            <w:tcW w:w="779" w:type="dxa"/>
            <w:tcBorders>
              <w:top w:val="double" w:sz="4" w:space="0" w:color="000000"/>
              <w:left w:val="single" w:sz="4" w:space="0" w:color="000000"/>
              <w:bottom w:val="double" w:sz="4" w:space="0" w:color="000000"/>
              <w:right w:val="single" w:sz="4" w:space="0" w:color="000000"/>
            </w:tcBorders>
            <w:vAlign w:val="center"/>
          </w:tcPr>
          <w:p w14:paraId="5FC95F3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4B56F18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8.25</w:t>
            </w:r>
          </w:p>
        </w:tc>
        <w:tc>
          <w:tcPr>
            <w:tcW w:w="779" w:type="dxa"/>
            <w:tcBorders>
              <w:top w:val="double" w:sz="4" w:space="0" w:color="000000"/>
              <w:left w:val="single" w:sz="4" w:space="0" w:color="000000"/>
              <w:bottom w:val="double" w:sz="4" w:space="0" w:color="000000"/>
              <w:right w:val="single" w:sz="4" w:space="0" w:color="000000"/>
            </w:tcBorders>
            <w:vAlign w:val="center"/>
          </w:tcPr>
          <w:p w14:paraId="617C065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FE5F21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2CECC4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032</w:t>
            </w:r>
          </w:p>
        </w:tc>
        <w:tc>
          <w:tcPr>
            <w:tcW w:w="2977" w:type="dxa"/>
            <w:tcBorders>
              <w:top w:val="double" w:sz="4" w:space="0" w:color="000000"/>
              <w:left w:val="single" w:sz="4" w:space="0" w:color="000000"/>
              <w:bottom w:val="double" w:sz="4" w:space="0" w:color="000000"/>
              <w:right w:val="single" w:sz="4" w:space="0" w:color="000000"/>
            </w:tcBorders>
          </w:tcPr>
          <w:p w14:paraId="6280902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11"/>
                <w:sz w:val="12"/>
                <w:szCs w:val="12"/>
                <w:lang w:val="es-ES"/>
              </w:rPr>
              <w:t xml:space="preserve"> </w:t>
            </w:r>
            <w:r>
              <w:rPr>
                <w:rFonts w:ascii="Arial" w:eastAsia="Times New Roman" w:hAnsi="Arial" w:cs="Arial"/>
                <w:sz w:val="12"/>
                <w:szCs w:val="12"/>
                <w:lang w:val="es-ES"/>
              </w:rPr>
              <w:t>TORCH</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COMPLETO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w:t>
            </w:r>
            <w:proofErr w:type="spellStart"/>
            <w:proofErr w:type="gramStart"/>
            <w:r>
              <w:rPr>
                <w:rFonts w:ascii="Arial" w:eastAsia="Times New Roman" w:hAnsi="Arial" w:cs="Arial"/>
                <w:sz w:val="12"/>
                <w:szCs w:val="12"/>
                <w:lang w:val="es-ES"/>
              </w:rPr>
              <w:t>IgG,IgM</w:t>
            </w:r>
            <w:proofErr w:type="spellEnd"/>
            <w:proofErr w:type="gramEnd"/>
            <w:r>
              <w:rPr>
                <w:rFonts w:ascii="Arial" w:eastAsia="Times New Roman" w:hAnsi="Arial" w:cs="Arial"/>
                <w:spacing w:val="-5"/>
                <w:sz w:val="12"/>
                <w:szCs w:val="12"/>
                <w:lang w:val="es-ES"/>
              </w:rPr>
              <w:t xml:space="preserve"> </w:t>
            </w:r>
            <w:r>
              <w:rPr>
                <w:rFonts w:ascii="Arial" w:eastAsia="Times New Roman" w:hAnsi="Arial" w:cs="Arial"/>
                <w:spacing w:val="-1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7926C40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19.25</w:t>
            </w:r>
          </w:p>
        </w:tc>
        <w:tc>
          <w:tcPr>
            <w:tcW w:w="780" w:type="dxa"/>
            <w:tcBorders>
              <w:top w:val="double" w:sz="4" w:space="0" w:color="000000"/>
              <w:left w:val="single" w:sz="4" w:space="0" w:color="000000"/>
              <w:bottom w:val="double" w:sz="4" w:space="0" w:color="000000"/>
              <w:right w:val="single" w:sz="4" w:space="0" w:color="000000"/>
            </w:tcBorders>
            <w:vAlign w:val="center"/>
          </w:tcPr>
          <w:p w14:paraId="5F3BA35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18.75</w:t>
            </w:r>
          </w:p>
        </w:tc>
        <w:tc>
          <w:tcPr>
            <w:tcW w:w="781" w:type="dxa"/>
            <w:tcBorders>
              <w:top w:val="double" w:sz="4" w:space="0" w:color="000000"/>
              <w:left w:val="single" w:sz="4" w:space="0" w:color="000000"/>
              <w:bottom w:val="double" w:sz="4" w:space="0" w:color="000000"/>
              <w:right w:val="single" w:sz="4" w:space="0" w:color="000000"/>
            </w:tcBorders>
            <w:vAlign w:val="center"/>
          </w:tcPr>
          <w:p w14:paraId="0DF686F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18.50</w:t>
            </w:r>
          </w:p>
        </w:tc>
        <w:tc>
          <w:tcPr>
            <w:tcW w:w="779" w:type="dxa"/>
            <w:tcBorders>
              <w:top w:val="double" w:sz="4" w:space="0" w:color="000000"/>
              <w:left w:val="single" w:sz="4" w:space="0" w:color="000000"/>
              <w:bottom w:val="double" w:sz="4" w:space="0" w:color="000000"/>
              <w:right w:val="single" w:sz="4" w:space="0" w:color="000000"/>
            </w:tcBorders>
            <w:vAlign w:val="center"/>
          </w:tcPr>
          <w:p w14:paraId="45A39DD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18.25</w:t>
            </w:r>
          </w:p>
        </w:tc>
        <w:tc>
          <w:tcPr>
            <w:tcW w:w="780" w:type="dxa"/>
            <w:tcBorders>
              <w:top w:val="double" w:sz="4" w:space="0" w:color="000000"/>
              <w:left w:val="single" w:sz="4" w:space="0" w:color="000000"/>
              <w:bottom w:val="double" w:sz="4" w:space="0" w:color="000000"/>
              <w:right w:val="single" w:sz="4" w:space="0" w:color="000000"/>
            </w:tcBorders>
            <w:vAlign w:val="center"/>
          </w:tcPr>
          <w:p w14:paraId="30EA6C1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17.75</w:t>
            </w:r>
          </w:p>
        </w:tc>
        <w:tc>
          <w:tcPr>
            <w:tcW w:w="779" w:type="dxa"/>
            <w:tcBorders>
              <w:top w:val="double" w:sz="4" w:space="0" w:color="000000"/>
              <w:left w:val="single" w:sz="4" w:space="0" w:color="000000"/>
              <w:bottom w:val="double" w:sz="4" w:space="0" w:color="000000"/>
              <w:right w:val="single" w:sz="4" w:space="0" w:color="000000"/>
            </w:tcBorders>
            <w:vAlign w:val="center"/>
          </w:tcPr>
          <w:p w14:paraId="2C40756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A0C6BFA"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384991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033</w:t>
            </w:r>
          </w:p>
        </w:tc>
        <w:tc>
          <w:tcPr>
            <w:tcW w:w="2977" w:type="dxa"/>
            <w:tcBorders>
              <w:top w:val="double" w:sz="4" w:space="0" w:color="000000"/>
              <w:left w:val="single" w:sz="4" w:space="0" w:color="000000"/>
              <w:bottom w:val="double" w:sz="4" w:space="0" w:color="000000"/>
              <w:right w:val="single" w:sz="4" w:space="0" w:color="000000"/>
            </w:tcBorders>
          </w:tcPr>
          <w:p w14:paraId="40F11D0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TORCH</w:t>
            </w:r>
            <w:r>
              <w:rPr>
                <w:rFonts w:ascii="Arial" w:eastAsia="Times New Roman" w:hAnsi="Arial" w:cs="Arial"/>
                <w:spacing w:val="31"/>
                <w:sz w:val="12"/>
                <w:szCs w:val="12"/>
                <w:lang w:val="es-ES"/>
              </w:rPr>
              <w:t xml:space="preserve"> </w:t>
            </w:r>
            <w:r>
              <w:rPr>
                <w:rFonts w:ascii="Arial" w:eastAsia="Times New Roman" w:hAnsi="Arial" w:cs="Arial"/>
                <w:spacing w:val="-5"/>
                <w:sz w:val="12"/>
                <w:szCs w:val="12"/>
                <w:lang w:val="es-ES"/>
              </w:rPr>
              <w:t>IgG</w:t>
            </w:r>
          </w:p>
        </w:tc>
        <w:tc>
          <w:tcPr>
            <w:tcW w:w="779" w:type="dxa"/>
            <w:tcBorders>
              <w:top w:val="double" w:sz="4" w:space="0" w:color="000000"/>
              <w:left w:val="single" w:sz="4" w:space="0" w:color="000000"/>
              <w:bottom w:val="double" w:sz="4" w:space="0" w:color="000000"/>
              <w:right w:val="single" w:sz="4" w:space="0" w:color="000000"/>
            </w:tcBorders>
            <w:vAlign w:val="center"/>
          </w:tcPr>
          <w:p w14:paraId="7CF39F7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10.00</w:t>
            </w:r>
          </w:p>
        </w:tc>
        <w:tc>
          <w:tcPr>
            <w:tcW w:w="780" w:type="dxa"/>
            <w:tcBorders>
              <w:top w:val="double" w:sz="4" w:space="0" w:color="000000"/>
              <w:left w:val="single" w:sz="4" w:space="0" w:color="000000"/>
              <w:bottom w:val="double" w:sz="4" w:space="0" w:color="000000"/>
              <w:right w:val="single" w:sz="4" w:space="0" w:color="000000"/>
            </w:tcBorders>
            <w:vAlign w:val="center"/>
          </w:tcPr>
          <w:p w14:paraId="293A413F"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9.75</w:t>
            </w:r>
          </w:p>
        </w:tc>
        <w:tc>
          <w:tcPr>
            <w:tcW w:w="781" w:type="dxa"/>
            <w:tcBorders>
              <w:top w:val="double" w:sz="4" w:space="0" w:color="000000"/>
              <w:left w:val="single" w:sz="4" w:space="0" w:color="000000"/>
              <w:bottom w:val="double" w:sz="4" w:space="0" w:color="000000"/>
              <w:right w:val="single" w:sz="4" w:space="0" w:color="000000"/>
            </w:tcBorders>
            <w:vAlign w:val="center"/>
          </w:tcPr>
          <w:p w14:paraId="3AE5E8A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9.25</w:t>
            </w:r>
          </w:p>
        </w:tc>
        <w:tc>
          <w:tcPr>
            <w:tcW w:w="779" w:type="dxa"/>
            <w:tcBorders>
              <w:top w:val="double" w:sz="4" w:space="0" w:color="000000"/>
              <w:left w:val="single" w:sz="4" w:space="0" w:color="000000"/>
              <w:bottom w:val="double" w:sz="4" w:space="0" w:color="000000"/>
              <w:right w:val="single" w:sz="4" w:space="0" w:color="000000"/>
            </w:tcBorders>
            <w:vAlign w:val="center"/>
          </w:tcPr>
          <w:p w14:paraId="211A1AB1"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017EC69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8.75</w:t>
            </w:r>
          </w:p>
        </w:tc>
        <w:tc>
          <w:tcPr>
            <w:tcW w:w="779" w:type="dxa"/>
            <w:tcBorders>
              <w:top w:val="double" w:sz="4" w:space="0" w:color="000000"/>
              <w:left w:val="single" w:sz="4" w:space="0" w:color="000000"/>
              <w:bottom w:val="double" w:sz="4" w:space="0" w:color="000000"/>
              <w:right w:val="single" w:sz="4" w:space="0" w:color="000000"/>
            </w:tcBorders>
            <w:vAlign w:val="center"/>
          </w:tcPr>
          <w:p w14:paraId="7795D4A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B46363B"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99742B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034</w:t>
            </w:r>
          </w:p>
        </w:tc>
        <w:tc>
          <w:tcPr>
            <w:tcW w:w="2977" w:type="dxa"/>
            <w:tcBorders>
              <w:top w:val="double" w:sz="4" w:space="0" w:color="000000"/>
              <w:left w:val="single" w:sz="4" w:space="0" w:color="000000"/>
              <w:bottom w:val="double" w:sz="4" w:space="0" w:color="000000"/>
              <w:right w:val="single" w:sz="4" w:space="0" w:color="000000"/>
            </w:tcBorders>
          </w:tcPr>
          <w:p w14:paraId="1AE6573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TORCH</w:t>
            </w:r>
            <w:r>
              <w:rPr>
                <w:rFonts w:ascii="Arial" w:eastAsia="Times New Roman" w:hAnsi="Arial" w:cs="Arial"/>
                <w:spacing w:val="31"/>
                <w:sz w:val="12"/>
                <w:szCs w:val="12"/>
                <w:lang w:val="es-ES"/>
              </w:rPr>
              <w:t xml:space="preserve"> </w:t>
            </w:r>
            <w:r>
              <w:rPr>
                <w:rFonts w:ascii="Arial" w:eastAsia="Times New Roman" w:hAnsi="Arial" w:cs="Arial"/>
                <w:spacing w:val="-5"/>
                <w:sz w:val="12"/>
                <w:szCs w:val="12"/>
                <w:lang w:val="es-ES"/>
              </w:rPr>
              <w:t>IgM</w:t>
            </w:r>
          </w:p>
        </w:tc>
        <w:tc>
          <w:tcPr>
            <w:tcW w:w="779" w:type="dxa"/>
            <w:tcBorders>
              <w:top w:val="double" w:sz="4" w:space="0" w:color="000000"/>
              <w:left w:val="single" w:sz="4" w:space="0" w:color="000000"/>
              <w:bottom w:val="double" w:sz="4" w:space="0" w:color="000000"/>
              <w:right w:val="single" w:sz="4" w:space="0" w:color="000000"/>
            </w:tcBorders>
            <w:vAlign w:val="center"/>
          </w:tcPr>
          <w:p w14:paraId="11ACCDC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10.00</w:t>
            </w:r>
          </w:p>
        </w:tc>
        <w:tc>
          <w:tcPr>
            <w:tcW w:w="780" w:type="dxa"/>
            <w:tcBorders>
              <w:top w:val="double" w:sz="4" w:space="0" w:color="000000"/>
              <w:left w:val="single" w:sz="4" w:space="0" w:color="000000"/>
              <w:bottom w:val="double" w:sz="4" w:space="0" w:color="000000"/>
              <w:right w:val="single" w:sz="4" w:space="0" w:color="000000"/>
            </w:tcBorders>
            <w:vAlign w:val="center"/>
          </w:tcPr>
          <w:p w14:paraId="2D5FC568"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9.75</w:t>
            </w:r>
          </w:p>
        </w:tc>
        <w:tc>
          <w:tcPr>
            <w:tcW w:w="781" w:type="dxa"/>
            <w:tcBorders>
              <w:top w:val="double" w:sz="4" w:space="0" w:color="000000"/>
              <w:left w:val="single" w:sz="4" w:space="0" w:color="000000"/>
              <w:bottom w:val="double" w:sz="4" w:space="0" w:color="000000"/>
              <w:right w:val="single" w:sz="4" w:space="0" w:color="000000"/>
            </w:tcBorders>
            <w:vAlign w:val="center"/>
          </w:tcPr>
          <w:p w14:paraId="4E24E66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9.25</w:t>
            </w:r>
          </w:p>
        </w:tc>
        <w:tc>
          <w:tcPr>
            <w:tcW w:w="779" w:type="dxa"/>
            <w:tcBorders>
              <w:top w:val="double" w:sz="4" w:space="0" w:color="000000"/>
              <w:left w:val="single" w:sz="4" w:space="0" w:color="000000"/>
              <w:bottom w:val="double" w:sz="4" w:space="0" w:color="000000"/>
              <w:right w:val="single" w:sz="4" w:space="0" w:color="000000"/>
            </w:tcBorders>
            <w:vAlign w:val="center"/>
          </w:tcPr>
          <w:p w14:paraId="78A792B2"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9.00</w:t>
            </w:r>
          </w:p>
        </w:tc>
        <w:tc>
          <w:tcPr>
            <w:tcW w:w="780" w:type="dxa"/>
            <w:tcBorders>
              <w:top w:val="double" w:sz="4" w:space="0" w:color="000000"/>
              <w:left w:val="single" w:sz="4" w:space="0" w:color="000000"/>
              <w:bottom w:val="double" w:sz="4" w:space="0" w:color="000000"/>
              <w:right w:val="single" w:sz="4" w:space="0" w:color="000000"/>
            </w:tcBorders>
            <w:vAlign w:val="center"/>
          </w:tcPr>
          <w:p w14:paraId="4FB3A6F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8.75</w:t>
            </w:r>
          </w:p>
        </w:tc>
        <w:tc>
          <w:tcPr>
            <w:tcW w:w="779" w:type="dxa"/>
            <w:tcBorders>
              <w:top w:val="double" w:sz="4" w:space="0" w:color="000000"/>
              <w:left w:val="single" w:sz="4" w:space="0" w:color="000000"/>
              <w:bottom w:val="double" w:sz="4" w:space="0" w:color="000000"/>
              <w:right w:val="single" w:sz="4" w:space="0" w:color="000000"/>
            </w:tcBorders>
            <w:vAlign w:val="center"/>
          </w:tcPr>
          <w:p w14:paraId="3A19CFD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9ABDD2E" w14:textId="77777777">
        <w:trPr>
          <w:trHeight w:val="466"/>
        </w:trPr>
        <w:tc>
          <w:tcPr>
            <w:tcW w:w="1106" w:type="dxa"/>
            <w:tcBorders>
              <w:top w:val="double" w:sz="4" w:space="0" w:color="000000"/>
              <w:left w:val="single" w:sz="4" w:space="0" w:color="000000"/>
              <w:bottom w:val="double" w:sz="4" w:space="0" w:color="000000"/>
              <w:right w:val="single" w:sz="4" w:space="0" w:color="000000"/>
            </w:tcBorders>
          </w:tcPr>
          <w:p w14:paraId="1F9B3CD8"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035</w:t>
            </w:r>
          </w:p>
        </w:tc>
        <w:tc>
          <w:tcPr>
            <w:tcW w:w="2977" w:type="dxa"/>
            <w:tcBorders>
              <w:top w:val="double" w:sz="4" w:space="0" w:color="000000"/>
              <w:left w:val="single" w:sz="4" w:space="0" w:color="000000"/>
              <w:bottom w:val="double" w:sz="4" w:space="0" w:color="000000"/>
              <w:right w:val="single" w:sz="4" w:space="0" w:color="000000"/>
            </w:tcBorders>
          </w:tcPr>
          <w:p w14:paraId="2179E1EB" w14:textId="77777777" w:rsidR="00D3344B" w:rsidRDefault="00143C25">
            <w:pPr>
              <w:widowControl w:val="0"/>
              <w:tabs>
                <w:tab w:val="left" w:pos="805"/>
                <w:tab w:val="left" w:pos="2177"/>
                <w:tab w:val="left" w:pos="2465"/>
                <w:tab w:val="left" w:pos="2755"/>
              </w:tabs>
              <w:suppressAutoHyphens w:val="0"/>
              <w:spacing w:before="58" w:after="0" w:line="240" w:lineRule="auto"/>
              <w:ind w:right="61"/>
              <w:rPr>
                <w:rFonts w:ascii="Arial" w:eastAsia="Times New Roman" w:hAnsi="Arial" w:cs="Arial"/>
                <w:sz w:val="12"/>
                <w:szCs w:val="12"/>
                <w:lang w:val="es-ES"/>
              </w:rPr>
            </w:pPr>
            <w:r>
              <w:rPr>
                <w:rFonts w:ascii="Arial" w:eastAsia="Times New Roman" w:hAnsi="Arial" w:cs="Arial"/>
                <w:spacing w:val="-2"/>
                <w:sz w:val="12"/>
                <w:szCs w:val="12"/>
                <w:lang w:val="es-ES"/>
              </w:rPr>
              <w:t>PERFIL</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GINECOLOGICO</w:t>
            </w:r>
            <w:r>
              <w:rPr>
                <w:rFonts w:ascii="Arial" w:eastAsia="Times New Roman" w:hAnsi="Arial" w:cs="Arial"/>
                <w:sz w:val="12"/>
                <w:szCs w:val="12"/>
                <w:lang w:val="es-ES"/>
              </w:rPr>
              <w:t xml:space="preserve"> </w:t>
            </w:r>
            <w:r>
              <w:rPr>
                <w:rFonts w:ascii="Arial" w:eastAsia="Times New Roman" w:hAnsi="Arial" w:cs="Arial"/>
                <w:spacing w:val="-10"/>
                <w:sz w:val="12"/>
                <w:szCs w:val="12"/>
                <w:lang w:val="es-ES"/>
              </w:rPr>
              <w:t>I</w:t>
            </w:r>
            <w:r>
              <w:rPr>
                <w:rFonts w:ascii="Arial" w:eastAsia="Times New Roman" w:hAnsi="Arial" w:cs="Arial"/>
                <w:sz w:val="12"/>
                <w:szCs w:val="12"/>
                <w:lang w:val="es-ES"/>
              </w:rPr>
              <w:t xml:space="preserve"> </w:t>
            </w:r>
            <w:proofErr w:type="gramStart"/>
            <w:r>
              <w:rPr>
                <w:rFonts w:ascii="Arial" w:eastAsia="Times New Roman" w:hAnsi="Arial" w:cs="Arial"/>
                <w:spacing w:val="-10"/>
                <w:sz w:val="12"/>
                <w:szCs w:val="12"/>
                <w:lang w:val="es-ES"/>
              </w:rPr>
              <w:t>(</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CLIMATERIO</w:t>
            </w:r>
            <w:proofErr w:type="gramEnd"/>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FSH,LH,ESTROGENOS</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5BDCB7BB"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5.40</w:t>
            </w:r>
          </w:p>
        </w:tc>
        <w:tc>
          <w:tcPr>
            <w:tcW w:w="780" w:type="dxa"/>
            <w:tcBorders>
              <w:top w:val="double" w:sz="4" w:space="0" w:color="000000"/>
              <w:left w:val="single" w:sz="4" w:space="0" w:color="000000"/>
              <w:bottom w:val="double" w:sz="4" w:space="0" w:color="000000"/>
              <w:right w:val="single" w:sz="4" w:space="0" w:color="000000"/>
            </w:tcBorders>
            <w:vAlign w:val="center"/>
          </w:tcPr>
          <w:p w14:paraId="3D816616"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81" w:type="dxa"/>
            <w:tcBorders>
              <w:top w:val="double" w:sz="4" w:space="0" w:color="000000"/>
              <w:left w:val="single" w:sz="4" w:space="0" w:color="000000"/>
              <w:bottom w:val="double" w:sz="4" w:space="0" w:color="000000"/>
              <w:right w:val="single" w:sz="4" w:space="0" w:color="000000"/>
            </w:tcBorders>
            <w:vAlign w:val="center"/>
          </w:tcPr>
          <w:p w14:paraId="28363C13"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43AB75D3"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0" w:type="dxa"/>
            <w:tcBorders>
              <w:top w:val="double" w:sz="4" w:space="0" w:color="000000"/>
              <w:left w:val="single" w:sz="4" w:space="0" w:color="000000"/>
              <w:bottom w:val="double" w:sz="4" w:space="0" w:color="000000"/>
              <w:right w:val="single" w:sz="4" w:space="0" w:color="000000"/>
            </w:tcBorders>
            <w:vAlign w:val="center"/>
          </w:tcPr>
          <w:p w14:paraId="23D40016"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double" w:sz="4" w:space="0" w:color="000000"/>
              <w:left w:val="single" w:sz="4" w:space="0" w:color="000000"/>
              <w:bottom w:val="double" w:sz="4" w:space="0" w:color="000000"/>
              <w:right w:val="single" w:sz="4" w:space="0" w:color="000000"/>
            </w:tcBorders>
            <w:vAlign w:val="center"/>
          </w:tcPr>
          <w:p w14:paraId="17141D1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116BA6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51511CE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036</w:t>
            </w:r>
          </w:p>
        </w:tc>
        <w:tc>
          <w:tcPr>
            <w:tcW w:w="2977" w:type="dxa"/>
            <w:tcBorders>
              <w:top w:val="double" w:sz="4" w:space="0" w:color="000000"/>
              <w:left w:val="single" w:sz="4" w:space="0" w:color="000000"/>
              <w:bottom w:val="double" w:sz="4" w:space="0" w:color="000000"/>
              <w:right w:val="single" w:sz="4" w:space="0" w:color="000000"/>
            </w:tcBorders>
          </w:tcPr>
          <w:p w14:paraId="2FCEB90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GINECOLOGICO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w:t>
            </w:r>
            <w:proofErr w:type="gramStart"/>
            <w:r>
              <w:rPr>
                <w:rFonts w:ascii="Arial" w:eastAsia="Times New Roman" w:hAnsi="Arial" w:cs="Arial"/>
                <w:spacing w:val="-2"/>
                <w:sz w:val="12"/>
                <w:szCs w:val="12"/>
                <w:lang w:val="es-ES"/>
              </w:rPr>
              <w:t>FSH,LH</w:t>
            </w:r>
            <w:proofErr w:type="gramEnd"/>
            <w:r>
              <w:rPr>
                <w:rFonts w:ascii="Arial" w:eastAsia="Times New Roman" w:hAnsi="Arial" w:cs="Arial"/>
                <w:spacing w:val="-2"/>
                <w:sz w:val="12"/>
                <w:szCs w:val="12"/>
                <w:lang w:val="es-ES"/>
              </w:rPr>
              <w:t>,ET,PROG)</w:t>
            </w:r>
          </w:p>
        </w:tc>
        <w:tc>
          <w:tcPr>
            <w:tcW w:w="779" w:type="dxa"/>
            <w:tcBorders>
              <w:top w:val="double" w:sz="4" w:space="0" w:color="000000"/>
              <w:left w:val="single" w:sz="4" w:space="0" w:color="000000"/>
              <w:bottom w:val="double" w:sz="4" w:space="0" w:color="000000"/>
              <w:right w:val="single" w:sz="4" w:space="0" w:color="000000"/>
            </w:tcBorders>
            <w:vAlign w:val="center"/>
          </w:tcPr>
          <w:p w14:paraId="289D766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3BD4D32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81" w:type="dxa"/>
            <w:tcBorders>
              <w:top w:val="double" w:sz="4" w:space="0" w:color="000000"/>
              <w:left w:val="single" w:sz="4" w:space="0" w:color="000000"/>
              <w:bottom w:val="double" w:sz="4" w:space="0" w:color="000000"/>
              <w:right w:val="single" w:sz="4" w:space="0" w:color="000000"/>
            </w:tcBorders>
            <w:vAlign w:val="center"/>
          </w:tcPr>
          <w:p w14:paraId="6EB4F7F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6.75</w:t>
            </w:r>
          </w:p>
        </w:tc>
        <w:tc>
          <w:tcPr>
            <w:tcW w:w="779" w:type="dxa"/>
            <w:tcBorders>
              <w:top w:val="double" w:sz="4" w:space="0" w:color="000000"/>
              <w:left w:val="single" w:sz="4" w:space="0" w:color="000000"/>
              <w:bottom w:val="double" w:sz="4" w:space="0" w:color="000000"/>
              <w:right w:val="single" w:sz="4" w:space="0" w:color="000000"/>
            </w:tcBorders>
            <w:vAlign w:val="center"/>
          </w:tcPr>
          <w:p w14:paraId="2F99FAE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80" w:type="dxa"/>
            <w:tcBorders>
              <w:top w:val="double" w:sz="4" w:space="0" w:color="000000"/>
              <w:left w:val="single" w:sz="4" w:space="0" w:color="000000"/>
              <w:bottom w:val="double" w:sz="4" w:space="0" w:color="000000"/>
              <w:right w:val="single" w:sz="4" w:space="0" w:color="000000"/>
            </w:tcBorders>
            <w:vAlign w:val="center"/>
          </w:tcPr>
          <w:p w14:paraId="413A411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6.25</w:t>
            </w:r>
          </w:p>
        </w:tc>
        <w:tc>
          <w:tcPr>
            <w:tcW w:w="779" w:type="dxa"/>
            <w:tcBorders>
              <w:top w:val="double" w:sz="4" w:space="0" w:color="000000"/>
              <w:left w:val="single" w:sz="4" w:space="0" w:color="000000"/>
              <w:bottom w:val="double" w:sz="4" w:space="0" w:color="000000"/>
              <w:right w:val="single" w:sz="4" w:space="0" w:color="000000"/>
            </w:tcBorders>
            <w:vAlign w:val="center"/>
          </w:tcPr>
          <w:p w14:paraId="72E0B1E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34F04DD" w14:textId="77777777">
        <w:trPr>
          <w:trHeight w:val="465"/>
        </w:trPr>
        <w:tc>
          <w:tcPr>
            <w:tcW w:w="1106" w:type="dxa"/>
            <w:tcBorders>
              <w:top w:val="double" w:sz="4" w:space="0" w:color="000000"/>
              <w:left w:val="single" w:sz="4" w:space="0" w:color="000000"/>
              <w:bottom w:val="double" w:sz="4" w:space="0" w:color="000000"/>
              <w:right w:val="single" w:sz="4" w:space="0" w:color="000000"/>
            </w:tcBorders>
          </w:tcPr>
          <w:p w14:paraId="4FF8B04B"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037</w:t>
            </w:r>
          </w:p>
        </w:tc>
        <w:tc>
          <w:tcPr>
            <w:tcW w:w="2977" w:type="dxa"/>
            <w:tcBorders>
              <w:top w:val="double" w:sz="4" w:space="0" w:color="000000"/>
              <w:left w:val="single" w:sz="4" w:space="0" w:color="000000"/>
              <w:bottom w:val="double" w:sz="4" w:space="0" w:color="000000"/>
              <w:right w:val="single" w:sz="4" w:space="0" w:color="000000"/>
            </w:tcBorders>
          </w:tcPr>
          <w:p w14:paraId="129008A9"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PERFIL</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GINECOLOGICO</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3(</w:t>
            </w:r>
            <w:proofErr w:type="gramStart"/>
            <w:r>
              <w:rPr>
                <w:rFonts w:ascii="Arial" w:eastAsia="Times New Roman" w:hAnsi="Arial" w:cs="Arial"/>
                <w:spacing w:val="-2"/>
                <w:sz w:val="12"/>
                <w:szCs w:val="12"/>
                <w:lang w:val="es-ES"/>
              </w:rPr>
              <w:t>FSH,LH</w:t>
            </w:r>
            <w:proofErr w:type="gramEnd"/>
            <w:r>
              <w:rPr>
                <w:rFonts w:ascii="Arial" w:eastAsia="Times New Roman" w:hAnsi="Arial" w:cs="Arial"/>
                <w:spacing w:val="-2"/>
                <w:sz w:val="12"/>
                <w:szCs w:val="12"/>
                <w:lang w:val="es-ES"/>
              </w:rPr>
              <w:t>,TES,PRL,PROG,ET,ESTRADIOL)</w:t>
            </w:r>
          </w:p>
        </w:tc>
        <w:tc>
          <w:tcPr>
            <w:tcW w:w="779" w:type="dxa"/>
            <w:tcBorders>
              <w:top w:val="double" w:sz="4" w:space="0" w:color="000000"/>
              <w:left w:val="single" w:sz="4" w:space="0" w:color="000000"/>
              <w:bottom w:val="double" w:sz="4" w:space="0" w:color="000000"/>
              <w:right w:val="single" w:sz="4" w:space="0" w:color="000000"/>
            </w:tcBorders>
            <w:vAlign w:val="center"/>
          </w:tcPr>
          <w:p w14:paraId="3AA905F3"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2"/>
                <w:sz w:val="12"/>
                <w:szCs w:val="12"/>
                <w:lang w:val="es-ES"/>
              </w:rPr>
              <w:t>10.00</w:t>
            </w:r>
          </w:p>
        </w:tc>
        <w:tc>
          <w:tcPr>
            <w:tcW w:w="780" w:type="dxa"/>
            <w:tcBorders>
              <w:top w:val="double" w:sz="4" w:space="0" w:color="000000"/>
              <w:left w:val="single" w:sz="4" w:space="0" w:color="000000"/>
              <w:bottom w:val="double" w:sz="4" w:space="0" w:color="000000"/>
              <w:right w:val="single" w:sz="4" w:space="0" w:color="000000"/>
            </w:tcBorders>
            <w:vAlign w:val="center"/>
          </w:tcPr>
          <w:p w14:paraId="01560ADB"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9.25</w:t>
            </w:r>
          </w:p>
        </w:tc>
        <w:tc>
          <w:tcPr>
            <w:tcW w:w="781" w:type="dxa"/>
            <w:tcBorders>
              <w:top w:val="double" w:sz="4" w:space="0" w:color="000000"/>
              <w:left w:val="single" w:sz="4" w:space="0" w:color="000000"/>
              <w:bottom w:val="double" w:sz="4" w:space="0" w:color="000000"/>
              <w:right w:val="single" w:sz="4" w:space="0" w:color="000000"/>
            </w:tcBorders>
            <w:vAlign w:val="center"/>
          </w:tcPr>
          <w:p w14:paraId="5CEB2349"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8.75</w:t>
            </w:r>
          </w:p>
        </w:tc>
        <w:tc>
          <w:tcPr>
            <w:tcW w:w="779" w:type="dxa"/>
            <w:tcBorders>
              <w:top w:val="double" w:sz="4" w:space="0" w:color="000000"/>
              <w:left w:val="single" w:sz="4" w:space="0" w:color="000000"/>
              <w:bottom w:val="double" w:sz="4" w:space="0" w:color="000000"/>
              <w:right w:val="single" w:sz="4" w:space="0" w:color="000000"/>
            </w:tcBorders>
            <w:vAlign w:val="center"/>
          </w:tcPr>
          <w:p w14:paraId="43B59C69"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293E34DF"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8.25</w:t>
            </w:r>
          </w:p>
        </w:tc>
        <w:tc>
          <w:tcPr>
            <w:tcW w:w="779" w:type="dxa"/>
            <w:tcBorders>
              <w:top w:val="double" w:sz="4" w:space="0" w:color="000000"/>
              <w:left w:val="single" w:sz="4" w:space="0" w:color="000000"/>
              <w:bottom w:val="double" w:sz="4" w:space="0" w:color="000000"/>
              <w:right w:val="single" w:sz="4" w:space="0" w:color="000000"/>
            </w:tcBorders>
            <w:vAlign w:val="center"/>
          </w:tcPr>
          <w:p w14:paraId="527F28D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581111"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397A920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038</w:t>
            </w:r>
          </w:p>
        </w:tc>
        <w:tc>
          <w:tcPr>
            <w:tcW w:w="2977" w:type="dxa"/>
            <w:tcBorders>
              <w:top w:val="double" w:sz="4" w:space="0" w:color="000000"/>
              <w:left w:val="single" w:sz="4" w:space="0" w:color="000000"/>
              <w:bottom w:val="double" w:sz="4" w:space="0" w:color="000000"/>
              <w:right w:val="single" w:sz="4" w:space="0" w:color="000000"/>
            </w:tcBorders>
          </w:tcPr>
          <w:p w14:paraId="2E4157E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HORMONA</w:t>
            </w:r>
            <w:r>
              <w:rPr>
                <w:rFonts w:ascii="Arial" w:eastAsia="Times New Roman" w:hAnsi="Arial" w:cs="Arial"/>
                <w:spacing w:val="-9"/>
                <w:sz w:val="12"/>
                <w:szCs w:val="12"/>
                <w:lang w:val="es-ES"/>
              </w:rPr>
              <w:t xml:space="preserve"> </w:t>
            </w:r>
            <w:r>
              <w:rPr>
                <w:rFonts w:ascii="Arial" w:eastAsia="Times New Roman" w:hAnsi="Arial" w:cs="Arial"/>
                <w:spacing w:val="-2"/>
                <w:sz w:val="12"/>
                <w:szCs w:val="12"/>
                <w:lang w:val="es-ES"/>
              </w:rPr>
              <w:t>LUTEINIZANTE</w:t>
            </w:r>
          </w:p>
        </w:tc>
        <w:tc>
          <w:tcPr>
            <w:tcW w:w="779" w:type="dxa"/>
            <w:tcBorders>
              <w:top w:val="double" w:sz="4" w:space="0" w:color="000000"/>
              <w:left w:val="single" w:sz="4" w:space="0" w:color="000000"/>
              <w:bottom w:val="double" w:sz="4" w:space="0" w:color="000000"/>
              <w:right w:val="single" w:sz="4" w:space="0" w:color="000000"/>
            </w:tcBorders>
            <w:vAlign w:val="center"/>
          </w:tcPr>
          <w:p w14:paraId="1BD73E8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2B8748B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1" w:type="dxa"/>
            <w:tcBorders>
              <w:top w:val="double" w:sz="4" w:space="0" w:color="000000"/>
              <w:left w:val="single" w:sz="4" w:space="0" w:color="000000"/>
              <w:bottom w:val="double" w:sz="4" w:space="0" w:color="000000"/>
              <w:right w:val="single" w:sz="4" w:space="0" w:color="000000"/>
            </w:tcBorders>
            <w:vAlign w:val="center"/>
          </w:tcPr>
          <w:p w14:paraId="7FFD75B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79" w:type="dxa"/>
            <w:tcBorders>
              <w:top w:val="double" w:sz="4" w:space="0" w:color="000000"/>
              <w:left w:val="single" w:sz="4" w:space="0" w:color="000000"/>
              <w:bottom w:val="double" w:sz="4" w:space="0" w:color="000000"/>
              <w:right w:val="single" w:sz="4" w:space="0" w:color="000000"/>
            </w:tcBorders>
            <w:vAlign w:val="center"/>
          </w:tcPr>
          <w:p w14:paraId="399AA4A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7CABA881"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606C572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C44C2BB"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8937EDC"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039</w:t>
            </w:r>
          </w:p>
        </w:tc>
        <w:tc>
          <w:tcPr>
            <w:tcW w:w="2977" w:type="dxa"/>
            <w:tcBorders>
              <w:top w:val="double" w:sz="4" w:space="0" w:color="000000"/>
              <w:left w:val="single" w:sz="4" w:space="0" w:color="000000"/>
              <w:bottom w:val="double" w:sz="4" w:space="0" w:color="000000"/>
              <w:right w:val="single" w:sz="4" w:space="0" w:color="000000"/>
            </w:tcBorders>
          </w:tcPr>
          <w:p w14:paraId="5D7694EA"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HORMONA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FOLICULO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ESTIMULANTE</w:t>
            </w:r>
          </w:p>
        </w:tc>
        <w:tc>
          <w:tcPr>
            <w:tcW w:w="779" w:type="dxa"/>
            <w:tcBorders>
              <w:top w:val="double" w:sz="4" w:space="0" w:color="000000"/>
              <w:left w:val="single" w:sz="4" w:space="0" w:color="000000"/>
              <w:bottom w:val="double" w:sz="4" w:space="0" w:color="000000"/>
              <w:right w:val="single" w:sz="4" w:space="0" w:color="000000"/>
            </w:tcBorders>
            <w:vAlign w:val="center"/>
          </w:tcPr>
          <w:p w14:paraId="293BAA6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7105F42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1" w:type="dxa"/>
            <w:tcBorders>
              <w:top w:val="double" w:sz="4" w:space="0" w:color="000000"/>
              <w:left w:val="single" w:sz="4" w:space="0" w:color="000000"/>
              <w:bottom w:val="double" w:sz="4" w:space="0" w:color="000000"/>
              <w:right w:val="single" w:sz="4" w:space="0" w:color="000000"/>
            </w:tcBorders>
            <w:vAlign w:val="center"/>
          </w:tcPr>
          <w:p w14:paraId="0C73A2B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79" w:type="dxa"/>
            <w:tcBorders>
              <w:top w:val="double" w:sz="4" w:space="0" w:color="000000"/>
              <w:left w:val="single" w:sz="4" w:space="0" w:color="000000"/>
              <w:bottom w:val="double" w:sz="4" w:space="0" w:color="000000"/>
              <w:right w:val="single" w:sz="4" w:space="0" w:color="000000"/>
            </w:tcBorders>
            <w:vAlign w:val="center"/>
          </w:tcPr>
          <w:p w14:paraId="4B35B20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65FB79D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7B7D983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BB4CEF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4EF507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040</w:t>
            </w:r>
          </w:p>
        </w:tc>
        <w:tc>
          <w:tcPr>
            <w:tcW w:w="2977" w:type="dxa"/>
            <w:tcBorders>
              <w:top w:val="double" w:sz="4" w:space="0" w:color="000000"/>
              <w:left w:val="single" w:sz="4" w:space="0" w:color="000000"/>
              <w:bottom w:val="double" w:sz="4" w:space="0" w:color="000000"/>
              <w:right w:val="single" w:sz="4" w:space="0" w:color="000000"/>
            </w:tcBorders>
          </w:tcPr>
          <w:p w14:paraId="3BEF62A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PROLACTINA</w:t>
            </w:r>
          </w:p>
        </w:tc>
        <w:tc>
          <w:tcPr>
            <w:tcW w:w="779" w:type="dxa"/>
            <w:tcBorders>
              <w:top w:val="double" w:sz="4" w:space="0" w:color="000000"/>
              <w:left w:val="single" w:sz="4" w:space="0" w:color="000000"/>
              <w:bottom w:val="double" w:sz="4" w:space="0" w:color="000000"/>
              <w:right w:val="single" w:sz="4" w:space="0" w:color="000000"/>
            </w:tcBorders>
            <w:vAlign w:val="center"/>
          </w:tcPr>
          <w:p w14:paraId="69A7ECE4"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6A37D352"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1" w:type="dxa"/>
            <w:tcBorders>
              <w:top w:val="double" w:sz="4" w:space="0" w:color="000000"/>
              <w:left w:val="single" w:sz="4" w:space="0" w:color="000000"/>
              <w:bottom w:val="double" w:sz="4" w:space="0" w:color="000000"/>
              <w:right w:val="single" w:sz="4" w:space="0" w:color="000000"/>
            </w:tcBorders>
            <w:vAlign w:val="center"/>
          </w:tcPr>
          <w:p w14:paraId="7AB2F196"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double" w:sz="4" w:space="0" w:color="000000"/>
              <w:left w:val="single" w:sz="4" w:space="0" w:color="000000"/>
              <w:bottom w:val="double" w:sz="4" w:space="0" w:color="000000"/>
              <w:right w:val="single" w:sz="4" w:space="0" w:color="000000"/>
            </w:tcBorders>
            <w:vAlign w:val="center"/>
          </w:tcPr>
          <w:p w14:paraId="3DEB10E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0" w:type="dxa"/>
            <w:tcBorders>
              <w:top w:val="double" w:sz="4" w:space="0" w:color="000000"/>
              <w:left w:val="single" w:sz="4" w:space="0" w:color="000000"/>
              <w:bottom w:val="double" w:sz="4" w:space="0" w:color="000000"/>
              <w:right w:val="single" w:sz="4" w:space="0" w:color="000000"/>
            </w:tcBorders>
            <w:vAlign w:val="center"/>
          </w:tcPr>
          <w:p w14:paraId="7DF4999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1.35</w:t>
            </w:r>
          </w:p>
        </w:tc>
        <w:tc>
          <w:tcPr>
            <w:tcW w:w="779" w:type="dxa"/>
            <w:tcBorders>
              <w:top w:val="double" w:sz="4" w:space="0" w:color="000000"/>
              <w:left w:val="single" w:sz="4" w:space="0" w:color="000000"/>
              <w:bottom w:val="double" w:sz="4" w:space="0" w:color="000000"/>
              <w:right w:val="single" w:sz="4" w:space="0" w:color="000000"/>
            </w:tcBorders>
            <w:vAlign w:val="center"/>
          </w:tcPr>
          <w:p w14:paraId="2BB4A1E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570AFF4"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2740F8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041</w:t>
            </w:r>
          </w:p>
        </w:tc>
        <w:tc>
          <w:tcPr>
            <w:tcW w:w="2977" w:type="dxa"/>
            <w:tcBorders>
              <w:top w:val="double" w:sz="4" w:space="0" w:color="000000"/>
              <w:left w:val="single" w:sz="4" w:space="0" w:color="000000"/>
              <w:bottom w:val="double" w:sz="4" w:space="0" w:color="000000"/>
              <w:right w:val="single" w:sz="4" w:space="0" w:color="000000"/>
            </w:tcBorders>
          </w:tcPr>
          <w:p w14:paraId="698574C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TESTOSTERONA</w:t>
            </w:r>
          </w:p>
        </w:tc>
        <w:tc>
          <w:tcPr>
            <w:tcW w:w="779" w:type="dxa"/>
            <w:tcBorders>
              <w:top w:val="double" w:sz="4" w:space="0" w:color="000000"/>
              <w:left w:val="single" w:sz="4" w:space="0" w:color="000000"/>
              <w:bottom w:val="double" w:sz="4" w:space="0" w:color="000000"/>
              <w:right w:val="single" w:sz="4" w:space="0" w:color="000000"/>
            </w:tcBorders>
            <w:vAlign w:val="center"/>
          </w:tcPr>
          <w:p w14:paraId="3FDEE1E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648DE177"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1" w:type="dxa"/>
            <w:tcBorders>
              <w:top w:val="double" w:sz="4" w:space="0" w:color="000000"/>
              <w:left w:val="single" w:sz="4" w:space="0" w:color="000000"/>
              <w:bottom w:val="double" w:sz="4" w:space="0" w:color="000000"/>
              <w:right w:val="single" w:sz="4" w:space="0" w:color="000000"/>
            </w:tcBorders>
            <w:vAlign w:val="center"/>
          </w:tcPr>
          <w:p w14:paraId="320F7E0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1763A12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1.80</w:t>
            </w:r>
          </w:p>
        </w:tc>
        <w:tc>
          <w:tcPr>
            <w:tcW w:w="780" w:type="dxa"/>
            <w:tcBorders>
              <w:top w:val="double" w:sz="4" w:space="0" w:color="000000"/>
              <w:left w:val="single" w:sz="4" w:space="0" w:color="000000"/>
              <w:bottom w:val="double" w:sz="4" w:space="0" w:color="000000"/>
              <w:right w:val="single" w:sz="4" w:space="0" w:color="000000"/>
            </w:tcBorders>
            <w:vAlign w:val="center"/>
          </w:tcPr>
          <w:p w14:paraId="642AF6C4"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79" w:type="dxa"/>
            <w:tcBorders>
              <w:top w:val="double" w:sz="4" w:space="0" w:color="000000"/>
              <w:left w:val="single" w:sz="4" w:space="0" w:color="000000"/>
              <w:bottom w:val="double" w:sz="4" w:space="0" w:color="000000"/>
              <w:right w:val="single" w:sz="4" w:space="0" w:color="000000"/>
            </w:tcBorders>
            <w:vAlign w:val="center"/>
          </w:tcPr>
          <w:p w14:paraId="5F49989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B5D703D"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F1AF33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042</w:t>
            </w:r>
          </w:p>
        </w:tc>
        <w:tc>
          <w:tcPr>
            <w:tcW w:w="2977" w:type="dxa"/>
            <w:tcBorders>
              <w:top w:val="double" w:sz="4" w:space="0" w:color="000000"/>
              <w:left w:val="single" w:sz="4" w:space="0" w:color="000000"/>
              <w:bottom w:val="double" w:sz="4" w:space="0" w:color="000000"/>
              <w:right w:val="single" w:sz="4" w:space="0" w:color="000000"/>
            </w:tcBorders>
          </w:tcPr>
          <w:p w14:paraId="77F15B1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PROGESTERONA</w:t>
            </w:r>
          </w:p>
        </w:tc>
        <w:tc>
          <w:tcPr>
            <w:tcW w:w="779" w:type="dxa"/>
            <w:tcBorders>
              <w:top w:val="double" w:sz="4" w:space="0" w:color="000000"/>
              <w:left w:val="single" w:sz="4" w:space="0" w:color="000000"/>
              <w:bottom w:val="double" w:sz="4" w:space="0" w:color="000000"/>
              <w:right w:val="single" w:sz="4" w:space="0" w:color="000000"/>
            </w:tcBorders>
            <w:vAlign w:val="center"/>
          </w:tcPr>
          <w:p w14:paraId="013FB68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04493B2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1" w:type="dxa"/>
            <w:tcBorders>
              <w:top w:val="double" w:sz="4" w:space="0" w:color="000000"/>
              <w:left w:val="single" w:sz="4" w:space="0" w:color="000000"/>
              <w:bottom w:val="double" w:sz="4" w:space="0" w:color="000000"/>
              <w:right w:val="single" w:sz="4" w:space="0" w:color="000000"/>
            </w:tcBorders>
            <w:vAlign w:val="center"/>
          </w:tcPr>
          <w:p w14:paraId="086FC55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42F1EB4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1.80</w:t>
            </w:r>
          </w:p>
        </w:tc>
        <w:tc>
          <w:tcPr>
            <w:tcW w:w="780" w:type="dxa"/>
            <w:tcBorders>
              <w:top w:val="double" w:sz="4" w:space="0" w:color="000000"/>
              <w:left w:val="single" w:sz="4" w:space="0" w:color="000000"/>
              <w:bottom w:val="double" w:sz="4" w:space="0" w:color="000000"/>
              <w:right w:val="single" w:sz="4" w:space="0" w:color="000000"/>
            </w:tcBorders>
            <w:vAlign w:val="center"/>
          </w:tcPr>
          <w:p w14:paraId="55DC19D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79" w:type="dxa"/>
            <w:tcBorders>
              <w:top w:val="double" w:sz="4" w:space="0" w:color="000000"/>
              <w:left w:val="single" w:sz="4" w:space="0" w:color="000000"/>
              <w:bottom w:val="double" w:sz="4" w:space="0" w:color="000000"/>
              <w:right w:val="single" w:sz="4" w:space="0" w:color="000000"/>
            </w:tcBorders>
            <w:vAlign w:val="center"/>
          </w:tcPr>
          <w:p w14:paraId="77D7C2E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DDCC8B5"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3AA796E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043</w:t>
            </w:r>
          </w:p>
        </w:tc>
        <w:tc>
          <w:tcPr>
            <w:tcW w:w="2977" w:type="dxa"/>
            <w:tcBorders>
              <w:top w:val="double" w:sz="4" w:space="0" w:color="000000"/>
              <w:left w:val="single" w:sz="4" w:space="0" w:color="000000"/>
              <w:bottom w:val="double" w:sz="4" w:space="0" w:color="000000"/>
              <w:right w:val="single" w:sz="4" w:space="0" w:color="000000"/>
            </w:tcBorders>
          </w:tcPr>
          <w:p w14:paraId="4A55AF8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ESTROGENOS</w:t>
            </w:r>
          </w:p>
        </w:tc>
        <w:tc>
          <w:tcPr>
            <w:tcW w:w="779" w:type="dxa"/>
            <w:tcBorders>
              <w:top w:val="double" w:sz="4" w:space="0" w:color="000000"/>
              <w:left w:val="single" w:sz="4" w:space="0" w:color="000000"/>
              <w:bottom w:val="double" w:sz="4" w:space="0" w:color="000000"/>
              <w:right w:val="single" w:sz="4" w:space="0" w:color="000000"/>
            </w:tcBorders>
            <w:vAlign w:val="center"/>
          </w:tcPr>
          <w:p w14:paraId="543AC48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6D93232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1" w:type="dxa"/>
            <w:tcBorders>
              <w:top w:val="double" w:sz="4" w:space="0" w:color="000000"/>
              <w:left w:val="single" w:sz="4" w:space="0" w:color="000000"/>
              <w:bottom w:val="double" w:sz="4" w:space="0" w:color="000000"/>
              <w:right w:val="single" w:sz="4" w:space="0" w:color="000000"/>
            </w:tcBorders>
            <w:vAlign w:val="center"/>
          </w:tcPr>
          <w:p w14:paraId="40B83F0C"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79" w:type="dxa"/>
            <w:tcBorders>
              <w:top w:val="double" w:sz="4" w:space="0" w:color="000000"/>
              <w:left w:val="single" w:sz="4" w:space="0" w:color="000000"/>
              <w:bottom w:val="double" w:sz="4" w:space="0" w:color="000000"/>
              <w:right w:val="single" w:sz="4" w:space="0" w:color="000000"/>
            </w:tcBorders>
            <w:vAlign w:val="center"/>
          </w:tcPr>
          <w:p w14:paraId="77578BE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749EB68A"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79" w:type="dxa"/>
            <w:tcBorders>
              <w:top w:val="double" w:sz="4" w:space="0" w:color="000000"/>
              <w:left w:val="single" w:sz="4" w:space="0" w:color="000000"/>
              <w:bottom w:val="double" w:sz="4" w:space="0" w:color="000000"/>
              <w:right w:val="single" w:sz="4" w:space="0" w:color="000000"/>
            </w:tcBorders>
            <w:vAlign w:val="center"/>
          </w:tcPr>
          <w:p w14:paraId="07CDD12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448490B"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A0CD346"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044</w:t>
            </w:r>
          </w:p>
        </w:tc>
        <w:tc>
          <w:tcPr>
            <w:tcW w:w="2977" w:type="dxa"/>
            <w:tcBorders>
              <w:top w:val="double" w:sz="4" w:space="0" w:color="000000"/>
              <w:left w:val="single" w:sz="4" w:space="0" w:color="000000"/>
              <w:bottom w:val="double" w:sz="4" w:space="0" w:color="000000"/>
              <w:right w:val="single" w:sz="4" w:space="0" w:color="000000"/>
            </w:tcBorders>
          </w:tcPr>
          <w:p w14:paraId="7911E04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ESTRADIOL</w:t>
            </w:r>
          </w:p>
        </w:tc>
        <w:tc>
          <w:tcPr>
            <w:tcW w:w="779" w:type="dxa"/>
            <w:tcBorders>
              <w:top w:val="double" w:sz="4" w:space="0" w:color="000000"/>
              <w:left w:val="single" w:sz="4" w:space="0" w:color="000000"/>
              <w:bottom w:val="double" w:sz="4" w:space="0" w:color="000000"/>
              <w:right w:val="single" w:sz="4" w:space="0" w:color="000000"/>
            </w:tcBorders>
            <w:vAlign w:val="center"/>
          </w:tcPr>
          <w:p w14:paraId="3DD6A27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80" w:type="dxa"/>
            <w:tcBorders>
              <w:top w:val="double" w:sz="4" w:space="0" w:color="000000"/>
              <w:left w:val="single" w:sz="4" w:space="0" w:color="000000"/>
              <w:bottom w:val="double" w:sz="4" w:space="0" w:color="000000"/>
              <w:right w:val="single" w:sz="4" w:space="0" w:color="000000"/>
            </w:tcBorders>
            <w:vAlign w:val="center"/>
          </w:tcPr>
          <w:p w14:paraId="6E23ADE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1.75</w:t>
            </w:r>
          </w:p>
        </w:tc>
        <w:tc>
          <w:tcPr>
            <w:tcW w:w="781" w:type="dxa"/>
            <w:tcBorders>
              <w:top w:val="double" w:sz="4" w:space="0" w:color="000000"/>
              <w:left w:val="single" w:sz="4" w:space="0" w:color="000000"/>
              <w:bottom w:val="double" w:sz="4" w:space="0" w:color="000000"/>
              <w:right w:val="single" w:sz="4" w:space="0" w:color="000000"/>
            </w:tcBorders>
            <w:vAlign w:val="center"/>
          </w:tcPr>
          <w:p w14:paraId="69D48995"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79" w:type="dxa"/>
            <w:tcBorders>
              <w:top w:val="double" w:sz="4" w:space="0" w:color="000000"/>
              <w:left w:val="single" w:sz="4" w:space="0" w:color="000000"/>
              <w:bottom w:val="double" w:sz="4" w:space="0" w:color="000000"/>
              <w:right w:val="single" w:sz="4" w:space="0" w:color="000000"/>
            </w:tcBorders>
            <w:vAlign w:val="center"/>
          </w:tcPr>
          <w:p w14:paraId="19AEF85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687ADC74"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79" w:type="dxa"/>
            <w:tcBorders>
              <w:top w:val="double" w:sz="4" w:space="0" w:color="000000"/>
              <w:left w:val="single" w:sz="4" w:space="0" w:color="000000"/>
              <w:bottom w:val="double" w:sz="4" w:space="0" w:color="000000"/>
              <w:right w:val="single" w:sz="4" w:space="0" w:color="000000"/>
            </w:tcBorders>
            <w:vAlign w:val="center"/>
          </w:tcPr>
          <w:p w14:paraId="4C6831B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993A4E5"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742705BB"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045</w:t>
            </w:r>
          </w:p>
        </w:tc>
        <w:tc>
          <w:tcPr>
            <w:tcW w:w="2977" w:type="dxa"/>
            <w:tcBorders>
              <w:top w:val="double" w:sz="4" w:space="0" w:color="000000"/>
              <w:left w:val="single" w:sz="4" w:space="0" w:color="000000"/>
              <w:bottom w:val="double" w:sz="4" w:space="0" w:color="000000"/>
              <w:right w:val="single" w:sz="4" w:space="0" w:color="000000"/>
            </w:tcBorders>
          </w:tcPr>
          <w:p w14:paraId="1813D5DD"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Azucares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Reductores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7"/>
                <w:sz w:val="12"/>
                <w:szCs w:val="12"/>
                <w:lang w:val="es-ES"/>
              </w:rPr>
              <w:t xml:space="preserve"> </w:t>
            </w:r>
            <w:proofErr w:type="spellStart"/>
            <w:r>
              <w:rPr>
                <w:rFonts w:ascii="Arial" w:eastAsia="Times New Roman" w:hAnsi="Arial" w:cs="Arial"/>
                <w:spacing w:val="-5"/>
                <w:sz w:val="12"/>
                <w:szCs w:val="12"/>
                <w:lang w:val="es-ES"/>
              </w:rPr>
              <w:t>Ph</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4C004DB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42B305F4"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double" w:sz="4" w:space="0" w:color="000000"/>
              <w:right w:val="single" w:sz="4" w:space="0" w:color="000000"/>
            </w:tcBorders>
            <w:vAlign w:val="center"/>
          </w:tcPr>
          <w:p w14:paraId="68F8479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double" w:sz="4" w:space="0" w:color="000000"/>
              <w:right w:val="single" w:sz="4" w:space="0" w:color="000000"/>
            </w:tcBorders>
            <w:vAlign w:val="center"/>
          </w:tcPr>
          <w:p w14:paraId="17E05A6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14F911B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322A3DD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E8F2418"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029B0B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046</w:t>
            </w:r>
          </w:p>
        </w:tc>
        <w:tc>
          <w:tcPr>
            <w:tcW w:w="2977" w:type="dxa"/>
            <w:tcBorders>
              <w:top w:val="double" w:sz="4" w:space="0" w:color="000000"/>
              <w:left w:val="single" w:sz="4" w:space="0" w:color="000000"/>
              <w:bottom w:val="double" w:sz="4" w:space="0" w:color="000000"/>
              <w:right w:val="single" w:sz="4" w:space="0" w:color="000000"/>
            </w:tcBorders>
          </w:tcPr>
          <w:p w14:paraId="6A6D6047"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Calcio</w:t>
            </w:r>
            <w:r>
              <w:rPr>
                <w:rFonts w:ascii="Arial" w:eastAsia="Times New Roman" w:hAnsi="Arial" w:cs="Arial"/>
                <w:spacing w:val="-2"/>
                <w:sz w:val="12"/>
                <w:szCs w:val="12"/>
                <w:lang w:val="es-ES"/>
              </w:rPr>
              <w:t xml:space="preserve"> </w:t>
            </w:r>
            <w:r>
              <w:rPr>
                <w:rFonts w:ascii="Arial" w:eastAsia="Times New Roman" w:hAnsi="Arial" w:cs="Arial"/>
                <w:spacing w:val="-4"/>
                <w:sz w:val="12"/>
                <w:szCs w:val="12"/>
                <w:lang w:val="es-ES"/>
              </w:rPr>
              <w:t>(Ca)</w:t>
            </w:r>
          </w:p>
        </w:tc>
        <w:tc>
          <w:tcPr>
            <w:tcW w:w="779" w:type="dxa"/>
            <w:tcBorders>
              <w:top w:val="double" w:sz="4" w:space="0" w:color="000000"/>
              <w:left w:val="single" w:sz="4" w:space="0" w:color="000000"/>
              <w:bottom w:val="double" w:sz="4" w:space="0" w:color="000000"/>
              <w:right w:val="single" w:sz="4" w:space="0" w:color="000000"/>
            </w:tcBorders>
            <w:vAlign w:val="center"/>
          </w:tcPr>
          <w:p w14:paraId="0113710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1E4600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1" w:type="dxa"/>
            <w:tcBorders>
              <w:top w:val="double" w:sz="4" w:space="0" w:color="000000"/>
              <w:left w:val="single" w:sz="4" w:space="0" w:color="000000"/>
              <w:bottom w:val="double" w:sz="4" w:space="0" w:color="000000"/>
              <w:right w:val="single" w:sz="4" w:space="0" w:color="000000"/>
            </w:tcBorders>
            <w:vAlign w:val="center"/>
          </w:tcPr>
          <w:p w14:paraId="1144CCC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176FCFB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37819EB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double" w:sz="4" w:space="0" w:color="000000"/>
              <w:right w:val="single" w:sz="4" w:space="0" w:color="000000"/>
            </w:tcBorders>
            <w:vAlign w:val="center"/>
          </w:tcPr>
          <w:p w14:paraId="02B3960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0BE5F0F"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1468843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047</w:t>
            </w:r>
          </w:p>
        </w:tc>
        <w:tc>
          <w:tcPr>
            <w:tcW w:w="2977" w:type="dxa"/>
            <w:tcBorders>
              <w:top w:val="double" w:sz="4" w:space="0" w:color="000000"/>
              <w:left w:val="single" w:sz="4" w:space="0" w:color="000000"/>
              <w:bottom w:val="double" w:sz="4" w:space="0" w:color="000000"/>
              <w:right w:val="single" w:sz="4" w:space="0" w:color="000000"/>
            </w:tcBorders>
          </w:tcPr>
          <w:p w14:paraId="08A5E8A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Creatin</w:t>
            </w:r>
            <w:proofErr w:type="spellEnd"/>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Cinasa</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(CK)</w:t>
            </w:r>
          </w:p>
        </w:tc>
        <w:tc>
          <w:tcPr>
            <w:tcW w:w="779" w:type="dxa"/>
            <w:tcBorders>
              <w:top w:val="double" w:sz="4" w:space="0" w:color="000000"/>
              <w:left w:val="single" w:sz="4" w:space="0" w:color="000000"/>
              <w:bottom w:val="double" w:sz="4" w:space="0" w:color="000000"/>
              <w:right w:val="single" w:sz="4" w:space="0" w:color="000000"/>
            </w:tcBorders>
            <w:vAlign w:val="center"/>
          </w:tcPr>
          <w:p w14:paraId="5FDA6BD6"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5967DA8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double" w:sz="4" w:space="0" w:color="000000"/>
              <w:right w:val="single" w:sz="4" w:space="0" w:color="000000"/>
            </w:tcBorders>
            <w:vAlign w:val="center"/>
          </w:tcPr>
          <w:p w14:paraId="0037CC4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double" w:sz="4" w:space="0" w:color="000000"/>
              <w:right w:val="single" w:sz="4" w:space="0" w:color="000000"/>
            </w:tcBorders>
            <w:vAlign w:val="center"/>
          </w:tcPr>
          <w:p w14:paraId="77A3B79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5EC653B3"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7985E56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624655"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251969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048</w:t>
            </w:r>
          </w:p>
        </w:tc>
        <w:tc>
          <w:tcPr>
            <w:tcW w:w="2977" w:type="dxa"/>
            <w:tcBorders>
              <w:top w:val="double" w:sz="4" w:space="0" w:color="000000"/>
              <w:left w:val="single" w:sz="4" w:space="0" w:color="000000"/>
              <w:bottom w:val="double" w:sz="4" w:space="0" w:color="000000"/>
              <w:right w:val="single" w:sz="4" w:space="0" w:color="000000"/>
            </w:tcBorders>
          </w:tcPr>
          <w:p w14:paraId="4F0B1E6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Creatin</w:t>
            </w:r>
            <w:proofErr w:type="spellEnd"/>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Cinasa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Fracción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Mb</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(CK-</w:t>
            </w:r>
            <w:r>
              <w:rPr>
                <w:rFonts w:ascii="Arial" w:eastAsia="Times New Roman" w:hAnsi="Arial" w:cs="Arial"/>
                <w:spacing w:val="-5"/>
                <w:sz w:val="12"/>
                <w:szCs w:val="12"/>
                <w:lang w:val="es-ES"/>
              </w:rPr>
              <w:t xml:space="preserve"> MB)</w:t>
            </w:r>
          </w:p>
        </w:tc>
        <w:tc>
          <w:tcPr>
            <w:tcW w:w="779" w:type="dxa"/>
            <w:tcBorders>
              <w:top w:val="double" w:sz="4" w:space="0" w:color="000000"/>
              <w:left w:val="single" w:sz="4" w:space="0" w:color="000000"/>
              <w:bottom w:val="double" w:sz="4" w:space="0" w:color="000000"/>
              <w:right w:val="single" w:sz="4" w:space="0" w:color="000000"/>
            </w:tcBorders>
            <w:vAlign w:val="center"/>
          </w:tcPr>
          <w:p w14:paraId="7899754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323549A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81" w:type="dxa"/>
            <w:tcBorders>
              <w:top w:val="double" w:sz="4" w:space="0" w:color="000000"/>
              <w:left w:val="single" w:sz="4" w:space="0" w:color="000000"/>
              <w:bottom w:val="double" w:sz="4" w:space="0" w:color="000000"/>
              <w:right w:val="single" w:sz="4" w:space="0" w:color="000000"/>
            </w:tcBorders>
            <w:vAlign w:val="center"/>
          </w:tcPr>
          <w:p w14:paraId="4156BD12"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79" w:type="dxa"/>
            <w:tcBorders>
              <w:top w:val="double" w:sz="4" w:space="0" w:color="000000"/>
              <w:left w:val="single" w:sz="4" w:space="0" w:color="000000"/>
              <w:bottom w:val="double" w:sz="4" w:space="0" w:color="000000"/>
              <w:right w:val="single" w:sz="4" w:space="0" w:color="000000"/>
            </w:tcBorders>
            <w:vAlign w:val="center"/>
          </w:tcPr>
          <w:p w14:paraId="37A020A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15105FB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30357F5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6463763"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830E0A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049</w:t>
            </w:r>
          </w:p>
        </w:tc>
        <w:tc>
          <w:tcPr>
            <w:tcW w:w="2977" w:type="dxa"/>
            <w:tcBorders>
              <w:top w:val="double" w:sz="4" w:space="0" w:color="000000"/>
              <w:left w:val="single" w:sz="4" w:space="0" w:color="000000"/>
              <w:bottom w:val="double" w:sz="4" w:space="0" w:color="000000"/>
              <w:right w:val="single" w:sz="4" w:space="0" w:color="000000"/>
            </w:tcBorders>
          </w:tcPr>
          <w:p w14:paraId="162836B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Células</w:t>
            </w:r>
            <w:r>
              <w:rPr>
                <w:rFonts w:ascii="Arial" w:eastAsia="Times New Roman" w:hAnsi="Arial" w:cs="Arial"/>
                <w:spacing w:val="-5"/>
                <w:sz w:val="12"/>
                <w:szCs w:val="12"/>
                <w:lang w:val="es-ES"/>
              </w:rPr>
              <w:t xml:space="preserve"> LE</w:t>
            </w:r>
          </w:p>
        </w:tc>
        <w:tc>
          <w:tcPr>
            <w:tcW w:w="779" w:type="dxa"/>
            <w:tcBorders>
              <w:top w:val="double" w:sz="4" w:space="0" w:color="000000"/>
              <w:left w:val="single" w:sz="4" w:space="0" w:color="000000"/>
              <w:bottom w:val="double" w:sz="4" w:space="0" w:color="000000"/>
              <w:right w:val="single" w:sz="4" w:space="0" w:color="000000"/>
            </w:tcBorders>
            <w:vAlign w:val="center"/>
          </w:tcPr>
          <w:p w14:paraId="1FC823F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5C1761A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1" w:type="dxa"/>
            <w:tcBorders>
              <w:top w:val="double" w:sz="4" w:space="0" w:color="000000"/>
              <w:left w:val="single" w:sz="4" w:space="0" w:color="000000"/>
              <w:bottom w:val="double" w:sz="4" w:space="0" w:color="000000"/>
              <w:right w:val="single" w:sz="4" w:space="0" w:color="000000"/>
            </w:tcBorders>
            <w:vAlign w:val="center"/>
          </w:tcPr>
          <w:p w14:paraId="080A886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1720BD5A"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0" w:type="dxa"/>
            <w:tcBorders>
              <w:top w:val="double" w:sz="4" w:space="0" w:color="000000"/>
              <w:left w:val="single" w:sz="4" w:space="0" w:color="000000"/>
              <w:bottom w:val="double" w:sz="4" w:space="0" w:color="000000"/>
              <w:right w:val="single" w:sz="4" w:space="0" w:color="000000"/>
            </w:tcBorders>
            <w:vAlign w:val="center"/>
          </w:tcPr>
          <w:p w14:paraId="5E0CF3E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31F6707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77560FA"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EC7B1D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050</w:t>
            </w:r>
          </w:p>
        </w:tc>
        <w:tc>
          <w:tcPr>
            <w:tcW w:w="2977" w:type="dxa"/>
            <w:tcBorders>
              <w:top w:val="double" w:sz="4" w:space="0" w:color="000000"/>
              <w:left w:val="single" w:sz="4" w:space="0" w:color="000000"/>
              <w:bottom w:val="double" w:sz="4" w:space="0" w:color="000000"/>
              <w:right w:val="single" w:sz="4" w:space="0" w:color="000000"/>
            </w:tcBorders>
          </w:tcPr>
          <w:p w14:paraId="2DFEA65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Citoquimico</w:t>
            </w:r>
            <w:proofErr w:type="spellEnd"/>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6"/>
                <w:sz w:val="12"/>
                <w:szCs w:val="12"/>
                <w:lang w:val="es-ES"/>
              </w:rPr>
              <w:t xml:space="preserve"> </w:t>
            </w:r>
            <w:proofErr w:type="spellStart"/>
            <w:r>
              <w:rPr>
                <w:rFonts w:ascii="Arial" w:eastAsia="Times New Roman" w:hAnsi="Arial" w:cs="Arial"/>
                <w:spacing w:val="-2"/>
                <w:sz w:val="12"/>
                <w:szCs w:val="12"/>
                <w:lang w:val="es-ES"/>
              </w:rPr>
              <w:t>Cefalorraquideo</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1D40A057"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5353F4A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56DEB790"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3934EEE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3EBEA4E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2C8411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33938B1"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D161FF2"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051</w:t>
            </w:r>
          </w:p>
        </w:tc>
        <w:tc>
          <w:tcPr>
            <w:tcW w:w="2977" w:type="dxa"/>
            <w:tcBorders>
              <w:top w:val="double" w:sz="4" w:space="0" w:color="000000"/>
              <w:left w:val="single" w:sz="4" w:space="0" w:color="000000"/>
              <w:bottom w:val="double" w:sz="4" w:space="0" w:color="000000"/>
              <w:right w:val="single" w:sz="4" w:space="0" w:color="000000"/>
            </w:tcBorders>
          </w:tcPr>
          <w:p w14:paraId="54D491E8" w14:textId="77777777" w:rsidR="00D3344B" w:rsidRDefault="00143C25">
            <w:pPr>
              <w:widowControl w:val="0"/>
              <w:suppressAutoHyphens w:val="0"/>
              <w:spacing w:before="57"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Citoquimico</w:t>
            </w:r>
            <w:proofErr w:type="spellEnd"/>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Líquido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Diálisis</w:t>
            </w:r>
          </w:p>
        </w:tc>
        <w:tc>
          <w:tcPr>
            <w:tcW w:w="779" w:type="dxa"/>
            <w:tcBorders>
              <w:top w:val="double" w:sz="4" w:space="0" w:color="000000"/>
              <w:left w:val="single" w:sz="4" w:space="0" w:color="000000"/>
              <w:bottom w:val="double" w:sz="4" w:space="0" w:color="000000"/>
              <w:right w:val="single" w:sz="4" w:space="0" w:color="000000"/>
            </w:tcBorders>
            <w:vAlign w:val="center"/>
          </w:tcPr>
          <w:p w14:paraId="79EE490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4574398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16D0D66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64BEE54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0A6E6176"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479D93B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C95B966"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54083EA"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052</w:t>
            </w:r>
          </w:p>
        </w:tc>
        <w:tc>
          <w:tcPr>
            <w:tcW w:w="2977" w:type="dxa"/>
            <w:tcBorders>
              <w:top w:val="double" w:sz="4" w:space="0" w:color="000000"/>
              <w:left w:val="single" w:sz="4" w:space="0" w:color="000000"/>
              <w:bottom w:val="double" w:sz="4" w:space="0" w:color="000000"/>
              <w:right w:val="single" w:sz="4" w:space="0" w:color="000000"/>
            </w:tcBorders>
          </w:tcPr>
          <w:p w14:paraId="571188E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Colesterol</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Alta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Densidad</w:t>
            </w:r>
            <w:r>
              <w:rPr>
                <w:rFonts w:ascii="Arial" w:eastAsia="Times New Roman" w:hAnsi="Arial" w:cs="Arial"/>
                <w:spacing w:val="-6"/>
                <w:sz w:val="12"/>
                <w:szCs w:val="12"/>
                <w:lang w:val="es-ES"/>
              </w:rPr>
              <w:t xml:space="preserve"> </w:t>
            </w:r>
            <w:r>
              <w:rPr>
                <w:rFonts w:ascii="Arial" w:eastAsia="Times New Roman" w:hAnsi="Arial" w:cs="Arial"/>
                <w:spacing w:val="-4"/>
                <w:sz w:val="12"/>
                <w:szCs w:val="12"/>
                <w:lang w:val="es-ES"/>
              </w:rPr>
              <w:t>(HDL)</w:t>
            </w:r>
          </w:p>
        </w:tc>
        <w:tc>
          <w:tcPr>
            <w:tcW w:w="779" w:type="dxa"/>
            <w:tcBorders>
              <w:top w:val="double" w:sz="4" w:space="0" w:color="000000"/>
              <w:left w:val="single" w:sz="4" w:space="0" w:color="000000"/>
              <w:bottom w:val="double" w:sz="4" w:space="0" w:color="000000"/>
              <w:right w:val="single" w:sz="4" w:space="0" w:color="000000"/>
            </w:tcBorders>
            <w:vAlign w:val="center"/>
          </w:tcPr>
          <w:p w14:paraId="56BD7E5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3EA50F46"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5D47BC5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2410E2C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36D95E6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4C06D13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5775107"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56F6464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053</w:t>
            </w:r>
          </w:p>
        </w:tc>
        <w:tc>
          <w:tcPr>
            <w:tcW w:w="2977" w:type="dxa"/>
            <w:tcBorders>
              <w:top w:val="double" w:sz="4" w:space="0" w:color="000000"/>
              <w:left w:val="single" w:sz="4" w:space="0" w:color="000000"/>
              <w:bottom w:val="double" w:sz="4" w:space="0" w:color="000000"/>
              <w:right w:val="single" w:sz="4" w:space="0" w:color="000000"/>
            </w:tcBorders>
          </w:tcPr>
          <w:p w14:paraId="40F33C4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Colesterol</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Baja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Densidad</w:t>
            </w:r>
            <w:r>
              <w:rPr>
                <w:rFonts w:ascii="Arial" w:eastAsia="Times New Roman" w:hAnsi="Arial" w:cs="Arial"/>
                <w:spacing w:val="-4"/>
                <w:sz w:val="12"/>
                <w:szCs w:val="12"/>
                <w:lang w:val="es-ES"/>
              </w:rPr>
              <w:t xml:space="preserve"> (LDL)</w:t>
            </w:r>
          </w:p>
        </w:tc>
        <w:tc>
          <w:tcPr>
            <w:tcW w:w="779" w:type="dxa"/>
            <w:tcBorders>
              <w:top w:val="double" w:sz="4" w:space="0" w:color="000000"/>
              <w:left w:val="single" w:sz="4" w:space="0" w:color="000000"/>
              <w:bottom w:val="double" w:sz="4" w:space="0" w:color="000000"/>
              <w:right w:val="single" w:sz="4" w:space="0" w:color="000000"/>
            </w:tcBorders>
            <w:vAlign w:val="center"/>
          </w:tcPr>
          <w:p w14:paraId="4E5B6C5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24593B6D"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0E497FF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34BE14F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7B38494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3961514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756AF2F"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2D6C63A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054</w:t>
            </w:r>
          </w:p>
        </w:tc>
        <w:tc>
          <w:tcPr>
            <w:tcW w:w="2977" w:type="dxa"/>
            <w:tcBorders>
              <w:top w:val="double" w:sz="4" w:space="0" w:color="000000"/>
              <w:left w:val="single" w:sz="4" w:space="0" w:color="000000"/>
              <w:bottom w:val="double" w:sz="4" w:space="0" w:color="000000"/>
              <w:right w:val="single" w:sz="4" w:space="0" w:color="000000"/>
            </w:tcBorders>
          </w:tcPr>
          <w:p w14:paraId="32376C3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Lípidos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(C.T.</w:t>
            </w:r>
            <w:r>
              <w:rPr>
                <w:rFonts w:ascii="Arial" w:eastAsia="Times New Roman" w:hAnsi="Arial" w:cs="Arial"/>
                <w:spacing w:val="-6"/>
                <w:sz w:val="12"/>
                <w:szCs w:val="12"/>
                <w:lang w:val="es-ES"/>
              </w:rPr>
              <w:t xml:space="preserve"> </w:t>
            </w:r>
            <w:proofErr w:type="spellStart"/>
            <w:r>
              <w:rPr>
                <w:rFonts w:ascii="Arial" w:eastAsia="Times New Roman" w:hAnsi="Arial" w:cs="Arial"/>
                <w:sz w:val="12"/>
                <w:szCs w:val="12"/>
                <w:lang w:val="es-ES"/>
              </w:rPr>
              <w:t>Trig</w:t>
            </w:r>
            <w:proofErr w:type="spellEnd"/>
            <w:r>
              <w:rPr>
                <w:rFonts w:ascii="Arial" w:eastAsia="Times New Roman" w:hAnsi="Arial" w:cs="Arial"/>
                <w:sz w:val="12"/>
                <w:szCs w:val="12"/>
                <w:lang w:val="es-ES"/>
              </w:rPr>
              <w:t>.</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HL,</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LDL,</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VLDL)</w:t>
            </w:r>
          </w:p>
        </w:tc>
        <w:tc>
          <w:tcPr>
            <w:tcW w:w="779" w:type="dxa"/>
            <w:tcBorders>
              <w:top w:val="double" w:sz="4" w:space="0" w:color="000000"/>
              <w:left w:val="single" w:sz="4" w:space="0" w:color="000000"/>
              <w:bottom w:val="double" w:sz="4" w:space="0" w:color="000000"/>
              <w:right w:val="single" w:sz="4" w:space="0" w:color="000000"/>
            </w:tcBorders>
            <w:vAlign w:val="center"/>
          </w:tcPr>
          <w:p w14:paraId="133F211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77E5688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36E75EC7"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652BD56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5DA7AE55"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04D7D6C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A9C6100"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038B8EB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055</w:t>
            </w:r>
          </w:p>
        </w:tc>
        <w:tc>
          <w:tcPr>
            <w:tcW w:w="2977" w:type="dxa"/>
            <w:tcBorders>
              <w:top w:val="double" w:sz="4" w:space="0" w:color="000000"/>
              <w:left w:val="single" w:sz="4" w:space="0" w:color="000000"/>
              <w:bottom w:val="double" w:sz="4" w:space="0" w:color="000000"/>
              <w:right w:val="single" w:sz="4" w:space="0" w:color="000000"/>
            </w:tcBorders>
          </w:tcPr>
          <w:p w14:paraId="1BEDF65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COOMBS</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Directo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(Ac.</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Rh</w:t>
            </w:r>
            <w:r>
              <w:rPr>
                <w:rFonts w:ascii="Arial" w:eastAsia="Times New Roman" w:hAnsi="Arial" w:cs="Arial"/>
                <w:spacing w:val="-2"/>
                <w:sz w:val="12"/>
                <w:szCs w:val="12"/>
                <w:lang w:val="es-ES"/>
              </w:rPr>
              <w:t xml:space="preserve"> Eritrocitarios)</w:t>
            </w:r>
          </w:p>
        </w:tc>
        <w:tc>
          <w:tcPr>
            <w:tcW w:w="779" w:type="dxa"/>
            <w:tcBorders>
              <w:top w:val="double" w:sz="4" w:space="0" w:color="000000"/>
              <w:left w:val="single" w:sz="4" w:space="0" w:color="000000"/>
              <w:bottom w:val="double" w:sz="4" w:space="0" w:color="000000"/>
              <w:right w:val="single" w:sz="4" w:space="0" w:color="000000"/>
            </w:tcBorders>
            <w:vAlign w:val="center"/>
          </w:tcPr>
          <w:p w14:paraId="1311345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1612A0D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1" w:type="dxa"/>
            <w:tcBorders>
              <w:top w:val="double" w:sz="4" w:space="0" w:color="000000"/>
              <w:left w:val="single" w:sz="4" w:space="0" w:color="000000"/>
              <w:bottom w:val="double" w:sz="4" w:space="0" w:color="000000"/>
              <w:right w:val="single" w:sz="4" w:space="0" w:color="000000"/>
            </w:tcBorders>
            <w:vAlign w:val="center"/>
          </w:tcPr>
          <w:p w14:paraId="63B01AE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76054431"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43160D0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3FFF924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3FB5E40"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C420C5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056</w:t>
            </w:r>
          </w:p>
        </w:tc>
        <w:tc>
          <w:tcPr>
            <w:tcW w:w="2977" w:type="dxa"/>
            <w:tcBorders>
              <w:top w:val="double" w:sz="4" w:space="0" w:color="000000"/>
              <w:left w:val="single" w:sz="4" w:space="0" w:color="000000"/>
              <w:bottom w:val="double" w:sz="4" w:space="0" w:color="000000"/>
              <w:right w:val="single" w:sz="4" w:space="0" w:color="000000"/>
            </w:tcBorders>
          </w:tcPr>
          <w:p w14:paraId="3CE099E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COOMBS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Indirecto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(Ac.</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Rh</w:t>
            </w:r>
            <w:r>
              <w:rPr>
                <w:rFonts w:ascii="Arial" w:eastAsia="Times New Roman" w:hAnsi="Arial" w:cs="Arial"/>
                <w:spacing w:val="-3"/>
                <w:sz w:val="12"/>
                <w:szCs w:val="12"/>
                <w:lang w:val="es-ES"/>
              </w:rPr>
              <w:t xml:space="preserve"> </w:t>
            </w:r>
            <w:proofErr w:type="spellStart"/>
            <w:r>
              <w:rPr>
                <w:rFonts w:ascii="Arial" w:eastAsia="Times New Roman" w:hAnsi="Arial" w:cs="Arial"/>
                <w:spacing w:val="-2"/>
                <w:sz w:val="12"/>
                <w:szCs w:val="12"/>
                <w:lang w:val="es-ES"/>
              </w:rPr>
              <w:t>Sericos</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0F7C4E25"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0" w:type="dxa"/>
            <w:tcBorders>
              <w:top w:val="double" w:sz="4" w:space="0" w:color="000000"/>
              <w:left w:val="single" w:sz="4" w:space="0" w:color="000000"/>
              <w:bottom w:val="double" w:sz="4" w:space="0" w:color="000000"/>
              <w:right w:val="single" w:sz="4" w:space="0" w:color="000000"/>
            </w:tcBorders>
            <w:vAlign w:val="center"/>
          </w:tcPr>
          <w:p w14:paraId="2ECE8928"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1" w:type="dxa"/>
            <w:tcBorders>
              <w:top w:val="double" w:sz="4" w:space="0" w:color="000000"/>
              <w:left w:val="single" w:sz="4" w:space="0" w:color="000000"/>
              <w:bottom w:val="double" w:sz="4" w:space="0" w:color="000000"/>
              <w:right w:val="single" w:sz="4" w:space="0" w:color="000000"/>
            </w:tcBorders>
            <w:vAlign w:val="center"/>
          </w:tcPr>
          <w:p w14:paraId="44708159"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2B1F078E"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60718C5B" w14:textId="77777777" w:rsidR="00D3344B" w:rsidRDefault="00143C25">
            <w:pPr>
              <w:widowControl w:val="0"/>
              <w:suppressAutoHyphens w:val="0"/>
              <w:spacing w:before="110"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7F225A9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2C6AF91"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3D5BAB05"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057</w:t>
            </w:r>
          </w:p>
        </w:tc>
        <w:tc>
          <w:tcPr>
            <w:tcW w:w="2977" w:type="dxa"/>
            <w:tcBorders>
              <w:top w:val="double" w:sz="4" w:space="0" w:color="000000"/>
              <w:left w:val="single" w:sz="4" w:space="0" w:color="000000"/>
              <w:bottom w:val="double" w:sz="4" w:space="0" w:color="000000"/>
              <w:right w:val="single" w:sz="4" w:space="0" w:color="000000"/>
            </w:tcBorders>
          </w:tcPr>
          <w:p w14:paraId="00BCBCA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Hormona</w:t>
            </w:r>
            <w:r>
              <w:rPr>
                <w:rFonts w:ascii="Arial" w:eastAsia="Times New Roman" w:hAnsi="Arial" w:cs="Arial"/>
                <w:spacing w:val="10"/>
                <w:sz w:val="12"/>
                <w:szCs w:val="12"/>
                <w:lang w:val="es-ES"/>
              </w:rPr>
              <w:t xml:space="preserve"> </w:t>
            </w:r>
            <w:proofErr w:type="spellStart"/>
            <w:r>
              <w:rPr>
                <w:rFonts w:ascii="Arial" w:eastAsia="Times New Roman" w:hAnsi="Arial" w:cs="Arial"/>
                <w:spacing w:val="-2"/>
                <w:sz w:val="12"/>
                <w:szCs w:val="12"/>
                <w:lang w:val="es-ES"/>
              </w:rPr>
              <w:t>Gonodotropina</w:t>
            </w:r>
            <w:proofErr w:type="spellEnd"/>
            <w:r>
              <w:rPr>
                <w:rFonts w:ascii="Arial" w:eastAsia="Times New Roman" w:hAnsi="Arial" w:cs="Arial"/>
                <w:spacing w:val="10"/>
                <w:sz w:val="12"/>
                <w:szCs w:val="12"/>
                <w:lang w:val="es-ES"/>
              </w:rPr>
              <w:t xml:space="preserve"> </w:t>
            </w:r>
            <w:proofErr w:type="spellStart"/>
            <w:r>
              <w:rPr>
                <w:rFonts w:ascii="Arial" w:eastAsia="Times New Roman" w:hAnsi="Arial" w:cs="Arial"/>
                <w:spacing w:val="-2"/>
                <w:sz w:val="12"/>
                <w:szCs w:val="12"/>
                <w:lang w:val="es-ES"/>
              </w:rPr>
              <w:t>Carionica</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639D2FD9"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2.30</w:t>
            </w:r>
          </w:p>
        </w:tc>
        <w:tc>
          <w:tcPr>
            <w:tcW w:w="780" w:type="dxa"/>
            <w:tcBorders>
              <w:top w:val="double" w:sz="4" w:space="0" w:color="000000"/>
              <w:left w:val="single" w:sz="4" w:space="0" w:color="000000"/>
              <w:bottom w:val="double" w:sz="4" w:space="0" w:color="000000"/>
              <w:right w:val="single" w:sz="4" w:space="0" w:color="000000"/>
            </w:tcBorders>
            <w:vAlign w:val="center"/>
          </w:tcPr>
          <w:p w14:paraId="20417CFD"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81" w:type="dxa"/>
            <w:tcBorders>
              <w:top w:val="double" w:sz="4" w:space="0" w:color="000000"/>
              <w:left w:val="single" w:sz="4" w:space="0" w:color="000000"/>
              <w:bottom w:val="double" w:sz="4" w:space="0" w:color="000000"/>
              <w:right w:val="single" w:sz="4" w:space="0" w:color="000000"/>
            </w:tcBorders>
            <w:vAlign w:val="center"/>
          </w:tcPr>
          <w:p w14:paraId="0B64BD18"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32B70AA0"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331F6BD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double" w:sz="4" w:space="0" w:color="000000"/>
              <w:left w:val="single" w:sz="4" w:space="0" w:color="000000"/>
              <w:bottom w:val="double" w:sz="4" w:space="0" w:color="000000"/>
              <w:right w:val="single" w:sz="4" w:space="0" w:color="000000"/>
            </w:tcBorders>
            <w:vAlign w:val="center"/>
          </w:tcPr>
          <w:p w14:paraId="577947D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CD3518B"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B4A360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058</w:t>
            </w:r>
          </w:p>
        </w:tc>
        <w:tc>
          <w:tcPr>
            <w:tcW w:w="2977" w:type="dxa"/>
            <w:tcBorders>
              <w:top w:val="double" w:sz="4" w:space="0" w:color="000000"/>
              <w:left w:val="single" w:sz="4" w:space="0" w:color="000000"/>
              <w:bottom w:val="double" w:sz="4" w:space="0" w:color="000000"/>
              <w:right w:val="single" w:sz="4" w:space="0" w:color="000000"/>
            </w:tcBorders>
          </w:tcPr>
          <w:p w14:paraId="69086B8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z w:val="12"/>
                <w:szCs w:val="12"/>
                <w:lang w:val="es-ES"/>
              </w:rPr>
              <w:t>Dehidrogenasa</w:t>
            </w:r>
            <w:proofErr w:type="spellEnd"/>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Láctica</w:t>
            </w:r>
            <w:r>
              <w:rPr>
                <w:rFonts w:ascii="Arial" w:eastAsia="Times New Roman" w:hAnsi="Arial" w:cs="Arial"/>
                <w:spacing w:val="25"/>
                <w:sz w:val="12"/>
                <w:szCs w:val="12"/>
                <w:lang w:val="es-ES"/>
              </w:rPr>
              <w:t xml:space="preserve"> </w:t>
            </w:r>
            <w:r>
              <w:rPr>
                <w:rFonts w:ascii="Arial" w:eastAsia="Times New Roman" w:hAnsi="Arial" w:cs="Arial"/>
                <w:spacing w:val="-4"/>
                <w:sz w:val="12"/>
                <w:szCs w:val="12"/>
                <w:lang w:val="es-ES"/>
              </w:rPr>
              <w:t>(DHL)</w:t>
            </w:r>
          </w:p>
        </w:tc>
        <w:tc>
          <w:tcPr>
            <w:tcW w:w="779" w:type="dxa"/>
            <w:tcBorders>
              <w:top w:val="double" w:sz="4" w:space="0" w:color="000000"/>
              <w:left w:val="single" w:sz="4" w:space="0" w:color="000000"/>
              <w:bottom w:val="double" w:sz="4" w:space="0" w:color="000000"/>
              <w:right w:val="single" w:sz="4" w:space="0" w:color="000000"/>
            </w:tcBorders>
            <w:vAlign w:val="center"/>
          </w:tcPr>
          <w:p w14:paraId="0312464F"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6F1FE883"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3627E30D"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333E4510"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76EC3A65"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5F892EB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95EF01"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1EC1A8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059</w:t>
            </w:r>
          </w:p>
        </w:tc>
        <w:tc>
          <w:tcPr>
            <w:tcW w:w="2977" w:type="dxa"/>
            <w:tcBorders>
              <w:top w:val="double" w:sz="4" w:space="0" w:color="000000"/>
              <w:left w:val="single" w:sz="4" w:space="0" w:color="000000"/>
              <w:bottom w:val="double" w:sz="4" w:space="0" w:color="000000"/>
              <w:right w:val="single" w:sz="4" w:space="0" w:color="000000"/>
            </w:tcBorders>
          </w:tcPr>
          <w:p w14:paraId="19C1E55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DEPURACIÓN</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CREATININA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ORINA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24</w:t>
            </w:r>
            <w:r>
              <w:rPr>
                <w:rFonts w:ascii="Arial" w:eastAsia="Times New Roman" w:hAnsi="Arial" w:cs="Arial"/>
                <w:spacing w:val="-4"/>
                <w:sz w:val="12"/>
                <w:szCs w:val="12"/>
                <w:lang w:val="es-ES"/>
              </w:rPr>
              <w:t xml:space="preserve"> </w:t>
            </w:r>
            <w:proofErr w:type="spellStart"/>
            <w:r>
              <w:rPr>
                <w:rFonts w:ascii="Arial" w:eastAsia="Times New Roman" w:hAnsi="Arial" w:cs="Arial"/>
                <w:spacing w:val="-5"/>
                <w:sz w:val="12"/>
                <w:szCs w:val="12"/>
                <w:lang w:val="es-ES"/>
              </w:rPr>
              <w:t>Hr</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3E87F49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0" w:type="dxa"/>
            <w:tcBorders>
              <w:top w:val="double" w:sz="4" w:space="0" w:color="000000"/>
              <w:left w:val="single" w:sz="4" w:space="0" w:color="000000"/>
              <w:bottom w:val="double" w:sz="4" w:space="0" w:color="000000"/>
              <w:right w:val="single" w:sz="4" w:space="0" w:color="000000"/>
            </w:tcBorders>
            <w:vAlign w:val="center"/>
          </w:tcPr>
          <w:p w14:paraId="00BF820E"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1" w:type="dxa"/>
            <w:tcBorders>
              <w:top w:val="double" w:sz="4" w:space="0" w:color="000000"/>
              <w:left w:val="single" w:sz="4" w:space="0" w:color="000000"/>
              <w:bottom w:val="double" w:sz="4" w:space="0" w:color="000000"/>
              <w:right w:val="single" w:sz="4" w:space="0" w:color="000000"/>
            </w:tcBorders>
            <w:vAlign w:val="center"/>
          </w:tcPr>
          <w:p w14:paraId="4DECF8D9"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7138BA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63E15D68"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57C953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63C32FF"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FFEE376"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03-AC-</w:t>
            </w:r>
            <w:r>
              <w:rPr>
                <w:rFonts w:ascii="Arial" w:eastAsia="Times New Roman" w:hAnsi="Arial" w:cs="Arial"/>
                <w:spacing w:val="-5"/>
                <w:sz w:val="12"/>
                <w:szCs w:val="12"/>
                <w:lang w:val="es-ES"/>
              </w:rPr>
              <w:t>060</w:t>
            </w:r>
          </w:p>
        </w:tc>
        <w:tc>
          <w:tcPr>
            <w:tcW w:w="2977" w:type="dxa"/>
            <w:tcBorders>
              <w:top w:val="double" w:sz="4" w:space="0" w:color="000000"/>
              <w:left w:val="single" w:sz="4" w:space="0" w:color="000000"/>
              <w:bottom w:val="double" w:sz="4" w:space="0" w:color="000000"/>
              <w:right w:val="single" w:sz="4" w:space="0" w:color="000000"/>
            </w:tcBorders>
          </w:tcPr>
          <w:p w14:paraId="00690781" w14:textId="77777777" w:rsidR="00D3344B" w:rsidRDefault="00143C25">
            <w:pPr>
              <w:widowControl w:val="0"/>
              <w:suppressAutoHyphens w:val="0"/>
              <w:spacing w:before="57"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Espermatobioscopia</w:t>
            </w:r>
            <w:proofErr w:type="spellEnd"/>
            <w:r>
              <w:rPr>
                <w:rFonts w:ascii="Arial" w:eastAsia="Times New Roman" w:hAnsi="Arial" w:cs="Arial"/>
                <w:spacing w:val="12"/>
                <w:sz w:val="12"/>
                <w:szCs w:val="12"/>
                <w:lang w:val="es-ES"/>
              </w:rPr>
              <w:t xml:space="preserve"> </w:t>
            </w:r>
            <w:r>
              <w:rPr>
                <w:rFonts w:ascii="Arial" w:eastAsia="Times New Roman" w:hAnsi="Arial" w:cs="Arial"/>
                <w:spacing w:val="-2"/>
                <w:sz w:val="12"/>
                <w:szCs w:val="12"/>
                <w:lang w:val="es-ES"/>
              </w:rPr>
              <w:t>Directa</w:t>
            </w:r>
            <w:r>
              <w:rPr>
                <w:rFonts w:ascii="Arial" w:eastAsia="Times New Roman" w:hAnsi="Arial" w:cs="Arial"/>
                <w:spacing w:val="16"/>
                <w:sz w:val="12"/>
                <w:szCs w:val="12"/>
                <w:lang w:val="es-ES"/>
              </w:rPr>
              <w:t xml:space="preserve"> </w:t>
            </w:r>
            <w:r>
              <w:rPr>
                <w:rFonts w:ascii="Arial" w:eastAsia="Times New Roman" w:hAnsi="Arial" w:cs="Arial"/>
                <w:spacing w:val="-4"/>
                <w:sz w:val="12"/>
                <w:szCs w:val="12"/>
                <w:lang w:val="es-ES"/>
              </w:rPr>
              <w:t>(EBD)</w:t>
            </w:r>
          </w:p>
        </w:tc>
        <w:tc>
          <w:tcPr>
            <w:tcW w:w="779" w:type="dxa"/>
            <w:tcBorders>
              <w:top w:val="double" w:sz="4" w:space="0" w:color="000000"/>
              <w:left w:val="single" w:sz="4" w:space="0" w:color="000000"/>
              <w:bottom w:val="double" w:sz="4" w:space="0" w:color="000000"/>
              <w:right w:val="single" w:sz="4" w:space="0" w:color="000000"/>
            </w:tcBorders>
            <w:vAlign w:val="center"/>
          </w:tcPr>
          <w:p w14:paraId="585186FA"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4AB3F79E"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1" w:type="dxa"/>
            <w:tcBorders>
              <w:top w:val="double" w:sz="4" w:space="0" w:color="000000"/>
              <w:left w:val="single" w:sz="4" w:space="0" w:color="000000"/>
              <w:bottom w:val="double" w:sz="4" w:space="0" w:color="000000"/>
              <w:right w:val="single" w:sz="4" w:space="0" w:color="000000"/>
            </w:tcBorders>
            <w:vAlign w:val="center"/>
          </w:tcPr>
          <w:p w14:paraId="752F459B"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79" w:type="dxa"/>
            <w:tcBorders>
              <w:top w:val="double" w:sz="4" w:space="0" w:color="000000"/>
              <w:left w:val="single" w:sz="4" w:space="0" w:color="000000"/>
              <w:bottom w:val="double" w:sz="4" w:space="0" w:color="000000"/>
              <w:right w:val="single" w:sz="4" w:space="0" w:color="000000"/>
            </w:tcBorders>
            <w:vAlign w:val="center"/>
          </w:tcPr>
          <w:p w14:paraId="318E4A03"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3ABA34EC" w14:textId="77777777" w:rsidR="00D3344B" w:rsidRDefault="00143C25">
            <w:pPr>
              <w:widowControl w:val="0"/>
              <w:suppressAutoHyphens w:val="0"/>
              <w:spacing w:before="108" w:after="0" w:line="159"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148D27C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5A9CF22"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E7D267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061</w:t>
            </w:r>
          </w:p>
        </w:tc>
        <w:tc>
          <w:tcPr>
            <w:tcW w:w="2977" w:type="dxa"/>
            <w:tcBorders>
              <w:top w:val="double" w:sz="4" w:space="0" w:color="000000"/>
              <w:left w:val="single" w:sz="4" w:space="0" w:color="000000"/>
              <w:bottom w:val="double" w:sz="4" w:space="0" w:color="000000"/>
              <w:right w:val="single" w:sz="4" w:space="0" w:color="000000"/>
            </w:tcBorders>
          </w:tcPr>
          <w:p w14:paraId="3239AE8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Fibrinogeno</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69E917D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2E4509D9"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299782C7"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3480E7EE"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504E74EB" w14:textId="77777777" w:rsidR="00D3344B" w:rsidRDefault="00143C25">
            <w:pPr>
              <w:widowControl w:val="0"/>
              <w:suppressAutoHyphens w:val="0"/>
              <w:spacing w:before="108"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6CE844F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00130F1"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7E7C0F4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062</w:t>
            </w:r>
          </w:p>
        </w:tc>
        <w:tc>
          <w:tcPr>
            <w:tcW w:w="2977" w:type="dxa"/>
            <w:tcBorders>
              <w:top w:val="double" w:sz="4" w:space="0" w:color="000000"/>
              <w:left w:val="single" w:sz="4" w:space="0" w:color="000000"/>
              <w:bottom w:val="double" w:sz="4" w:space="0" w:color="000000"/>
              <w:right w:val="single" w:sz="4" w:space="0" w:color="000000"/>
            </w:tcBorders>
          </w:tcPr>
          <w:p w14:paraId="7864403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Fosfatasa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Ácida</w:t>
            </w:r>
          </w:p>
        </w:tc>
        <w:tc>
          <w:tcPr>
            <w:tcW w:w="779" w:type="dxa"/>
            <w:tcBorders>
              <w:top w:val="double" w:sz="4" w:space="0" w:color="000000"/>
              <w:left w:val="single" w:sz="4" w:space="0" w:color="000000"/>
              <w:bottom w:val="double" w:sz="4" w:space="0" w:color="000000"/>
              <w:right w:val="single" w:sz="4" w:space="0" w:color="000000"/>
            </w:tcBorders>
            <w:vAlign w:val="center"/>
          </w:tcPr>
          <w:p w14:paraId="3901256C"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7C05822A"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1" w:type="dxa"/>
            <w:tcBorders>
              <w:top w:val="double" w:sz="4" w:space="0" w:color="000000"/>
              <w:left w:val="single" w:sz="4" w:space="0" w:color="000000"/>
              <w:bottom w:val="double" w:sz="4" w:space="0" w:color="000000"/>
              <w:right w:val="single" w:sz="4" w:space="0" w:color="000000"/>
            </w:tcBorders>
            <w:vAlign w:val="center"/>
          </w:tcPr>
          <w:p w14:paraId="7A5F6E9B"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A231922"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6F880BAF" w14:textId="77777777" w:rsidR="00D3344B" w:rsidRDefault="00143C25">
            <w:pPr>
              <w:widowControl w:val="0"/>
              <w:suppressAutoHyphens w:val="0"/>
              <w:spacing w:before="109"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79" w:type="dxa"/>
            <w:tcBorders>
              <w:top w:val="double" w:sz="4" w:space="0" w:color="000000"/>
              <w:left w:val="single" w:sz="4" w:space="0" w:color="000000"/>
              <w:bottom w:val="double" w:sz="4" w:space="0" w:color="000000"/>
              <w:right w:val="single" w:sz="4" w:space="0" w:color="000000"/>
            </w:tcBorders>
            <w:vAlign w:val="center"/>
          </w:tcPr>
          <w:p w14:paraId="51352CB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9EFF4FF" w14:textId="77777777">
        <w:trPr>
          <w:trHeight w:val="298"/>
        </w:trPr>
        <w:tc>
          <w:tcPr>
            <w:tcW w:w="1106" w:type="dxa"/>
            <w:tcBorders>
              <w:top w:val="double" w:sz="4" w:space="0" w:color="000000"/>
              <w:left w:val="single" w:sz="4" w:space="0" w:color="000000"/>
              <w:bottom w:val="single" w:sz="4" w:space="0" w:color="000000"/>
              <w:right w:val="single" w:sz="4" w:space="0" w:color="000000"/>
            </w:tcBorders>
          </w:tcPr>
          <w:p w14:paraId="48BF3377"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063</w:t>
            </w:r>
          </w:p>
        </w:tc>
        <w:tc>
          <w:tcPr>
            <w:tcW w:w="2977" w:type="dxa"/>
            <w:tcBorders>
              <w:top w:val="double" w:sz="4" w:space="0" w:color="000000"/>
              <w:left w:val="single" w:sz="4" w:space="0" w:color="000000"/>
              <w:bottom w:val="single" w:sz="4" w:space="0" w:color="000000"/>
              <w:right w:val="single" w:sz="4" w:space="0" w:color="000000"/>
            </w:tcBorders>
          </w:tcPr>
          <w:p w14:paraId="6A26329F" w14:textId="77777777" w:rsidR="00D3344B" w:rsidRDefault="00143C25">
            <w:pPr>
              <w:widowControl w:val="0"/>
              <w:suppressAutoHyphens w:val="0"/>
              <w:spacing w:before="57" w:after="0" w:line="240" w:lineRule="auto"/>
              <w:rPr>
                <w:rFonts w:ascii="Arial" w:eastAsia="Times New Roman" w:hAnsi="Arial" w:cs="Arial"/>
                <w:sz w:val="12"/>
                <w:szCs w:val="12"/>
                <w:lang w:val="es-ES"/>
              </w:rPr>
            </w:pPr>
            <w:r>
              <w:rPr>
                <w:rFonts w:ascii="Arial" w:eastAsia="Times New Roman" w:hAnsi="Arial" w:cs="Arial"/>
                <w:sz w:val="12"/>
                <w:szCs w:val="12"/>
                <w:lang w:val="es-ES"/>
              </w:rPr>
              <w:t>Fósforo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Sérico</w:t>
            </w:r>
          </w:p>
        </w:tc>
        <w:tc>
          <w:tcPr>
            <w:tcW w:w="779" w:type="dxa"/>
            <w:tcBorders>
              <w:top w:val="double" w:sz="4" w:space="0" w:color="000000"/>
              <w:left w:val="single" w:sz="4" w:space="0" w:color="000000"/>
              <w:bottom w:val="single" w:sz="4" w:space="0" w:color="000000"/>
              <w:right w:val="single" w:sz="4" w:space="0" w:color="000000"/>
            </w:tcBorders>
            <w:vAlign w:val="center"/>
          </w:tcPr>
          <w:p w14:paraId="5670F605"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single" w:sz="4" w:space="0" w:color="000000"/>
              <w:right w:val="single" w:sz="4" w:space="0" w:color="000000"/>
            </w:tcBorders>
            <w:vAlign w:val="center"/>
          </w:tcPr>
          <w:p w14:paraId="469B0C1C"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1" w:type="dxa"/>
            <w:tcBorders>
              <w:top w:val="double" w:sz="4" w:space="0" w:color="000000"/>
              <w:left w:val="single" w:sz="4" w:space="0" w:color="000000"/>
              <w:bottom w:val="single" w:sz="4" w:space="0" w:color="000000"/>
              <w:right w:val="single" w:sz="4" w:space="0" w:color="000000"/>
            </w:tcBorders>
            <w:vAlign w:val="center"/>
          </w:tcPr>
          <w:p w14:paraId="452C7666"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single" w:sz="4" w:space="0" w:color="000000"/>
              <w:right w:val="single" w:sz="4" w:space="0" w:color="000000"/>
            </w:tcBorders>
            <w:vAlign w:val="center"/>
          </w:tcPr>
          <w:p w14:paraId="55C6F3EE"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single" w:sz="4" w:space="0" w:color="000000"/>
              <w:right w:val="single" w:sz="4" w:space="0" w:color="000000"/>
            </w:tcBorders>
            <w:vAlign w:val="center"/>
          </w:tcPr>
          <w:p w14:paraId="4C88D93C" w14:textId="77777777" w:rsidR="00D3344B" w:rsidRDefault="00143C25">
            <w:pPr>
              <w:widowControl w:val="0"/>
              <w:suppressAutoHyphens w:val="0"/>
              <w:spacing w:before="108"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single" w:sz="4" w:space="0" w:color="000000"/>
              <w:right w:val="single" w:sz="4" w:space="0" w:color="000000"/>
            </w:tcBorders>
            <w:vAlign w:val="center"/>
          </w:tcPr>
          <w:p w14:paraId="3902C29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0ABDFBE" w14:textId="77777777">
        <w:trPr>
          <w:trHeight w:val="286"/>
        </w:trPr>
        <w:tc>
          <w:tcPr>
            <w:tcW w:w="1106" w:type="dxa"/>
            <w:tcBorders>
              <w:top w:val="single" w:sz="4" w:space="0" w:color="000000"/>
              <w:left w:val="single" w:sz="4" w:space="0" w:color="000000"/>
              <w:bottom w:val="double" w:sz="4" w:space="0" w:color="000000"/>
              <w:right w:val="single" w:sz="4" w:space="0" w:color="000000"/>
            </w:tcBorders>
          </w:tcPr>
          <w:p w14:paraId="4596A1D2"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064</w:t>
            </w:r>
          </w:p>
        </w:tc>
        <w:tc>
          <w:tcPr>
            <w:tcW w:w="2977" w:type="dxa"/>
            <w:tcBorders>
              <w:top w:val="single" w:sz="4" w:space="0" w:color="000000"/>
              <w:left w:val="single" w:sz="4" w:space="0" w:color="000000"/>
              <w:bottom w:val="double" w:sz="4" w:space="0" w:color="000000"/>
              <w:right w:val="single" w:sz="4" w:space="0" w:color="000000"/>
            </w:tcBorders>
          </w:tcPr>
          <w:p w14:paraId="3ECABE32"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Magnesio</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Sérico</w:t>
            </w:r>
          </w:p>
        </w:tc>
        <w:tc>
          <w:tcPr>
            <w:tcW w:w="779" w:type="dxa"/>
            <w:tcBorders>
              <w:top w:val="single" w:sz="4" w:space="0" w:color="000000"/>
              <w:left w:val="single" w:sz="4" w:space="0" w:color="000000"/>
              <w:bottom w:val="double" w:sz="4" w:space="0" w:color="000000"/>
              <w:right w:val="single" w:sz="4" w:space="0" w:color="000000"/>
            </w:tcBorders>
            <w:vAlign w:val="center"/>
          </w:tcPr>
          <w:p w14:paraId="02EF53E4" w14:textId="77777777" w:rsidR="00D3344B" w:rsidRDefault="00143C25">
            <w:pPr>
              <w:widowControl w:val="0"/>
              <w:suppressAutoHyphens w:val="0"/>
              <w:spacing w:before="109" w:after="0" w:line="157"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single" w:sz="4" w:space="0" w:color="000000"/>
              <w:left w:val="single" w:sz="4" w:space="0" w:color="000000"/>
              <w:bottom w:val="double" w:sz="4" w:space="0" w:color="000000"/>
              <w:right w:val="single" w:sz="4" w:space="0" w:color="000000"/>
            </w:tcBorders>
            <w:vAlign w:val="center"/>
          </w:tcPr>
          <w:p w14:paraId="32720F7F" w14:textId="77777777" w:rsidR="00D3344B" w:rsidRDefault="00143C25">
            <w:pPr>
              <w:widowControl w:val="0"/>
              <w:suppressAutoHyphens w:val="0"/>
              <w:spacing w:before="109" w:after="0" w:line="157"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1" w:type="dxa"/>
            <w:tcBorders>
              <w:top w:val="single" w:sz="4" w:space="0" w:color="000000"/>
              <w:left w:val="single" w:sz="4" w:space="0" w:color="000000"/>
              <w:bottom w:val="double" w:sz="4" w:space="0" w:color="000000"/>
              <w:right w:val="single" w:sz="4" w:space="0" w:color="000000"/>
            </w:tcBorders>
            <w:vAlign w:val="center"/>
          </w:tcPr>
          <w:p w14:paraId="5CC9416C" w14:textId="77777777" w:rsidR="00D3344B" w:rsidRDefault="00143C25">
            <w:pPr>
              <w:widowControl w:val="0"/>
              <w:suppressAutoHyphens w:val="0"/>
              <w:spacing w:before="109" w:after="0" w:line="157"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single" w:sz="4" w:space="0" w:color="000000"/>
              <w:left w:val="single" w:sz="4" w:space="0" w:color="000000"/>
              <w:bottom w:val="double" w:sz="4" w:space="0" w:color="000000"/>
              <w:right w:val="single" w:sz="4" w:space="0" w:color="000000"/>
            </w:tcBorders>
            <w:vAlign w:val="center"/>
          </w:tcPr>
          <w:p w14:paraId="2FDFA540" w14:textId="77777777" w:rsidR="00D3344B" w:rsidRDefault="00143C25">
            <w:pPr>
              <w:widowControl w:val="0"/>
              <w:suppressAutoHyphens w:val="0"/>
              <w:spacing w:before="109" w:after="0" w:line="157"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single" w:sz="4" w:space="0" w:color="000000"/>
              <w:left w:val="single" w:sz="4" w:space="0" w:color="000000"/>
              <w:bottom w:val="double" w:sz="4" w:space="0" w:color="000000"/>
              <w:right w:val="single" w:sz="4" w:space="0" w:color="000000"/>
            </w:tcBorders>
            <w:vAlign w:val="center"/>
          </w:tcPr>
          <w:p w14:paraId="31D359FF" w14:textId="77777777" w:rsidR="00D3344B" w:rsidRDefault="00143C25">
            <w:pPr>
              <w:widowControl w:val="0"/>
              <w:suppressAutoHyphens w:val="0"/>
              <w:spacing w:before="109" w:after="0" w:line="157"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single" w:sz="4" w:space="0" w:color="000000"/>
              <w:left w:val="single" w:sz="4" w:space="0" w:color="000000"/>
              <w:bottom w:val="double" w:sz="4" w:space="0" w:color="000000"/>
              <w:right w:val="single" w:sz="4" w:space="0" w:color="000000"/>
            </w:tcBorders>
            <w:vAlign w:val="center"/>
          </w:tcPr>
          <w:p w14:paraId="14306BF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8C7B790"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7CB3482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065</w:t>
            </w:r>
          </w:p>
        </w:tc>
        <w:tc>
          <w:tcPr>
            <w:tcW w:w="2977" w:type="dxa"/>
            <w:tcBorders>
              <w:top w:val="double" w:sz="4" w:space="0" w:color="000000"/>
              <w:left w:val="single" w:sz="4" w:space="0" w:color="000000"/>
              <w:bottom w:val="double" w:sz="4" w:space="0" w:color="000000"/>
              <w:right w:val="single" w:sz="4" w:space="0" w:color="000000"/>
            </w:tcBorders>
          </w:tcPr>
          <w:p w14:paraId="04E3C8A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Gota</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Gruesa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Plasmodium</w:t>
            </w:r>
            <w:proofErr w:type="spellEnd"/>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SP)</w:t>
            </w:r>
          </w:p>
        </w:tc>
        <w:tc>
          <w:tcPr>
            <w:tcW w:w="779" w:type="dxa"/>
            <w:tcBorders>
              <w:top w:val="double" w:sz="4" w:space="0" w:color="000000"/>
              <w:left w:val="single" w:sz="4" w:space="0" w:color="000000"/>
              <w:bottom w:val="double" w:sz="4" w:space="0" w:color="000000"/>
              <w:right w:val="single" w:sz="4" w:space="0" w:color="000000"/>
            </w:tcBorders>
            <w:vAlign w:val="center"/>
          </w:tcPr>
          <w:p w14:paraId="31946E7A"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265F1BAF"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29B5C87D"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3DD93AED"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51B675EE"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5FD7118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164371B"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00D9FB8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066</w:t>
            </w:r>
          </w:p>
        </w:tc>
        <w:tc>
          <w:tcPr>
            <w:tcW w:w="2977" w:type="dxa"/>
            <w:tcBorders>
              <w:top w:val="double" w:sz="4" w:space="0" w:color="000000"/>
              <w:left w:val="single" w:sz="4" w:space="0" w:color="000000"/>
              <w:bottom w:val="double" w:sz="4" w:space="0" w:color="000000"/>
              <w:right w:val="single" w:sz="4" w:space="0" w:color="000000"/>
            </w:tcBorders>
          </w:tcPr>
          <w:p w14:paraId="45928F2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Graham</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(Inv.</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Oxiuros)</w:t>
            </w:r>
          </w:p>
        </w:tc>
        <w:tc>
          <w:tcPr>
            <w:tcW w:w="779" w:type="dxa"/>
            <w:tcBorders>
              <w:top w:val="double" w:sz="4" w:space="0" w:color="000000"/>
              <w:left w:val="single" w:sz="4" w:space="0" w:color="000000"/>
              <w:bottom w:val="double" w:sz="4" w:space="0" w:color="000000"/>
              <w:right w:val="single" w:sz="4" w:space="0" w:color="000000"/>
            </w:tcBorders>
            <w:vAlign w:val="center"/>
          </w:tcPr>
          <w:p w14:paraId="228ABEB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3FC30E81"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3910422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3FC6C37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474551E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49648C3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3E4AF40"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6CA2DCD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067</w:t>
            </w:r>
          </w:p>
        </w:tc>
        <w:tc>
          <w:tcPr>
            <w:tcW w:w="2977" w:type="dxa"/>
            <w:tcBorders>
              <w:top w:val="double" w:sz="4" w:space="0" w:color="000000"/>
              <w:left w:val="single" w:sz="4" w:space="0" w:color="000000"/>
              <w:bottom w:val="double" w:sz="4" w:space="0" w:color="000000"/>
              <w:right w:val="single" w:sz="4" w:space="0" w:color="000000"/>
            </w:tcBorders>
          </w:tcPr>
          <w:p w14:paraId="3EFE7893"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Hierro</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Sérico</w:t>
            </w:r>
          </w:p>
        </w:tc>
        <w:tc>
          <w:tcPr>
            <w:tcW w:w="779" w:type="dxa"/>
            <w:tcBorders>
              <w:top w:val="double" w:sz="4" w:space="0" w:color="000000"/>
              <w:left w:val="single" w:sz="4" w:space="0" w:color="000000"/>
              <w:bottom w:val="double" w:sz="4" w:space="0" w:color="000000"/>
              <w:right w:val="single" w:sz="4" w:space="0" w:color="000000"/>
            </w:tcBorders>
            <w:vAlign w:val="center"/>
          </w:tcPr>
          <w:p w14:paraId="436464D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0" w:type="dxa"/>
            <w:tcBorders>
              <w:top w:val="double" w:sz="4" w:space="0" w:color="000000"/>
              <w:left w:val="single" w:sz="4" w:space="0" w:color="000000"/>
              <w:bottom w:val="double" w:sz="4" w:space="0" w:color="000000"/>
              <w:right w:val="single" w:sz="4" w:space="0" w:color="000000"/>
            </w:tcBorders>
            <w:vAlign w:val="center"/>
          </w:tcPr>
          <w:p w14:paraId="7D7E345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1" w:type="dxa"/>
            <w:tcBorders>
              <w:top w:val="double" w:sz="4" w:space="0" w:color="000000"/>
              <w:left w:val="single" w:sz="4" w:space="0" w:color="000000"/>
              <w:bottom w:val="double" w:sz="4" w:space="0" w:color="000000"/>
              <w:right w:val="single" w:sz="4" w:space="0" w:color="000000"/>
            </w:tcBorders>
            <w:vAlign w:val="center"/>
          </w:tcPr>
          <w:p w14:paraId="6DAC024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79" w:type="dxa"/>
            <w:tcBorders>
              <w:top w:val="double" w:sz="4" w:space="0" w:color="000000"/>
              <w:left w:val="single" w:sz="4" w:space="0" w:color="000000"/>
              <w:bottom w:val="double" w:sz="4" w:space="0" w:color="000000"/>
              <w:right w:val="single" w:sz="4" w:space="0" w:color="000000"/>
            </w:tcBorders>
            <w:vAlign w:val="center"/>
          </w:tcPr>
          <w:p w14:paraId="7AE0D2B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1E0147E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79" w:type="dxa"/>
            <w:tcBorders>
              <w:top w:val="double" w:sz="4" w:space="0" w:color="000000"/>
              <w:left w:val="single" w:sz="4" w:space="0" w:color="000000"/>
              <w:bottom w:val="double" w:sz="4" w:space="0" w:color="000000"/>
              <w:right w:val="single" w:sz="4" w:space="0" w:color="000000"/>
            </w:tcBorders>
            <w:vAlign w:val="center"/>
          </w:tcPr>
          <w:p w14:paraId="322FEEB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006684"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272417D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068</w:t>
            </w:r>
          </w:p>
        </w:tc>
        <w:tc>
          <w:tcPr>
            <w:tcW w:w="2977" w:type="dxa"/>
            <w:tcBorders>
              <w:top w:val="double" w:sz="4" w:space="0" w:color="000000"/>
              <w:left w:val="single" w:sz="4" w:space="0" w:color="000000"/>
              <w:bottom w:val="double" w:sz="4" w:space="0" w:color="000000"/>
              <w:right w:val="single" w:sz="4" w:space="0" w:color="000000"/>
            </w:tcBorders>
          </w:tcPr>
          <w:p w14:paraId="2EB495F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Marcadores</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Tumorales</w:t>
            </w:r>
          </w:p>
        </w:tc>
        <w:tc>
          <w:tcPr>
            <w:tcW w:w="779" w:type="dxa"/>
            <w:tcBorders>
              <w:top w:val="double" w:sz="4" w:space="0" w:color="000000"/>
              <w:left w:val="single" w:sz="4" w:space="0" w:color="000000"/>
              <w:bottom w:val="double" w:sz="4" w:space="0" w:color="000000"/>
              <w:right w:val="single" w:sz="4" w:space="0" w:color="000000"/>
            </w:tcBorders>
            <w:vAlign w:val="center"/>
          </w:tcPr>
          <w:p w14:paraId="60E9D0F0"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05016779"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8.00</w:t>
            </w:r>
          </w:p>
        </w:tc>
        <w:tc>
          <w:tcPr>
            <w:tcW w:w="781" w:type="dxa"/>
            <w:tcBorders>
              <w:top w:val="double" w:sz="4" w:space="0" w:color="000000"/>
              <w:left w:val="single" w:sz="4" w:space="0" w:color="000000"/>
              <w:bottom w:val="double" w:sz="4" w:space="0" w:color="000000"/>
              <w:right w:val="single" w:sz="4" w:space="0" w:color="000000"/>
            </w:tcBorders>
            <w:vAlign w:val="center"/>
          </w:tcPr>
          <w:p w14:paraId="21EB501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7.75</w:t>
            </w:r>
          </w:p>
        </w:tc>
        <w:tc>
          <w:tcPr>
            <w:tcW w:w="779" w:type="dxa"/>
            <w:tcBorders>
              <w:top w:val="double" w:sz="4" w:space="0" w:color="000000"/>
              <w:left w:val="single" w:sz="4" w:space="0" w:color="000000"/>
              <w:bottom w:val="double" w:sz="4" w:space="0" w:color="000000"/>
              <w:right w:val="single" w:sz="4" w:space="0" w:color="000000"/>
            </w:tcBorders>
            <w:vAlign w:val="center"/>
          </w:tcPr>
          <w:p w14:paraId="5B6C78F7"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6B698A2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4AE6B02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448F3FE"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1D699F1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069</w:t>
            </w:r>
          </w:p>
        </w:tc>
        <w:tc>
          <w:tcPr>
            <w:tcW w:w="2977" w:type="dxa"/>
            <w:tcBorders>
              <w:top w:val="double" w:sz="4" w:space="0" w:color="000000"/>
              <w:left w:val="single" w:sz="4" w:space="0" w:color="000000"/>
              <w:bottom w:val="double" w:sz="4" w:space="0" w:color="000000"/>
              <w:right w:val="single" w:sz="4" w:space="0" w:color="000000"/>
            </w:tcBorders>
          </w:tcPr>
          <w:p w14:paraId="7808CD4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Reumático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(VSG,</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ASLO,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FR,</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PCR,</w:t>
            </w:r>
            <w:r>
              <w:rPr>
                <w:rFonts w:ascii="Arial" w:eastAsia="Times New Roman" w:hAnsi="Arial" w:cs="Arial"/>
                <w:spacing w:val="-3"/>
                <w:sz w:val="12"/>
                <w:szCs w:val="12"/>
                <w:lang w:val="es-ES"/>
              </w:rPr>
              <w:t xml:space="preserve"> </w:t>
            </w:r>
            <w:r>
              <w:rPr>
                <w:rFonts w:ascii="Arial" w:eastAsia="Times New Roman" w:hAnsi="Arial" w:cs="Arial"/>
                <w:spacing w:val="-5"/>
                <w:sz w:val="12"/>
                <w:szCs w:val="12"/>
                <w:lang w:val="es-ES"/>
              </w:rPr>
              <w:t>AU)</w:t>
            </w:r>
          </w:p>
        </w:tc>
        <w:tc>
          <w:tcPr>
            <w:tcW w:w="779" w:type="dxa"/>
            <w:tcBorders>
              <w:top w:val="double" w:sz="4" w:space="0" w:color="000000"/>
              <w:left w:val="single" w:sz="4" w:space="0" w:color="000000"/>
              <w:bottom w:val="double" w:sz="4" w:space="0" w:color="000000"/>
              <w:right w:val="single" w:sz="4" w:space="0" w:color="000000"/>
            </w:tcBorders>
            <w:vAlign w:val="center"/>
          </w:tcPr>
          <w:p w14:paraId="04B734A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036B6580"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81" w:type="dxa"/>
            <w:tcBorders>
              <w:top w:val="double" w:sz="4" w:space="0" w:color="000000"/>
              <w:left w:val="single" w:sz="4" w:space="0" w:color="000000"/>
              <w:bottom w:val="double" w:sz="4" w:space="0" w:color="000000"/>
              <w:right w:val="single" w:sz="4" w:space="0" w:color="000000"/>
            </w:tcBorders>
            <w:vAlign w:val="center"/>
          </w:tcPr>
          <w:p w14:paraId="4A21A4E2"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2.65</w:t>
            </w:r>
          </w:p>
        </w:tc>
        <w:tc>
          <w:tcPr>
            <w:tcW w:w="779" w:type="dxa"/>
            <w:tcBorders>
              <w:top w:val="double" w:sz="4" w:space="0" w:color="000000"/>
              <w:left w:val="single" w:sz="4" w:space="0" w:color="000000"/>
              <w:bottom w:val="double" w:sz="4" w:space="0" w:color="000000"/>
              <w:right w:val="single" w:sz="4" w:space="0" w:color="000000"/>
            </w:tcBorders>
            <w:vAlign w:val="center"/>
          </w:tcPr>
          <w:p w14:paraId="07BF539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51F6610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73F54AF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79632DF" w14:textId="77777777">
        <w:trPr>
          <w:trHeight w:val="288"/>
        </w:trPr>
        <w:tc>
          <w:tcPr>
            <w:tcW w:w="1106" w:type="dxa"/>
            <w:tcBorders>
              <w:top w:val="double" w:sz="4" w:space="0" w:color="000000"/>
              <w:left w:val="single" w:sz="4" w:space="0" w:color="000000"/>
              <w:bottom w:val="single" w:sz="8" w:space="0" w:color="000000"/>
              <w:right w:val="single" w:sz="4" w:space="0" w:color="000000"/>
            </w:tcBorders>
          </w:tcPr>
          <w:p w14:paraId="1DC5153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070</w:t>
            </w:r>
          </w:p>
        </w:tc>
        <w:tc>
          <w:tcPr>
            <w:tcW w:w="2977" w:type="dxa"/>
            <w:tcBorders>
              <w:top w:val="double" w:sz="4" w:space="0" w:color="000000"/>
              <w:left w:val="single" w:sz="4" w:space="0" w:color="000000"/>
              <w:bottom w:val="single" w:sz="8" w:space="0" w:color="000000"/>
              <w:right w:val="single" w:sz="4" w:space="0" w:color="000000"/>
            </w:tcBorders>
          </w:tcPr>
          <w:p w14:paraId="2CCCA75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Tiroideo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w:t>
            </w:r>
            <w:proofErr w:type="gramStart"/>
            <w:r>
              <w:rPr>
                <w:rFonts w:ascii="Arial" w:eastAsia="Times New Roman" w:hAnsi="Arial" w:cs="Arial"/>
                <w:sz w:val="12"/>
                <w:szCs w:val="12"/>
                <w:lang w:val="es-ES"/>
              </w:rPr>
              <w:t>3,T</w:t>
            </w:r>
            <w:proofErr w:type="gramEnd"/>
            <w:r>
              <w:rPr>
                <w:rFonts w:ascii="Arial" w:eastAsia="Times New Roman" w:hAnsi="Arial" w:cs="Arial"/>
                <w:sz w:val="12"/>
                <w:szCs w:val="12"/>
                <w:lang w:val="es-ES"/>
              </w:rPr>
              <w:t>4,</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TSH.</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Libre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O</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Total)</w:t>
            </w:r>
          </w:p>
        </w:tc>
        <w:tc>
          <w:tcPr>
            <w:tcW w:w="779" w:type="dxa"/>
            <w:tcBorders>
              <w:top w:val="double" w:sz="4" w:space="0" w:color="000000"/>
              <w:left w:val="single" w:sz="4" w:space="0" w:color="000000"/>
              <w:bottom w:val="single" w:sz="8" w:space="0" w:color="000000"/>
              <w:right w:val="single" w:sz="4" w:space="0" w:color="000000"/>
            </w:tcBorders>
            <w:vAlign w:val="center"/>
          </w:tcPr>
          <w:p w14:paraId="423BA651"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single" w:sz="8" w:space="0" w:color="000000"/>
              <w:right w:val="single" w:sz="4" w:space="0" w:color="000000"/>
            </w:tcBorders>
            <w:vAlign w:val="center"/>
          </w:tcPr>
          <w:p w14:paraId="05684DBE"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3.35</w:t>
            </w:r>
          </w:p>
        </w:tc>
        <w:tc>
          <w:tcPr>
            <w:tcW w:w="781" w:type="dxa"/>
            <w:tcBorders>
              <w:top w:val="double" w:sz="4" w:space="0" w:color="000000"/>
              <w:left w:val="single" w:sz="4" w:space="0" w:color="000000"/>
              <w:bottom w:val="single" w:sz="8" w:space="0" w:color="000000"/>
              <w:right w:val="single" w:sz="4" w:space="0" w:color="000000"/>
            </w:tcBorders>
            <w:vAlign w:val="center"/>
          </w:tcPr>
          <w:p w14:paraId="0D7B1D1C"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79" w:type="dxa"/>
            <w:tcBorders>
              <w:top w:val="double" w:sz="4" w:space="0" w:color="000000"/>
              <w:left w:val="single" w:sz="4" w:space="0" w:color="000000"/>
              <w:bottom w:val="single" w:sz="8" w:space="0" w:color="000000"/>
              <w:right w:val="single" w:sz="4" w:space="0" w:color="000000"/>
            </w:tcBorders>
            <w:vAlign w:val="center"/>
          </w:tcPr>
          <w:p w14:paraId="47187FA8"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0" w:type="dxa"/>
            <w:tcBorders>
              <w:top w:val="double" w:sz="4" w:space="0" w:color="000000"/>
              <w:left w:val="single" w:sz="4" w:space="0" w:color="000000"/>
              <w:bottom w:val="single" w:sz="8" w:space="0" w:color="000000"/>
              <w:right w:val="single" w:sz="4" w:space="0" w:color="000000"/>
            </w:tcBorders>
            <w:vAlign w:val="center"/>
          </w:tcPr>
          <w:p w14:paraId="11E62A9F"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single" w:sz="8" w:space="0" w:color="000000"/>
              <w:right w:val="single" w:sz="4" w:space="0" w:color="000000"/>
            </w:tcBorders>
            <w:vAlign w:val="center"/>
          </w:tcPr>
          <w:p w14:paraId="45FDE06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E3894A5" w14:textId="77777777">
        <w:trPr>
          <w:trHeight w:val="288"/>
        </w:trPr>
        <w:tc>
          <w:tcPr>
            <w:tcW w:w="1106" w:type="dxa"/>
            <w:tcBorders>
              <w:top w:val="single" w:sz="8" w:space="0" w:color="000000"/>
              <w:left w:val="single" w:sz="4" w:space="0" w:color="000000"/>
              <w:bottom w:val="double" w:sz="4" w:space="0" w:color="000000"/>
              <w:right w:val="single" w:sz="4" w:space="0" w:color="000000"/>
            </w:tcBorders>
          </w:tcPr>
          <w:p w14:paraId="182A66FC"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071</w:t>
            </w:r>
          </w:p>
        </w:tc>
        <w:tc>
          <w:tcPr>
            <w:tcW w:w="2977" w:type="dxa"/>
            <w:tcBorders>
              <w:top w:val="single" w:sz="8" w:space="0" w:color="000000"/>
              <w:left w:val="single" w:sz="4" w:space="0" w:color="000000"/>
              <w:bottom w:val="double" w:sz="4" w:space="0" w:color="000000"/>
              <w:right w:val="single" w:sz="4" w:space="0" w:color="000000"/>
            </w:tcBorders>
          </w:tcPr>
          <w:p w14:paraId="2DBDA07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Tiroideo</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(TSH,</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FT3,</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FT</w:t>
            </w:r>
            <w:proofErr w:type="gramStart"/>
            <w:r>
              <w:rPr>
                <w:rFonts w:ascii="Arial" w:eastAsia="Times New Roman" w:hAnsi="Arial" w:cs="Arial"/>
                <w:sz w:val="12"/>
                <w:szCs w:val="12"/>
                <w:lang w:val="es-ES"/>
              </w:rPr>
              <w:t>4,T</w:t>
            </w:r>
            <w:proofErr w:type="gramEnd"/>
            <w:r>
              <w:rPr>
                <w:rFonts w:ascii="Arial" w:eastAsia="Times New Roman" w:hAnsi="Arial" w:cs="Arial"/>
                <w:sz w:val="12"/>
                <w:szCs w:val="12"/>
                <w:lang w:val="es-ES"/>
              </w:rPr>
              <w:t>-</w:t>
            </w:r>
            <w:r>
              <w:rPr>
                <w:rFonts w:ascii="Arial" w:eastAsia="Times New Roman" w:hAnsi="Arial" w:cs="Arial"/>
                <w:spacing w:val="-2"/>
                <w:sz w:val="12"/>
                <w:szCs w:val="12"/>
                <w:lang w:val="es-ES"/>
              </w:rPr>
              <w:t>Captación)</w:t>
            </w:r>
          </w:p>
        </w:tc>
        <w:tc>
          <w:tcPr>
            <w:tcW w:w="779" w:type="dxa"/>
            <w:tcBorders>
              <w:top w:val="single" w:sz="8" w:space="0" w:color="000000"/>
              <w:left w:val="single" w:sz="4" w:space="0" w:color="000000"/>
              <w:bottom w:val="double" w:sz="4" w:space="0" w:color="000000"/>
              <w:right w:val="single" w:sz="4" w:space="0" w:color="000000"/>
            </w:tcBorders>
            <w:vAlign w:val="center"/>
          </w:tcPr>
          <w:p w14:paraId="5EC11984"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4.60</w:t>
            </w:r>
          </w:p>
        </w:tc>
        <w:tc>
          <w:tcPr>
            <w:tcW w:w="780" w:type="dxa"/>
            <w:tcBorders>
              <w:top w:val="single" w:sz="8" w:space="0" w:color="000000"/>
              <w:left w:val="single" w:sz="4" w:space="0" w:color="000000"/>
              <w:bottom w:val="double" w:sz="4" w:space="0" w:color="000000"/>
              <w:right w:val="single" w:sz="4" w:space="0" w:color="000000"/>
            </w:tcBorders>
            <w:vAlign w:val="center"/>
          </w:tcPr>
          <w:p w14:paraId="30FCD092"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81" w:type="dxa"/>
            <w:tcBorders>
              <w:top w:val="single" w:sz="8" w:space="0" w:color="000000"/>
              <w:left w:val="single" w:sz="4" w:space="0" w:color="000000"/>
              <w:bottom w:val="double" w:sz="4" w:space="0" w:color="000000"/>
              <w:right w:val="single" w:sz="4" w:space="0" w:color="000000"/>
            </w:tcBorders>
            <w:vAlign w:val="center"/>
          </w:tcPr>
          <w:p w14:paraId="6DDA2EED"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4.25</w:t>
            </w:r>
          </w:p>
        </w:tc>
        <w:tc>
          <w:tcPr>
            <w:tcW w:w="779" w:type="dxa"/>
            <w:tcBorders>
              <w:top w:val="single" w:sz="8" w:space="0" w:color="000000"/>
              <w:left w:val="single" w:sz="4" w:space="0" w:color="000000"/>
              <w:bottom w:val="double" w:sz="4" w:space="0" w:color="000000"/>
              <w:right w:val="single" w:sz="4" w:space="0" w:color="000000"/>
            </w:tcBorders>
            <w:vAlign w:val="center"/>
          </w:tcPr>
          <w:p w14:paraId="66473BA6"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single" w:sz="8" w:space="0" w:color="000000"/>
              <w:left w:val="single" w:sz="4" w:space="0" w:color="000000"/>
              <w:bottom w:val="double" w:sz="4" w:space="0" w:color="000000"/>
              <w:right w:val="single" w:sz="4" w:space="0" w:color="000000"/>
            </w:tcBorders>
            <w:vAlign w:val="center"/>
          </w:tcPr>
          <w:p w14:paraId="55C82B64"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79" w:type="dxa"/>
            <w:tcBorders>
              <w:top w:val="single" w:sz="8" w:space="0" w:color="000000"/>
              <w:left w:val="single" w:sz="4" w:space="0" w:color="000000"/>
              <w:bottom w:val="double" w:sz="4" w:space="0" w:color="000000"/>
              <w:right w:val="single" w:sz="4" w:space="0" w:color="000000"/>
            </w:tcBorders>
            <w:vAlign w:val="center"/>
          </w:tcPr>
          <w:p w14:paraId="7B357E3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B67F288"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6BAB577A"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072</w:t>
            </w:r>
          </w:p>
        </w:tc>
        <w:tc>
          <w:tcPr>
            <w:tcW w:w="2977" w:type="dxa"/>
            <w:tcBorders>
              <w:top w:val="double" w:sz="4" w:space="0" w:color="000000"/>
              <w:left w:val="single" w:sz="4" w:space="0" w:color="000000"/>
              <w:bottom w:val="double" w:sz="4" w:space="0" w:color="000000"/>
              <w:right w:val="single" w:sz="4" w:space="0" w:color="000000"/>
            </w:tcBorders>
          </w:tcPr>
          <w:p w14:paraId="2747E5D9"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Hormona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Estimulante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Tiroides</w:t>
            </w:r>
            <w:r>
              <w:rPr>
                <w:rFonts w:ascii="Arial" w:eastAsia="Times New Roman" w:hAnsi="Arial" w:cs="Arial"/>
                <w:spacing w:val="26"/>
                <w:sz w:val="12"/>
                <w:szCs w:val="12"/>
                <w:lang w:val="es-ES"/>
              </w:rPr>
              <w:t xml:space="preserve"> </w:t>
            </w:r>
            <w:r>
              <w:rPr>
                <w:rFonts w:ascii="Arial" w:eastAsia="Times New Roman" w:hAnsi="Arial" w:cs="Arial"/>
                <w:spacing w:val="-4"/>
                <w:sz w:val="12"/>
                <w:szCs w:val="12"/>
                <w:lang w:val="es-ES"/>
              </w:rPr>
              <w:t>(TSH)</w:t>
            </w:r>
          </w:p>
        </w:tc>
        <w:tc>
          <w:tcPr>
            <w:tcW w:w="779" w:type="dxa"/>
            <w:tcBorders>
              <w:top w:val="double" w:sz="4" w:space="0" w:color="000000"/>
              <w:left w:val="single" w:sz="4" w:space="0" w:color="000000"/>
              <w:bottom w:val="double" w:sz="4" w:space="0" w:color="000000"/>
              <w:right w:val="single" w:sz="4" w:space="0" w:color="000000"/>
            </w:tcBorders>
            <w:vAlign w:val="center"/>
          </w:tcPr>
          <w:p w14:paraId="0C49797F"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79C6B16F"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5691E74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3662AE0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02BAA8C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4DE954D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9EFC6E7"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2DD007A6"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073</w:t>
            </w:r>
          </w:p>
        </w:tc>
        <w:tc>
          <w:tcPr>
            <w:tcW w:w="2977" w:type="dxa"/>
            <w:tcBorders>
              <w:top w:val="double" w:sz="4" w:space="0" w:color="000000"/>
              <w:left w:val="single" w:sz="4" w:space="0" w:color="000000"/>
              <w:bottom w:val="double" w:sz="4" w:space="0" w:color="000000"/>
              <w:right w:val="single" w:sz="4" w:space="0" w:color="000000"/>
            </w:tcBorders>
          </w:tcPr>
          <w:p w14:paraId="20C246A5"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Triyodotironina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Libre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(T3</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Libre)</w:t>
            </w:r>
          </w:p>
        </w:tc>
        <w:tc>
          <w:tcPr>
            <w:tcW w:w="779" w:type="dxa"/>
            <w:tcBorders>
              <w:top w:val="double" w:sz="4" w:space="0" w:color="000000"/>
              <w:left w:val="single" w:sz="4" w:space="0" w:color="000000"/>
              <w:bottom w:val="double" w:sz="4" w:space="0" w:color="000000"/>
              <w:right w:val="single" w:sz="4" w:space="0" w:color="000000"/>
            </w:tcBorders>
            <w:vAlign w:val="center"/>
          </w:tcPr>
          <w:p w14:paraId="581CEB8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68846DB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3B72C16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3C71784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68205E6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CD1DBF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F6908D5"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5EAE6CA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074</w:t>
            </w:r>
          </w:p>
        </w:tc>
        <w:tc>
          <w:tcPr>
            <w:tcW w:w="2977" w:type="dxa"/>
            <w:tcBorders>
              <w:top w:val="double" w:sz="4" w:space="0" w:color="000000"/>
              <w:left w:val="single" w:sz="4" w:space="0" w:color="000000"/>
              <w:bottom w:val="double" w:sz="4" w:space="0" w:color="000000"/>
              <w:right w:val="single" w:sz="4" w:space="0" w:color="000000"/>
            </w:tcBorders>
          </w:tcPr>
          <w:p w14:paraId="648B094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Triyodotironina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Total</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(T3</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Total)</w:t>
            </w:r>
          </w:p>
        </w:tc>
        <w:tc>
          <w:tcPr>
            <w:tcW w:w="779" w:type="dxa"/>
            <w:tcBorders>
              <w:top w:val="double" w:sz="4" w:space="0" w:color="000000"/>
              <w:left w:val="single" w:sz="4" w:space="0" w:color="000000"/>
              <w:bottom w:val="double" w:sz="4" w:space="0" w:color="000000"/>
              <w:right w:val="single" w:sz="4" w:space="0" w:color="000000"/>
            </w:tcBorders>
            <w:vAlign w:val="center"/>
          </w:tcPr>
          <w:p w14:paraId="44EEBA2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15679B0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1" w:type="dxa"/>
            <w:tcBorders>
              <w:top w:val="double" w:sz="4" w:space="0" w:color="000000"/>
              <w:left w:val="single" w:sz="4" w:space="0" w:color="000000"/>
              <w:bottom w:val="double" w:sz="4" w:space="0" w:color="000000"/>
              <w:right w:val="single" w:sz="4" w:space="0" w:color="000000"/>
            </w:tcBorders>
            <w:vAlign w:val="center"/>
          </w:tcPr>
          <w:p w14:paraId="42B3D60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79" w:type="dxa"/>
            <w:tcBorders>
              <w:top w:val="double" w:sz="4" w:space="0" w:color="000000"/>
              <w:left w:val="single" w:sz="4" w:space="0" w:color="000000"/>
              <w:bottom w:val="double" w:sz="4" w:space="0" w:color="000000"/>
              <w:right w:val="single" w:sz="4" w:space="0" w:color="000000"/>
            </w:tcBorders>
            <w:vAlign w:val="center"/>
          </w:tcPr>
          <w:p w14:paraId="0826AD0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4EC7A66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5C47893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541F6C3"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3B84B024"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075</w:t>
            </w:r>
          </w:p>
        </w:tc>
        <w:tc>
          <w:tcPr>
            <w:tcW w:w="2977" w:type="dxa"/>
            <w:tcBorders>
              <w:top w:val="double" w:sz="4" w:space="0" w:color="000000"/>
              <w:left w:val="single" w:sz="4" w:space="0" w:color="000000"/>
              <w:bottom w:val="double" w:sz="4" w:space="0" w:color="000000"/>
              <w:right w:val="single" w:sz="4" w:space="0" w:color="000000"/>
            </w:tcBorders>
          </w:tcPr>
          <w:p w14:paraId="6C6629F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Tiroxina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Libre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(T4</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Libre)</w:t>
            </w:r>
          </w:p>
        </w:tc>
        <w:tc>
          <w:tcPr>
            <w:tcW w:w="779" w:type="dxa"/>
            <w:tcBorders>
              <w:top w:val="double" w:sz="4" w:space="0" w:color="000000"/>
              <w:left w:val="single" w:sz="4" w:space="0" w:color="000000"/>
              <w:bottom w:val="double" w:sz="4" w:space="0" w:color="000000"/>
              <w:right w:val="single" w:sz="4" w:space="0" w:color="000000"/>
            </w:tcBorders>
            <w:vAlign w:val="center"/>
          </w:tcPr>
          <w:p w14:paraId="26650795"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0CE0959B"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1ED810CF"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6209A33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26C6B8B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30AA030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0A1AF37"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4EA44F8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076</w:t>
            </w:r>
          </w:p>
        </w:tc>
        <w:tc>
          <w:tcPr>
            <w:tcW w:w="2977" w:type="dxa"/>
            <w:tcBorders>
              <w:top w:val="double" w:sz="4" w:space="0" w:color="000000"/>
              <w:left w:val="single" w:sz="4" w:space="0" w:color="000000"/>
              <w:bottom w:val="double" w:sz="4" w:space="0" w:color="000000"/>
              <w:right w:val="single" w:sz="4" w:space="0" w:color="000000"/>
            </w:tcBorders>
          </w:tcPr>
          <w:p w14:paraId="108D0E0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Tiroxina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Total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(T4</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Total)</w:t>
            </w:r>
          </w:p>
        </w:tc>
        <w:tc>
          <w:tcPr>
            <w:tcW w:w="779" w:type="dxa"/>
            <w:tcBorders>
              <w:top w:val="double" w:sz="4" w:space="0" w:color="000000"/>
              <w:left w:val="single" w:sz="4" w:space="0" w:color="000000"/>
              <w:bottom w:val="double" w:sz="4" w:space="0" w:color="000000"/>
              <w:right w:val="single" w:sz="4" w:space="0" w:color="000000"/>
            </w:tcBorders>
            <w:vAlign w:val="center"/>
          </w:tcPr>
          <w:p w14:paraId="0E60A7D2"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2D12E561"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1" w:type="dxa"/>
            <w:tcBorders>
              <w:top w:val="double" w:sz="4" w:space="0" w:color="000000"/>
              <w:left w:val="single" w:sz="4" w:space="0" w:color="000000"/>
              <w:bottom w:val="double" w:sz="4" w:space="0" w:color="000000"/>
              <w:right w:val="single" w:sz="4" w:space="0" w:color="000000"/>
            </w:tcBorders>
            <w:vAlign w:val="center"/>
          </w:tcPr>
          <w:p w14:paraId="48F675A8"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79" w:type="dxa"/>
            <w:tcBorders>
              <w:top w:val="double" w:sz="4" w:space="0" w:color="000000"/>
              <w:left w:val="single" w:sz="4" w:space="0" w:color="000000"/>
              <w:bottom w:val="double" w:sz="4" w:space="0" w:color="000000"/>
              <w:right w:val="single" w:sz="4" w:space="0" w:color="000000"/>
            </w:tcBorders>
            <w:vAlign w:val="center"/>
          </w:tcPr>
          <w:p w14:paraId="320C8972"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2601A4F8" w14:textId="77777777" w:rsidR="00D3344B" w:rsidRDefault="00143C25">
            <w:pPr>
              <w:widowControl w:val="0"/>
              <w:suppressAutoHyphens w:val="0"/>
              <w:spacing w:before="106"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28228DA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78D706"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65CB9F8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077</w:t>
            </w:r>
          </w:p>
        </w:tc>
        <w:tc>
          <w:tcPr>
            <w:tcW w:w="2977" w:type="dxa"/>
            <w:tcBorders>
              <w:top w:val="double" w:sz="4" w:space="0" w:color="000000"/>
              <w:left w:val="single" w:sz="4" w:space="0" w:color="000000"/>
              <w:bottom w:val="double" w:sz="4" w:space="0" w:color="000000"/>
              <w:right w:val="single" w:sz="4" w:space="0" w:color="000000"/>
            </w:tcBorders>
          </w:tcPr>
          <w:p w14:paraId="4FB2FF7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Captación</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Triyodotironina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(T-</w:t>
            </w:r>
            <w:r>
              <w:rPr>
                <w:rFonts w:ascii="Arial" w:eastAsia="Times New Roman" w:hAnsi="Arial" w:cs="Arial"/>
                <w:spacing w:val="-2"/>
                <w:sz w:val="12"/>
                <w:szCs w:val="12"/>
                <w:lang w:val="es-ES"/>
              </w:rPr>
              <w:t>Captación)</w:t>
            </w:r>
          </w:p>
        </w:tc>
        <w:tc>
          <w:tcPr>
            <w:tcW w:w="779" w:type="dxa"/>
            <w:tcBorders>
              <w:top w:val="double" w:sz="4" w:space="0" w:color="000000"/>
              <w:left w:val="single" w:sz="4" w:space="0" w:color="000000"/>
              <w:bottom w:val="double" w:sz="4" w:space="0" w:color="000000"/>
              <w:right w:val="single" w:sz="4" w:space="0" w:color="000000"/>
            </w:tcBorders>
            <w:vAlign w:val="center"/>
          </w:tcPr>
          <w:p w14:paraId="2100404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21AE531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1" w:type="dxa"/>
            <w:tcBorders>
              <w:top w:val="double" w:sz="4" w:space="0" w:color="000000"/>
              <w:left w:val="single" w:sz="4" w:space="0" w:color="000000"/>
              <w:bottom w:val="double" w:sz="4" w:space="0" w:color="000000"/>
              <w:right w:val="single" w:sz="4" w:space="0" w:color="000000"/>
            </w:tcBorders>
            <w:vAlign w:val="center"/>
          </w:tcPr>
          <w:p w14:paraId="37B6396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2.05</w:t>
            </w:r>
          </w:p>
        </w:tc>
        <w:tc>
          <w:tcPr>
            <w:tcW w:w="779" w:type="dxa"/>
            <w:tcBorders>
              <w:top w:val="double" w:sz="4" w:space="0" w:color="000000"/>
              <w:left w:val="single" w:sz="4" w:space="0" w:color="000000"/>
              <w:bottom w:val="double" w:sz="4" w:space="0" w:color="000000"/>
              <w:right w:val="single" w:sz="4" w:space="0" w:color="000000"/>
            </w:tcBorders>
            <w:vAlign w:val="center"/>
          </w:tcPr>
          <w:p w14:paraId="64C5DA8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0" w:type="dxa"/>
            <w:tcBorders>
              <w:top w:val="double" w:sz="4" w:space="0" w:color="000000"/>
              <w:left w:val="single" w:sz="4" w:space="0" w:color="000000"/>
              <w:bottom w:val="double" w:sz="4" w:space="0" w:color="000000"/>
              <w:right w:val="single" w:sz="4" w:space="0" w:color="000000"/>
            </w:tcBorders>
            <w:vAlign w:val="center"/>
          </w:tcPr>
          <w:p w14:paraId="155DFF6F"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1.90</w:t>
            </w:r>
          </w:p>
        </w:tc>
        <w:tc>
          <w:tcPr>
            <w:tcW w:w="779" w:type="dxa"/>
            <w:tcBorders>
              <w:top w:val="double" w:sz="4" w:space="0" w:color="000000"/>
              <w:left w:val="single" w:sz="4" w:space="0" w:color="000000"/>
              <w:bottom w:val="double" w:sz="4" w:space="0" w:color="000000"/>
              <w:right w:val="single" w:sz="4" w:space="0" w:color="000000"/>
            </w:tcBorders>
            <w:vAlign w:val="center"/>
          </w:tcPr>
          <w:p w14:paraId="521CFF3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AAAB450"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5FDDD16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078</w:t>
            </w:r>
          </w:p>
        </w:tc>
        <w:tc>
          <w:tcPr>
            <w:tcW w:w="2977" w:type="dxa"/>
            <w:tcBorders>
              <w:top w:val="double" w:sz="4" w:space="0" w:color="000000"/>
              <w:left w:val="single" w:sz="4" w:space="0" w:color="000000"/>
              <w:bottom w:val="double" w:sz="4" w:space="0" w:color="000000"/>
              <w:right w:val="single" w:sz="4" w:space="0" w:color="000000"/>
            </w:tcBorders>
          </w:tcPr>
          <w:p w14:paraId="5BB8310A"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Reticulocitos</w:t>
            </w:r>
          </w:p>
        </w:tc>
        <w:tc>
          <w:tcPr>
            <w:tcW w:w="779" w:type="dxa"/>
            <w:tcBorders>
              <w:top w:val="double" w:sz="4" w:space="0" w:color="000000"/>
              <w:left w:val="single" w:sz="4" w:space="0" w:color="000000"/>
              <w:bottom w:val="double" w:sz="4" w:space="0" w:color="000000"/>
              <w:right w:val="single" w:sz="4" w:space="0" w:color="000000"/>
            </w:tcBorders>
            <w:vAlign w:val="center"/>
          </w:tcPr>
          <w:p w14:paraId="443E42C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0" w:type="dxa"/>
            <w:tcBorders>
              <w:top w:val="double" w:sz="4" w:space="0" w:color="000000"/>
              <w:left w:val="single" w:sz="4" w:space="0" w:color="000000"/>
              <w:bottom w:val="double" w:sz="4" w:space="0" w:color="000000"/>
              <w:right w:val="single" w:sz="4" w:space="0" w:color="000000"/>
            </w:tcBorders>
            <w:vAlign w:val="center"/>
          </w:tcPr>
          <w:p w14:paraId="239550BF"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1" w:type="dxa"/>
            <w:tcBorders>
              <w:top w:val="double" w:sz="4" w:space="0" w:color="000000"/>
              <w:left w:val="single" w:sz="4" w:space="0" w:color="000000"/>
              <w:bottom w:val="double" w:sz="4" w:space="0" w:color="000000"/>
              <w:right w:val="single" w:sz="4" w:space="0" w:color="000000"/>
            </w:tcBorders>
            <w:vAlign w:val="center"/>
          </w:tcPr>
          <w:p w14:paraId="3247718D"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79DBF09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05AA67F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79" w:type="dxa"/>
            <w:tcBorders>
              <w:top w:val="double" w:sz="4" w:space="0" w:color="000000"/>
              <w:left w:val="single" w:sz="4" w:space="0" w:color="000000"/>
              <w:bottom w:val="double" w:sz="4" w:space="0" w:color="000000"/>
              <w:right w:val="single" w:sz="4" w:space="0" w:color="000000"/>
            </w:tcBorders>
            <w:vAlign w:val="center"/>
          </w:tcPr>
          <w:p w14:paraId="756339B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0E9C22C"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01D46B2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079</w:t>
            </w:r>
          </w:p>
        </w:tc>
        <w:tc>
          <w:tcPr>
            <w:tcW w:w="2977" w:type="dxa"/>
            <w:tcBorders>
              <w:top w:val="double" w:sz="4" w:space="0" w:color="000000"/>
              <w:left w:val="single" w:sz="4" w:space="0" w:color="000000"/>
              <w:bottom w:val="double" w:sz="4" w:space="0" w:color="000000"/>
              <w:right w:val="single" w:sz="4" w:space="0" w:color="000000"/>
            </w:tcBorders>
          </w:tcPr>
          <w:p w14:paraId="4D1FAE6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Sangre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Oculta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2"/>
                <w:sz w:val="12"/>
                <w:szCs w:val="12"/>
                <w:lang w:val="es-ES"/>
              </w:rPr>
              <w:t xml:space="preserve"> </w:t>
            </w:r>
            <w:r>
              <w:rPr>
                <w:rFonts w:ascii="Arial" w:eastAsia="Times New Roman" w:hAnsi="Arial" w:cs="Arial"/>
                <w:spacing w:val="-4"/>
                <w:sz w:val="12"/>
                <w:szCs w:val="12"/>
                <w:lang w:val="es-ES"/>
              </w:rPr>
              <w:t>Heces</w:t>
            </w:r>
          </w:p>
        </w:tc>
        <w:tc>
          <w:tcPr>
            <w:tcW w:w="779" w:type="dxa"/>
            <w:tcBorders>
              <w:top w:val="double" w:sz="4" w:space="0" w:color="000000"/>
              <w:left w:val="single" w:sz="4" w:space="0" w:color="000000"/>
              <w:bottom w:val="double" w:sz="4" w:space="0" w:color="000000"/>
              <w:right w:val="single" w:sz="4" w:space="0" w:color="000000"/>
            </w:tcBorders>
            <w:vAlign w:val="center"/>
          </w:tcPr>
          <w:p w14:paraId="537198B4"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47FC1D9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1" w:type="dxa"/>
            <w:tcBorders>
              <w:top w:val="double" w:sz="4" w:space="0" w:color="000000"/>
              <w:left w:val="single" w:sz="4" w:space="0" w:color="000000"/>
              <w:bottom w:val="double" w:sz="4" w:space="0" w:color="000000"/>
              <w:right w:val="single" w:sz="4" w:space="0" w:color="000000"/>
            </w:tcBorders>
            <w:vAlign w:val="center"/>
          </w:tcPr>
          <w:p w14:paraId="2E07E86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006C446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54894D6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326C544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BBA2345" w14:textId="77777777">
        <w:trPr>
          <w:trHeight w:val="288"/>
        </w:trPr>
        <w:tc>
          <w:tcPr>
            <w:tcW w:w="1106" w:type="dxa"/>
            <w:tcBorders>
              <w:top w:val="double" w:sz="4" w:space="0" w:color="000000"/>
              <w:left w:val="single" w:sz="4" w:space="0" w:color="000000"/>
              <w:bottom w:val="single" w:sz="8" w:space="0" w:color="000000"/>
              <w:right w:val="single" w:sz="4" w:space="0" w:color="000000"/>
            </w:tcBorders>
          </w:tcPr>
          <w:p w14:paraId="22CAC311"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080</w:t>
            </w:r>
          </w:p>
        </w:tc>
        <w:tc>
          <w:tcPr>
            <w:tcW w:w="2977" w:type="dxa"/>
            <w:tcBorders>
              <w:top w:val="double" w:sz="4" w:space="0" w:color="000000"/>
              <w:left w:val="single" w:sz="4" w:space="0" w:color="000000"/>
              <w:bottom w:val="single" w:sz="8" w:space="0" w:color="000000"/>
              <w:right w:val="single" w:sz="4" w:space="0" w:color="000000"/>
            </w:tcBorders>
          </w:tcPr>
          <w:p w14:paraId="57AA15A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Velocidad</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Sedimentación</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Globular</w:t>
            </w:r>
            <w:r>
              <w:rPr>
                <w:rFonts w:ascii="Arial" w:eastAsia="Times New Roman" w:hAnsi="Arial" w:cs="Arial"/>
                <w:spacing w:val="-7"/>
                <w:sz w:val="12"/>
                <w:szCs w:val="12"/>
                <w:lang w:val="es-ES"/>
              </w:rPr>
              <w:t xml:space="preserve"> </w:t>
            </w:r>
            <w:r>
              <w:rPr>
                <w:rFonts w:ascii="Arial" w:eastAsia="Times New Roman" w:hAnsi="Arial" w:cs="Arial"/>
                <w:spacing w:val="-4"/>
                <w:sz w:val="12"/>
                <w:szCs w:val="12"/>
                <w:lang w:val="es-ES"/>
              </w:rPr>
              <w:t>(VSG)</w:t>
            </w:r>
          </w:p>
        </w:tc>
        <w:tc>
          <w:tcPr>
            <w:tcW w:w="779" w:type="dxa"/>
            <w:tcBorders>
              <w:top w:val="double" w:sz="4" w:space="0" w:color="000000"/>
              <w:left w:val="single" w:sz="4" w:space="0" w:color="000000"/>
              <w:bottom w:val="single" w:sz="8" w:space="0" w:color="000000"/>
              <w:right w:val="single" w:sz="4" w:space="0" w:color="000000"/>
            </w:tcBorders>
            <w:vAlign w:val="center"/>
          </w:tcPr>
          <w:p w14:paraId="330E8386"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single" w:sz="8" w:space="0" w:color="000000"/>
              <w:right w:val="single" w:sz="4" w:space="0" w:color="000000"/>
            </w:tcBorders>
            <w:vAlign w:val="center"/>
          </w:tcPr>
          <w:p w14:paraId="4ED87C9A"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single" w:sz="8" w:space="0" w:color="000000"/>
              <w:right w:val="single" w:sz="4" w:space="0" w:color="000000"/>
            </w:tcBorders>
            <w:vAlign w:val="center"/>
          </w:tcPr>
          <w:p w14:paraId="62310060"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single" w:sz="8" w:space="0" w:color="000000"/>
              <w:right w:val="single" w:sz="4" w:space="0" w:color="000000"/>
            </w:tcBorders>
            <w:vAlign w:val="center"/>
          </w:tcPr>
          <w:p w14:paraId="0CE85A50"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single" w:sz="8" w:space="0" w:color="000000"/>
              <w:right w:val="single" w:sz="4" w:space="0" w:color="000000"/>
            </w:tcBorders>
            <w:vAlign w:val="center"/>
          </w:tcPr>
          <w:p w14:paraId="48DD7712"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single" w:sz="8" w:space="0" w:color="000000"/>
              <w:right w:val="single" w:sz="4" w:space="0" w:color="000000"/>
            </w:tcBorders>
            <w:vAlign w:val="center"/>
          </w:tcPr>
          <w:p w14:paraId="732DB65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3419E7D" w14:textId="77777777">
        <w:trPr>
          <w:trHeight w:val="288"/>
        </w:trPr>
        <w:tc>
          <w:tcPr>
            <w:tcW w:w="1106" w:type="dxa"/>
            <w:tcBorders>
              <w:top w:val="single" w:sz="8" w:space="0" w:color="000000"/>
              <w:left w:val="single" w:sz="4" w:space="0" w:color="000000"/>
              <w:bottom w:val="double" w:sz="4" w:space="0" w:color="000000"/>
              <w:right w:val="single" w:sz="4" w:space="0" w:color="000000"/>
            </w:tcBorders>
          </w:tcPr>
          <w:p w14:paraId="6EE7CFED"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081</w:t>
            </w:r>
          </w:p>
        </w:tc>
        <w:tc>
          <w:tcPr>
            <w:tcW w:w="2977" w:type="dxa"/>
            <w:tcBorders>
              <w:top w:val="single" w:sz="8" w:space="0" w:color="000000"/>
              <w:left w:val="single" w:sz="4" w:space="0" w:color="000000"/>
              <w:bottom w:val="double" w:sz="4" w:space="0" w:color="000000"/>
              <w:right w:val="single" w:sz="4" w:space="0" w:color="000000"/>
            </w:tcBorders>
          </w:tcPr>
          <w:p w14:paraId="4E20AA5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Ac</w:t>
            </w:r>
            <w:r>
              <w:rPr>
                <w:rFonts w:ascii="Arial" w:eastAsia="Times New Roman" w:hAnsi="Arial" w:cs="Arial"/>
                <w:spacing w:val="11"/>
                <w:sz w:val="12"/>
                <w:szCs w:val="12"/>
                <w:lang w:val="es-ES"/>
              </w:rPr>
              <w:t xml:space="preserve"> </w:t>
            </w:r>
            <w:proofErr w:type="spellStart"/>
            <w:r>
              <w:rPr>
                <w:rFonts w:ascii="Arial" w:eastAsia="Times New Roman" w:hAnsi="Arial" w:cs="Arial"/>
                <w:spacing w:val="-2"/>
                <w:sz w:val="12"/>
                <w:szCs w:val="12"/>
                <w:lang w:val="es-ES"/>
              </w:rPr>
              <w:t>anticitoplasmaticos</w:t>
            </w:r>
            <w:proofErr w:type="spellEnd"/>
            <w:r>
              <w:rPr>
                <w:rFonts w:ascii="Arial" w:eastAsia="Times New Roman" w:hAnsi="Arial" w:cs="Arial"/>
                <w:spacing w:val="11"/>
                <w:sz w:val="12"/>
                <w:szCs w:val="12"/>
                <w:lang w:val="es-ES"/>
              </w:rPr>
              <w:t xml:space="preserve"> </w:t>
            </w:r>
            <w:r>
              <w:rPr>
                <w:rFonts w:ascii="Arial" w:eastAsia="Times New Roman" w:hAnsi="Arial" w:cs="Arial"/>
                <w:spacing w:val="-2"/>
                <w:sz w:val="12"/>
                <w:szCs w:val="12"/>
                <w:lang w:val="es-ES"/>
              </w:rPr>
              <w:t>(ANCA)</w:t>
            </w:r>
          </w:p>
        </w:tc>
        <w:tc>
          <w:tcPr>
            <w:tcW w:w="779" w:type="dxa"/>
            <w:tcBorders>
              <w:top w:val="single" w:sz="8" w:space="0" w:color="000000"/>
              <w:left w:val="single" w:sz="4" w:space="0" w:color="000000"/>
              <w:bottom w:val="double" w:sz="4" w:space="0" w:color="000000"/>
              <w:right w:val="single" w:sz="4" w:space="0" w:color="000000"/>
            </w:tcBorders>
            <w:vAlign w:val="center"/>
          </w:tcPr>
          <w:p w14:paraId="56338D2B"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80" w:type="dxa"/>
            <w:tcBorders>
              <w:top w:val="single" w:sz="8" w:space="0" w:color="000000"/>
              <w:left w:val="single" w:sz="4" w:space="0" w:color="000000"/>
              <w:bottom w:val="double" w:sz="4" w:space="0" w:color="000000"/>
              <w:right w:val="single" w:sz="4" w:space="0" w:color="000000"/>
            </w:tcBorders>
            <w:vAlign w:val="center"/>
          </w:tcPr>
          <w:p w14:paraId="12BB81FE"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1" w:type="dxa"/>
            <w:tcBorders>
              <w:top w:val="single" w:sz="8" w:space="0" w:color="000000"/>
              <w:left w:val="single" w:sz="4" w:space="0" w:color="000000"/>
              <w:bottom w:val="double" w:sz="4" w:space="0" w:color="000000"/>
              <w:right w:val="single" w:sz="4" w:space="0" w:color="000000"/>
            </w:tcBorders>
            <w:vAlign w:val="center"/>
          </w:tcPr>
          <w:p w14:paraId="3E7698CF"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79" w:type="dxa"/>
            <w:tcBorders>
              <w:top w:val="single" w:sz="8" w:space="0" w:color="000000"/>
              <w:left w:val="single" w:sz="4" w:space="0" w:color="000000"/>
              <w:bottom w:val="double" w:sz="4" w:space="0" w:color="000000"/>
              <w:right w:val="single" w:sz="4" w:space="0" w:color="000000"/>
            </w:tcBorders>
            <w:vAlign w:val="center"/>
          </w:tcPr>
          <w:p w14:paraId="66D10521"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single" w:sz="8" w:space="0" w:color="000000"/>
              <w:left w:val="single" w:sz="4" w:space="0" w:color="000000"/>
              <w:bottom w:val="double" w:sz="4" w:space="0" w:color="000000"/>
              <w:right w:val="single" w:sz="4" w:space="0" w:color="000000"/>
            </w:tcBorders>
            <w:vAlign w:val="center"/>
          </w:tcPr>
          <w:p w14:paraId="7BBEAB36"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single" w:sz="8" w:space="0" w:color="000000"/>
              <w:left w:val="single" w:sz="4" w:space="0" w:color="000000"/>
              <w:bottom w:val="double" w:sz="4" w:space="0" w:color="000000"/>
              <w:right w:val="single" w:sz="4" w:space="0" w:color="000000"/>
            </w:tcBorders>
            <w:vAlign w:val="center"/>
          </w:tcPr>
          <w:p w14:paraId="5CBB29D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2AA6DD"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5769D26A"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082</w:t>
            </w:r>
          </w:p>
        </w:tc>
        <w:tc>
          <w:tcPr>
            <w:tcW w:w="2977" w:type="dxa"/>
            <w:tcBorders>
              <w:top w:val="double" w:sz="4" w:space="0" w:color="000000"/>
              <w:left w:val="single" w:sz="4" w:space="0" w:color="000000"/>
              <w:bottom w:val="double" w:sz="4" w:space="0" w:color="000000"/>
              <w:right w:val="single" w:sz="4" w:space="0" w:color="000000"/>
            </w:tcBorders>
          </w:tcPr>
          <w:p w14:paraId="11B9FE68"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Ac</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antinucleares</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(ANA)</w:t>
            </w:r>
          </w:p>
        </w:tc>
        <w:tc>
          <w:tcPr>
            <w:tcW w:w="779" w:type="dxa"/>
            <w:tcBorders>
              <w:top w:val="double" w:sz="4" w:space="0" w:color="000000"/>
              <w:left w:val="single" w:sz="4" w:space="0" w:color="000000"/>
              <w:bottom w:val="double" w:sz="4" w:space="0" w:color="000000"/>
              <w:right w:val="single" w:sz="4" w:space="0" w:color="000000"/>
            </w:tcBorders>
            <w:vAlign w:val="center"/>
          </w:tcPr>
          <w:p w14:paraId="2761A3B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7.75</w:t>
            </w:r>
          </w:p>
        </w:tc>
        <w:tc>
          <w:tcPr>
            <w:tcW w:w="780" w:type="dxa"/>
            <w:tcBorders>
              <w:top w:val="double" w:sz="4" w:space="0" w:color="000000"/>
              <w:left w:val="single" w:sz="4" w:space="0" w:color="000000"/>
              <w:bottom w:val="double" w:sz="4" w:space="0" w:color="000000"/>
              <w:right w:val="single" w:sz="4" w:space="0" w:color="000000"/>
            </w:tcBorders>
            <w:vAlign w:val="center"/>
          </w:tcPr>
          <w:p w14:paraId="67D2655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1" w:type="dxa"/>
            <w:tcBorders>
              <w:top w:val="double" w:sz="4" w:space="0" w:color="000000"/>
              <w:left w:val="single" w:sz="4" w:space="0" w:color="000000"/>
              <w:bottom w:val="double" w:sz="4" w:space="0" w:color="000000"/>
              <w:right w:val="single" w:sz="4" w:space="0" w:color="000000"/>
            </w:tcBorders>
            <w:vAlign w:val="center"/>
          </w:tcPr>
          <w:p w14:paraId="0D86ADD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02C81F4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7.00</w:t>
            </w:r>
          </w:p>
        </w:tc>
        <w:tc>
          <w:tcPr>
            <w:tcW w:w="780" w:type="dxa"/>
            <w:tcBorders>
              <w:top w:val="double" w:sz="4" w:space="0" w:color="000000"/>
              <w:left w:val="single" w:sz="4" w:space="0" w:color="000000"/>
              <w:bottom w:val="double" w:sz="4" w:space="0" w:color="000000"/>
              <w:right w:val="single" w:sz="4" w:space="0" w:color="000000"/>
            </w:tcBorders>
            <w:vAlign w:val="center"/>
          </w:tcPr>
          <w:p w14:paraId="52637D5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6.50</w:t>
            </w:r>
          </w:p>
        </w:tc>
        <w:tc>
          <w:tcPr>
            <w:tcW w:w="779" w:type="dxa"/>
            <w:tcBorders>
              <w:top w:val="double" w:sz="4" w:space="0" w:color="000000"/>
              <w:left w:val="single" w:sz="4" w:space="0" w:color="000000"/>
              <w:bottom w:val="double" w:sz="4" w:space="0" w:color="000000"/>
              <w:right w:val="single" w:sz="4" w:space="0" w:color="000000"/>
            </w:tcBorders>
            <w:vAlign w:val="center"/>
          </w:tcPr>
          <w:p w14:paraId="4DCB669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3FB22DB"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72502C1F"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083</w:t>
            </w:r>
          </w:p>
        </w:tc>
        <w:tc>
          <w:tcPr>
            <w:tcW w:w="2977" w:type="dxa"/>
            <w:tcBorders>
              <w:top w:val="double" w:sz="4" w:space="0" w:color="000000"/>
              <w:left w:val="single" w:sz="4" w:space="0" w:color="000000"/>
              <w:bottom w:val="double" w:sz="4" w:space="0" w:color="000000"/>
              <w:right w:val="single" w:sz="4" w:space="0" w:color="000000"/>
            </w:tcBorders>
          </w:tcPr>
          <w:p w14:paraId="08B9982D"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Ácido</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Valproico</w:t>
            </w:r>
          </w:p>
        </w:tc>
        <w:tc>
          <w:tcPr>
            <w:tcW w:w="779" w:type="dxa"/>
            <w:tcBorders>
              <w:top w:val="double" w:sz="4" w:space="0" w:color="000000"/>
              <w:left w:val="single" w:sz="4" w:space="0" w:color="000000"/>
              <w:bottom w:val="double" w:sz="4" w:space="0" w:color="000000"/>
              <w:right w:val="single" w:sz="4" w:space="0" w:color="000000"/>
            </w:tcBorders>
            <w:vAlign w:val="center"/>
          </w:tcPr>
          <w:p w14:paraId="530FB40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0" w:type="dxa"/>
            <w:tcBorders>
              <w:top w:val="double" w:sz="4" w:space="0" w:color="000000"/>
              <w:left w:val="single" w:sz="4" w:space="0" w:color="000000"/>
              <w:bottom w:val="double" w:sz="4" w:space="0" w:color="000000"/>
              <w:right w:val="single" w:sz="4" w:space="0" w:color="000000"/>
            </w:tcBorders>
            <w:vAlign w:val="center"/>
          </w:tcPr>
          <w:p w14:paraId="1C79C3B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3.80</w:t>
            </w:r>
          </w:p>
        </w:tc>
        <w:tc>
          <w:tcPr>
            <w:tcW w:w="781" w:type="dxa"/>
            <w:tcBorders>
              <w:top w:val="double" w:sz="4" w:space="0" w:color="000000"/>
              <w:left w:val="single" w:sz="4" w:space="0" w:color="000000"/>
              <w:bottom w:val="double" w:sz="4" w:space="0" w:color="000000"/>
              <w:right w:val="single" w:sz="4" w:space="0" w:color="000000"/>
            </w:tcBorders>
            <w:vAlign w:val="center"/>
          </w:tcPr>
          <w:p w14:paraId="0656EBA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4F9C004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double" w:sz="4" w:space="0" w:color="000000"/>
              <w:right w:val="single" w:sz="4" w:space="0" w:color="000000"/>
            </w:tcBorders>
            <w:vAlign w:val="center"/>
          </w:tcPr>
          <w:p w14:paraId="2EC44325"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79" w:type="dxa"/>
            <w:tcBorders>
              <w:top w:val="double" w:sz="4" w:space="0" w:color="000000"/>
              <w:left w:val="single" w:sz="4" w:space="0" w:color="000000"/>
              <w:bottom w:val="double" w:sz="4" w:space="0" w:color="000000"/>
              <w:right w:val="single" w:sz="4" w:space="0" w:color="000000"/>
            </w:tcBorders>
            <w:vAlign w:val="center"/>
          </w:tcPr>
          <w:p w14:paraId="3A50AC9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19B7E6"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14751642"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084</w:t>
            </w:r>
          </w:p>
        </w:tc>
        <w:tc>
          <w:tcPr>
            <w:tcW w:w="2977" w:type="dxa"/>
            <w:tcBorders>
              <w:top w:val="double" w:sz="4" w:space="0" w:color="000000"/>
              <w:left w:val="single" w:sz="4" w:space="0" w:color="000000"/>
              <w:bottom w:val="double" w:sz="4" w:space="0" w:color="000000"/>
              <w:right w:val="single" w:sz="4" w:space="0" w:color="000000"/>
            </w:tcBorders>
          </w:tcPr>
          <w:p w14:paraId="6AE3AEA0"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Aclaramiento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proofErr w:type="spellStart"/>
            <w:r>
              <w:rPr>
                <w:rFonts w:ascii="Arial" w:eastAsia="Times New Roman" w:hAnsi="Arial" w:cs="Arial"/>
                <w:sz w:val="12"/>
                <w:szCs w:val="12"/>
                <w:lang w:val="es-ES"/>
              </w:rPr>
              <w:t>Acido</w:t>
            </w:r>
            <w:proofErr w:type="spellEnd"/>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úrico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24hrs</w:t>
            </w:r>
          </w:p>
        </w:tc>
        <w:tc>
          <w:tcPr>
            <w:tcW w:w="779" w:type="dxa"/>
            <w:tcBorders>
              <w:top w:val="double" w:sz="4" w:space="0" w:color="000000"/>
              <w:left w:val="single" w:sz="4" w:space="0" w:color="000000"/>
              <w:bottom w:val="double" w:sz="4" w:space="0" w:color="000000"/>
              <w:right w:val="single" w:sz="4" w:space="0" w:color="000000"/>
            </w:tcBorders>
            <w:vAlign w:val="center"/>
          </w:tcPr>
          <w:p w14:paraId="3BAF295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49D2845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2C2CCAB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4D6A7E2A"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0976F25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333CC33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8286BA6"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1EB0BEC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085</w:t>
            </w:r>
          </w:p>
        </w:tc>
        <w:tc>
          <w:tcPr>
            <w:tcW w:w="2977" w:type="dxa"/>
            <w:tcBorders>
              <w:top w:val="double" w:sz="4" w:space="0" w:color="000000"/>
              <w:left w:val="single" w:sz="4" w:space="0" w:color="000000"/>
              <w:bottom w:val="double" w:sz="4" w:space="0" w:color="000000"/>
              <w:right w:val="single" w:sz="4" w:space="0" w:color="000000"/>
            </w:tcBorders>
          </w:tcPr>
          <w:p w14:paraId="7D92E7E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Apolipoproteína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A1</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7"/>
                <w:sz w:val="12"/>
                <w:szCs w:val="12"/>
                <w:lang w:val="es-ES"/>
              </w:rPr>
              <w:t xml:space="preserve"> </w:t>
            </w:r>
            <w:r>
              <w:rPr>
                <w:rFonts w:ascii="Arial" w:eastAsia="Times New Roman" w:hAnsi="Arial" w:cs="Arial"/>
                <w:spacing w:val="-10"/>
                <w:sz w:val="12"/>
                <w:szCs w:val="12"/>
                <w:lang w:val="es-ES"/>
              </w:rPr>
              <w:t>B</w:t>
            </w:r>
          </w:p>
        </w:tc>
        <w:tc>
          <w:tcPr>
            <w:tcW w:w="779" w:type="dxa"/>
            <w:tcBorders>
              <w:top w:val="double" w:sz="4" w:space="0" w:color="000000"/>
              <w:left w:val="single" w:sz="4" w:space="0" w:color="000000"/>
              <w:bottom w:val="double" w:sz="4" w:space="0" w:color="000000"/>
              <w:right w:val="single" w:sz="4" w:space="0" w:color="000000"/>
            </w:tcBorders>
            <w:vAlign w:val="center"/>
          </w:tcPr>
          <w:p w14:paraId="07D7511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6.25</w:t>
            </w:r>
          </w:p>
        </w:tc>
        <w:tc>
          <w:tcPr>
            <w:tcW w:w="780" w:type="dxa"/>
            <w:tcBorders>
              <w:top w:val="double" w:sz="4" w:space="0" w:color="000000"/>
              <w:left w:val="single" w:sz="4" w:space="0" w:color="000000"/>
              <w:bottom w:val="double" w:sz="4" w:space="0" w:color="000000"/>
              <w:right w:val="single" w:sz="4" w:space="0" w:color="000000"/>
            </w:tcBorders>
            <w:vAlign w:val="center"/>
          </w:tcPr>
          <w:p w14:paraId="6A4E1CB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1" w:type="dxa"/>
            <w:tcBorders>
              <w:top w:val="double" w:sz="4" w:space="0" w:color="000000"/>
              <w:left w:val="single" w:sz="4" w:space="0" w:color="000000"/>
              <w:bottom w:val="double" w:sz="4" w:space="0" w:color="000000"/>
              <w:right w:val="single" w:sz="4" w:space="0" w:color="000000"/>
            </w:tcBorders>
            <w:vAlign w:val="center"/>
          </w:tcPr>
          <w:p w14:paraId="51B192D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5.90</w:t>
            </w:r>
          </w:p>
        </w:tc>
        <w:tc>
          <w:tcPr>
            <w:tcW w:w="779" w:type="dxa"/>
            <w:tcBorders>
              <w:top w:val="double" w:sz="4" w:space="0" w:color="000000"/>
              <w:left w:val="single" w:sz="4" w:space="0" w:color="000000"/>
              <w:bottom w:val="double" w:sz="4" w:space="0" w:color="000000"/>
              <w:right w:val="single" w:sz="4" w:space="0" w:color="000000"/>
            </w:tcBorders>
            <w:vAlign w:val="center"/>
          </w:tcPr>
          <w:p w14:paraId="245C336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0" w:type="dxa"/>
            <w:tcBorders>
              <w:top w:val="double" w:sz="4" w:space="0" w:color="000000"/>
              <w:left w:val="single" w:sz="4" w:space="0" w:color="000000"/>
              <w:bottom w:val="double" w:sz="4" w:space="0" w:color="000000"/>
              <w:right w:val="single" w:sz="4" w:space="0" w:color="000000"/>
            </w:tcBorders>
            <w:vAlign w:val="center"/>
          </w:tcPr>
          <w:p w14:paraId="002DC23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79" w:type="dxa"/>
            <w:tcBorders>
              <w:top w:val="double" w:sz="4" w:space="0" w:color="000000"/>
              <w:left w:val="single" w:sz="4" w:space="0" w:color="000000"/>
              <w:bottom w:val="double" w:sz="4" w:space="0" w:color="000000"/>
              <w:right w:val="single" w:sz="4" w:space="0" w:color="000000"/>
            </w:tcBorders>
            <w:vAlign w:val="center"/>
          </w:tcPr>
          <w:p w14:paraId="7680040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2A7F988"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31B68A0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086</w:t>
            </w:r>
          </w:p>
        </w:tc>
        <w:tc>
          <w:tcPr>
            <w:tcW w:w="2977" w:type="dxa"/>
            <w:tcBorders>
              <w:top w:val="double" w:sz="4" w:space="0" w:color="000000"/>
              <w:left w:val="single" w:sz="4" w:space="0" w:color="000000"/>
              <w:bottom w:val="double" w:sz="4" w:space="0" w:color="000000"/>
              <w:right w:val="single" w:sz="4" w:space="0" w:color="000000"/>
            </w:tcBorders>
          </w:tcPr>
          <w:p w14:paraId="42D94C3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B-2</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microglobulina</w:t>
            </w:r>
          </w:p>
        </w:tc>
        <w:tc>
          <w:tcPr>
            <w:tcW w:w="779" w:type="dxa"/>
            <w:tcBorders>
              <w:top w:val="double" w:sz="4" w:space="0" w:color="000000"/>
              <w:left w:val="single" w:sz="4" w:space="0" w:color="000000"/>
              <w:bottom w:val="double" w:sz="4" w:space="0" w:color="000000"/>
              <w:right w:val="single" w:sz="4" w:space="0" w:color="000000"/>
            </w:tcBorders>
            <w:vAlign w:val="center"/>
          </w:tcPr>
          <w:p w14:paraId="254E8E0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51AAD85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double" w:sz="4" w:space="0" w:color="000000"/>
              <w:right w:val="single" w:sz="4" w:space="0" w:color="000000"/>
            </w:tcBorders>
            <w:vAlign w:val="center"/>
          </w:tcPr>
          <w:p w14:paraId="223B485F"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57541D28"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50EF6DA8"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0C4EB5F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C371B1E"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411CBBB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087</w:t>
            </w:r>
          </w:p>
        </w:tc>
        <w:tc>
          <w:tcPr>
            <w:tcW w:w="2977" w:type="dxa"/>
            <w:tcBorders>
              <w:top w:val="double" w:sz="4" w:space="0" w:color="000000"/>
              <w:left w:val="single" w:sz="4" w:space="0" w:color="000000"/>
              <w:bottom w:val="double" w:sz="4" w:space="0" w:color="000000"/>
              <w:right w:val="single" w:sz="4" w:space="0" w:color="000000"/>
            </w:tcBorders>
          </w:tcPr>
          <w:p w14:paraId="0659FEC7"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Complemento</w:t>
            </w:r>
            <w:r>
              <w:rPr>
                <w:rFonts w:ascii="Arial" w:eastAsia="Times New Roman" w:hAnsi="Arial" w:cs="Arial"/>
                <w:spacing w:val="12"/>
                <w:sz w:val="12"/>
                <w:szCs w:val="12"/>
                <w:lang w:val="es-ES"/>
              </w:rPr>
              <w:t xml:space="preserve"> </w:t>
            </w:r>
            <w:r>
              <w:rPr>
                <w:rFonts w:ascii="Arial" w:eastAsia="Times New Roman" w:hAnsi="Arial" w:cs="Arial"/>
                <w:spacing w:val="-5"/>
                <w:sz w:val="12"/>
                <w:szCs w:val="12"/>
                <w:lang w:val="es-ES"/>
              </w:rPr>
              <w:t>C3</w:t>
            </w:r>
          </w:p>
        </w:tc>
        <w:tc>
          <w:tcPr>
            <w:tcW w:w="779" w:type="dxa"/>
            <w:tcBorders>
              <w:top w:val="double" w:sz="4" w:space="0" w:color="000000"/>
              <w:left w:val="single" w:sz="4" w:space="0" w:color="000000"/>
              <w:bottom w:val="double" w:sz="4" w:space="0" w:color="000000"/>
              <w:right w:val="single" w:sz="4" w:space="0" w:color="000000"/>
            </w:tcBorders>
            <w:vAlign w:val="center"/>
          </w:tcPr>
          <w:p w14:paraId="458FBA9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35F6D3D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2.30</w:t>
            </w:r>
          </w:p>
        </w:tc>
        <w:tc>
          <w:tcPr>
            <w:tcW w:w="781" w:type="dxa"/>
            <w:tcBorders>
              <w:top w:val="double" w:sz="4" w:space="0" w:color="000000"/>
              <w:left w:val="single" w:sz="4" w:space="0" w:color="000000"/>
              <w:bottom w:val="double" w:sz="4" w:space="0" w:color="000000"/>
              <w:right w:val="single" w:sz="4" w:space="0" w:color="000000"/>
            </w:tcBorders>
            <w:vAlign w:val="center"/>
          </w:tcPr>
          <w:p w14:paraId="592A429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45496004"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0" w:type="dxa"/>
            <w:tcBorders>
              <w:top w:val="double" w:sz="4" w:space="0" w:color="000000"/>
              <w:left w:val="single" w:sz="4" w:space="0" w:color="000000"/>
              <w:bottom w:val="double" w:sz="4" w:space="0" w:color="000000"/>
              <w:right w:val="single" w:sz="4" w:space="0" w:color="000000"/>
            </w:tcBorders>
            <w:vAlign w:val="center"/>
          </w:tcPr>
          <w:p w14:paraId="2AF54608"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1E8C6CD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BDE4509"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3918002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088</w:t>
            </w:r>
          </w:p>
        </w:tc>
        <w:tc>
          <w:tcPr>
            <w:tcW w:w="2977" w:type="dxa"/>
            <w:tcBorders>
              <w:top w:val="double" w:sz="4" w:space="0" w:color="000000"/>
              <w:left w:val="single" w:sz="4" w:space="0" w:color="000000"/>
              <w:bottom w:val="double" w:sz="4" w:space="0" w:color="000000"/>
              <w:right w:val="single" w:sz="4" w:space="0" w:color="000000"/>
            </w:tcBorders>
          </w:tcPr>
          <w:p w14:paraId="68CB939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Complemento</w:t>
            </w:r>
            <w:r>
              <w:rPr>
                <w:rFonts w:ascii="Arial" w:eastAsia="Times New Roman" w:hAnsi="Arial" w:cs="Arial"/>
                <w:spacing w:val="12"/>
                <w:sz w:val="12"/>
                <w:szCs w:val="12"/>
                <w:lang w:val="es-ES"/>
              </w:rPr>
              <w:t xml:space="preserve"> </w:t>
            </w:r>
            <w:r>
              <w:rPr>
                <w:rFonts w:ascii="Arial" w:eastAsia="Times New Roman" w:hAnsi="Arial" w:cs="Arial"/>
                <w:spacing w:val="-5"/>
                <w:sz w:val="12"/>
                <w:szCs w:val="12"/>
                <w:lang w:val="es-ES"/>
              </w:rPr>
              <w:t>C4</w:t>
            </w:r>
          </w:p>
        </w:tc>
        <w:tc>
          <w:tcPr>
            <w:tcW w:w="779" w:type="dxa"/>
            <w:tcBorders>
              <w:top w:val="double" w:sz="4" w:space="0" w:color="000000"/>
              <w:left w:val="single" w:sz="4" w:space="0" w:color="000000"/>
              <w:bottom w:val="double" w:sz="4" w:space="0" w:color="000000"/>
              <w:right w:val="single" w:sz="4" w:space="0" w:color="000000"/>
            </w:tcBorders>
            <w:vAlign w:val="center"/>
          </w:tcPr>
          <w:p w14:paraId="64EAE2FF"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22133F3C"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2.30</w:t>
            </w:r>
          </w:p>
        </w:tc>
        <w:tc>
          <w:tcPr>
            <w:tcW w:w="781" w:type="dxa"/>
            <w:tcBorders>
              <w:top w:val="double" w:sz="4" w:space="0" w:color="000000"/>
              <w:left w:val="single" w:sz="4" w:space="0" w:color="000000"/>
              <w:bottom w:val="double" w:sz="4" w:space="0" w:color="000000"/>
              <w:right w:val="single" w:sz="4" w:space="0" w:color="000000"/>
            </w:tcBorders>
            <w:vAlign w:val="center"/>
          </w:tcPr>
          <w:p w14:paraId="576D982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79" w:type="dxa"/>
            <w:tcBorders>
              <w:top w:val="double" w:sz="4" w:space="0" w:color="000000"/>
              <w:left w:val="single" w:sz="4" w:space="0" w:color="000000"/>
              <w:bottom w:val="double" w:sz="4" w:space="0" w:color="000000"/>
              <w:right w:val="single" w:sz="4" w:space="0" w:color="000000"/>
            </w:tcBorders>
            <w:vAlign w:val="center"/>
          </w:tcPr>
          <w:p w14:paraId="22738C61"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0" w:type="dxa"/>
            <w:tcBorders>
              <w:top w:val="double" w:sz="4" w:space="0" w:color="000000"/>
              <w:left w:val="single" w:sz="4" w:space="0" w:color="000000"/>
              <w:bottom w:val="double" w:sz="4" w:space="0" w:color="000000"/>
              <w:right w:val="single" w:sz="4" w:space="0" w:color="000000"/>
            </w:tcBorders>
            <w:vAlign w:val="center"/>
          </w:tcPr>
          <w:p w14:paraId="45DD282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505A1B8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9E35188" w14:textId="77777777">
        <w:trPr>
          <w:trHeight w:val="478"/>
        </w:trPr>
        <w:tc>
          <w:tcPr>
            <w:tcW w:w="1106" w:type="dxa"/>
            <w:tcBorders>
              <w:top w:val="double" w:sz="4" w:space="0" w:color="000000"/>
              <w:left w:val="single" w:sz="4" w:space="0" w:color="000000"/>
              <w:bottom w:val="double" w:sz="4" w:space="0" w:color="000000"/>
              <w:right w:val="single" w:sz="4" w:space="0" w:color="000000"/>
            </w:tcBorders>
          </w:tcPr>
          <w:p w14:paraId="090B38F3"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089</w:t>
            </w:r>
          </w:p>
        </w:tc>
        <w:tc>
          <w:tcPr>
            <w:tcW w:w="2977" w:type="dxa"/>
            <w:tcBorders>
              <w:top w:val="double" w:sz="4" w:space="0" w:color="000000"/>
              <w:left w:val="single" w:sz="4" w:space="0" w:color="000000"/>
              <w:bottom w:val="double" w:sz="4" w:space="0" w:color="000000"/>
              <w:right w:val="single" w:sz="4" w:space="0" w:color="000000"/>
            </w:tcBorders>
          </w:tcPr>
          <w:p w14:paraId="0E946B1E" w14:textId="77777777" w:rsidR="00D3344B" w:rsidRDefault="00143C25">
            <w:pPr>
              <w:widowControl w:val="0"/>
              <w:suppressAutoHyphens w:val="0"/>
              <w:spacing w:before="68" w:after="0" w:line="235" w:lineRule="auto"/>
              <w:rPr>
                <w:rFonts w:ascii="Arial" w:eastAsia="Times New Roman" w:hAnsi="Arial" w:cs="Arial"/>
                <w:sz w:val="12"/>
                <w:szCs w:val="12"/>
                <w:lang w:val="es-ES"/>
              </w:rPr>
            </w:pPr>
            <w:r>
              <w:rPr>
                <w:rFonts w:ascii="Arial" w:eastAsia="Times New Roman" w:hAnsi="Arial" w:cs="Arial"/>
                <w:sz w:val="12"/>
                <w:szCs w:val="12"/>
                <w:lang w:val="es-ES"/>
              </w:rPr>
              <w:t>Curva</w:t>
            </w:r>
            <w:r>
              <w:rPr>
                <w:rFonts w:ascii="Arial" w:eastAsia="Times New Roman" w:hAnsi="Arial" w:cs="Arial"/>
                <w:spacing w:val="19"/>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18"/>
                <w:sz w:val="12"/>
                <w:szCs w:val="12"/>
                <w:lang w:val="es-ES"/>
              </w:rPr>
              <w:t xml:space="preserve"> </w:t>
            </w:r>
            <w:r>
              <w:rPr>
                <w:rFonts w:ascii="Arial" w:eastAsia="Times New Roman" w:hAnsi="Arial" w:cs="Arial"/>
                <w:sz w:val="12"/>
                <w:szCs w:val="12"/>
                <w:lang w:val="es-ES"/>
              </w:rPr>
              <w:t>tolerancia</w:t>
            </w:r>
            <w:r>
              <w:rPr>
                <w:rFonts w:ascii="Arial" w:eastAsia="Times New Roman" w:hAnsi="Arial" w:cs="Arial"/>
                <w:spacing w:val="20"/>
                <w:sz w:val="12"/>
                <w:szCs w:val="12"/>
                <w:lang w:val="es-ES"/>
              </w:rPr>
              <w:t xml:space="preserve"> </w:t>
            </w:r>
            <w:r>
              <w:rPr>
                <w:rFonts w:ascii="Arial" w:eastAsia="Times New Roman" w:hAnsi="Arial" w:cs="Arial"/>
                <w:sz w:val="12"/>
                <w:szCs w:val="12"/>
                <w:lang w:val="es-ES"/>
              </w:rPr>
              <w:t>a</w:t>
            </w:r>
            <w:r>
              <w:rPr>
                <w:rFonts w:ascii="Arial" w:eastAsia="Times New Roman" w:hAnsi="Arial" w:cs="Arial"/>
                <w:spacing w:val="19"/>
                <w:sz w:val="12"/>
                <w:szCs w:val="12"/>
                <w:lang w:val="es-ES"/>
              </w:rPr>
              <w:t xml:space="preserve"> </w:t>
            </w:r>
            <w:r>
              <w:rPr>
                <w:rFonts w:ascii="Arial" w:eastAsia="Times New Roman" w:hAnsi="Arial" w:cs="Arial"/>
                <w:sz w:val="12"/>
                <w:szCs w:val="12"/>
                <w:lang w:val="es-ES"/>
              </w:rPr>
              <w:t>la</w:t>
            </w:r>
            <w:r>
              <w:rPr>
                <w:rFonts w:ascii="Arial" w:eastAsia="Times New Roman" w:hAnsi="Arial" w:cs="Arial"/>
                <w:spacing w:val="20"/>
                <w:sz w:val="12"/>
                <w:szCs w:val="12"/>
                <w:lang w:val="es-ES"/>
              </w:rPr>
              <w:t xml:space="preserve"> </w:t>
            </w:r>
            <w:r>
              <w:rPr>
                <w:rFonts w:ascii="Arial" w:eastAsia="Times New Roman" w:hAnsi="Arial" w:cs="Arial"/>
                <w:sz w:val="12"/>
                <w:szCs w:val="12"/>
                <w:lang w:val="es-ES"/>
              </w:rPr>
              <w:t>glucosa</w:t>
            </w:r>
            <w:r>
              <w:rPr>
                <w:rFonts w:ascii="Arial" w:eastAsia="Times New Roman" w:hAnsi="Arial" w:cs="Arial"/>
                <w:spacing w:val="19"/>
                <w:sz w:val="12"/>
                <w:szCs w:val="12"/>
                <w:lang w:val="es-ES"/>
              </w:rPr>
              <w:t xml:space="preserve"> </w:t>
            </w:r>
            <w:r>
              <w:rPr>
                <w:rFonts w:ascii="Arial" w:eastAsia="Times New Roman" w:hAnsi="Arial" w:cs="Arial"/>
                <w:sz w:val="12"/>
                <w:szCs w:val="12"/>
                <w:lang w:val="es-ES"/>
              </w:rPr>
              <w:t>(4</w:t>
            </w:r>
            <w:r>
              <w:rPr>
                <w:rFonts w:ascii="Arial" w:eastAsia="Times New Roman" w:hAnsi="Arial" w:cs="Arial"/>
                <w:spacing w:val="20"/>
                <w:sz w:val="12"/>
                <w:szCs w:val="12"/>
                <w:lang w:val="es-ES"/>
              </w:rPr>
              <w:t xml:space="preserve"> </w:t>
            </w:r>
            <w:r>
              <w:rPr>
                <w:rFonts w:ascii="Arial" w:eastAsia="Times New Roman" w:hAnsi="Arial" w:cs="Arial"/>
                <w:sz w:val="12"/>
                <w:szCs w:val="12"/>
                <w:lang w:val="es-ES"/>
              </w:rPr>
              <w:t>Muestras)</w:t>
            </w:r>
            <w:r>
              <w:rPr>
                <w:rFonts w:ascii="Arial" w:eastAsia="Times New Roman" w:hAnsi="Arial" w:cs="Arial"/>
                <w:spacing w:val="20"/>
                <w:sz w:val="12"/>
                <w:szCs w:val="12"/>
                <w:lang w:val="es-ES"/>
              </w:rPr>
              <w:t xml:space="preserve"> </w:t>
            </w:r>
            <w:r>
              <w:rPr>
                <w:rFonts w:ascii="Arial" w:eastAsia="Times New Roman" w:hAnsi="Arial" w:cs="Arial"/>
                <w:sz w:val="12"/>
                <w:szCs w:val="12"/>
                <w:lang w:val="es-ES"/>
              </w:rPr>
              <w:t>C/</w:t>
            </w:r>
            <w:r>
              <w:rPr>
                <w:rFonts w:ascii="Arial" w:eastAsia="Times New Roman" w:hAnsi="Arial" w:cs="Arial"/>
                <w:spacing w:val="21"/>
                <w:sz w:val="12"/>
                <w:szCs w:val="12"/>
                <w:lang w:val="es-ES"/>
              </w:rPr>
              <w:t xml:space="preserve"> </w:t>
            </w:r>
            <w:r>
              <w:rPr>
                <w:rFonts w:ascii="Arial" w:eastAsia="Times New Roman" w:hAnsi="Arial" w:cs="Arial"/>
                <w:sz w:val="12"/>
                <w:szCs w:val="12"/>
                <w:lang w:val="es-ES"/>
              </w:rPr>
              <w:t>glucosa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100gr/250</w:t>
            </w:r>
            <w:r>
              <w:rPr>
                <w:rFonts w:ascii="Arial" w:eastAsia="Times New Roman" w:hAnsi="Arial" w:cs="Arial"/>
                <w:spacing w:val="-5"/>
                <w:sz w:val="12"/>
                <w:szCs w:val="12"/>
                <w:lang w:val="es-ES"/>
              </w:rPr>
              <w:t xml:space="preserve"> </w:t>
            </w:r>
            <w:proofErr w:type="spellStart"/>
            <w:r>
              <w:rPr>
                <w:rFonts w:ascii="Arial" w:eastAsia="Times New Roman" w:hAnsi="Arial" w:cs="Arial"/>
                <w:sz w:val="12"/>
                <w:szCs w:val="12"/>
                <w:lang w:val="es-ES"/>
              </w:rPr>
              <w:t>mL</w:t>
            </w:r>
            <w:proofErr w:type="spellEnd"/>
          </w:p>
        </w:tc>
        <w:tc>
          <w:tcPr>
            <w:tcW w:w="779" w:type="dxa"/>
            <w:tcBorders>
              <w:top w:val="double" w:sz="4" w:space="0" w:color="000000"/>
              <w:left w:val="single" w:sz="4" w:space="0" w:color="000000"/>
              <w:bottom w:val="double" w:sz="4" w:space="0" w:color="000000"/>
              <w:right w:val="single" w:sz="4" w:space="0" w:color="000000"/>
            </w:tcBorders>
            <w:vAlign w:val="center"/>
          </w:tcPr>
          <w:p w14:paraId="6EDE1126"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5844C1EF"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3.80</w:t>
            </w:r>
          </w:p>
        </w:tc>
        <w:tc>
          <w:tcPr>
            <w:tcW w:w="781" w:type="dxa"/>
            <w:tcBorders>
              <w:top w:val="double" w:sz="4" w:space="0" w:color="000000"/>
              <w:left w:val="single" w:sz="4" w:space="0" w:color="000000"/>
              <w:bottom w:val="double" w:sz="4" w:space="0" w:color="000000"/>
              <w:right w:val="single" w:sz="4" w:space="0" w:color="000000"/>
            </w:tcBorders>
            <w:vAlign w:val="center"/>
          </w:tcPr>
          <w:p w14:paraId="60D0D3A6"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3.60</w:t>
            </w:r>
          </w:p>
        </w:tc>
        <w:tc>
          <w:tcPr>
            <w:tcW w:w="779" w:type="dxa"/>
            <w:tcBorders>
              <w:top w:val="double" w:sz="4" w:space="0" w:color="000000"/>
              <w:left w:val="single" w:sz="4" w:space="0" w:color="000000"/>
              <w:bottom w:val="double" w:sz="4" w:space="0" w:color="000000"/>
              <w:right w:val="single" w:sz="4" w:space="0" w:color="000000"/>
            </w:tcBorders>
            <w:vAlign w:val="center"/>
          </w:tcPr>
          <w:p w14:paraId="465481BD"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330201DC" w14:textId="77777777" w:rsidR="00D3344B" w:rsidRDefault="00143C25">
            <w:pPr>
              <w:widowControl w:val="0"/>
              <w:suppressAutoHyphens w:val="0"/>
              <w:spacing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6F0E125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E213299"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70BB767E"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090</w:t>
            </w:r>
          </w:p>
        </w:tc>
        <w:tc>
          <w:tcPr>
            <w:tcW w:w="2977" w:type="dxa"/>
            <w:tcBorders>
              <w:top w:val="double" w:sz="4" w:space="0" w:color="000000"/>
              <w:left w:val="single" w:sz="4" w:space="0" w:color="000000"/>
              <w:bottom w:val="double" w:sz="4" w:space="0" w:color="000000"/>
              <w:right w:val="single" w:sz="4" w:space="0" w:color="000000"/>
            </w:tcBorders>
          </w:tcPr>
          <w:p w14:paraId="62BDA06E"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Electrolitos</w:t>
            </w:r>
            <w:r>
              <w:rPr>
                <w:rFonts w:ascii="Arial" w:eastAsia="Times New Roman" w:hAnsi="Arial" w:cs="Arial"/>
                <w:spacing w:val="-4"/>
                <w:sz w:val="12"/>
                <w:szCs w:val="12"/>
                <w:lang w:val="es-ES"/>
              </w:rPr>
              <w:t xml:space="preserve"> </w:t>
            </w:r>
            <w:proofErr w:type="spellStart"/>
            <w:r>
              <w:rPr>
                <w:rFonts w:ascii="Arial" w:eastAsia="Times New Roman" w:hAnsi="Arial" w:cs="Arial"/>
                <w:sz w:val="12"/>
                <w:szCs w:val="12"/>
                <w:lang w:val="es-ES"/>
              </w:rPr>
              <w:t>sericos</w:t>
            </w:r>
            <w:proofErr w:type="spellEnd"/>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Na</w:t>
            </w:r>
            <w:proofErr w:type="spellEnd"/>
            <w:r>
              <w:rPr>
                <w:rFonts w:ascii="Arial" w:eastAsia="Times New Roman" w:hAnsi="Arial" w:cs="Arial"/>
                <w:sz w:val="12"/>
                <w:szCs w:val="12"/>
                <w:lang w:val="es-ES"/>
              </w:rPr>
              <w:t>,</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K,</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P,</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Mg)</w:t>
            </w:r>
          </w:p>
        </w:tc>
        <w:tc>
          <w:tcPr>
            <w:tcW w:w="779" w:type="dxa"/>
            <w:tcBorders>
              <w:top w:val="double" w:sz="4" w:space="0" w:color="000000"/>
              <w:left w:val="single" w:sz="4" w:space="0" w:color="000000"/>
              <w:bottom w:val="double" w:sz="4" w:space="0" w:color="000000"/>
              <w:right w:val="single" w:sz="4" w:space="0" w:color="000000"/>
            </w:tcBorders>
            <w:vAlign w:val="center"/>
          </w:tcPr>
          <w:p w14:paraId="1FC0821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374B75F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1" w:type="dxa"/>
            <w:tcBorders>
              <w:top w:val="double" w:sz="4" w:space="0" w:color="000000"/>
              <w:left w:val="single" w:sz="4" w:space="0" w:color="000000"/>
              <w:bottom w:val="double" w:sz="4" w:space="0" w:color="000000"/>
              <w:right w:val="single" w:sz="4" w:space="0" w:color="000000"/>
            </w:tcBorders>
            <w:vAlign w:val="center"/>
          </w:tcPr>
          <w:p w14:paraId="64F839E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21D211D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1303EE9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double" w:sz="4" w:space="0" w:color="000000"/>
              <w:left w:val="single" w:sz="4" w:space="0" w:color="000000"/>
              <w:bottom w:val="double" w:sz="4" w:space="0" w:color="000000"/>
              <w:right w:val="single" w:sz="4" w:space="0" w:color="000000"/>
            </w:tcBorders>
            <w:vAlign w:val="center"/>
          </w:tcPr>
          <w:p w14:paraId="18E46C7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C4F2986"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2A9EE19D"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091</w:t>
            </w:r>
          </w:p>
        </w:tc>
        <w:tc>
          <w:tcPr>
            <w:tcW w:w="2977" w:type="dxa"/>
            <w:tcBorders>
              <w:top w:val="double" w:sz="4" w:space="0" w:color="000000"/>
              <w:left w:val="single" w:sz="4" w:space="0" w:color="000000"/>
              <w:bottom w:val="double" w:sz="4" w:space="0" w:color="000000"/>
              <w:right w:val="single" w:sz="4" w:space="0" w:color="000000"/>
            </w:tcBorders>
          </w:tcPr>
          <w:p w14:paraId="2C420932"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Electrolitos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urinarios</w:t>
            </w:r>
            <w:r>
              <w:rPr>
                <w:rFonts w:ascii="Arial" w:eastAsia="Times New Roman" w:hAnsi="Arial" w:cs="Arial"/>
                <w:spacing w:val="29"/>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Na</w:t>
            </w:r>
            <w:proofErr w:type="spellEnd"/>
            <w:r>
              <w:rPr>
                <w:rFonts w:ascii="Arial" w:eastAsia="Times New Roman" w:hAnsi="Arial" w:cs="Arial"/>
                <w:sz w:val="12"/>
                <w:szCs w:val="12"/>
                <w:lang w:val="es-ES"/>
              </w:rPr>
              <w:t>,</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K,</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Cl)</w:t>
            </w:r>
          </w:p>
        </w:tc>
        <w:tc>
          <w:tcPr>
            <w:tcW w:w="779" w:type="dxa"/>
            <w:tcBorders>
              <w:top w:val="double" w:sz="4" w:space="0" w:color="000000"/>
              <w:left w:val="single" w:sz="4" w:space="0" w:color="000000"/>
              <w:bottom w:val="double" w:sz="4" w:space="0" w:color="000000"/>
              <w:right w:val="single" w:sz="4" w:space="0" w:color="000000"/>
            </w:tcBorders>
            <w:vAlign w:val="center"/>
          </w:tcPr>
          <w:p w14:paraId="7C678FB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80" w:type="dxa"/>
            <w:tcBorders>
              <w:top w:val="double" w:sz="4" w:space="0" w:color="000000"/>
              <w:left w:val="single" w:sz="4" w:space="0" w:color="000000"/>
              <w:bottom w:val="double" w:sz="4" w:space="0" w:color="000000"/>
              <w:right w:val="single" w:sz="4" w:space="0" w:color="000000"/>
            </w:tcBorders>
            <w:vAlign w:val="center"/>
          </w:tcPr>
          <w:p w14:paraId="2C0237E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1" w:type="dxa"/>
            <w:tcBorders>
              <w:top w:val="double" w:sz="4" w:space="0" w:color="000000"/>
              <w:left w:val="single" w:sz="4" w:space="0" w:color="000000"/>
              <w:bottom w:val="double" w:sz="4" w:space="0" w:color="000000"/>
              <w:right w:val="single" w:sz="4" w:space="0" w:color="000000"/>
            </w:tcBorders>
            <w:vAlign w:val="center"/>
          </w:tcPr>
          <w:p w14:paraId="6C28591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79" w:type="dxa"/>
            <w:tcBorders>
              <w:top w:val="double" w:sz="4" w:space="0" w:color="000000"/>
              <w:left w:val="single" w:sz="4" w:space="0" w:color="000000"/>
              <w:bottom w:val="double" w:sz="4" w:space="0" w:color="000000"/>
              <w:right w:val="single" w:sz="4" w:space="0" w:color="000000"/>
            </w:tcBorders>
            <w:vAlign w:val="center"/>
          </w:tcPr>
          <w:p w14:paraId="62EE809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0" w:type="dxa"/>
            <w:tcBorders>
              <w:top w:val="double" w:sz="4" w:space="0" w:color="000000"/>
              <w:left w:val="single" w:sz="4" w:space="0" w:color="000000"/>
              <w:bottom w:val="double" w:sz="4" w:space="0" w:color="000000"/>
              <w:right w:val="single" w:sz="4" w:space="0" w:color="000000"/>
            </w:tcBorders>
            <w:vAlign w:val="center"/>
          </w:tcPr>
          <w:p w14:paraId="72C86517"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0CDB18B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ECFCC8D"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13F8D0C0"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092</w:t>
            </w:r>
          </w:p>
        </w:tc>
        <w:tc>
          <w:tcPr>
            <w:tcW w:w="2977" w:type="dxa"/>
            <w:tcBorders>
              <w:top w:val="double" w:sz="4" w:space="0" w:color="000000"/>
              <w:left w:val="single" w:sz="4" w:space="0" w:color="000000"/>
              <w:bottom w:val="double" w:sz="4" w:space="0" w:color="000000"/>
              <w:right w:val="single" w:sz="4" w:space="0" w:color="000000"/>
            </w:tcBorders>
          </w:tcPr>
          <w:p w14:paraId="4B6D0BC6"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Electrolitos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urinarios</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Na</w:t>
            </w:r>
            <w:proofErr w:type="spellEnd"/>
            <w:r>
              <w:rPr>
                <w:rFonts w:ascii="Arial" w:eastAsia="Times New Roman" w:hAnsi="Arial" w:cs="Arial"/>
                <w:sz w:val="12"/>
                <w:szCs w:val="12"/>
                <w:lang w:val="es-ES"/>
              </w:rPr>
              <w:t>,</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K,</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Ca,</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P,</w:t>
            </w:r>
            <w:r>
              <w:rPr>
                <w:rFonts w:ascii="Arial" w:eastAsia="Times New Roman" w:hAnsi="Arial" w:cs="Arial"/>
                <w:spacing w:val="-6"/>
                <w:sz w:val="12"/>
                <w:szCs w:val="12"/>
                <w:lang w:val="es-ES"/>
              </w:rPr>
              <w:t xml:space="preserve"> </w:t>
            </w:r>
            <w:r>
              <w:rPr>
                <w:rFonts w:ascii="Arial" w:eastAsia="Times New Roman" w:hAnsi="Arial" w:cs="Arial"/>
                <w:spacing w:val="-5"/>
                <w:sz w:val="12"/>
                <w:szCs w:val="12"/>
                <w:lang w:val="es-ES"/>
              </w:rPr>
              <w:t>Mg)</w:t>
            </w:r>
          </w:p>
        </w:tc>
        <w:tc>
          <w:tcPr>
            <w:tcW w:w="779" w:type="dxa"/>
            <w:tcBorders>
              <w:top w:val="double" w:sz="4" w:space="0" w:color="000000"/>
              <w:left w:val="single" w:sz="4" w:space="0" w:color="000000"/>
              <w:bottom w:val="double" w:sz="4" w:space="0" w:color="000000"/>
              <w:right w:val="single" w:sz="4" w:space="0" w:color="000000"/>
            </w:tcBorders>
            <w:vAlign w:val="center"/>
          </w:tcPr>
          <w:p w14:paraId="3169835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37E0ADB2"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1" w:type="dxa"/>
            <w:tcBorders>
              <w:top w:val="double" w:sz="4" w:space="0" w:color="000000"/>
              <w:left w:val="single" w:sz="4" w:space="0" w:color="000000"/>
              <w:bottom w:val="double" w:sz="4" w:space="0" w:color="000000"/>
              <w:right w:val="single" w:sz="4" w:space="0" w:color="000000"/>
            </w:tcBorders>
            <w:vAlign w:val="center"/>
          </w:tcPr>
          <w:p w14:paraId="417460A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28ABC79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6114FA8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double" w:sz="4" w:space="0" w:color="000000"/>
              <w:left w:val="single" w:sz="4" w:space="0" w:color="000000"/>
              <w:bottom w:val="double" w:sz="4" w:space="0" w:color="000000"/>
              <w:right w:val="single" w:sz="4" w:space="0" w:color="000000"/>
            </w:tcBorders>
            <w:vAlign w:val="center"/>
          </w:tcPr>
          <w:p w14:paraId="7CDB942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67A5838"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54E7072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093</w:t>
            </w:r>
          </w:p>
        </w:tc>
        <w:tc>
          <w:tcPr>
            <w:tcW w:w="2977" w:type="dxa"/>
            <w:tcBorders>
              <w:top w:val="double" w:sz="4" w:space="0" w:color="000000"/>
              <w:left w:val="single" w:sz="4" w:space="0" w:color="000000"/>
              <w:bottom w:val="double" w:sz="4" w:space="0" w:color="000000"/>
              <w:right w:val="single" w:sz="4" w:space="0" w:color="000000"/>
            </w:tcBorders>
          </w:tcPr>
          <w:p w14:paraId="3E0B2DE7"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Excreción</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fraccional</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orina</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minutada</w:t>
            </w:r>
          </w:p>
        </w:tc>
        <w:tc>
          <w:tcPr>
            <w:tcW w:w="779" w:type="dxa"/>
            <w:tcBorders>
              <w:top w:val="double" w:sz="4" w:space="0" w:color="000000"/>
              <w:left w:val="single" w:sz="4" w:space="0" w:color="000000"/>
              <w:bottom w:val="double" w:sz="4" w:space="0" w:color="000000"/>
              <w:right w:val="single" w:sz="4" w:space="0" w:color="000000"/>
            </w:tcBorders>
            <w:vAlign w:val="center"/>
          </w:tcPr>
          <w:p w14:paraId="4DECC79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0FB2C3E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81" w:type="dxa"/>
            <w:tcBorders>
              <w:top w:val="double" w:sz="4" w:space="0" w:color="000000"/>
              <w:left w:val="single" w:sz="4" w:space="0" w:color="000000"/>
              <w:bottom w:val="double" w:sz="4" w:space="0" w:color="000000"/>
              <w:right w:val="single" w:sz="4" w:space="0" w:color="000000"/>
            </w:tcBorders>
            <w:vAlign w:val="center"/>
          </w:tcPr>
          <w:p w14:paraId="58133888"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746CA6A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0" w:type="dxa"/>
            <w:tcBorders>
              <w:top w:val="double" w:sz="4" w:space="0" w:color="000000"/>
              <w:left w:val="single" w:sz="4" w:space="0" w:color="000000"/>
              <w:bottom w:val="double" w:sz="4" w:space="0" w:color="000000"/>
              <w:right w:val="single" w:sz="4" w:space="0" w:color="000000"/>
            </w:tcBorders>
            <w:vAlign w:val="center"/>
          </w:tcPr>
          <w:p w14:paraId="0742281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1007CE1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46D487E"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6E972C97"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094</w:t>
            </w:r>
          </w:p>
        </w:tc>
        <w:tc>
          <w:tcPr>
            <w:tcW w:w="2977" w:type="dxa"/>
            <w:tcBorders>
              <w:top w:val="double" w:sz="4" w:space="0" w:color="000000"/>
              <w:left w:val="single" w:sz="4" w:space="0" w:color="000000"/>
              <w:bottom w:val="double" w:sz="4" w:space="0" w:color="000000"/>
              <w:right w:val="single" w:sz="4" w:space="0" w:color="000000"/>
            </w:tcBorders>
          </w:tcPr>
          <w:p w14:paraId="38968B4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Factor</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reumatoide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cuantitativo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026AD8ED"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5810A84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2.15</w:t>
            </w:r>
          </w:p>
        </w:tc>
        <w:tc>
          <w:tcPr>
            <w:tcW w:w="781" w:type="dxa"/>
            <w:tcBorders>
              <w:top w:val="double" w:sz="4" w:space="0" w:color="000000"/>
              <w:left w:val="single" w:sz="4" w:space="0" w:color="000000"/>
              <w:bottom w:val="double" w:sz="4" w:space="0" w:color="000000"/>
              <w:right w:val="single" w:sz="4" w:space="0" w:color="000000"/>
            </w:tcBorders>
            <w:vAlign w:val="center"/>
          </w:tcPr>
          <w:p w14:paraId="121598A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618CE5E6"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80" w:type="dxa"/>
            <w:tcBorders>
              <w:top w:val="double" w:sz="4" w:space="0" w:color="000000"/>
              <w:left w:val="single" w:sz="4" w:space="0" w:color="000000"/>
              <w:bottom w:val="double" w:sz="4" w:space="0" w:color="000000"/>
              <w:right w:val="single" w:sz="4" w:space="0" w:color="000000"/>
            </w:tcBorders>
            <w:vAlign w:val="center"/>
          </w:tcPr>
          <w:p w14:paraId="755C961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79" w:type="dxa"/>
            <w:tcBorders>
              <w:top w:val="double" w:sz="4" w:space="0" w:color="000000"/>
              <w:left w:val="single" w:sz="4" w:space="0" w:color="000000"/>
              <w:bottom w:val="double" w:sz="4" w:space="0" w:color="000000"/>
              <w:right w:val="single" w:sz="4" w:space="0" w:color="000000"/>
            </w:tcBorders>
            <w:vAlign w:val="center"/>
          </w:tcPr>
          <w:p w14:paraId="7BF72C5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5E4D419"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7F82F4D8"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096</w:t>
            </w:r>
          </w:p>
        </w:tc>
        <w:tc>
          <w:tcPr>
            <w:tcW w:w="2977" w:type="dxa"/>
            <w:tcBorders>
              <w:top w:val="double" w:sz="4" w:space="0" w:color="000000"/>
              <w:left w:val="single" w:sz="4" w:space="0" w:color="000000"/>
              <w:bottom w:val="double" w:sz="4" w:space="0" w:color="000000"/>
              <w:right w:val="single" w:sz="4" w:space="0" w:color="000000"/>
            </w:tcBorders>
          </w:tcPr>
          <w:p w14:paraId="5DF7F1F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Fenobarbital</w:t>
            </w:r>
          </w:p>
        </w:tc>
        <w:tc>
          <w:tcPr>
            <w:tcW w:w="779" w:type="dxa"/>
            <w:tcBorders>
              <w:top w:val="double" w:sz="4" w:space="0" w:color="000000"/>
              <w:left w:val="single" w:sz="4" w:space="0" w:color="000000"/>
              <w:bottom w:val="double" w:sz="4" w:space="0" w:color="000000"/>
              <w:right w:val="single" w:sz="4" w:space="0" w:color="000000"/>
            </w:tcBorders>
            <w:vAlign w:val="center"/>
          </w:tcPr>
          <w:p w14:paraId="0C0A4F00"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0285644F"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2.85</w:t>
            </w:r>
          </w:p>
        </w:tc>
        <w:tc>
          <w:tcPr>
            <w:tcW w:w="781" w:type="dxa"/>
            <w:tcBorders>
              <w:top w:val="double" w:sz="4" w:space="0" w:color="000000"/>
              <w:left w:val="single" w:sz="4" w:space="0" w:color="000000"/>
              <w:bottom w:val="double" w:sz="4" w:space="0" w:color="000000"/>
              <w:right w:val="single" w:sz="4" w:space="0" w:color="000000"/>
            </w:tcBorders>
            <w:vAlign w:val="center"/>
          </w:tcPr>
          <w:p w14:paraId="5265CBB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264615D7"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0" w:type="dxa"/>
            <w:tcBorders>
              <w:top w:val="double" w:sz="4" w:space="0" w:color="000000"/>
              <w:left w:val="single" w:sz="4" w:space="0" w:color="000000"/>
              <w:bottom w:val="double" w:sz="4" w:space="0" w:color="000000"/>
              <w:right w:val="single" w:sz="4" w:space="0" w:color="000000"/>
            </w:tcBorders>
            <w:vAlign w:val="center"/>
          </w:tcPr>
          <w:p w14:paraId="69C08D1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1AF220E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A042003"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46A993E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097</w:t>
            </w:r>
          </w:p>
        </w:tc>
        <w:tc>
          <w:tcPr>
            <w:tcW w:w="2977" w:type="dxa"/>
            <w:tcBorders>
              <w:top w:val="double" w:sz="4" w:space="0" w:color="000000"/>
              <w:left w:val="single" w:sz="4" w:space="0" w:color="000000"/>
              <w:bottom w:val="double" w:sz="4" w:space="0" w:color="000000"/>
              <w:right w:val="single" w:sz="4" w:space="0" w:color="000000"/>
            </w:tcBorders>
          </w:tcPr>
          <w:p w14:paraId="729CEAE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Fosfatasa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ácida</w:t>
            </w:r>
            <w:r>
              <w:rPr>
                <w:rFonts w:ascii="Arial" w:eastAsia="Times New Roman" w:hAnsi="Arial" w:cs="Arial"/>
                <w:spacing w:val="32"/>
                <w:sz w:val="12"/>
                <w:szCs w:val="12"/>
                <w:lang w:val="es-ES"/>
              </w:rPr>
              <w:t xml:space="preserve"> </w:t>
            </w:r>
            <w:r>
              <w:rPr>
                <w:rFonts w:ascii="Arial" w:eastAsia="Times New Roman" w:hAnsi="Arial" w:cs="Arial"/>
                <w:spacing w:val="-2"/>
                <w:sz w:val="12"/>
                <w:szCs w:val="12"/>
                <w:lang w:val="es-ES"/>
              </w:rPr>
              <w:t>(FAC)</w:t>
            </w:r>
          </w:p>
        </w:tc>
        <w:tc>
          <w:tcPr>
            <w:tcW w:w="779" w:type="dxa"/>
            <w:tcBorders>
              <w:top w:val="double" w:sz="4" w:space="0" w:color="000000"/>
              <w:left w:val="single" w:sz="4" w:space="0" w:color="000000"/>
              <w:bottom w:val="double" w:sz="4" w:space="0" w:color="000000"/>
              <w:right w:val="single" w:sz="4" w:space="0" w:color="000000"/>
            </w:tcBorders>
            <w:vAlign w:val="center"/>
          </w:tcPr>
          <w:p w14:paraId="08ED5B4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0" w:type="dxa"/>
            <w:tcBorders>
              <w:top w:val="double" w:sz="4" w:space="0" w:color="000000"/>
              <w:left w:val="single" w:sz="4" w:space="0" w:color="000000"/>
              <w:bottom w:val="double" w:sz="4" w:space="0" w:color="000000"/>
              <w:right w:val="single" w:sz="4" w:space="0" w:color="000000"/>
            </w:tcBorders>
            <w:vAlign w:val="center"/>
          </w:tcPr>
          <w:p w14:paraId="14D413F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1" w:type="dxa"/>
            <w:tcBorders>
              <w:top w:val="double" w:sz="4" w:space="0" w:color="000000"/>
              <w:left w:val="single" w:sz="4" w:space="0" w:color="000000"/>
              <w:bottom w:val="double" w:sz="4" w:space="0" w:color="000000"/>
              <w:right w:val="single" w:sz="4" w:space="0" w:color="000000"/>
            </w:tcBorders>
            <w:vAlign w:val="center"/>
          </w:tcPr>
          <w:p w14:paraId="270E4AF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6A5E989B"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4A1158F6"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168EA95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160C4C2"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0B4CFB05"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lastRenderedPageBreak/>
              <w:t>03-AC-</w:t>
            </w:r>
            <w:r>
              <w:rPr>
                <w:rFonts w:ascii="Arial" w:eastAsia="Times New Roman" w:hAnsi="Arial" w:cs="Arial"/>
                <w:spacing w:val="-5"/>
                <w:sz w:val="12"/>
                <w:szCs w:val="12"/>
                <w:lang w:val="es-ES"/>
              </w:rPr>
              <w:t>098</w:t>
            </w:r>
          </w:p>
        </w:tc>
        <w:tc>
          <w:tcPr>
            <w:tcW w:w="2977" w:type="dxa"/>
            <w:tcBorders>
              <w:top w:val="double" w:sz="4" w:space="0" w:color="000000"/>
              <w:left w:val="single" w:sz="4" w:space="0" w:color="000000"/>
              <w:bottom w:val="double" w:sz="4" w:space="0" w:color="000000"/>
              <w:right w:val="single" w:sz="4" w:space="0" w:color="000000"/>
            </w:tcBorders>
          </w:tcPr>
          <w:p w14:paraId="23469FE6"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Gamma</w:t>
            </w:r>
            <w:r>
              <w:rPr>
                <w:rFonts w:ascii="Arial" w:eastAsia="Times New Roman" w:hAnsi="Arial" w:cs="Arial"/>
                <w:spacing w:val="10"/>
                <w:sz w:val="12"/>
                <w:szCs w:val="12"/>
                <w:lang w:val="es-ES"/>
              </w:rPr>
              <w:t xml:space="preserve"> </w:t>
            </w:r>
            <w:proofErr w:type="spellStart"/>
            <w:r>
              <w:rPr>
                <w:rFonts w:ascii="Arial" w:eastAsia="Times New Roman" w:hAnsi="Arial" w:cs="Arial"/>
                <w:spacing w:val="-2"/>
                <w:sz w:val="12"/>
                <w:szCs w:val="12"/>
                <w:lang w:val="es-ES"/>
              </w:rPr>
              <w:t>glutamiltransferasa</w:t>
            </w:r>
            <w:proofErr w:type="spellEnd"/>
            <w:r>
              <w:rPr>
                <w:rFonts w:ascii="Arial" w:eastAsia="Times New Roman" w:hAnsi="Arial" w:cs="Arial"/>
                <w:spacing w:val="15"/>
                <w:sz w:val="12"/>
                <w:szCs w:val="12"/>
                <w:lang w:val="es-ES"/>
              </w:rPr>
              <w:t xml:space="preserve"> </w:t>
            </w:r>
            <w:r>
              <w:rPr>
                <w:rFonts w:ascii="Arial" w:eastAsia="Times New Roman" w:hAnsi="Arial" w:cs="Arial"/>
                <w:spacing w:val="-4"/>
                <w:sz w:val="12"/>
                <w:szCs w:val="12"/>
                <w:lang w:val="es-ES"/>
              </w:rPr>
              <w:t>(GGT)</w:t>
            </w:r>
          </w:p>
        </w:tc>
        <w:tc>
          <w:tcPr>
            <w:tcW w:w="779" w:type="dxa"/>
            <w:tcBorders>
              <w:top w:val="double" w:sz="4" w:space="0" w:color="000000"/>
              <w:left w:val="single" w:sz="4" w:space="0" w:color="000000"/>
              <w:bottom w:val="double" w:sz="4" w:space="0" w:color="000000"/>
              <w:right w:val="single" w:sz="4" w:space="0" w:color="000000"/>
            </w:tcBorders>
            <w:vAlign w:val="center"/>
          </w:tcPr>
          <w:p w14:paraId="6770ED0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72431C42"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139FF894"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7B100F1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3220EB6F"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33F4CCC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BA62E10"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086937D9"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099</w:t>
            </w:r>
          </w:p>
        </w:tc>
        <w:tc>
          <w:tcPr>
            <w:tcW w:w="2977" w:type="dxa"/>
            <w:tcBorders>
              <w:top w:val="double" w:sz="4" w:space="0" w:color="000000"/>
              <w:left w:val="single" w:sz="4" w:space="0" w:color="000000"/>
              <w:bottom w:val="double" w:sz="4" w:space="0" w:color="000000"/>
              <w:right w:val="single" w:sz="4" w:space="0" w:color="000000"/>
            </w:tcBorders>
          </w:tcPr>
          <w:p w14:paraId="47902C7D"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Gasometría</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venosa</w:t>
            </w:r>
          </w:p>
        </w:tc>
        <w:tc>
          <w:tcPr>
            <w:tcW w:w="779" w:type="dxa"/>
            <w:tcBorders>
              <w:top w:val="double" w:sz="4" w:space="0" w:color="000000"/>
              <w:left w:val="single" w:sz="4" w:space="0" w:color="000000"/>
              <w:bottom w:val="double" w:sz="4" w:space="0" w:color="000000"/>
              <w:right w:val="single" w:sz="4" w:space="0" w:color="000000"/>
            </w:tcBorders>
            <w:vAlign w:val="center"/>
          </w:tcPr>
          <w:p w14:paraId="01079B25"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1BD784DA"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5.90</w:t>
            </w:r>
          </w:p>
        </w:tc>
        <w:tc>
          <w:tcPr>
            <w:tcW w:w="781" w:type="dxa"/>
            <w:tcBorders>
              <w:top w:val="double" w:sz="4" w:space="0" w:color="000000"/>
              <w:left w:val="single" w:sz="4" w:space="0" w:color="000000"/>
              <w:bottom w:val="double" w:sz="4" w:space="0" w:color="000000"/>
              <w:right w:val="single" w:sz="4" w:space="0" w:color="000000"/>
            </w:tcBorders>
            <w:vAlign w:val="center"/>
          </w:tcPr>
          <w:p w14:paraId="361071B2"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79" w:type="dxa"/>
            <w:tcBorders>
              <w:top w:val="double" w:sz="4" w:space="0" w:color="000000"/>
              <w:left w:val="single" w:sz="4" w:space="0" w:color="000000"/>
              <w:bottom w:val="double" w:sz="4" w:space="0" w:color="000000"/>
              <w:right w:val="single" w:sz="4" w:space="0" w:color="000000"/>
            </w:tcBorders>
            <w:vAlign w:val="center"/>
          </w:tcPr>
          <w:p w14:paraId="2FE6781E"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0" w:type="dxa"/>
            <w:tcBorders>
              <w:top w:val="double" w:sz="4" w:space="0" w:color="000000"/>
              <w:left w:val="single" w:sz="4" w:space="0" w:color="000000"/>
              <w:bottom w:val="double" w:sz="4" w:space="0" w:color="000000"/>
              <w:right w:val="single" w:sz="4" w:space="0" w:color="000000"/>
            </w:tcBorders>
            <w:vAlign w:val="center"/>
          </w:tcPr>
          <w:p w14:paraId="379AECC4" w14:textId="77777777" w:rsidR="00D3344B" w:rsidRDefault="00143C25">
            <w:pPr>
              <w:widowControl w:val="0"/>
              <w:suppressAutoHyphens w:val="0"/>
              <w:spacing w:before="108" w:after="0" w:line="154"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79" w:type="dxa"/>
            <w:tcBorders>
              <w:top w:val="double" w:sz="4" w:space="0" w:color="000000"/>
              <w:left w:val="single" w:sz="4" w:space="0" w:color="000000"/>
              <w:bottom w:val="double" w:sz="4" w:space="0" w:color="000000"/>
              <w:right w:val="single" w:sz="4" w:space="0" w:color="000000"/>
            </w:tcBorders>
            <w:vAlign w:val="center"/>
          </w:tcPr>
          <w:p w14:paraId="4D79FB3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13CBFDA" w14:textId="77777777">
        <w:trPr>
          <w:trHeight w:val="288"/>
        </w:trPr>
        <w:tc>
          <w:tcPr>
            <w:tcW w:w="1106" w:type="dxa"/>
            <w:tcBorders>
              <w:top w:val="double" w:sz="4" w:space="0" w:color="000000"/>
              <w:left w:val="single" w:sz="4" w:space="0" w:color="000000"/>
              <w:bottom w:val="single" w:sz="8" w:space="0" w:color="000000"/>
              <w:right w:val="single" w:sz="4" w:space="0" w:color="000000"/>
            </w:tcBorders>
          </w:tcPr>
          <w:p w14:paraId="1141FC8C"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100</w:t>
            </w:r>
          </w:p>
        </w:tc>
        <w:tc>
          <w:tcPr>
            <w:tcW w:w="2977" w:type="dxa"/>
            <w:tcBorders>
              <w:top w:val="double" w:sz="4" w:space="0" w:color="000000"/>
              <w:left w:val="single" w:sz="4" w:space="0" w:color="000000"/>
              <w:bottom w:val="single" w:sz="8" w:space="0" w:color="000000"/>
              <w:right w:val="single" w:sz="4" w:space="0" w:color="000000"/>
            </w:tcBorders>
          </w:tcPr>
          <w:p w14:paraId="2B824D72" w14:textId="77777777" w:rsidR="00D3344B" w:rsidRDefault="00143C25">
            <w:pPr>
              <w:widowControl w:val="0"/>
              <w:suppressAutoHyphens w:val="0"/>
              <w:spacing w:before="55"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Glicohemoglobina</w:t>
            </w:r>
            <w:proofErr w:type="spellEnd"/>
            <w:r>
              <w:rPr>
                <w:rFonts w:ascii="Arial" w:eastAsia="Times New Roman" w:hAnsi="Arial" w:cs="Arial"/>
                <w:spacing w:val="18"/>
                <w:sz w:val="12"/>
                <w:szCs w:val="12"/>
                <w:lang w:val="es-ES"/>
              </w:rPr>
              <w:t xml:space="preserve"> </w:t>
            </w:r>
            <w:r>
              <w:rPr>
                <w:rFonts w:ascii="Arial" w:eastAsia="Times New Roman" w:hAnsi="Arial" w:cs="Arial"/>
                <w:spacing w:val="-2"/>
                <w:sz w:val="12"/>
                <w:szCs w:val="12"/>
                <w:lang w:val="es-ES"/>
              </w:rPr>
              <w:t>(HbA1c)</w:t>
            </w:r>
          </w:p>
        </w:tc>
        <w:tc>
          <w:tcPr>
            <w:tcW w:w="779" w:type="dxa"/>
            <w:tcBorders>
              <w:top w:val="double" w:sz="4" w:space="0" w:color="000000"/>
              <w:left w:val="single" w:sz="4" w:space="0" w:color="000000"/>
              <w:bottom w:val="single" w:sz="8" w:space="0" w:color="000000"/>
              <w:right w:val="single" w:sz="4" w:space="0" w:color="000000"/>
            </w:tcBorders>
            <w:vAlign w:val="center"/>
          </w:tcPr>
          <w:p w14:paraId="40E1C5F0"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3.40</w:t>
            </w:r>
          </w:p>
        </w:tc>
        <w:tc>
          <w:tcPr>
            <w:tcW w:w="780" w:type="dxa"/>
            <w:tcBorders>
              <w:top w:val="double" w:sz="4" w:space="0" w:color="000000"/>
              <w:left w:val="single" w:sz="4" w:space="0" w:color="000000"/>
              <w:bottom w:val="single" w:sz="8" w:space="0" w:color="000000"/>
              <w:right w:val="single" w:sz="4" w:space="0" w:color="000000"/>
            </w:tcBorders>
            <w:vAlign w:val="center"/>
          </w:tcPr>
          <w:p w14:paraId="30735285"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3.35</w:t>
            </w:r>
          </w:p>
        </w:tc>
        <w:tc>
          <w:tcPr>
            <w:tcW w:w="781" w:type="dxa"/>
            <w:tcBorders>
              <w:top w:val="double" w:sz="4" w:space="0" w:color="000000"/>
              <w:left w:val="single" w:sz="4" w:space="0" w:color="000000"/>
              <w:bottom w:val="single" w:sz="8" w:space="0" w:color="000000"/>
              <w:right w:val="single" w:sz="4" w:space="0" w:color="000000"/>
            </w:tcBorders>
            <w:vAlign w:val="center"/>
          </w:tcPr>
          <w:p w14:paraId="533172FC"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79" w:type="dxa"/>
            <w:tcBorders>
              <w:top w:val="double" w:sz="4" w:space="0" w:color="000000"/>
              <w:left w:val="single" w:sz="4" w:space="0" w:color="000000"/>
              <w:bottom w:val="single" w:sz="8" w:space="0" w:color="000000"/>
              <w:right w:val="single" w:sz="4" w:space="0" w:color="000000"/>
            </w:tcBorders>
            <w:vAlign w:val="center"/>
          </w:tcPr>
          <w:p w14:paraId="2B151001"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3.15</w:t>
            </w:r>
          </w:p>
        </w:tc>
        <w:tc>
          <w:tcPr>
            <w:tcW w:w="780" w:type="dxa"/>
            <w:tcBorders>
              <w:top w:val="double" w:sz="4" w:space="0" w:color="000000"/>
              <w:left w:val="single" w:sz="4" w:space="0" w:color="000000"/>
              <w:bottom w:val="single" w:sz="8" w:space="0" w:color="000000"/>
              <w:right w:val="single" w:sz="4" w:space="0" w:color="000000"/>
            </w:tcBorders>
            <w:vAlign w:val="center"/>
          </w:tcPr>
          <w:p w14:paraId="6213C3C3" w14:textId="77777777" w:rsidR="00D3344B" w:rsidRDefault="00143C25">
            <w:pPr>
              <w:widowControl w:val="0"/>
              <w:suppressAutoHyphens w:val="0"/>
              <w:spacing w:before="108" w:after="0" w:line="16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79" w:type="dxa"/>
            <w:tcBorders>
              <w:top w:val="double" w:sz="4" w:space="0" w:color="000000"/>
              <w:left w:val="single" w:sz="4" w:space="0" w:color="000000"/>
              <w:bottom w:val="single" w:sz="8" w:space="0" w:color="000000"/>
              <w:right w:val="single" w:sz="4" w:space="0" w:color="000000"/>
            </w:tcBorders>
            <w:vAlign w:val="center"/>
          </w:tcPr>
          <w:p w14:paraId="2B4A020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2E52392" w14:textId="77777777">
        <w:trPr>
          <w:trHeight w:val="288"/>
        </w:trPr>
        <w:tc>
          <w:tcPr>
            <w:tcW w:w="1106" w:type="dxa"/>
            <w:tcBorders>
              <w:top w:val="single" w:sz="8" w:space="0" w:color="000000"/>
              <w:left w:val="single" w:sz="4" w:space="0" w:color="000000"/>
              <w:bottom w:val="double" w:sz="4" w:space="0" w:color="000000"/>
              <w:right w:val="single" w:sz="4" w:space="0" w:color="000000"/>
            </w:tcBorders>
          </w:tcPr>
          <w:p w14:paraId="2298EAF5"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101</w:t>
            </w:r>
          </w:p>
        </w:tc>
        <w:tc>
          <w:tcPr>
            <w:tcW w:w="2977" w:type="dxa"/>
            <w:tcBorders>
              <w:top w:val="single" w:sz="8" w:space="0" w:color="000000"/>
              <w:left w:val="single" w:sz="4" w:space="0" w:color="000000"/>
              <w:bottom w:val="double" w:sz="4" w:space="0" w:color="000000"/>
              <w:right w:val="single" w:sz="4" w:space="0" w:color="000000"/>
            </w:tcBorders>
          </w:tcPr>
          <w:p w14:paraId="5F7A8DE5"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Glucosa</w:t>
            </w:r>
            <w:r>
              <w:rPr>
                <w:rFonts w:ascii="Arial" w:eastAsia="Times New Roman" w:hAnsi="Arial" w:cs="Arial"/>
                <w:spacing w:val="12"/>
                <w:sz w:val="12"/>
                <w:szCs w:val="12"/>
                <w:lang w:val="es-ES"/>
              </w:rPr>
              <w:t xml:space="preserve"> </w:t>
            </w:r>
            <w:proofErr w:type="spellStart"/>
            <w:r>
              <w:rPr>
                <w:rFonts w:ascii="Arial" w:eastAsia="Times New Roman" w:hAnsi="Arial" w:cs="Arial"/>
                <w:spacing w:val="-2"/>
                <w:sz w:val="12"/>
                <w:szCs w:val="12"/>
                <w:lang w:val="es-ES"/>
              </w:rPr>
              <w:t>post-prandial</w:t>
            </w:r>
            <w:proofErr w:type="spellEnd"/>
          </w:p>
        </w:tc>
        <w:tc>
          <w:tcPr>
            <w:tcW w:w="779" w:type="dxa"/>
            <w:tcBorders>
              <w:top w:val="single" w:sz="8" w:space="0" w:color="000000"/>
              <w:left w:val="single" w:sz="4" w:space="0" w:color="000000"/>
              <w:bottom w:val="double" w:sz="4" w:space="0" w:color="000000"/>
              <w:right w:val="single" w:sz="4" w:space="0" w:color="000000"/>
            </w:tcBorders>
            <w:vAlign w:val="center"/>
          </w:tcPr>
          <w:p w14:paraId="7BA282AC"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single" w:sz="8" w:space="0" w:color="000000"/>
              <w:left w:val="single" w:sz="4" w:space="0" w:color="000000"/>
              <w:bottom w:val="double" w:sz="4" w:space="0" w:color="000000"/>
              <w:right w:val="single" w:sz="4" w:space="0" w:color="000000"/>
            </w:tcBorders>
            <w:vAlign w:val="center"/>
          </w:tcPr>
          <w:p w14:paraId="247C03B0"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1" w:type="dxa"/>
            <w:tcBorders>
              <w:top w:val="single" w:sz="8" w:space="0" w:color="000000"/>
              <w:left w:val="single" w:sz="4" w:space="0" w:color="000000"/>
              <w:bottom w:val="double" w:sz="4" w:space="0" w:color="000000"/>
              <w:right w:val="single" w:sz="4" w:space="0" w:color="000000"/>
            </w:tcBorders>
            <w:vAlign w:val="center"/>
          </w:tcPr>
          <w:p w14:paraId="44A62C83"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79" w:type="dxa"/>
            <w:tcBorders>
              <w:top w:val="single" w:sz="8" w:space="0" w:color="000000"/>
              <w:left w:val="single" w:sz="4" w:space="0" w:color="000000"/>
              <w:bottom w:val="double" w:sz="4" w:space="0" w:color="000000"/>
              <w:right w:val="single" w:sz="4" w:space="0" w:color="000000"/>
            </w:tcBorders>
            <w:vAlign w:val="center"/>
          </w:tcPr>
          <w:p w14:paraId="3606728F"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0" w:type="dxa"/>
            <w:tcBorders>
              <w:top w:val="single" w:sz="8" w:space="0" w:color="000000"/>
              <w:left w:val="single" w:sz="4" w:space="0" w:color="000000"/>
              <w:bottom w:val="double" w:sz="4" w:space="0" w:color="000000"/>
              <w:right w:val="single" w:sz="4" w:space="0" w:color="000000"/>
            </w:tcBorders>
            <w:vAlign w:val="center"/>
          </w:tcPr>
          <w:p w14:paraId="3065B10A" w14:textId="77777777" w:rsidR="00D3344B" w:rsidRDefault="00143C25">
            <w:pPr>
              <w:widowControl w:val="0"/>
              <w:suppressAutoHyphens w:val="0"/>
              <w:spacing w:before="112"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single" w:sz="8" w:space="0" w:color="000000"/>
              <w:left w:val="single" w:sz="4" w:space="0" w:color="000000"/>
              <w:bottom w:val="double" w:sz="4" w:space="0" w:color="000000"/>
              <w:right w:val="single" w:sz="4" w:space="0" w:color="000000"/>
            </w:tcBorders>
            <w:vAlign w:val="center"/>
          </w:tcPr>
          <w:p w14:paraId="4845A55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90F3660" w14:textId="77777777">
        <w:trPr>
          <w:trHeight w:val="282"/>
        </w:trPr>
        <w:tc>
          <w:tcPr>
            <w:tcW w:w="1106" w:type="dxa"/>
            <w:tcBorders>
              <w:top w:val="double" w:sz="4" w:space="0" w:color="000000"/>
              <w:left w:val="single" w:sz="4" w:space="0" w:color="000000"/>
              <w:bottom w:val="double" w:sz="4" w:space="0" w:color="000000"/>
              <w:right w:val="single" w:sz="4" w:space="0" w:color="000000"/>
            </w:tcBorders>
          </w:tcPr>
          <w:p w14:paraId="1B926285"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102</w:t>
            </w:r>
          </w:p>
        </w:tc>
        <w:tc>
          <w:tcPr>
            <w:tcW w:w="2977" w:type="dxa"/>
            <w:tcBorders>
              <w:top w:val="double" w:sz="4" w:space="0" w:color="000000"/>
              <w:left w:val="single" w:sz="4" w:space="0" w:color="000000"/>
              <w:bottom w:val="double" w:sz="4" w:space="0" w:color="000000"/>
              <w:right w:val="single" w:sz="4" w:space="0" w:color="000000"/>
            </w:tcBorders>
          </w:tcPr>
          <w:p w14:paraId="59DA50EC"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Índice</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BUN/Creatinina</w:t>
            </w:r>
          </w:p>
        </w:tc>
        <w:tc>
          <w:tcPr>
            <w:tcW w:w="779" w:type="dxa"/>
            <w:tcBorders>
              <w:top w:val="double" w:sz="4" w:space="0" w:color="000000"/>
              <w:left w:val="single" w:sz="4" w:space="0" w:color="000000"/>
              <w:bottom w:val="double" w:sz="4" w:space="0" w:color="000000"/>
              <w:right w:val="single" w:sz="4" w:space="0" w:color="000000"/>
            </w:tcBorders>
            <w:vAlign w:val="center"/>
          </w:tcPr>
          <w:p w14:paraId="275F47F3"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0D58036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1" w:type="dxa"/>
            <w:tcBorders>
              <w:top w:val="double" w:sz="4" w:space="0" w:color="000000"/>
              <w:left w:val="single" w:sz="4" w:space="0" w:color="000000"/>
              <w:bottom w:val="double" w:sz="4" w:space="0" w:color="000000"/>
              <w:right w:val="single" w:sz="4" w:space="0" w:color="000000"/>
            </w:tcBorders>
            <w:vAlign w:val="center"/>
          </w:tcPr>
          <w:p w14:paraId="048857C0"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7D9B0A7B"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3FEE178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2C0A7AA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FF37265"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47A5CA14"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103</w:t>
            </w:r>
          </w:p>
        </w:tc>
        <w:tc>
          <w:tcPr>
            <w:tcW w:w="2977" w:type="dxa"/>
            <w:tcBorders>
              <w:top w:val="double" w:sz="4" w:space="0" w:color="000000"/>
              <w:left w:val="single" w:sz="4" w:space="0" w:color="000000"/>
              <w:bottom w:val="double" w:sz="4" w:space="0" w:color="000000"/>
              <w:right w:val="single" w:sz="4" w:space="0" w:color="000000"/>
            </w:tcBorders>
          </w:tcPr>
          <w:p w14:paraId="3E464CDD"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Inmunoglobulina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A</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IgA</w:t>
            </w:r>
          </w:p>
        </w:tc>
        <w:tc>
          <w:tcPr>
            <w:tcW w:w="779" w:type="dxa"/>
            <w:tcBorders>
              <w:top w:val="double" w:sz="4" w:space="0" w:color="000000"/>
              <w:left w:val="single" w:sz="4" w:space="0" w:color="000000"/>
              <w:bottom w:val="double" w:sz="4" w:space="0" w:color="000000"/>
              <w:right w:val="single" w:sz="4" w:space="0" w:color="000000"/>
            </w:tcBorders>
            <w:vAlign w:val="center"/>
          </w:tcPr>
          <w:p w14:paraId="29FF8DD5"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4BF0EC29"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double" w:sz="4" w:space="0" w:color="000000"/>
              <w:right w:val="single" w:sz="4" w:space="0" w:color="000000"/>
            </w:tcBorders>
            <w:vAlign w:val="center"/>
          </w:tcPr>
          <w:p w14:paraId="74A0BB2E"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5539CF3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25CE71D4"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7BF1A27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F45C5B0" w14:textId="77777777">
        <w:trPr>
          <w:trHeight w:val="281"/>
        </w:trPr>
        <w:tc>
          <w:tcPr>
            <w:tcW w:w="1106" w:type="dxa"/>
            <w:tcBorders>
              <w:top w:val="double" w:sz="4" w:space="0" w:color="000000"/>
              <w:left w:val="single" w:sz="4" w:space="0" w:color="000000"/>
              <w:bottom w:val="double" w:sz="4" w:space="0" w:color="000000"/>
              <w:right w:val="single" w:sz="4" w:space="0" w:color="000000"/>
            </w:tcBorders>
          </w:tcPr>
          <w:p w14:paraId="39787691"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104</w:t>
            </w:r>
          </w:p>
        </w:tc>
        <w:tc>
          <w:tcPr>
            <w:tcW w:w="2977" w:type="dxa"/>
            <w:tcBorders>
              <w:top w:val="double" w:sz="4" w:space="0" w:color="000000"/>
              <w:left w:val="single" w:sz="4" w:space="0" w:color="000000"/>
              <w:bottom w:val="double" w:sz="4" w:space="0" w:color="000000"/>
              <w:right w:val="single" w:sz="4" w:space="0" w:color="000000"/>
            </w:tcBorders>
          </w:tcPr>
          <w:p w14:paraId="5D69657A" w14:textId="77777777" w:rsidR="00D3344B" w:rsidRDefault="00143C25">
            <w:pPr>
              <w:widowControl w:val="0"/>
              <w:suppressAutoHyphens w:val="0"/>
              <w:spacing w:before="52" w:after="0" w:line="240" w:lineRule="auto"/>
              <w:rPr>
                <w:rFonts w:ascii="Arial" w:eastAsia="Times New Roman" w:hAnsi="Arial" w:cs="Arial"/>
                <w:sz w:val="12"/>
                <w:szCs w:val="12"/>
                <w:lang w:val="es-ES"/>
              </w:rPr>
            </w:pPr>
            <w:r>
              <w:rPr>
                <w:rFonts w:ascii="Arial" w:eastAsia="Times New Roman" w:hAnsi="Arial" w:cs="Arial"/>
                <w:sz w:val="12"/>
                <w:szCs w:val="12"/>
                <w:lang w:val="es-ES"/>
              </w:rPr>
              <w:t>Inmunoglobulina</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E</w:t>
            </w:r>
            <w:r>
              <w:rPr>
                <w:rFonts w:ascii="Arial" w:eastAsia="Times New Roman" w:hAnsi="Arial" w:cs="Arial"/>
                <w:spacing w:val="-7"/>
                <w:sz w:val="12"/>
                <w:szCs w:val="12"/>
                <w:lang w:val="es-ES"/>
              </w:rPr>
              <w:t xml:space="preserve"> </w:t>
            </w:r>
            <w:r>
              <w:rPr>
                <w:rFonts w:ascii="Arial" w:eastAsia="Times New Roman" w:hAnsi="Arial" w:cs="Arial"/>
                <w:spacing w:val="-5"/>
                <w:sz w:val="12"/>
                <w:szCs w:val="12"/>
                <w:lang w:val="es-ES"/>
              </w:rPr>
              <w:t>IgE</w:t>
            </w:r>
          </w:p>
        </w:tc>
        <w:tc>
          <w:tcPr>
            <w:tcW w:w="779" w:type="dxa"/>
            <w:tcBorders>
              <w:top w:val="double" w:sz="4" w:space="0" w:color="000000"/>
              <w:left w:val="single" w:sz="4" w:space="0" w:color="000000"/>
              <w:bottom w:val="double" w:sz="4" w:space="0" w:color="000000"/>
              <w:right w:val="single" w:sz="4" w:space="0" w:color="000000"/>
            </w:tcBorders>
            <w:vAlign w:val="center"/>
          </w:tcPr>
          <w:p w14:paraId="2F66DA21"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double" w:sz="4" w:space="0" w:color="000000"/>
              <w:right w:val="single" w:sz="4" w:space="0" w:color="000000"/>
            </w:tcBorders>
            <w:vAlign w:val="center"/>
          </w:tcPr>
          <w:p w14:paraId="17CAF18B"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double" w:sz="4" w:space="0" w:color="000000"/>
              <w:right w:val="single" w:sz="4" w:space="0" w:color="000000"/>
            </w:tcBorders>
            <w:vAlign w:val="center"/>
          </w:tcPr>
          <w:p w14:paraId="5FA114E5"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41AB8642"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6C4A6F7C" w14:textId="77777777" w:rsidR="00D3344B" w:rsidRDefault="00143C25">
            <w:pPr>
              <w:widowControl w:val="0"/>
              <w:suppressAutoHyphens w:val="0"/>
              <w:spacing w:before="105" w:after="0" w:line="156"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7EA3DC4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723E2AC" w14:textId="77777777">
        <w:trPr>
          <w:trHeight w:val="295"/>
        </w:trPr>
        <w:tc>
          <w:tcPr>
            <w:tcW w:w="1106" w:type="dxa"/>
            <w:tcBorders>
              <w:top w:val="double" w:sz="4" w:space="0" w:color="000000"/>
              <w:left w:val="single" w:sz="4" w:space="0" w:color="000000"/>
              <w:bottom w:val="single" w:sz="4" w:space="0" w:color="000000"/>
              <w:right w:val="single" w:sz="4" w:space="0" w:color="000000"/>
            </w:tcBorders>
          </w:tcPr>
          <w:p w14:paraId="62BDD890"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105</w:t>
            </w:r>
          </w:p>
        </w:tc>
        <w:tc>
          <w:tcPr>
            <w:tcW w:w="2977" w:type="dxa"/>
            <w:tcBorders>
              <w:top w:val="double" w:sz="4" w:space="0" w:color="000000"/>
              <w:left w:val="single" w:sz="4" w:space="0" w:color="000000"/>
              <w:bottom w:val="single" w:sz="4" w:space="0" w:color="000000"/>
              <w:right w:val="single" w:sz="4" w:space="0" w:color="000000"/>
            </w:tcBorders>
          </w:tcPr>
          <w:p w14:paraId="2829EE3F"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z w:val="12"/>
                <w:szCs w:val="12"/>
                <w:lang w:val="es-ES"/>
              </w:rPr>
              <w:t>Inmunoglobulina</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G</w:t>
            </w:r>
            <w:r>
              <w:rPr>
                <w:rFonts w:ascii="Arial" w:eastAsia="Times New Roman" w:hAnsi="Arial" w:cs="Arial"/>
                <w:spacing w:val="-5"/>
                <w:sz w:val="12"/>
                <w:szCs w:val="12"/>
                <w:lang w:val="es-ES"/>
              </w:rPr>
              <w:t xml:space="preserve"> IgG</w:t>
            </w:r>
          </w:p>
        </w:tc>
        <w:tc>
          <w:tcPr>
            <w:tcW w:w="779" w:type="dxa"/>
            <w:tcBorders>
              <w:top w:val="double" w:sz="4" w:space="0" w:color="000000"/>
              <w:left w:val="single" w:sz="4" w:space="0" w:color="000000"/>
              <w:bottom w:val="single" w:sz="4" w:space="0" w:color="000000"/>
              <w:right w:val="single" w:sz="4" w:space="0" w:color="000000"/>
            </w:tcBorders>
            <w:vAlign w:val="center"/>
          </w:tcPr>
          <w:p w14:paraId="6BA5A9DF"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double" w:sz="4" w:space="0" w:color="000000"/>
              <w:left w:val="single" w:sz="4" w:space="0" w:color="000000"/>
              <w:bottom w:val="single" w:sz="4" w:space="0" w:color="000000"/>
              <w:right w:val="single" w:sz="4" w:space="0" w:color="000000"/>
            </w:tcBorders>
            <w:vAlign w:val="center"/>
          </w:tcPr>
          <w:p w14:paraId="4D72B8B0"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single" w:sz="4" w:space="0" w:color="000000"/>
              <w:right w:val="single" w:sz="4" w:space="0" w:color="000000"/>
            </w:tcBorders>
            <w:vAlign w:val="center"/>
          </w:tcPr>
          <w:p w14:paraId="45240856"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single" w:sz="4" w:space="0" w:color="000000"/>
              <w:right w:val="single" w:sz="4" w:space="0" w:color="000000"/>
            </w:tcBorders>
            <w:vAlign w:val="center"/>
          </w:tcPr>
          <w:p w14:paraId="1260A143"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single" w:sz="4" w:space="0" w:color="000000"/>
              <w:right w:val="single" w:sz="4" w:space="0" w:color="000000"/>
            </w:tcBorders>
            <w:vAlign w:val="center"/>
          </w:tcPr>
          <w:p w14:paraId="20174EE6" w14:textId="77777777" w:rsidR="00D3344B" w:rsidRDefault="00143C25">
            <w:pPr>
              <w:widowControl w:val="0"/>
              <w:suppressAutoHyphens w:val="0"/>
              <w:spacing w:before="105" w:after="0" w:line="170"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single" w:sz="4" w:space="0" w:color="000000"/>
              <w:right w:val="single" w:sz="4" w:space="0" w:color="000000"/>
            </w:tcBorders>
            <w:vAlign w:val="center"/>
          </w:tcPr>
          <w:p w14:paraId="393A92F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33A44C4" w14:textId="77777777">
        <w:trPr>
          <w:trHeight w:val="287"/>
        </w:trPr>
        <w:tc>
          <w:tcPr>
            <w:tcW w:w="1106" w:type="dxa"/>
            <w:tcBorders>
              <w:top w:val="single" w:sz="4" w:space="0" w:color="000000"/>
              <w:left w:val="single" w:sz="4" w:space="0" w:color="000000"/>
              <w:bottom w:val="double" w:sz="4" w:space="0" w:color="000000"/>
              <w:right w:val="single" w:sz="4" w:space="0" w:color="000000"/>
            </w:tcBorders>
          </w:tcPr>
          <w:p w14:paraId="56BBA006"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106</w:t>
            </w:r>
          </w:p>
        </w:tc>
        <w:tc>
          <w:tcPr>
            <w:tcW w:w="2977" w:type="dxa"/>
            <w:tcBorders>
              <w:top w:val="single" w:sz="4" w:space="0" w:color="000000"/>
              <w:left w:val="single" w:sz="4" w:space="0" w:color="000000"/>
              <w:bottom w:val="double" w:sz="4" w:space="0" w:color="000000"/>
              <w:right w:val="single" w:sz="4" w:space="0" w:color="000000"/>
            </w:tcBorders>
          </w:tcPr>
          <w:p w14:paraId="76F6E137"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z w:val="12"/>
                <w:szCs w:val="12"/>
                <w:lang w:val="es-ES"/>
              </w:rPr>
              <w:t>Inmunoglobulina</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M</w:t>
            </w:r>
            <w:r>
              <w:rPr>
                <w:rFonts w:ascii="Arial" w:eastAsia="Times New Roman" w:hAnsi="Arial" w:cs="Arial"/>
                <w:spacing w:val="-8"/>
                <w:sz w:val="12"/>
                <w:szCs w:val="12"/>
                <w:lang w:val="es-ES"/>
              </w:rPr>
              <w:t xml:space="preserve"> </w:t>
            </w:r>
            <w:r>
              <w:rPr>
                <w:rFonts w:ascii="Arial" w:eastAsia="Times New Roman" w:hAnsi="Arial" w:cs="Arial"/>
                <w:spacing w:val="-5"/>
                <w:sz w:val="12"/>
                <w:szCs w:val="12"/>
                <w:lang w:val="es-ES"/>
              </w:rPr>
              <w:t>IgM</w:t>
            </w:r>
          </w:p>
        </w:tc>
        <w:tc>
          <w:tcPr>
            <w:tcW w:w="779" w:type="dxa"/>
            <w:tcBorders>
              <w:top w:val="single" w:sz="4" w:space="0" w:color="000000"/>
              <w:left w:val="single" w:sz="4" w:space="0" w:color="000000"/>
              <w:bottom w:val="double" w:sz="4" w:space="0" w:color="000000"/>
              <w:right w:val="single" w:sz="4" w:space="0" w:color="000000"/>
            </w:tcBorders>
            <w:vAlign w:val="center"/>
          </w:tcPr>
          <w:p w14:paraId="782AEF6A"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2.10</w:t>
            </w:r>
          </w:p>
        </w:tc>
        <w:tc>
          <w:tcPr>
            <w:tcW w:w="780" w:type="dxa"/>
            <w:tcBorders>
              <w:top w:val="single" w:sz="4" w:space="0" w:color="000000"/>
              <w:left w:val="single" w:sz="4" w:space="0" w:color="000000"/>
              <w:bottom w:val="double" w:sz="4" w:space="0" w:color="000000"/>
              <w:right w:val="single" w:sz="4" w:space="0" w:color="000000"/>
            </w:tcBorders>
            <w:vAlign w:val="center"/>
          </w:tcPr>
          <w:p w14:paraId="222FC034"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single" w:sz="4" w:space="0" w:color="000000"/>
              <w:left w:val="single" w:sz="4" w:space="0" w:color="000000"/>
              <w:bottom w:val="double" w:sz="4" w:space="0" w:color="000000"/>
              <w:right w:val="single" w:sz="4" w:space="0" w:color="000000"/>
            </w:tcBorders>
            <w:vAlign w:val="center"/>
          </w:tcPr>
          <w:p w14:paraId="1CED46C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single" w:sz="4" w:space="0" w:color="000000"/>
              <w:left w:val="single" w:sz="4" w:space="0" w:color="000000"/>
              <w:bottom w:val="double" w:sz="4" w:space="0" w:color="000000"/>
              <w:right w:val="single" w:sz="4" w:space="0" w:color="000000"/>
            </w:tcBorders>
            <w:vAlign w:val="center"/>
          </w:tcPr>
          <w:p w14:paraId="55C05F56"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single" w:sz="4" w:space="0" w:color="000000"/>
              <w:left w:val="single" w:sz="4" w:space="0" w:color="000000"/>
              <w:bottom w:val="double" w:sz="4" w:space="0" w:color="000000"/>
              <w:right w:val="single" w:sz="4" w:space="0" w:color="000000"/>
            </w:tcBorders>
            <w:vAlign w:val="center"/>
          </w:tcPr>
          <w:p w14:paraId="50163E6F"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single" w:sz="4" w:space="0" w:color="000000"/>
              <w:left w:val="single" w:sz="4" w:space="0" w:color="000000"/>
              <w:bottom w:val="double" w:sz="4" w:space="0" w:color="000000"/>
              <w:right w:val="single" w:sz="4" w:space="0" w:color="000000"/>
            </w:tcBorders>
            <w:vAlign w:val="center"/>
          </w:tcPr>
          <w:p w14:paraId="0065FA2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2C389A5"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4D6CFF8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107</w:t>
            </w:r>
          </w:p>
        </w:tc>
        <w:tc>
          <w:tcPr>
            <w:tcW w:w="2977" w:type="dxa"/>
            <w:tcBorders>
              <w:top w:val="double" w:sz="4" w:space="0" w:color="000000"/>
              <w:left w:val="single" w:sz="4" w:space="0" w:color="000000"/>
              <w:bottom w:val="double" w:sz="4" w:space="0" w:color="000000"/>
              <w:right w:val="single" w:sz="4" w:space="0" w:color="000000"/>
            </w:tcBorders>
          </w:tcPr>
          <w:p w14:paraId="69949F1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Lípidos</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Totales</w:t>
            </w:r>
          </w:p>
        </w:tc>
        <w:tc>
          <w:tcPr>
            <w:tcW w:w="779" w:type="dxa"/>
            <w:tcBorders>
              <w:top w:val="double" w:sz="4" w:space="0" w:color="000000"/>
              <w:left w:val="single" w:sz="4" w:space="0" w:color="000000"/>
              <w:bottom w:val="double" w:sz="4" w:space="0" w:color="000000"/>
              <w:right w:val="single" w:sz="4" w:space="0" w:color="000000"/>
            </w:tcBorders>
            <w:vAlign w:val="center"/>
          </w:tcPr>
          <w:p w14:paraId="05A8DBA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3A0041E8"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81" w:type="dxa"/>
            <w:tcBorders>
              <w:top w:val="double" w:sz="4" w:space="0" w:color="000000"/>
              <w:left w:val="single" w:sz="4" w:space="0" w:color="000000"/>
              <w:bottom w:val="double" w:sz="4" w:space="0" w:color="000000"/>
              <w:right w:val="single" w:sz="4" w:space="0" w:color="000000"/>
            </w:tcBorders>
            <w:vAlign w:val="center"/>
          </w:tcPr>
          <w:p w14:paraId="36ED34C1"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450D90E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347DB282"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5535F9F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05A6764"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72843DA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108</w:t>
            </w:r>
          </w:p>
        </w:tc>
        <w:tc>
          <w:tcPr>
            <w:tcW w:w="2977" w:type="dxa"/>
            <w:tcBorders>
              <w:top w:val="double" w:sz="4" w:space="0" w:color="000000"/>
              <w:left w:val="single" w:sz="4" w:space="0" w:color="000000"/>
              <w:bottom w:val="double" w:sz="4" w:space="0" w:color="000000"/>
              <w:right w:val="single" w:sz="4" w:space="0" w:color="000000"/>
            </w:tcBorders>
          </w:tcPr>
          <w:p w14:paraId="563E312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Microalbuminuria</w:t>
            </w:r>
          </w:p>
        </w:tc>
        <w:tc>
          <w:tcPr>
            <w:tcW w:w="779" w:type="dxa"/>
            <w:tcBorders>
              <w:top w:val="double" w:sz="4" w:space="0" w:color="000000"/>
              <w:left w:val="single" w:sz="4" w:space="0" w:color="000000"/>
              <w:bottom w:val="double" w:sz="4" w:space="0" w:color="000000"/>
              <w:right w:val="single" w:sz="4" w:space="0" w:color="000000"/>
            </w:tcBorders>
            <w:vAlign w:val="center"/>
          </w:tcPr>
          <w:p w14:paraId="2AF02D7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5B0DCE1B"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3BA8B667"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526A6A07"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57727BD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5E06A7A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9AF0FE5"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73D4A3B"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109</w:t>
            </w:r>
          </w:p>
        </w:tc>
        <w:tc>
          <w:tcPr>
            <w:tcW w:w="2977" w:type="dxa"/>
            <w:tcBorders>
              <w:top w:val="double" w:sz="4" w:space="0" w:color="000000"/>
              <w:left w:val="single" w:sz="4" w:space="0" w:color="000000"/>
              <w:bottom w:val="double" w:sz="4" w:space="0" w:color="000000"/>
              <w:right w:val="single" w:sz="4" w:space="0" w:color="000000"/>
            </w:tcBorders>
          </w:tcPr>
          <w:p w14:paraId="3555B0A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proofErr w:type="spellStart"/>
            <w:r>
              <w:rPr>
                <w:rFonts w:ascii="Arial" w:eastAsia="Times New Roman" w:hAnsi="Arial" w:cs="Arial"/>
                <w:spacing w:val="-2"/>
                <w:sz w:val="12"/>
                <w:szCs w:val="12"/>
                <w:lang w:val="es-ES"/>
              </w:rPr>
              <w:t>Microproteínas</w:t>
            </w:r>
            <w:proofErr w:type="spellEnd"/>
            <w:r>
              <w:rPr>
                <w:rFonts w:ascii="Arial" w:eastAsia="Times New Roman" w:hAnsi="Arial" w:cs="Arial"/>
                <w:spacing w:val="17"/>
                <w:sz w:val="12"/>
                <w:szCs w:val="12"/>
                <w:lang w:val="es-ES"/>
              </w:rPr>
              <w:t xml:space="preserve"> </w:t>
            </w:r>
            <w:r>
              <w:rPr>
                <w:rFonts w:ascii="Arial" w:eastAsia="Times New Roman" w:hAnsi="Arial" w:cs="Arial"/>
                <w:spacing w:val="-2"/>
                <w:sz w:val="12"/>
                <w:szCs w:val="12"/>
                <w:lang w:val="es-ES"/>
              </w:rPr>
              <w:t>totales</w:t>
            </w:r>
          </w:p>
        </w:tc>
        <w:tc>
          <w:tcPr>
            <w:tcW w:w="779" w:type="dxa"/>
            <w:tcBorders>
              <w:top w:val="double" w:sz="4" w:space="0" w:color="000000"/>
              <w:left w:val="single" w:sz="4" w:space="0" w:color="000000"/>
              <w:bottom w:val="double" w:sz="4" w:space="0" w:color="000000"/>
              <w:right w:val="single" w:sz="4" w:space="0" w:color="000000"/>
            </w:tcBorders>
            <w:vAlign w:val="center"/>
          </w:tcPr>
          <w:p w14:paraId="33668368"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0.95</w:t>
            </w:r>
          </w:p>
        </w:tc>
        <w:tc>
          <w:tcPr>
            <w:tcW w:w="780" w:type="dxa"/>
            <w:tcBorders>
              <w:top w:val="double" w:sz="4" w:space="0" w:color="000000"/>
              <w:left w:val="single" w:sz="4" w:space="0" w:color="000000"/>
              <w:bottom w:val="double" w:sz="4" w:space="0" w:color="000000"/>
              <w:right w:val="single" w:sz="4" w:space="0" w:color="000000"/>
            </w:tcBorders>
            <w:vAlign w:val="center"/>
          </w:tcPr>
          <w:p w14:paraId="7ECC01F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73749B7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5B7C7D7E"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0.80</w:t>
            </w:r>
          </w:p>
        </w:tc>
        <w:tc>
          <w:tcPr>
            <w:tcW w:w="780" w:type="dxa"/>
            <w:tcBorders>
              <w:top w:val="double" w:sz="4" w:space="0" w:color="000000"/>
              <w:left w:val="single" w:sz="4" w:space="0" w:color="000000"/>
              <w:bottom w:val="double" w:sz="4" w:space="0" w:color="000000"/>
              <w:right w:val="single" w:sz="4" w:space="0" w:color="000000"/>
            </w:tcBorders>
            <w:vAlign w:val="center"/>
          </w:tcPr>
          <w:p w14:paraId="51E72835"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79" w:type="dxa"/>
            <w:tcBorders>
              <w:top w:val="double" w:sz="4" w:space="0" w:color="000000"/>
              <w:left w:val="single" w:sz="4" w:space="0" w:color="000000"/>
              <w:bottom w:val="double" w:sz="4" w:space="0" w:color="000000"/>
              <w:right w:val="single" w:sz="4" w:space="0" w:color="000000"/>
            </w:tcBorders>
            <w:vAlign w:val="center"/>
          </w:tcPr>
          <w:p w14:paraId="2BFE668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64C9E29"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C01A467"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110</w:t>
            </w:r>
          </w:p>
        </w:tc>
        <w:tc>
          <w:tcPr>
            <w:tcW w:w="2977" w:type="dxa"/>
            <w:tcBorders>
              <w:top w:val="double" w:sz="4" w:space="0" w:color="000000"/>
              <w:left w:val="single" w:sz="4" w:space="0" w:color="000000"/>
              <w:bottom w:val="double" w:sz="4" w:space="0" w:color="000000"/>
              <w:right w:val="single" w:sz="4" w:space="0" w:color="000000"/>
            </w:tcBorders>
          </w:tcPr>
          <w:p w14:paraId="560CBF96"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Hierro</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(Fe-S,</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Ferritina,</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Transferrina)</w:t>
            </w:r>
          </w:p>
        </w:tc>
        <w:tc>
          <w:tcPr>
            <w:tcW w:w="779" w:type="dxa"/>
            <w:tcBorders>
              <w:top w:val="double" w:sz="4" w:space="0" w:color="000000"/>
              <w:left w:val="single" w:sz="4" w:space="0" w:color="000000"/>
              <w:bottom w:val="double" w:sz="4" w:space="0" w:color="000000"/>
              <w:right w:val="single" w:sz="4" w:space="0" w:color="000000"/>
            </w:tcBorders>
            <w:vAlign w:val="center"/>
          </w:tcPr>
          <w:p w14:paraId="421EB1DD"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4.15</w:t>
            </w:r>
          </w:p>
        </w:tc>
        <w:tc>
          <w:tcPr>
            <w:tcW w:w="780" w:type="dxa"/>
            <w:tcBorders>
              <w:top w:val="double" w:sz="4" w:space="0" w:color="000000"/>
              <w:left w:val="single" w:sz="4" w:space="0" w:color="000000"/>
              <w:bottom w:val="double" w:sz="4" w:space="0" w:color="000000"/>
              <w:right w:val="single" w:sz="4" w:space="0" w:color="000000"/>
            </w:tcBorders>
            <w:vAlign w:val="center"/>
          </w:tcPr>
          <w:p w14:paraId="2E9A32FE"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81" w:type="dxa"/>
            <w:tcBorders>
              <w:top w:val="double" w:sz="4" w:space="0" w:color="000000"/>
              <w:left w:val="single" w:sz="4" w:space="0" w:color="000000"/>
              <w:bottom w:val="double" w:sz="4" w:space="0" w:color="000000"/>
              <w:right w:val="single" w:sz="4" w:space="0" w:color="000000"/>
            </w:tcBorders>
            <w:vAlign w:val="center"/>
          </w:tcPr>
          <w:p w14:paraId="6CA30D97"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79" w:type="dxa"/>
            <w:tcBorders>
              <w:top w:val="double" w:sz="4" w:space="0" w:color="000000"/>
              <w:left w:val="single" w:sz="4" w:space="0" w:color="000000"/>
              <w:bottom w:val="double" w:sz="4" w:space="0" w:color="000000"/>
              <w:right w:val="single" w:sz="4" w:space="0" w:color="000000"/>
            </w:tcBorders>
            <w:vAlign w:val="center"/>
          </w:tcPr>
          <w:p w14:paraId="464D597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0" w:type="dxa"/>
            <w:tcBorders>
              <w:top w:val="double" w:sz="4" w:space="0" w:color="000000"/>
              <w:left w:val="single" w:sz="4" w:space="0" w:color="000000"/>
              <w:bottom w:val="double" w:sz="4" w:space="0" w:color="000000"/>
              <w:right w:val="single" w:sz="4" w:space="0" w:color="000000"/>
            </w:tcBorders>
            <w:vAlign w:val="center"/>
          </w:tcPr>
          <w:p w14:paraId="206DC43C"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2E0DE66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889FDA3"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45C7332"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111</w:t>
            </w:r>
          </w:p>
        </w:tc>
        <w:tc>
          <w:tcPr>
            <w:tcW w:w="2977" w:type="dxa"/>
            <w:tcBorders>
              <w:top w:val="double" w:sz="4" w:space="0" w:color="000000"/>
              <w:left w:val="single" w:sz="4" w:space="0" w:color="000000"/>
              <w:bottom w:val="double" w:sz="4" w:space="0" w:color="000000"/>
              <w:right w:val="single" w:sz="4" w:space="0" w:color="000000"/>
            </w:tcBorders>
          </w:tcPr>
          <w:p w14:paraId="09BC1903"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Inmunoglobulinas</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(IgA,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IgG,</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IgM,</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IgE)</w:t>
            </w:r>
          </w:p>
        </w:tc>
        <w:tc>
          <w:tcPr>
            <w:tcW w:w="779" w:type="dxa"/>
            <w:tcBorders>
              <w:top w:val="double" w:sz="4" w:space="0" w:color="000000"/>
              <w:left w:val="single" w:sz="4" w:space="0" w:color="000000"/>
              <w:bottom w:val="double" w:sz="4" w:space="0" w:color="000000"/>
              <w:right w:val="single" w:sz="4" w:space="0" w:color="000000"/>
            </w:tcBorders>
            <w:vAlign w:val="center"/>
          </w:tcPr>
          <w:p w14:paraId="10184562"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6.00</w:t>
            </w:r>
          </w:p>
        </w:tc>
        <w:tc>
          <w:tcPr>
            <w:tcW w:w="780" w:type="dxa"/>
            <w:tcBorders>
              <w:top w:val="double" w:sz="4" w:space="0" w:color="000000"/>
              <w:left w:val="single" w:sz="4" w:space="0" w:color="000000"/>
              <w:bottom w:val="double" w:sz="4" w:space="0" w:color="000000"/>
              <w:right w:val="single" w:sz="4" w:space="0" w:color="000000"/>
            </w:tcBorders>
            <w:vAlign w:val="center"/>
          </w:tcPr>
          <w:p w14:paraId="0E2A8A6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5.85</w:t>
            </w:r>
          </w:p>
        </w:tc>
        <w:tc>
          <w:tcPr>
            <w:tcW w:w="781" w:type="dxa"/>
            <w:tcBorders>
              <w:top w:val="double" w:sz="4" w:space="0" w:color="000000"/>
              <w:left w:val="single" w:sz="4" w:space="0" w:color="000000"/>
              <w:bottom w:val="double" w:sz="4" w:space="0" w:color="000000"/>
              <w:right w:val="single" w:sz="4" w:space="0" w:color="000000"/>
            </w:tcBorders>
            <w:vAlign w:val="center"/>
          </w:tcPr>
          <w:p w14:paraId="110C8E67"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79" w:type="dxa"/>
            <w:tcBorders>
              <w:top w:val="double" w:sz="4" w:space="0" w:color="000000"/>
              <w:left w:val="single" w:sz="4" w:space="0" w:color="000000"/>
              <w:bottom w:val="double" w:sz="4" w:space="0" w:color="000000"/>
              <w:right w:val="single" w:sz="4" w:space="0" w:color="000000"/>
            </w:tcBorders>
            <w:vAlign w:val="center"/>
          </w:tcPr>
          <w:p w14:paraId="29BFB7F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80" w:type="dxa"/>
            <w:tcBorders>
              <w:top w:val="double" w:sz="4" w:space="0" w:color="000000"/>
              <w:left w:val="single" w:sz="4" w:space="0" w:color="000000"/>
              <w:bottom w:val="double" w:sz="4" w:space="0" w:color="000000"/>
              <w:right w:val="single" w:sz="4" w:space="0" w:color="000000"/>
            </w:tcBorders>
            <w:vAlign w:val="center"/>
          </w:tcPr>
          <w:p w14:paraId="3B027C6A"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5.25</w:t>
            </w:r>
          </w:p>
        </w:tc>
        <w:tc>
          <w:tcPr>
            <w:tcW w:w="779" w:type="dxa"/>
            <w:tcBorders>
              <w:top w:val="double" w:sz="4" w:space="0" w:color="000000"/>
              <w:left w:val="single" w:sz="4" w:space="0" w:color="000000"/>
              <w:bottom w:val="double" w:sz="4" w:space="0" w:color="000000"/>
              <w:right w:val="single" w:sz="4" w:space="0" w:color="000000"/>
            </w:tcBorders>
            <w:vAlign w:val="center"/>
          </w:tcPr>
          <w:p w14:paraId="696BD2F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B585137" w14:textId="77777777">
        <w:trPr>
          <w:trHeight w:val="330"/>
        </w:trPr>
        <w:tc>
          <w:tcPr>
            <w:tcW w:w="1106" w:type="dxa"/>
            <w:tcBorders>
              <w:top w:val="double" w:sz="4" w:space="0" w:color="000000"/>
              <w:left w:val="single" w:sz="4" w:space="0" w:color="000000"/>
              <w:bottom w:val="double" w:sz="4" w:space="0" w:color="000000"/>
              <w:right w:val="single" w:sz="4" w:space="0" w:color="000000"/>
            </w:tcBorders>
          </w:tcPr>
          <w:p w14:paraId="10D44C3B" w14:textId="77777777" w:rsidR="00D3344B" w:rsidRDefault="00143C25">
            <w:pPr>
              <w:widowControl w:val="0"/>
              <w:suppressAutoHyphens w:val="0"/>
              <w:spacing w:before="77"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112</w:t>
            </w:r>
          </w:p>
        </w:tc>
        <w:tc>
          <w:tcPr>
            <w:tcW w:w="2977" w:type="dxa"/>
            <w:tcBorders>
              <w:top w:val="double" w:sz="4" w:space="0" w:color="000000"/>
              <w:left w:val="single" w:sz="4" w:space="0" w:color="000000"/>
              <w:bottom w:val="double" w:sz="4" w:space="0" w:color="000000"/>
              <w:right w:val="single" w:sz="4" w:space="0" w:color="000000"/>
            </w:tcBorders>
          </w:tcPr>
          <w:p w14:paraId="3B7D2A22" w14:textId="77777777" w:rsidR="00D3344B" w:rsidRDefault="00143C25">
            <w:pPr>
              <w:widowControl w:val="0"/>
              <w:suppressAutoHyphens w:val="0"/>
              <w:spacing w:after="0" w:line="146" w:lineRule="exact"/>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tiempos</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(TP,</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TTPa,</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TS,</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Retracción</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coagulo,</w:t>
            </w:r>
            <w:r>
              <w:rPr>
                <w:rFonts w:ascii="Arial" w:eastAsia="Times New Roman" w:hAnsi="Arial" w:cs="Arial"/>
                <w:sz w:val="12"/>
                <w:szCs w:val="12"/>
                <w:lang w:val="es-ES"/>
              </w:rPr>
              <w:t xml:space="preserve"> </w:t>
            </w:r>
            <w:r>
              <w:rPr>
                <w:rFonts w:ascii="Arial" w:eastAsia="Times New Roman" w:hAnsi="Arial" w:cs="Arial"/>
                <w:spacing w:val="-5"/>
                <w:sz w:val="12"/>
                <w:szCs w:val="12"/>
                <w:lang w:val="es-ES"/>
              </w:rPr>
              <w:t>TC)</w:t>
            </w:r>
          </w:p>
        </w:tc>
        <w:tc>
          <w:tcPr>
            <w:tcW w:w="779" w:type="dxa"/>
            <w:tcBorders>
              <w:top w:val="double" w:sz="4" w:space="0" w:color="000000"/>
              <w:left w:val="single" w:sz="4" w:space="0" w:color="000000"/>
              <w:bottom w:val="double" w:sz="4" w:space="0" w:color="000000"/>
              <w:right w:val="single" w:sz="4" w:space="0" w:color="000000"/>
            </w:tcBorders>
            <w:vAlign w:val="center"/>
          </w:tcPr>
          <w:p w14:paraId="4BC624C1" w14:textId="77777777" w:rsidR="00D3344B" w:rsidRDefault="00143C25">
            <w:pPr>
              <w:widowControl w:val="0"/>
              <w:suppressAutoHyphens w:val="0"/>
              <w:spacing w:before="15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3.70</w:t>
            </w:r>
          </w:p>
        </w:tc>
        <w:tc>
          <w:tcPr>
            <w:tcW w:w="780" w:type="dxa"/>
            <w:tcBorders>
              <w:top w:val="double" w:sz="4" w:space="0" w:color="000000"/>
              <w:left w:val="single" w:sz="4" w:space="0" w:color="000000"/>
              <w:bottom w:val="double" w:sz="4" w:space="0" w:color="000000"/>
              <w:right w:val="single" w:sz="4" w:space="0" w:color="000000"/>
            </w:tcBorders>
            <w:vAlign w:val="center"/>
          </w:tcPr>
          <w:p w14:paraId="0B7CE81E" w14:textId="77777777" w:rsidR="00D3344B" w:rsidRDefault="00143C25">
            <w:pPr>
              <w:widowControl w:val="0"/>
              <w:suppressAutoHyphens w:val="0"/>
              <w:spacing w:before="15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3.65</w:t>
            </w:r>
          </w:p>
        </w:tc>
        <w:tc>
          <w:tcPr>
            <w:tcW w:w="781" w:type="dxa"/>
            <w:tcBorders>
              <w:top w:val="double" w:sz="4" w:space="0" w:color="000000"/>
              <w:left w:val="single" w:sz="4" w:space="0" w:color="000000"/>
              <w:bottom w:val="double" w:sz="4" w:space="0" w:color="000000"/>
              <w:right w:val="single" w:sz="4" w:space="0" w:color="000000"/>
            </w:tcBorders>
            <w:vAlign w:val="center"/>
          </w:tcPr>
          <w:p w14:paraId="51E17EDE" w14:textId="77777777" w:rsidR="00D3344B" w:rsidRDefault="00143C25">
            <w:pPr>
              <w:widowControl w:val="0"/>
              <w:suppressAutoHyphens w:val="0"/>
              <w:spacing w:before="15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3.60</w:t>
            </w:r>
          </w:p>
        </w:tc>
        <w:tc>
          <w:tcPr>
            <w:tcW w:w="779" w:type="dxa"/>
            <w:tcBorders>
              <w:top w:val="double" w:sz="4" w:space="0" w:color="000000"/>
              <w:left w:val="single" w:sz="4" w:space="0" w:color="000000"/>
              <w:bottom w:val="double" w:sz="4" w:space="0" w:color="000000"/>
              <w:right w:val="single" w:sz="4" w:space="0" w:color="000000"/>
            </w:tcBorders>
            <w:vAlign w:val="center"/>
          </w:tcPr>
          <w:p w14:paraId="52CCFEC9" w14:textId="77777777" w:rsidR="00D3344B" w:rsidRDefault="00143C25">
            <w:pPr>
              <w:widowControl w:val="0"/>
              <w:suppressAutoHyphens w:val="0"/>
              <w:spacing w:before="15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0" w:type="dxa"/>
            <w:tcBorders>
              <w:top w:val="double" w:sz="4" w:space="0" w:color="000000"/>
              <w:left w:val="single" w:sz="4" w:space="0" w:color="000000"/>
              <w:bottom w:val="double" w:sz="4" w:space="0" w:color="000000"/>
              <w:right w:val="single" w:sz="4" w:space="0" w:color="000000"/>
            </w:tcBorders>
            <w:vAlign w:val="center"/>
          </w:tcPr>
          <w:p w14:paraId="1D5753B1" w14:textId="77777777" w:rsidR="00D3344B" w:rsidRDefault="00143C25">
            <w:pPr>
              <w:widowControl w:val="0"/>
              <w:suppressAutoHyphens w:val="0"/>
              <w:spacing w:before="152"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79" w:type="dxa"/>
            <w:tcBorders>
              <w:top w:val="double" w:sz="4" w:space="0" w:color="000000"/>
              <w:left w:val="single" w:sz="4" w:space="0" w:color="000000"/>
              <w:bottom w:val="double" w:sz="4" w:space="0" w:color="000000"/>
              <w:right w:val="single" w:sz="4" w:space="0" w:color="000000"/>
            </w:tcBorders>
            <w:vAlign w:val="center"/>
          </w:tcPr>
          <w:p w14:paraId="3A326BA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8674B58"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46306E4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113</w:t>
            </w:r>
          </w:p>
        </w:tc>
        <w:tc>
          <w:tcPr>
            <w:tcW w:w="2977" w:type="dxa"/>
            <w:tcBorders>
              <w:top w:val="double" w:sz="4" w:space="0" w:color="000000"/>
              <w:left w:val="single" w:sz="4" w:space="0" w:color="000000"/>
              <w:bottom w:val="double" w:sz="4" w:space="0" w:color="000000"/>
              <w:right w:val="single" w:sz="4" w:space="0" w:color="000000"/>
            </w:tcBorders>
          </w:tcPr>
          <w:p w14:paraId="4B0304E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tiempos</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2</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(Perfil</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1</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w:t>
            </w:r>
            <w:r>
              <w:rPr>
                <w:rFonts w:ascii="Arial" w:eastAsia="Times New Roman" w:hAnsi="Arial" w:cs="Arial"/>
                <w:spacing w:val="-1"/>
                <w:sz w:val="12"/>
                <w:szCs w:val="12"/>
                <w:lang w:val="es-ES"/>
              </w:rPr>
              <w:t xml:space="preserve"> </w:t>
            </w:r>
            <w:r>
              <w:rPr>
                <w:rFonts w:ascii="Arial" w:eastAsia="Times New Roman" w:hAnsi="Arial" w:cs="Arial"/>
                <w:sz w:val="12"/>
                <w:szCs w:val="12"/>
                <w:lang w:val="es-ES"/>
              </w:rPr>
              <w:t>TT</w:t>
            </w:r>
            <w:r>
              <w:rPr>
                <w:rFonts w:ascii="Arial" w:eastAsia="Times New Roman" w:hAnsi="Arial" w:cs="Arial"/>
                <w:spacing w:val="-2"/>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Fibrinógeno)</w:t>
            </w:r>
          </w:p>
        </w:tc>
        <w:tc>
          <w:tcPr>
            <w:tcW w:w="779" w:type="dxa"/>
            <w:tcBorders>
              <w:top w:val="double" w:sz="4" w:space="0" w:color="000000"/>
              <w:left w:val="single" w:sz="4" w:space="0" w:color="000000"/>
              <w:bottom w:val="double" w:sz="4" w:space="0" w:color="000000"/>
              <w:right w:val="single" w:sz="4" w:space="0" w:color="000000"/>
            </w:tcBorders>
            <w:vAlign w:val="center"/>
          </w:tcPr>
          <w:p w14:paraId="4DDF5EAB"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3.70</w:t>
            </w:r>
          </w:p>
        </w:tc>
        <w:tc>
          <w:tcPr>
            <w:tcW w:w="780" w:type="dxa"/>
            <w:tcBorders>
              <w:top w:val="double" w:sz="4" w:space="0" w:color="000000"/>
              <w:left w:val="single" w:sz="4" w:space="0" w:color="000000"/>
              <w:bottom w:val="double" w:sz="4" w:space="0" w:color="000000"/>
              <w:right w:val="single" w:sz="4" w:space="0" w:color="000000"/>
            </w:tcBorders>
            <w:vAlign w:val="center"/>
          </w:tcPr>
          <w:p w14:paraId="0D3F96AC"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81" w:type="dxa"/>
            <w:tcBorders>
              <w:top w:val="double" w:sz="4" w:space="0" w:color="000000"/>
              <w:left w:val="single" w:sz="4" w:space="0" w:color="000000"/>
              <w:bottom w:val="double" w:sz="4" w:space="0" w:color="000000"/>
              <w:right w:val="single" w:sz="4" w:space="0" w:color="000000"/>
            </w:tcBorders>
            <w:vAlign w:val="center"/>
          </w:tcPr>
          <w:p w14:paraId="5B840213"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3.45</w:t>
            </w:r>
          </w:p>
        </w:tc>
        <w:tc>
          <w:tcPr>
            <w:tcW w:w="779" w:type="dxa"/>
            <w:tcBorders>
              <w:top w:val="double" w:sz="4" w:space="0" w:color="000000"/>
              <w:left w:val="single" w:sz="4" w:space="0" w:color="000000"/>
              <w:bottom w:val="double" w:sz="4" w:space="0" w:color="000000"/>
              <w:right w:val="single" w:sz="4" w:space="0" w:color="000000"/>
            </w:tcBorders>
            <w:vAlign w:val="center"/>
          </w:tcPr>
          <w:p w14:paraId="72507894"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3.40</w:t>
            </w:r>
          </w:p>
        </w:tc>
        <w:tc>
          <w:tcPr>
            <w:tcW w:w="780" w:type="dxa"/>
            <w:tcBorders>
              <w:top w:val="double" w:sz="4" w:space="0" w:color="000000"/>
              <w:left w:val="single" w:sz="4" w:space="0" w:color="000000"/>
              <w:bottom w:val="double" w:sz="4" w:space="0" w:color="000000"/>
              <w:right w:val="single" w:sz="4" w:space="0" w:color="000000"/>
            </w:tcBorders>
            <w:vAlign w:val="center"/>
          </w:tcPr>
          <w:p w14:paraId="142EB244"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3.30</w:t>
            </w:r>
          </w:p>
        </w:tc>
        <w:tc>
          <w:tcPr>
            <w:tcW w:w="779" w:type="dxa"/>
            <w:tcBorders>
              <w:top w:val="double" w:sz="4" w:space="0" w:color="000000"/>
              <w:left w:val="single" w:sz="4" w:space="0" w:color="000000"/>
              <w:bottom w:val="double" w:sz="4" w:space="0" w:color="000000"/>
              <w:right w:val="single" w:sz="4" w:space="0" w:color="000000"/>
            </w:tcBorders>
            <w:vAlign w:val="center"/>
          </w:tcPr>
          <w:p w14:paraId="5E798EC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06EBAC0"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DC2741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114</w:t>
            </w:r>
          </w:p>
        </w:tc>
        <w:tc>
          <w:tcPr>
            <w:tcW w:w="2977" w:type="dxa"/>
            <w:tcBorders>
              <w:top w:val="double" w:sz="4" w:space="0" w:color="000000"/>
              <w:left w:val="single" w:sz="4" w:space="0" w:color="000000"/>
              <w:bottom w:val="double" w:sz="4" w:space="0" w:color="000000"/>
              <w:right w:val="single" w:sz="4" w:space="0" w:color="000000"/>
            </w:tcBorders>
          </w:tcPr>
          <w:p w14:paraId="17ED7433"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Proteína</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reactiva</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cuantitativa</w:t>
            </w:r>
          </w:p>
        </w:tc>
        <w:tc>
          <w:tcPr>
            <w:tcW w:w="779" w:type="dxa"/>
            <w:tcBorders>
              <w:top w:val="double" w:sz="4" w:space="0" w:color="000000"/>
              <w:left w:val="single" w:sz="4" w:space="0" w:color="000000"/>
              <w:bottom w:val="double" w:sz="4" w:space="0" w:color="000000"/>
              <w:right w:val="single" w:sz="4" w:space="0" w:color="000000"/>
            </w:tcBorders>
            <w:vAlign w:val="center"/>
          </w:tcPr>
          <w:p w14:paraId="0B8F7F14"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1B0ADEBC"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0B0F9C2E"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70E747EE"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73BF70A4"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1251351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6133379E" w14:textId="77777777">
        <w:trPr>
          <w:trHeight w:val="421"/>
        </w:trPr>
        <w:tc>
          <w:tcPr>
            <w:tcW w:w="1106" w:type="dxa"/>
            <w:tcBorders>
              <w:top w:val="double" w:sz="4" w:space="0" w:color="000000"/>
              <w:left w:val="single" w:sz="4" w:space="0" w:color="000000"/>
              <w:bottom w:val="double" w:sz="4" w:space="0" w:color="000000"/>
              <w:right w:val="single" w:sz="4" w:space="0" w:color="000000"/>
            </w:tcBorders>
          </w:tcPr>
          <w:p w14:paraId="42FF3A35" w14:textId="77777777" w:rsidR="00D3344B" w:rsidRDefault="00143C25">
            <w:pPr>
              <w:widowControl w:val="0"/>
              <w:suppressAutoHyphens w:val="0"/>
              <w:spacing w:before="12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115</w:t>
            </w:r>
          </w:p>
        </w:tc>
        <w:tc>
          <w:tcPr>
            <w:tcW w:w="2977" w:type="dxa"/>
            <w:tcBorders>
              <w:top w:val="double" w:sz="4" w:space="0" w:color="000000"/>
              <w:left w:val="single" w:sz="4" w:space="0" w:color="000000"/>
              <w:bottom w:val="double" w:sz="4" w:space="0" w:color="000000"/>
              <w:right w:val="single" w:sz="4" w:space="0" w:color="000000"/>
            </w:tcBorders>
          </w:tcPr>
          <w:p w14:paraId="5468D0A7" w14:textId="77777777" w:rsidR="00D3344B" w:rsidRDefault="00143C25">
            <w:pPr>
              <w:widowControl w:val="0"/>
              <w:suppressAutoHyphens w:val="0"/>
              <w:spacing w:before="37" w:after="0" w:line="240" w:lineRule="auto"/>
              <w:rPr>
                <w:rFonts w:ascii="Arial" w:eastAsia="Times New Roman" w:hAnsi="Arial" w:cs="Arial"/>
                <w:sz w:val="12"/>
                <w:szCs w:val="12"/>
                <w:lang w:val="es-ES"/>
              </w:rPr>
            </w:pPr>
            <w:r>
              <w:rPr>
                <w:rFonts w:ascii="Arial" w:eastAsia="Times New Roman" w:hAnsi="Arial" w:cs="Arial"/>
                <w:sz w:val="12"/>
                <w:szCs w:val="12"/>
                <w:lang w:val="es-ES"/>
              </w:rPr>
              <w:t>Proteínas</w:t>
            </w:r>
            <w:r>
              <w:rPr>
                <w:rFonts w:ascii="Arial" w:eastAsia="Times New Roman" w:hAnsi="Arial" w:cs="Arial"/>
                <w:spacing w:val="35"/>
                <w:sz w:val="12"/>
                <w:szCs w:val="12"/>
                <w:lang w:val="es-ES"/>
              </w:rPr>
              <w:t xml:space="preserve"> </w:t>
            </w:r>
            <w:r>
              <w:rPr>
                <w:rFonts w:ascii="Arial" w:eastAsia="Times New Roman" w:hAnsi="Arial" w:cs="Arial"/>
                <w:sz w:val="12"/>
                <w:szCs w:val="12"/>
                <w:lang w:val="es-ES"/>
              </w:rPr>
              <w:t>Totales</w:t>
            </w:r>
            <w:r>
              <w:rPr>
                <w:rFonts w:ascii="Arial" w:eastAsia="Times New Roman" w:hAnsi="Arial" w:cs="Arial"/>
                <w:spacing w:val="38"/>
                <w:sz w:val="12"/>
                <w:szCs w:val="12"/>
                <w:lang w:val="es-ES"/>
              </w:rPr>
              <w:t xml:space="preserve"> </w:t>
            </w:r>
            <w:r>
              <w:rPr>
                <w:rFonts w:ascii="Arial" w:eastAsia="Times New Roman" w:hAnsi="Arial" w:cs="Arial"/>
                <w:sz w:val="12"/>
                <w:szCs w:val="12"/>
                <w:lang w:val="es-ES"/>
              </w:rPr>
              <w:t>en</w:t>
            </w:r>
            <w:r>
              <w:rPr>
                <w:rFonts w:ascii="Arial" w:eastAsia="Times New Roman" w:hAnsi="Arial" w:cs="Arial"/>
                <w:spacing w:val="38"/>
                <w:sz w:val="12"/>
                <w:szCs w:val="12"/>
                <w:lang w:val="es-ES"/>
              </w:rPr>
              <w:t xml:space="preserve"> </w:t>
            </w:r>
            <w:r>
              <w:rPr>
                <w:rFonts w:ascii="Arial" w:eastAsia="Times New Roman" w:hAnsi="Arial" w:cs="Arial"/>
                <w:sz w:val="12"/>
                <w:szCs w:val="12"/>
                <w:lang w:val="es-ES"/>
              </w:rPr>
              <w:t>Orina</w:t>
            </w:r>
            <w:r>
              <w:rPr>
                <w:rFonts w:ascii="Arial" w:eastAsia="Times New Roman" w:hAnsi="Arial" w:cs="Arial"/>
                <w:spacing w:val="34"/>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4"/>
                <w:sz w:val="12"/>
                <w:szCs w:val="12"/>
                <w:lang w:val="es-ES"/>
              </w:rPr>
              <w:t xml:space="preserve"> </w:t>
            </w:r>
            <w:r>
              <w:rPr>
                <w:rFonts w:ascii="Arial" w:eastAsia="Times New Roman" w:hAnsi="Arial" w:cs="Arial"/>
                <w:sz w:val="12"/>
                <w:szCs w:val="12"/>
                <w:lang w:val="es-ES"/>
              </w:rPr>
              <w:t>24</w:t>
            </w:r>
            <w:r>
              <w:rPr>
                <w:rFonts w:ascii="Arial" w:eastAsia="Times New Roman" w:hAnsi="Arial" w:cs="Arial"/>
                <w:spacing w:val="35"/>
                <w:sz w:val="12"/>
                <w:szCs w:val="12"/>
                <w:lang w:val="es-ES"/>
              </w:rPr>
              <w:t xml:space="preserve"> </w:t>
            </w:r>
            <w:proofErr w:type="spellStart"/>
            <w:r>
              <w:rPr>
                <w:rFonts w:ascii="Arial" w:eastAsia="Times New Roman" w:hAnsi="Arial" w:cs="Arial"/>
                <w:sz w:val="12"/>
                <w:szCs w:val="12"/>
                <w:lang w:val="es-ES"/>
              </w:rPr>
              <w:t>hrs</w:t>
            </w:r>
            <w:proofErr w:type="spellEnd"/>
            <w:r>
              <w:rPr>
                <w:rFonts w:ascii="Arial" w:eastAsia="Times New Roman" w:hAnsi="Arial" w:cs="Arial"/>
                <w:spacing w:val="35"/>
                <w:sz w:val="12"/>
                <w:szCs w:val="12"/>
                <w:lang w:val="es-ES"/>
              </w:rPr>
              <w:t xml:space="preserve"> </w:t>
            </w:r>
            <w:r>
              <w:rPr>
                <w:rFonts w:ascii="Arial" w:eastAsia="Times New Roman" w:hAnsi="Arial" w:cs="Arial"/>
                <w:sz w:val="12"/>
                <w:szCs w:val="12"/>
                <w:lang w:val="es-ES"/>
              </w:rPr>
              <w:t>(</w:t>
            </w:r>
            <w:proofErr w:type="spellStart"/>
            <w:r>
              <w:rPr>
                <w:rFonts w:ascii="Arial" w:eastAsia="Times New Roman" w:hAnsi="Arial" w:cs="Arial"/>
                <w:sz w:val="12"/>
                <w:szCs w:val="12"/>
                <w:lang w:val="es-ES"/>
              </w:rPr>
              <w:t>microproteínas</w:t>
            </w:r>
            <w:proofErr w:type="spellEnd"/>
            <w:r>
              <w:rPr>
                <w:rFonts w:ascii="Arial" w:eastAsia="Times New Roman" w:hAnsi="Arial" w:cs="Arial"/>
                <w:spacing w:val="38"/>
                <w:sz w:val="12"/>
                <w:szCs w:val="12"/>
                <w:lang w:val="es-ES"/>
              </w:rPr>
              <w:t xml:space="preserve"> </w:t>
            </w:r>
            <w:r>
              <w:rPr>
                <w:rFonts w:ascii="Arial" w:eastAsia="Times New Roman" w:hAnsi="Arial" w:cs="Arial"/>
                <w:sz w:val="12"/>
                <w:szCs w:val="12"/>
                <w:lang w:val="es-ES"/>
              </w:rPr>
              <w:t>y</w:t>
            </w:r>
            <w:r>
              <w:rPr>
                <w:rFonts w:ascii="Arial" w:eastAsia="Times New Roman" w:hAnsi="Arial" w:cs="Arial"/>
                <w:spacing w:val="40"/>
                <w:sz w:val="12"/>
                <w:szCs w:val="12"/>
                <w:lang w:val="es-ES"/>
              </w:rPr>
              <w:t xml:space="preserve"> </w:t>
            </w:r>
            <w:proofErr w:type="spellStart"/>
            <w:r>
              <w:rPr>
                <w:rFonts w:ascii="Arial" w:eastAsia="Times New Roman" w:hAnsi="Arial" w:cs="Arial"/>
                <w:spacing w:val="-2"/>
                <w:sz w:val="12"/>
                <w:szCs w:val="12"/>
                <w:lang w:val="es-ES"/>
              </w:rPr>
              <w:t>microalbumina</w:t>
            </w:r>
            <w:proofErr w:type="spell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541988DC"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1.70</w:t>
            </w:r>
          </w:p>
        </w:tc>
        <w:tc>
          <w:tcPr>
            <w:tcW w:w="780" w:type="dxa"/>
            <w:tcBorders>
              <w:top w:val="double" w:sz="4" w:space="0" w:color="000000"/>
              <w:left w:val="single" w:sz="4" w:space="0" w:color="000000"/>
              <w:bottom w:val="double" w:sz="4" w:space="0" w:color="000000"/>
              <w:right w:val="single" w:sz="4" w:space="0" w:color="000000"/>
            </w:tcBorders>
            <w:vAlign w:val="center"/>
          </w:tcPr>
          <w:p w14:paraId="72A432DD"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1.60</w:t>
            </w:r>
          </w:p>
        </w:tc>
        <w:tc>
          <w:tcPr>
            <w:tcW w:w="781" w:type="dxa"/>
            <w:tcBorders>
              <w:top w:val="double" w:sz="4" w:space="0" w:color="000000"/>
              <w:left w:val="single" w:sz="4" w:space="0" w:color="000000"/>
              <w:bottom w:val="double" w:sz="4" w:space="0" w:color="000000"/>
              <w:right w:val="single" w:sz="4" w:space="0" w:color="000000"/>
            </w:tcBorders>
            <w:vAlign w:val="center"/>
          </w:tcPr>
          <w:p w14:paraId="20404B69"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1.45</w:t>
            </w:r>
          </w:p>
        </w:tc>
        <w:tc>
          <w:tcPr>
            <w:tcW w:w="779" w:type="dxa"/>
            <w:tcBorders>
              <w:top w:val="double" w:sz="4" w:space="0" w:color="000000"/>
              <w:left w:val="single" w:sz="4" w:space="0" w:color="000000"/>
              <w:bottom w:val="double" w:sz="4" w:space="0" w:color="000000"/>
              <w:right w:val="single" w:sz="4" w:space="0" w:color="000000"/>
            </w:tcBorders>
            <w:vAlign w:val="center"/>
          </w:tcPr>
          <w:p w14:paraId="5D99D030"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0" w:type="dxa"/>
            <w:tcBorders>
              <w:top w:val="double" w:sz="4" w:space="0" w:color="000000"/>
              <w:left w:val="single" w:sz="4" w:space="0" w:color="000000"/>
              <w:bottom w:val="double" w:sz="4" w:space="0" w:color="000000"/>
              <w:right w:val="single" w:sz="4" w:space="0" w:color="000000"/>
            </w:tcBorders>
            <w:vAlign w:val="center"/>
          </w:tcPr>
          <w:p w14:paraId="70D4A17E" w14:textId="77777777" w:rsidR="00D3344B" w:rsidRDefault="00143C25">
            <w:pPr>
              <w:widowControl w:val="0"/>
              <w:suppressAutoHyphens w:val="0"/>
              <w:spacing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79" w:type="dxa"/>
            <w:tcBorders>
              <w:top w:val="double" w:sz="4" w:space="0" w:color="000000"/>
              <w:left w:val="single" w:sz="4" w:space="0" w:color="000000"/>
              <w:bottom w:val="double" w:sz="4" w:space="0" w:color="000000"/>
              <w:right w:val="single" w:sz="4" w:space="0" w:color="000000"/>
            </w:tcBorders>
            <w:vAlign w:val="center"/>
          </w:tcPr>
          <w:p w14:paraId="284459B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19B31AC"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04E99CB1"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117</w:t>
            </w:r>
          </w:p>
        </w:tc>
        <w:tc>
          <w:tcPr>
            <w:tcW w:w="2977" w:type="dxa"/>
            <w:tcBorders>
              <w:top w:val="double" w:sz="4" w:space="0" w:color="000000"/>
              <w:left w:val="single" w:sz="4" w:space="0" w:color="000000"/>
              <w:bottom w:val="double" w:sz="4" w:space="0" w:color="000000"/>
              <w:right w:val="single" w:sz="4" w:space="0" w:color="000000"/>
            </w:tcBorders>
          </w:tcPr>
          <w:p w14:paraId="112CE22F"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Tiempo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sangrado</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(TS)</w:t>
            </w:r>
          </w:p>
        </w:tc>
        <w:tc>
          <w:tcPr>
            <w:tcW w:w="779" w:type="dxa"/>
            <w:tcBorders>
              <w:top w:val="double" w:sz="4" w:space="0" w:color="000000"/>
              <w:left w:val="single" w:sz="4" w:space="0" w:color="000000"/>
              <w:bottom w:val="double" w:sz="4" w:space="0" w:color="000000"/>
              <w:right w:val="single" w:sz="4" w:space="0" w:color="000000"/>
            </w:tcBorders>
            <w:vAlign w:val="center"/>
          </w:tcPr>
          <w:p w14:paraId="01EDDB2D"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1CFE065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0.70</w:t>
            </w:r>
          </w:p>
        </w:tc>
        <w:tc>
          <w:tcPr>
            <w:tcW w:w="781" w:type="dxa"/>
            <w:tcBorders>
              <w:top w:val="double" w:sz="4" w:space="0" w:color="000000"/>
              <w:left w:val="single" w:sz="4" w:space="0" w:color="000000"/>
              <w:bottom w:val="double" w:sz="4" w:space="0" w:color="000000"/>
              <w:right w:val="single" w:sz="4" w:space="0" w:color="000000"/>
            </w:tcBorders>
            <w:vAlign w:val="center"/>
          </w:tcPr>
          <w:p w14:paraId="584726C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0.65</w:t>
            </w:r>
          </w:p>
        </w:tc>
        <w:tc>
          <w:tcPr>
            <w:tcW w:w="779" w:type="dxa"/>
            <w:tcBorders>
              <w:top w:val="double" w:sz="4" w:space="0" w:color="000000"/>
              <w:left w:val="single" w:sz="4" w:space="0" w:color="000000"/>
              <w:bottom w:val="double" w:sz="4" w:space="0" w:color="000000"/>
              <w:right w:val="single" w:sz="4" w:space="0" w:color="000000"/>
            </w:tcBorders>
            <w:vAlign w:val="center"/>
          </w:tcPr>
          <w:p w14:paraId="3CA6AC74"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0.60</w:t>
            </w:r>
          </w:p>
        </w:tc>
        <w:tc>
          <w:tcPr>
            <w:tcW w:w="780" w:type="dxa"/>
            <w:tcBorders>
              <w:top w:val="double" w:sz="4" w:space="0" w:color="000000"/>
              <w:left w:val="single" w:sz="4" w:space="0" w:color="000000"/>
              <w:bottom w:val="double" w:sz="4" w:space="0" w:color="000000"/>
              <w:right w:val="single" w:sz="4" w:space="0" w:color="000000"/>
            </w:tcBorders>
            <w:vAlign w:val="center"/>
          </w:tcPr>
          <w:p w14:paraId="6132BF0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72D71DB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A61FD6E"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79CD5EA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118</w:t>
            </w:r>
          </w:p>
        </w:tc>
        <w:tc>
          <w:tcPr>
            <w:tcW w:w="2977" w:type="dxa"/>
            <w:tcBorders>
              <w:top w:val="double" w:sz="4" w:space="0" w:color="000000"/>
              <w:left w:val="single" w:sz="4" w:space="0" w:color="000000"/>
              <w:bottom w:val="double" w:sz="4" w:space="0" w:color="000000"/>
              <w:right w:val="single" w:sz="4" w:space="0" w:color="000000"/>
            </w:tcBorders>
          </w:tcPr>
          <w:p w14:paraId="56B4742C"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Tiempo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trombina</w:t>
            </w:r>
            <w:r>
              <w:rPr>
                <w:rFonts w:ascii="Arial" w:eastAsia="Times New Roman" w:hAnsi="Arial" w:cs="Arial"/>
                <w:spacing w:val="-3"/>
                <w:sz w:val="12"/>
                <w:szCs w:val="12"/>
                <w:lang w:val="es-ES"/>
              </w:rPr>
              <w:t xml:space="preserve"> </w:t>
            </w:r>
            <w:r>
              <w:rPr>
                <w:rFonts w:ascii="Arial" w:eastAsia="Times New Roman" w:hAnsi="Arial" w:cs="Arial"/>
                <w:spacing w:val="-4"/>
                <w:sz w:val="12"/>
                <w:szCs w:val="12"/>
                <w:lang w:val="es-ES"/>
              </w:rPr>
              <w:t>(TT)</w:t>
            </w:r>
          </w:p>
        </w:tc>
        <w:tc>
          <w:tcPr>
            <w:tcW w:w="779" w:type="dxa"/>
            <w:tcBorders>
              <w:top w:val="double" w:sz="4" w:space="0" w:color="000000"/>
              <w:left w:val="single" w:sz="4" w:space="0" w:color="000000"/>
              <w:bottom w:val="double" w:sz="4" w:space="0" w:color="000000"/>
              <w:right w:val="single" w:sz="4" w:space="0" w:color="000000"/>
            </w:tcBorders>
            <w:vAlign w:val="center"/>
          </w:tcPr>
          <w:p w14:paraId="63D9979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1.40</w:t>
            </w:r>
          </w:p>
        </w:tc>
        <w:tc>
          <w:tcPr>
            <w:tcW w:w="780" w:type="dxa"/>
            <w:tcBorders>
              <w:top w:val="double" w:sz="4" w:space="0" w:color="000000"/>
              <w:left w:val="single" w:sz="4" w:space="0" w:color="000000"/>
              <w:bottom w:val="double" w:sz="4" w:space="0" w:color="000000"/>
              <w:right w:val="single" w:sz="4" w:space="0" w:color="000000"/>
            </w:tcBorders>
            <w:vAlign w:val="center"/>
          </w:tcPr>
          <w:p w14:paraId="2D9A8E39"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1.30</w:t>
            </w:r>
          </w:p>
        </w:tc>
        <w:tc>
          <w:tcPr>
            <w:tcW w:w="781" w:type="dxa"/>
            <w:tcBorders>
              <w:top w:val="double" w:sz="4" w:space="0" w:color="000000"/>
              <w:left w:val="single" w:sz="4" w:space="0" w:color="000000"/>
              <w:bottom w:val="double" w:sz="4" w:space="0" w:color="000000"/>
              <w:right w:val="single" w:sz="4" w:space="0" w:color="000000"/>
            </w:tcBorders>
            <w:vAlign w:val="center"/>
          </w:tcPr>
          <w:p w14:paraId="1D4EE3EC"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79" w:type="dxa"/>
            <w:tcBorders>
              <w:top w:val="double" w:sz="4" w:space="0" w:color="000000"/>
              <w:left w:val="single" w:sz="4" w:space="0" w:color="000000"/>
              <w:bottom w:val="double" w:sz="4" w:space="0" w:color="000000"/>
              <w:right w:val="single" w:sz="4" w:space="0" w:color="000000"/>
            </w:tcBorders>
            <w:vAlign w:val="center"/>
          </w:tcPr>
          <w:p w14:paraId="768A8596"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1.20</w:t>
            </w:r>
          </w:p>
        </w:tc>
        <w:tc>
          <w:tcPr>
            <w:tcW w:w="780" w:type="dxa"/>
            <w:tcBorders>
              <w:top w:val="double" w:sz="4" w:space="0" w:color="000000"/>
              <w:left w:val="single" w:sz="4" w:space="0" w:color="000000"/>
              <w:bottom w:val="double" w:sz="4" w:space="0" w:color="000000"/>
              <w:right w:val="single" w:sz="4" w:space="0" w:color="000000"/>
            </w:tcBorders>
            <w:vAlign w:val="center"/>
          </w:tcPr>
          <w:p w14:paraId="3B33B5D1"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79" w:type="dxa"/>
            <w:tcBorders>
              <w:top w:val="double" w:sz="4" w:space="0" w:color="000000"/>
              <w:left w:val="single" w:sz="4" w:space="0" w:color="000000"/>
              <w:bottom w:val="double" w:sz="4" w:space="0" w:color="000000"/>
              <w:right w:val="single" w:sz="4" w:space="0" w:color="000000"/>
            </w:tcBorders>
            <w:vAlign w:val="center"/>
          </w:tcPr>
          <w:p w14:paraId="49D2E32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197F270"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C4434C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119</w:t>
            </w:r>
          </w:p>
        </w:tc>
        <w:tc>
          <w:tcPr>
            <w:tcW w:w="2977" w:type="dxa"/>
            <w:tcBorders>
              <w:top w:val="double" w:sz="4" w:space="0" w:color="000000"/>
              <w:left w:val="single" w:sz="4" w:space="0" w:color="000000"/>
              <w:bottom w:val="double" w:sz="4" w:space="0" w:color="000000"/>
              <w:right w:val="single" w:sz="4" w:space="0" w:color="000000"/>
            </w:tcBorders>
          </w:tcPr>
          <w:p w14:paraId="3FA8E17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Tinción</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
                <w:sz w:val="12"/>
                <w:szCs w:val="12"/>
                <w:lang w:val="es-ES"/>
              </w:rPr>
              <w:t xml:space="preserve"> </w:t>
            </w:r>
            <w:r>
              <w:rPr>
                <w:rFonts w:ascii="Arial" w:eastAsia="Times New Roman" w:hAnsi="Arial" w:cs="Arial"/>
                <w:spacing w:val="-2"/>
                <w:sz w:val="12"/>
                <w:szCs w:val="12"/>
                <w:lang w:val="es-ES"/>
              </w:rPr>
              <w:t>Giemsa</w:t>
            </w:r>
          </w:p>
        </w:tc>
        <w:tc>
          <w:tcPr>
            <w:tcW w:w="779" w:type="dxa"/>
            <w:tcBorders>
              <w:top w:val="double" w:sz="4" w:space="0" w:color="000000"/>
              <w:left w:val="single" w:sz="4" w:space="0" w:color="000000"/>
              <w:bottom w:val="double" w:sz="4" w:space="0" w:color="000000"/>
              <w:right w:val="single" w:sz="4" w:space="0" w:color="000000"/>
            </w:tcBorders>
            <w:vAlign w:val="center"/>
          </w:tcPr>
          <w:p w14:paraId="4CDEC77B"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0" w:type="dxa"/>
            <w:tcBorders>
              <w:top w:val="double" w:sz="4" w:space="0" w:color="000000"/>
              <w:left w:val="single" w:sz="4" w:space="0" w:color="000000"/>
              <w:bottom w:val="double" w:sz="4" w:space="0" w:color="000000"/>
              <w:right w:val="single" w:sz="4" w:space="0" w:color="000000"/>
            </w:tcBorders>
            <w:vAlign w:val="center"/>
          </w:tcPr>
          <w:p w14:paraId="1997A270"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1" w:type="dxa"/>
            <w:tcBorders>
              <w:top w:val="double" w:sz="4" w:space="0" w:color="000000"/>
              <w:left w:val="single" w:sz="4" w:space="0" w:color="000000"/>
              <w:bottom w:val="double" w:sz="4" w:space="0" w:color="000000"/>
              <w:right w:val="single" w:sz="4" w:space="0" w:color="000000"/>
            </w:tcBorders>
            <w:vAlign w:val="center"/>
          </w:tcPr>
          <w:p w14:paraId="693F539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3D779F54"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31282592"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6C36138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296E10E0"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6D3CAF2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120</w:t>
            </w:r>
          </w:p>
        </w:tc>
        <w:tc>
          <w:tcPr>
            <w:tcW w:w="2977" w:type="dxa"/>
            <w:tcBorders>
              <w:top w:val="double" w:sz="4" w:space="0" w:color="000000"/>
              <w:left w:val="single" w:sz="4" w:space="0" w:color="000000"/>
              <w:bottom w:val="double" w:sz="4" w:space="0" w:color="000000"/>
              <w:right w:val="single" w:sz="4" w:space="0" w:color="000000"/>
            </w:tcBorders>
          </w:tcPr>
          <w:p w14:paraId="4C17ED0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Tinción</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Wright</w:t>
            </w:r>
          </w:p>
        </w:tc>
        <w:tc>
          <w:tcPr>
            <w:tcW w:w="779" w:type="dxa"/>
            <w:tcBorders>
              <w:top w:val="double" w:sz="4" w:space="0" w:color="000000"/>
              <w:left w:val="single" w:sz="4" w:space="0" w:color="000000"/>
              <w:bottom w:val="double" w:sz="4" w:space="0" w:color="000000"/>
              <w:right w:val="single" w:sz="4" w:space="0" w:color="000000"/>
            </w:tcBorders>
            <w:vAlign w:val="center"/>
          </w:tcPr>
          <w:p w14:paraId="4CED874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1.15</w:t>
            </w:r>
          </w:p>
        </w:tc>
        <w:tc>
          <w:tcPr>
            <w:tcW w:w="780" w:type="dxa"/>
            <w:tcBorders>
              <w:top w:val="double" w:sz="4" w:space="0" w:color="000000"/>
              <w:left w:val="single" w:sz="4" w:space="0" w:color="000000"/>
              <w:bottom w:val="double" w:sz="4" w:space="0" w:color="000000"/>
              <w:right w:val="single" w:sz="4" w:space="0" w:color="000000"/>
            </w:tcBorders>
            <w:vAlign w:val="center"/>
          </w:tcPr>
          <w:p w14:paraId="4F6C79A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1.10</w:t>
            </w:r>
          </w:p>
        </w:tc>
        <w:tc>
          <w:tcPr>
            <w:tcW w:w="781" w:type="dxa"/>
            <w:tcBorders>
              <w:top w:val="double" w:sz="4" w:space="0" w:color="000000"/>
              <w:left w:val="single" w:sz="4" w:space="0" w:color="000000"/>
              <w:bottom w:val="double" w:sz="4" w:space="0" w:color="000000"/>
              <w:right w:val="single" w:sz="4" w:space="0" w:color="000000"/>
            </w:tcBorders>
            <w:vAlign w:val="center"/>
          </w:tcPr>
          <w:p w14:paraId="0F84C07C"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1.00</w:t>
            </w:r>
          </w:p>
        </w:tc>
        <w:tc>
          <w:tcPr>
            <w:tcW w:w="779" w:type="dxa"/>
            <w:tcBorders>
              <w:top w:val="double" w:sz="4" w:space="0" w:color="000000"/>
              <w:left w:val="single" w:sz="4" w:space="0" w:color="000000"/>
              <w:bottom w:val="double" w:sz="4" w:space="0" w:color="000000"/>
              <w:right w:val="single" w:sz="4" w:space="0" w:color="000000"/>
            </w:tcBorders>
            <w:vAlign w:val="center"/>
          </w:tcPr>
          <w:p w14:paraId="72D91854"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0D875311"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0.85</w:t>
            </w:r>
          </w:p>
        </w:tc>
        <w:tc>
          <w:tcPr>
            <w:tcW w:w="779" w:type="dxa"/>
            <w:tcBorders>
              <w:top w:val="double" w:sz="4" w:space="0" w:color="000000"/>
              <w:left w:val="single" w:sz="4" w:space="0" w:color="000000"/>
              <w:bottom w:val="double" w:sz="4" w:space="0" w:color="000000"/>
              <w:right w:val="single" w:sz="4" w:space="0" w:color="000000"/>
            </w:tcBorders>
            <w:vAlign w:val="center"/>
          </w:tcPr>
          <w:p w14:paraId="1B8A731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D7521A9"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7E8A1AD7"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121</w:t>
            </w:r>
          </w:p>
        </w:tc>
        <w:tc>
          <w:tcPr>
            <w:tcW w:w="2977" w:type="dxa"/>
            <w:tcBorders>
              <w:top w:val="double" w:sz="4" w:space="0" w:color="000000"/>
              <w:left w:val="single" w:sz="4" w:space="0" w:color="000000"/>
              <w:bottom w:val="double" w:sz="4" w:space="0" w:color="000000"/>
              <w:right w:val="single" w:sz="4" w:space="0" w:color="000000"/>
            </w:tcBorders>
          </w:tcPr>
          <w:p w14:paraId="1334B686"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Transferrina</w:t>
            </w:r>
          </w:p>
        </w:tc>
        <w:tc>
          <w:tcPr>
            <w:tcW w:w="779" w:type="dxa"/>
            <w:tcBorders>
              <w:top w:val="double" w:sz="4" w:space="0" w:color="000000"/>
              <w:left w:val="single" w:sz="4" w:space="0" w:color="000000"/>
              <w:bottom w:val="double" w:sz="4" w:space="0" w:color="000000"/>
              <w:right w:val="single" w:sz="4" w:space="0" w:color="000000"/>
            </w:tcBorders>
            <w:vAlign w:val="center"/>
          </w:tcPr>
          <w:p w14:paraId="684AF57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3.25</w:t>
            </w:r>
          </w:p>
        </w:tc>
        <w:tc>
          <w:tcPr>
            <w:tcW w:w="780" w:type="dxa"/>
            <w:tcBorders>
              <w:top w:val="double" w:sz="4" w:space="0" w:color="000000"/>
              <w:left w:val="single" w:sz="4" w:space="0" w:color="000000"/>
              <w:bottom w:val="double" w:sz="4" w:space="0" w:color="000000"/>
              <w:right w:val="single" w:sz="4" w:space="0" w:color="000000"/>
            </w:tcBorders>
            <w:vAlign w:val="center"/>
          </w:tcPr>
          <w:p w14:paraId="1EB6C3D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1" w:type="dxa"/>
            <w:tcBorders>
              <w:top w:val="double" w:sz="4" w:space="0" w:color="000000"/>
              <w:left w:val="single" w:sz="4" w:space="0" w:color="000000"/>
              <w:bottom w:val="double" w:sz="4" w:space="0" w:color="000000"/>
              <w:right w:val="single" w:sz="4" w:space="0" w:color="000000"/>
            </w:tcBorders>
            <w:vAlign w:val="center"/>
          </w:tcPr>
          <w:p w14:paraId="64832BF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2.90</w:t>
            </w:r>
          </w:p>
        </w:tc>
        <w:tc>
          <w:tcPr>
            <w:tcW w:w="779" w:type="dxa"/>
            <w:tcBorders>
              <w:top w:val="double" w:sz="4" w:space="0" w:color="000000"/>
              <w:left w:val="single" w:sz="4" w:space="0" w:color="000000"/>
              <w:bottom w:val="double" w:sz="4" w:space="0" w:color="000000"/>
              <w:right w:val="single" w:sz="4" w:space="0" w:color="000000"/>
            </w:tcBorders>
            <w:vAlign w:val="center"/>
          </w:tcPr>
          <w:p w14:paraId="173AE3C0"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2.85</w:t>
            </w:r>
          </w:p>
        </w:tc>
        <w:tc>
          <w:tcPr>
            <w:tcW w:w="780" w:type="dxa"/>
            <w:tcBorders>
              <w:top w:val="double" w:sz="4" w:space="0" w:color="000000"/>
              <w:left w:val="single" w:sz="4" w:space="0" w:color="000000"/>
              <w:bottom w:val="double" w:sz="4" w:space="0" w:color="000000"/>
              <w:right w:val="single" w:sz="4" w:space="0" w:color="000000"/>
            </w:tcBorders>
            <w:vAlign w:val="center"/>
          </w:tcPr>
          <w:p w14:paraId="493FECA1"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3465B8F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F64EA36" w14:textId="77777777">
        <w:trPr>
          <w:trHeight w:val="464"/>
        </w:trPr>
        <w:tc>
          <w:tcPr>
            <w:tcW w:w="1106" w:type="dxa"/>
            <w:tcBorders>
              <w:top w:val="double" w:sz="4" w:space="0" w:color="000000"/>
              <w:left w:val="single" w:sz="4" w:space="0" w:color="000000"/>
              <w:bottom w:val="double" w:sz="4" w:space="0" w:color="000000"/>
              <w:right w:val="single" w:sz="4" w:space="0" w:color="000000"/>
            </w:tcBorders>
          </w:tcPr>
          <w:p w14:paraId="51993300"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122</w:t>
            </w:r>
          </w:p>
        </w:tc>
        <w:tc>
          <w:tcPr>
            <w:tcW w:w="2977" w:type="dxa"/>
            <w:tcBorders>
              <w:top w:val="double" w:sz="4" w:space="0" w:color="000000"/>
              <w:left w:val="single" w:sz="4" w:space="0" w:color="000000"/>
              <w:bottom w:val="double" w:sz="4" w:space="0" w:color="000000"/>
              <w:right w:val="single" w:sz="4" w:space="0" w:color="000000"/>
            </w:tcBorders>
          </w:tcPr>
          <w:p w14:paraId="7D466256"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Química</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sanguínea</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7:</w:t>
            </w:r>
            <w:r>
              <w:rPr>
                <w:rFonts w:ascii="Arial" w:eastAsia="Times New Roman" w:hAnsi="Arial" w:cs="Arial"/>
                <w:spacing w:val="26"/>
                <w:sz w:val="12"/>
                <w:szCs w:val="12"/>
                <w:lang w:val="es-ES"/>
              </w:rPr>
              <w:t xml:space="preserve"> </w:t>
            </w:r>
            <w:proofErr w:type="spellStart"/>
            <w:r>
              <w:rPr>
                <w:rFonts w:ascii="Arial" w:eastAsia="Times New Roman" w:hAnsi="Arial" w:cs="Arial"/>
                <w:sz w:val="12"/>
                <w:szCs w:val="12"/>
                <w:lang w:val="es-ES"/>
              </w:rPr>
              <w:t>Gluc</w:t>
            </w:r>
            <w:proofErr w:type="spellEnd"/>
            <w:r>
              <w:rPr>
                <w:rFonts w:ascii="Arial" w:eastAsia="Times New Roman" w:hAnsi="Arial" w:cs="Arial"/>
                <w:sz w:val="12"/>
                <w:szCs w:val="12"/>
                <w:lang w:val="es-ES"/>
              </w:rPr>
              <w:t>.</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Urea,</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BUN,</w:t>
            </w:r>
            <w:r>
              <w:rPr>
                <w:rFonts w:ascii="Arial" w:eastAsia="Times New Roman" w:hAnsi="Arial" w:cs="Arial"/>
                <w:spacing w:val="29"/>
                <w:sz w:val="12"/>
                <w:szCs w:val="12"/>
                <w:lang w:val="es-ES"/>
              </w:rPr>
              <w:t xml:space="preserve"> </w:t>
            </w:r>
            <w:r>
              <w:rPr>
                <w:rFonts w:ascii="Arial" w:eastAsia="Times New Roman" w:hAnsi="Arial" w:cs="Arial"/>
                <w:sz w:val="12"/>
                <w:szCs w:val="12"/>
                <w:lang w:val="es-ES"/>
              </w:rPr>
              <w:t>Crea,</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AU,</w:t>
            </w:r>
            <w:r>
              <w:rPr>
                <w:rFonts w:ascii="Arial" w:eastAsia="Times New Roman" w:hAnsi="Arial" w:cs="Arial"/>
                <w:spacing w:val="27"/>
                <w:sz w:val="12"/>
                <w:szCs w:val="12"/>
                <w:lang w:val="es-ES"/>
              </w:rPr>
              <w:t xml:space="preserve"> </w:t>
            </w:r>
            <w:r>
              <w:rPr>
                <w:rFonts w:ascii="Arial" w:eastAsia="Times New Roman" w:hAnsi="Arial" w:cs="Arial"/>
                <w:sz w:val="12"/>
                <w:szCs w:val="12"/>
                <w:lang w:val="es-ES"/>
              </w:rPr>
              <w:t>CT,</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TG,</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(QS7)</w:t>
            </w:r>
          </w:p>
        </w:tc>
        <w:tc>
          <w:tcPr>
            <w:tcW w:w="779" w:type="dxa"/>
            <w:tcBorders>
              <w:top w:val="double" w:sz="4" w:space="0" w:color="000000"/>
              <w:left w:val="single" w:sz="4" w:space="0" w:color="000000"/>
              <w:bottom w:val="double" w:sz="4" w:space="0" w:color="000000"/>
              <w:right w:val="single" w:sz="4" w:space="0" w:color="000000"/>
            </w:tcBorders>
            <w:vAlign w:val="center"/>
          </w:tcPr>
          <w:p w14:paraId="10376732"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387E96A5"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81" w:type="dxa"/>
            <w:tcBorders>
              <w:top w:val="double" w:sz="4" w:space="0" w:color="000000"/>
              <w:left w:val="single" w:sz="4" w:space="0" w:color="000000"/>
              <w:bottom w:val="double" w:sz="4" w:space="0" w:color="000000"/>
              <w:right w:val="single" w:sz="4" w:space="0" w:color="000000"/>
            </w:tcBorders>
            <w:vAlign w:val="center"/>
          </w:tcPr>
          <w:p w14:paraId="6B661B98"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473D8663"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1.65</w:t>
            </w:r>
          </w:p>
        </w:tc>
        <w:tc>
          <w:tcPr>
            <w:tcW w:w="780" w:type="dxa"/>
            <w:tcBorders>
              <w:top w:val="double" w:sz="4" w:space="0" w:color="000000"/>
              <w:left w:val="single" w:sz="4" w:space="0" w:color="000000"/>
              <w:bottom w:val="double" w:sz="4" w:space="0" w:color="000000"/>
              <w:right w:val="single" w:sz="4" w:space="0" w:color="000000"/>
            </w:tcBorders>
            <w:vAlign w:val="center"/>
          </w:tcPr>
          <w:p w14:paraId="1E595AA9"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79" w:type="dxa"/>
            <w:tcBorders>
              <w:top w:val="double" w:sz="4" w:space="0" w:color="000000"/>
              <w:left w:val="single" w:sz="4" w:space="0" w:color="000000"/>
              <w:bottom w:val="double" w:sz="4" w:space="0" w:color="000000"/>
              <w:right w:val="single" w:sz="4" w:space="0" w:color="000000"/>
            </w:tcBorders>
            <w:vAlign w:val="center"/>
          </w:tcPr>
          <w:p w14:paraId="64F7BEF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442DF0A"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D79D81C"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123</w:t>
            </w:r>
          </w:p>
        </w:tc>
        <w:tc>
          <w:tcPr>
            <w:tcW w:w="2977" w:type="dxa"/>
            <w:tcBorders>
              <w:top w:val="double" w:sz="4" w:space="0" w:color="000000"/>
              <w:left w:val="single" w:sz="4" w:space="0" w:color="000000"/>
              <w:bottom w:val="double" w:sz="4" w:space="0" w:color="000000"/>
              <w:right w:val="single" w:sz="4" w:space="0" w:color="000000"/>
            </w:tcBorders>
          </w:tcPr>
          <w:p w14:paraId="36647061"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tiroideo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completo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w:t>
            </w:r>
            <w:proofErr w:type="gramStart"/>
            <w:r>
              <w:rPr>
                <w:rFonts w:ascii="Arial" w:eastAsia="Times New Roman" w:hAnsi="Arial" w:cs="Arial"/>
                <w:sz w:val="12"/>
                <w:szCs w:val="12"/>
                <w:lang w:val="es-ES"/>
              </w:rPr>
              <w:t>TSH,T</w:t>
            </w:r>
            <w:proofErr w:type="gramEnd"/>
            <w:r>
              <w:rPr>
                <w:rFonts w:ascii="Arial" w:eastAsia="Times New Roman" w:hAnsi="Arial" w:cs="Arial"/>
                <w:sz w:val="12"/>
                <w:szCs w:val="12"/>
                <w:lang w:val="es-ES"/>
              </w:rPr>
              <w:t>3,</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T4,FT3,</w:t>
            </w:r>
            <w:r>
              <w:rPr>
                <w:rFonts w:ascii="Arial" w:eastAsia="Times New Roman" w:hAnsi="Arial" w:cs="Arial"/>
                <w:spacing w:val="-5"/>
                <w:sz w:val="12"/>
                <w:szCs w:val="12"/>
                <w:lang w:val="es-ES"/>
              </w:rPr>
              <w:t xml:space="preserve"> </w:t>
            </w:r>
            <w:r>
              <w:rPr>
                <w:rFonts w:ascii="Arial" w:eastAsia="Times New Roman" w:hAnsi="Arial" w:cs="Arial"/>
                <w:spacing w:val="-4"/>
                <w:sz w:val="12"/>
                <w:szCs w:val="12"/>
                <w:lang w:val="es-ES"/>
              </w:rPr>
              <w:t>FT4,)</w:t>
            </w:r>
          </w:p>
        </w:tc>
        <w:tc>
          <w:tcPr>
            <w:tcW w:w="779" w:type="dxa"/>
            <w:tcBorders>
              <w:top w:val="double" w:sz="4" w:space="0" w:color="000000"/>
              <w:left w:val="single" w:sz="4" w:space="0" w:color="000000"/>
              <w:bottom w:val="double" w:sz="4" w:space="0" w:color="000000"/>
              <w:right w:val="single" w:sz="4" w:space="0" w:color="000000"/>
            </w:tcBorders>
            <w:vAlign w:val="center"/>
          </w:tcPr>
          <w:p w14:paraId="46381AA5"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5.75</w:t>
            </w:r>
          </w:p>
        </w:tc>
        <w:tc>
          <w:tcPr>
            <w:tcW w:w="780" w:type="dxa"/>
            <w:tcBorders>
              <w:top w:val="double" w:sz="4" w:space="0" w:color="000000"/>
              <w:left w:val="single" w:sz="4" w:space="0" w:color="000000"/>
              <w:bottom w:val="double" w:sz="4" w:space="0" w:color="000000"/>
              <w:right w:val="single" w:sz="4" w:space="0" w:color="000000"/>
            </w:tcBorders>
            <w:vAlign w:val="center"/>
          </w:tcPr>
          <w:p w14:paraId="71630ADF"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5.50</w:t>
            </w:r>
          </w:p>
        </w:tc>
        <w:tc>
          <w:tcPr>
            <w:tcW w:w="781" w:type="dxa"/>
            <w:tcBorders>
              <w:top w:val="double" w:sz="4" w:space="0" w:color="000000"/>
              <w:left w:val="single" w:sz="4" w:space="0" w:color="000000"/>
              <w:bottom w:val="double" w:sz="4" w:space="0" w:color="000000"/>
              <w:right w:val="single" w:sz="4" w:space="0" w:color="000000"/>
            </w:tcBorders>
            <w:vAlign w:val="center"/>
          </w:tcPr>
          <w:p w14:paraId="7FA51288"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5.40</w:t>
            </w:r>
          </w:p>
        </w:tc>
        <w:tc>
          <w:tcPr>
            <w:tcW w:w="779" w:type="dxa"/>
            <w:tcBorders>
              <w:top w:val="double" w:sz="4" w:space="0" w:color="000000"/>
              <w:left w:val="single" w:sz="4" w:space="0" w:color="000000"/>
              <w:bottom w:val="double" w:sz="4" w:space="0" w:color="000000"/>
              <w:right w:val="single" w:sz="4" w:space="0" w:color="000000"/>
            </w:tcBorders>
            <w:vAlign w:val="center"/>
          </w:tcPr>
          <w:p w14:paraId="7AC4DF9E"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5.30</w:t>
            </w:r>
          </w:p>
        </w:tc>
        <w:tc>
          <w:tcPr>
            <w:tcW w:w="780" w:type="dxa"/>
            <w:tcBorders>
              <w:top w:val="double" w:sz="4" w:space="0" w:color="000000"/>
              <w:left w:val="single" w:sz="4" w:space="0" w:color="000000"/>
              <w:bottom w:val="double" w:sz="4" w:space="0" w:color="000000"/>
              <w:right w:val="single" w:sz="4" w:space="0" w:color="000000"/>
            </w:tcBorders>
            <w:vAlign w:val="center"/>
          </w:tcPr>
          <w:p w14:paraId="6DC3A61C" w14:textId="77777777" w:rsidR="00D3344B" w:rsidRDefault="00143C25">
            <w:pPr>
              <w:widowControl w:val="0"/>
              <w:suppressAutoHyphens w:val="0"/>
              <w:spacing w:before="10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5.00</w:t>
            </w:r>
          </w:p>
        </w:tc>
        <w:tc>
          <w:tcPr>
            <w:tcW w:w="779" w:type="dxa"/>
            <w:tcBorders>
              <w:top w:val="double" w:sz="4" w:space="0" w:color="000000"/>
              <w:left w:val="single" w:sz="4" w:space="0" w:color="000000"/>
              <w:bottom w:val="double" w:sz="4" w:space="0" w:color="000000"/>
              <w:right w:val="single" w:sz="4" w:space="0" w:color="000000"/>
            </w:tcBorders>
            <w:vAlign w:val="center"/>
          </w:tcPr>
          <w:p w14:paraId="05C867C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5329869" w14:textId="77777777">
        <w:trPr>
          <w:trHeight w:val="464"/>
        </w:trPr>
        <w:tc>
          <w:tcPr>
            <w:tcW w:w="1106" w:type="dxa"/>
            <w:tcBorders>
              <w:top w:val="double" w:sz="4" w:space="0" w:color="000000"/>
              <w:left w:val="single" w:sz="4" w:space="0" w:color="000000"/>
              <w:bottom w:val="double" w:sz="4" w:space="0" w:color="000000"/>
              <w:right w:val="single" w:sz="4" w:space="0" w:color="000000"/>
            </w:tcBorders>
          </w:tcPr>
          <w:p w14:paraId="44736BFB"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124</w:t>
            </w:r>
          </w:p>
        </w:tc>
        <w:tc>
          <w:tcPr>
            <w:tcW w:w="2977" w:type="dxa"/>
            <w:tcBorders>
              <w:top w:val="double" w:sz="4" w:space="0" w:color="000000"/>
              <w:left w:val="single" w:sz="4" w:space="0" w:color="000000"/>
              <w:bottom w:val="double" w:sz="4" w:space="0" w:color="000000"/>
              <w:right w:val="single" w:sz="4" w:space="0" w:color="000000"/>
            </w:tcBorders>
          </w:tcPr>
          <w:p w14:paraId="1B026503"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PERFIL</w:t>
            </w:r>
            <w:r>
              <w:rPr>
                <w:rFonts w:ascii="Arial" w:eastAsia="Times New Roman" w:hAnsi="Arial" w:cs="Arial"/>
                <w:spacing w:val="37"/>
                <w:sz w:val="12"/>
                <w:szCs w:val="12"/>
                <w:lang w:val="es-ES"/>
              </w:rPr>
              <w:t xml:space="preserve"> </w:t>
            </w:r>
            <w:r>
              <w:rPr>
                <w:rFonts w:ascii="Arial" w:eastAsia="Times New Roman" w:hAnsi="Arial" w:cs="Arial"/>
                <w:sz w:val="12"/>
                <w:szCs w:val="12"/>
                <w:lang w:val="es-ES"/>
              </w:rPr>
              <w:t>TUMORAL</w:t>
            </w:r>
            <w:r>
              <w:rPr>
                <w:rFonts w:ascii="Arial" w:eastAsia="Times New Roman" w:hAnsi="Arial" w:cs="Arial"/>
                <w:spacing w:val="37"/>
                <w:sz w:val="12"/>
                <w:szCs w:val="12"/>
                <w:lang w:val="es-ES"/>
              </w:rPr>
              <w:t xml:space="preserve"> </w:t>
            </w:r>
            <w:r>
              <w:rPr>
                <w:rFonts w:ascii="Arial" w:eastAsia="Times New Roman" w:hAnsi="Arial" w:cs="Arial"/>
                <w:sz w:val="12"/>
                <w:szCs w:val="12"/>
                <w:lang w:val="es-ES"/>
              </w:rPr>
              <w:t>FEMENINO</w:t>
            </w:r>
            <w:r>
              <w:rPr>
                <w:rFonts w:ascii="Arial" w:eastAsia="Times New Roman" w:hAnsi="Arial" w:cs="Arial"/>
                <w:spacing w:val="39"/>
                <w:sz w:val="12"/>
                <w:szCs w:val="12"/>
                <w:lang w:val="es-ES"/>
              </w:rPr>
              <w:t xml:space="preserve"> </w:t>
            </w:r>
            <w:r>
              <w:rPr>
                <w:rFonts w:ascii="Arial" w:eastAsia="Times New Roman" w:hAnsi="Arial" w:cs="Arial"/>
                <w:sz w:val="12"/>
                <w:szCs w:val="12"/>
                <w:lang w:val="es-ES"/>
              </w:rPr>
              <w:t>(CEA,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AFP,</w:t>
            </w:r>
            <w:r>
              <w:rPr>
                <w:rFonts w:ascii="Arial" w:eastAsia="Times New Roman" w:hAnsi="Arial" w:cs="Arial"/>
                <w:spacing w:val="39"/>
                <w:sz w:val="12"/>
                <w:szCs w:val="12"/>
                <w:lang w:val="es-ES"/>
              </w:rPr>
              <w:t xml:space="preserve"> </w:t>
            </w:r>
            <w:r>
              <w:rPr>
                <w:rFonts w:ascii="Arial" w:eastAsia="Times New Roman" w:hAnsi="Arial" w:cs="Arial"/>
                <w:sz w:val="12"/>
                <w:szCs w:val="12"/>
                <w:lang w:val="es-ES"/>
              </w:rPr>
              <w:t>CA125,</w:t>
            </w:r>
            <w:r>
              <w:rPr>
                <w:rFonts w:ascii="Arial" w:eastAsia="Times New Roman" w:hAnsi="Arial" w:cs="Arial"/>
                <w:spacing w:val="40"/>
                <w:sz w:val="12"/>
                <w:szCs w:val="12"/>
                <w:lang w:val="es-ES"/>
              </w:rPr>
              <w:t xml:space="preserve"> </w:t>
            </w:r>
            <w:proofErr w:type="gramStart"/>
            <w:r>
              <w:rPr>
                <w:rFonts w:ascii="Arial" w:eastAsia="Times New Roman" w:hAnsi="Arial" w:cs="Arial"/>
                <w:spacing w:val="-2"/>
                <w:sz w:val="12"/>
                <w:szCs w:val="12"/>
                <w:lang w:val="es-ES"/>
              </w:rPr>
              <w:t>HCG,DHL</w:t>
            </w:r>
            <w:proofErr w:type="gramEnd"/>
            <w:r>
              <w:rPr>
                <w:rFonts w:ascii="Arial" w:eastAsia="Times New Roman" w:hAnsi="Arial" w:cs="Arial"/>
                <w:spacing w:val="-2"/>
                <w:sz w:val="12"/>
                <w:szCs w:val="12"/>
                <w:lang w:val="es-ES"/>
              </w:rPr>
              <w:t>)</w:t>
            </w:r>
          </w:p>
        </w:tc>
        <w:tc>
          <w:tcPr>
            <w:tcW w:w="779" w:type="dxa"/>
            <w:tcBorders>
              <w:top w:val="double" w:sz="4" w:space="0" w:color="000000"/>
              <w:left w:val="single" w:sz="4" w:space="0" w:color="000000"/>
              <w:bottom w:val="double" w:sz="4" w:space="0" w:color="000000"/>
              <w:right w:val="single" w:sz="4" w:space="0" w:color="000000"/>
            </w:tcBorders>
            <w:vAlign w:val="center"/>
          </w:tcPr>
          <w:p w14:paraId="45E9DBFC"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37A93FB8"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8.00</w:t>
            </w:r>
          </w:p>
        </w:tc>
        <w:tc>
          <w:tcPr>
            <w:tcW w:w="781" w:type="dxa"/>
            <w:tcBorders>
              <w:top w:val="double" w:sz="4" w:space="0" w:color="000000"/>
              <w:left w:val="single" w:sz="4" w:space="0" w:color="000000"/>
              <w:bottom w:val="double" w:sz="4" w:space="0" w:color="000000"/>
              <w:right w:val="single" w:sz="4" w:space="0" w:color="000000"/>
            </w:tcBorders>
            <w:vAlign w:val="center"/>
          </w:tcPr>
          <w:p w14:paraId="72FE4245"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7.75</w:t>
            </w:r>
          </w:p>
        </w:tc>
        <w:tc>
          <w:tcPr>
            <w:tcW w:w="779" w:type="dxa"/>
            <w:tcBorders>
              <w:top w:val="double" w:sz="4" w:space="0" w:color="000000"/>
              <w:left w:val="single" w:sz="4" w:space="0" w:color="000000"/>
              <w:bottom w:val="double" w:sz="4" w:space="0" w:color="000000"/>
              <w:right w:val="single" w:sz="4" w:space="0" w:color="000000"/>
            </w:tcBorders>
            <w:vAlign w:val="center"/>
          </w:tcPr>
          <w:p w14:paraId="1F413566"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23AA45ED" w14:textId="77777777" w:rsidR="00D3344B" w:rsidRDefault="00143C25">
            <w:pPr>
              <w:widowControl w:val="0"/>
              <w:suppressAutoHyphens w:val="0"/>
              <w:spacing w:before="1"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56494D9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5EEBAE9" w14:textId="77777777">
        <w:trPr>
          <w:trHeight w:val="464"/>
        </w:trPr>
        <w:tc>
          <w:tcPr>
            <w:tcW w:w="1106" w:type="dxa"/>
            <w:tcBorders>
              <w:top w:val="double" w:sz="4" w:space="0" w:color="000000"/>
              <w:left w:val="single" w:sz="4" w:space="0" w:color="000000"/>
              <w:bottom w:val="double" w:sz="4" w:space="0" w:color="000000"/>
              <w:right w:val="single" w:sz="4" w:space="0" w:color="000000"/>
            </w:tcBorders>
          </w:tcPr>
          <w:p w14:paraId="110DC5F8" w14:textId="77777777" w:rsidR="00D3344B" w:rsidRDefault="00143C25">
            <w:pPr>
              <w:widowControl w:val="0"/>
              <w:suppressAutoHyphens w:val="0"/>
              <w:spacing w:before="1"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125</w:t>
            </w:r>
          </w:p>
        </w:tc>
        <w:tc>
          <w:tcPr>
            <w:tcW w:w="2977" w:type="dxa"/>
            <w:tcBorders>
              <w:top w:val="double" w:sz="4" w:space="0" w:color="000000"/>
              <w:left w:val="single" w:sz="4" w:space="0" w:color="000000"/>
              <w:bottom w:val="double" w:sz="4" w:space="0" w:color="000000"/>
              <w:right w:val="single" w:sz="4" w:space="0" w:color="000000"/>
            </w:tcBorders>
          </w:tcPr>
          <w:p w14:paraId="58707C0E" w14:textId="77777777" w:rsidR="00D3344B" w:rsidRDefault="00143C25">
            <w:pPr>
              <w:widowControl w:val="0"/>
              <w:suppressAutoHyphens w:val="0"/>
              <w:spacing w:before="58" w:after="0" w:line="240" w:lineRule="auto"/>
              <w:rPr>
                <w:rFonts w:ascii="Arial" w:eastAsia="Times New Roman" w:hAnsi="Arial" w:cs="Arial"/>
                <w:sz w:val="12"/>
                <w:szCs w:val="12"/>
                <w:lang w:val="es-ES"/>
              </w:rPr>
            </w:pPr>
            <w:r>
              <w:rPr>
                <w:rFonts w:ascii="Arial" w:eastAsia="Times New Roman" w:hAnsi="Arial" w:cs="Arial"/>
                <w:sz w:val="12"/>
                <w:szCs w:val="12"/>
                <w:lang w:val="es-ES"/>
              </w:rPr>
              <w:t>PERFIL TUMORAL MASCULINO (CEA, PSA TOTAL,</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AFP, HGC, DHL)</w:t>
            </w:r>
          </w:p>
        </w:tc>
        <w:tc>
          <w:tcPr>
            <w:tcW w:w="779" w:type="dxa"/>
            <w:tcBorders>
              <w:top w:val="double" w:sz="4" w:space="0" w:color="000000"/>
              <w:left w:val="single" w:sz="4" w:space="0" w:color="000000"/>
              <w:bottom w:val="double" w:sz="4" w:space="0" w:color="000000"/>
              <w:right w:val="single" w:sz="4" w:space="0" w:color="000000"/>
            </w:tcBorders>
            <w:vAlign w:val="center"/>
          </w:tcPr>
          <w:p w14:paraId="6E54116E" w14:textId="77777777" w:rsidR="00D3344B" w:rsidRDefault="00143C25">
            <w:pPr>
              <w:widowControl w:val="0"/>
              <w:suppressAutoHyphens w:val="0"/>
              <w:spacing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8.50</w:t>
            </w:r>
          </w:p>
        </w:tc>
        <w:tc>
          <w:tcPr>
            <w:tcW w:w="780" w:type="dxa"/>
            <w:tcBorders>
              <w:top w:val="double" w:sz="4" w:space="0" w:color="000000"/>
              <w:left w:val="single" w:sz="4" w:space="0" w:color="000000"/>
              <w:bottom w:val="double" w:sz="4" w:space="0" w:color="000000"/>
              <w:right w:val="single" w:sz="4" w:space="0" w:color="000000"/>
            </w:tcBorders>
            <w:vAlign w:val="center"/>
          </w:tcPr>
          <w:p w14:paraId="2A2D9BD4" w14:textId="77777777" w:rsidR="00D3344B" w:rsidRDefault="00143C25">
            <w:pPr>
              <w:widowControl w:val="0"/>
              <w:suppressAutoHyphens w:val="0"/>
              <w:spacing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8.00</w:t>
            </w:r>
          </w:p>
        </w:tc>
        <w:tc>
          <w:tcPr>
            <w:tcW w:w="781" w:type="dxa"/>
            <w:tcBorders>
              <w:top w:val="double" w:sz="4" w:space="0" w:color="000000"/>
              <w:left w:val="single" w:sz="4" w:space="0" w:color="000000"/>
              <w:bottom w:val="double" w:sz="4" w:space="0" w:color="000000"/>
              <w:right w:val="single" w:sz="4" w:space="0" w:color="000000"/>
            </w:tcBorders>
            <w:vAlign w:val="center"/>
          </w:tcPr>
          <w:p w14:paraId="32BFD907" w14:textId="77777777" w:rsidR="00D3344B" w:rsidRDefault="00143C25">
            <w:pPr>
              <w:widowControl w:val="0"/>
              <w:suppressAutoHyphens w:val="0"/>
              <w:spacing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7.75</w:t>
            </w:r>
          </w:p>
        </w:tc>
        <w:tc>
          <w:tcPr>
            <w:tcW w:w="779" w:type="dxa"/>
            <w:tcBorders>
              <w:top w:val="double" w:sz="4" w:space="0" w:color="000000"/>
              <w:left w:val="single" w:sz="4" w:space="0" w:color="000000"/>
              <w:bottom w:val="double" w:sz="4" w:space="0" w:color="000000"/>
              <w:right w:val="single" w:sz="4" w:space="0" w:color="000000"/>
            </w:tcBorders>
            <w:vAlign w:val="center"/>
          </w:tcPr>
          <w:p w14:paraId="04F5A030" w14:textId="77777777" w:rsidR="00D3344B" w:rsidRDefault="00143C25">
            <w:pPr>
              <w:widowControl w:val="0"/>
              <w:suppressAutoHyphens w:val="0"/>
              <w:spacing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7.50</w:t>
            </w:r>
          </w:p>
        </w:tc>
        <w:tc>
          <w:tcPr>
            <w:tcW w:w="780" w:type="dxa"/>
            <w:tcBorders>
              <w:top w:val="double" w:sz="4" w:space="0" w:color="000000"/>
              <w:left w:val="single" w:sz="4" w:space="0" w:color="000000"/>
              <w:bottom w:val="double" w:sz="4" w:space="0" w:color="000000"/>
              <w:right w:val="single" w:sz="4" w:space="0" w:color="000000"/>
            </w:tcBorders>
            <w:vAlign w:val="center"/>
          </w:tcPr>
          <w:p w14:paraId="5E0EFF38" w14:textId="77777777" w:rsidR="00D3344B" w:rsidRDefault="00143C25">
            <w:pPr>
              <w:widowControl w:val="0"/>
              <w:suppressAutoHyphens w:val="0"/>
              <w:spacing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7.25</w:t>
            </w:r>
          </w:p>
        </w:tc>
        <w:tc>
          <w:tcPr>
            <w:tcW w:w="779" w:type="dxa"/>
            <w:tcBorders>
              <w:top w:val="double" w:sz="4" w:space="0" w:color="000000"/>
              <w:left w:val="single" w:sz="4" w:space="0" w:color="000000"/>
              <w:bottom w:val="double" w:sz="4" w:space="0" w:color="000000"/>
              <w:right w:val="single" w:sz="4" w:space="0" w:color="000000"/>
            </w:tcBorders>
            <w:vAlign w:val="center"/>
          </w:tcPr>
          <w:p w14:paraId="0061E08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56D1B19B"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728554C2"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126</w:t>
            </w:r>
          </w:p>
        </w:tc>
        <w:tc>
          <w:tcPr>
            <w:tcW w:w="2977" w:type="dxa"/>
            <w:tcBorders>
              <w:top w:val="double" w:sz="4" w:space="0" w:color="000000"/>
              <w:left w:val="single" w:sz="4" w:space="0" w:color="000000"/>
              <w:bottom w:val="double" w:sz="4" w:space="0" w:color="000000"/>
              <w:right w:val="single" w:sz="4" w:space="0" w:color="000000"/>
            </w:tcBorders>
          </w:tcPr>
          <w:p w14:paraId="0011961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Ac</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anti</w:t>
            </w:r>
            <w:r>
              <w:rPr>
                <w:rFonts w:ascii="Arial" w:eastAsia="Times New Roman" w:hAnsi="Arial" w:cs="Arial"/>
                <w:spacing w:val="-2"/>
                <w:sz w:val="12"/>
                <w:szCs w:val="12"/>
                <w:lang w:val="es-ES"/>
              </w:rPr>
              <w:t xml:space="preserve"> </w:t>
            </w:r>
            <w:r>
              <w:rPr>
                <w:rFonts w:ascii="Arial" w:eastAsia="Times New Roman" w:hAnsi="Arial" w:cs="Arial"/>
                <w:spacing w:val="-5"/>
                <w:sz w:val="12"/>
                <w:szCs w:val="12"/>
                <w:lang w:val="es-ES"/>
              </w:rPr>
              <w:t>DNA</w:t>
            </w:r>
          </w:p>
        </w:tc>
        <w:tc>
          <w:tcPr>
            <w:tcW w:w="779" w:type="dxa"/>
            <w:tcBorders>
              <w:top w:val="double" w:sz="4" w:space="0" w:color="000000"/>
              <w:left w:val="single" w:sz="4" w:space="0" w:color="000000"/>
              <w:bottom w:val="double" w:sz="4" w:space="0" w:color="000000"/>
              <w:right w:val="single" w:sz="4" w:space="0" w:color="000000"/>
            </w:tcBorders>
            <w:vAlign w:val="center"/>
          </w:tcPr>
          <w:p w14:paraId="3DB763FE"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4.75</w:t>
            </w:r>
          </w:p>
        </w:tc>
        <w:tc>
          <w:tcPr>
            <w:tcW w:w="780" w:type="dxa"/>
            <w:tcBorders>
              <w:top w:val="double" w:sz="4" w:space="0" w:color="000000"/>
              <w:left w:val="single" w:sz="4" w:space="0" w:color="000000"/>
              <w:bottom w:val="double" w:sz="4" w:space="0" w:color="000000"/>
              <w:right w:val="single" w:sz="4" w:space="0" w:color="000000"/>
            </w:tcBorders>
            <w:vAlign w:val="center"/>
          </w:tcPr>
          <w:p w14:paraId="3F83E23D"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4.50</w:t>
            </w:r>
          </w:p>
        </w:tc>
        <w:tc>
          <w:tcPr>
            <w:tcW w:w="781" w:type="dxa"/>
            <w:tcBorders>
              <w:top w:val="double" w:sz="4" w:space="0" w:color="000000"/>
              <w:left w:val="single" w:sz="4" w:space="0" w:color="000000"/>
              <w:bottom w:val="double" w:sz="4" w:space="0" w:color="000000"/>
              <w:right w:val="single" w:sz="4" w:space="0" w:color="000000"/>
            </w:tcBorders>
            <w:vAlign w:val="center"/>
          </w:tcPr>
          <w:p w14:paraId="418B12E7"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4.00</w:t>
            </w:r>
          </w:p>
        </w:tc>
        <w:tc>
          <w:tcPr>
            <w:tcW w:w="779" w:type="dxa"/>
            <w:tcBorders>
              <w:top w:val="double" w:sz="4" w:space="0" w:color="000000"/>
              <w:left w:val="single" w:sz="4" w:space="0" w:color="000000"/>
              <w:bottom w:val="double" w:sz="4" w:space="0" w:color="000000"/>
              <w:right w:val="single" w:sz="4" w:space="0" w:color="000000"/>
            </w:tcBorders>
            <w:vAlign w:val="center"/>
          </w:tcPr>
          <w:p w14:paraId="0F611278"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3.75</w:t>
            </w:r>
          </w:p>
        </w:tc>
        <w:tc>
          <w:tcPr>
            <w:tcW w:w="780" w:type="dxa"/>
            <w:tcBorders>
              <w:top w:val="double" w:sz="4" w:space="0" w:color="000000"/>
              <w:left w:val="single" w:sz="4" w:space="0" w:color="000000"/>
              <w:bottom w:val="double" w:sz="4" w:space="0" w:color="000000"/>
              <w:right w:val="single" w:sz="4" w:space="0" w:color="000000"/>
            </w:tcBorders>
            <w:vAlign w:val="center"/>
          </w:tcPr>
          <w:p w14:paraId="1A0E4450"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3.50</w:t>
            </w:r>
          </w:p>
        </w:tc>
        <w:tc>
          <w:tcPr>
            <w:tcW w:w="779" w:type="dxa"/>
            <w:tcBorders>
              <w:top w:val="double" w:sz="4" w:space="0" w:color="000000"/>
              <w:left w:val="single" w:sz="4" w:space="0" w:color="000000"/>
              <w:bottom w:val="double" w:sz="4" w:space="0" w:color="000000"/>
              <w:right w:val="single" w:sz="4" w:space="0" w:color="000000"/>
            </w:tcBorders>
            <w:vAlign w:val="center"/>
          </w:tcPr>
          <w:p w14:paraId="305F65D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28B6E8B" w14:textId="77777777">
        <w:trPr>
          <w:trHeight w:val="287"/>
        </w:trPr>
        <w:tc>
          <w:tcPr>
            <w:tcW w:w="1106" w:type="dxa"/>
            <w:tcBorders>
              <w:top w:val="double" w:sz="4" w:space="0" w:color="000000"/>
              <w:left w:val="single" w:sz="4" w:space="0" w:color="000000"/>
              <w:bottom w:val="double" w:sz="4" w:space="0" w:color="000000"/>
              <w:right w:val="single" w:sz="4" w:space="0" w:color="000000"/>
            </w:tcBorders>
          </w:tcPr>
          <w:p w14:paraId="4597675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127</w:t>
            </w:r>
          </w:p>
        </w:tc>
        <w:tc>
          <w:tcPr>
            <w:tcW w:w="2977" w:type="dxa"/>
            <w:tcBorders>
              <w:top w:val="double" w:sz="4" w:space="0" w:color="000000"/>
              <w:left w:val="single" w:sz="4" w:space="0" w:color="000000"/>
              <w:bottom w:val="double" w:sz="4" w:space="0" w:color="000000"/>
              <w:right w:val="single" w:sz="4" w:space="0" w:color="000000"/>
            </w:tcBorders>
          </w:tcPr>
          <w:p w14:paraId="5C6555B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Antígeno</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CA</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125</w:t>
            </w:r>
            <w:r>
              <w:rPr>
                <w:rFonts w:ascii="Arial" w:eastAsia="Times New Roman" w:hAnsi="Arial" w:cs="Arial"/>
                <w:spacing w:val="34"/>
                <w:sz w:val="12"/>
                <w:szCs w:val="12"/>
                <w:lang w:val="es-ES"/>
              </w:rPr>
              <w:t xml:space="preserve"> </w:t>
            </w:r>
            <w:r>
              <w:rPr>
                <w:rFonts w:ascii="Arial" w:eastAsia="Times New Roman" w:hAnsi="Arial" w:cs="Arial"/>
                <w:spacing w:val="-2"/>
                <w:sz w:val="12"/>
                <w:szCs w:val="12"/>
                <w:lang w:val="es-ES"/>
              </w:rPr>
              <w:t>(ovario)</w:t>
            </w:r>
          </w:p>
        </w:tc>
        <w:tc>
          <w:tcPr>
            <w:tcW w:w="779" w:type="dxa"/>
            <w:tcBorders>
              <w:top w:val="double" w:sz="4" w:space="0" w:color="000000"/>
              <w:left w:val="single" w:sz="4" w:space="0" w:color="000000"/>
              <w:bottom w:val="double" w:sz="4" w:space="0" w:color="000000"/>
              <w:right w:val="single" w:sz="4" w:space="0" w:color="000000"/>
            </w:tcBorders>
            <w:vAlign w:val="center"/>
          </w:tcPr>
          <w:p w14:paraId="369736A3"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6217D22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2.50</w:t>
            </w:r>
          </w:p>
        </w:tc>
        <w:tc>
          <w:tcPr>
            <w:tcW w:w="781" w:type="dxa"/>
            <w:tcBorders>
              <w:top w:val="double" w:sz="4" w:space="0" w:color="000000"/>
              <w:left w:val="single" w:sz="4" w:space="0" w:color="000000"/>
              <w:bottom w:val="double" w:sz="4" w:space="0" w:color="000000"/>
              <w:right w:val="single" w:sz="4" w:space="0" w:color="000000"/>
            </w:tcBorders>
            <w:vAlign w:val="center"/>
          </w:tcPr>
          <w:p w14:paraId="46E6BC59"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79" w:type="dxa"/>
            <w:tcBorders>
              <w:top w:val="double" w:sz="4" w:space="0" w:color="000000"/>
              <w:left w:val="single" w:sz="4" w:space="0" w:color="000000"/>
              <w:bottom w:val="double" w:sz="4" w:space="0" w:color="000000"/>
              <w:right w:val="single" w:sz="4" w:space="0" w:color="000000"/>
            </w:tcBorders>
            <w:vAlign w:val="center"/>
          </w:tcPr>
          <w:p w14:paraId="1CD47E6C"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2.25</w:t>
            </w:r>
          </w:p>
        </w:tc>
        <w:tc>
          <w:tcPr>
            <w:tcW w:w="780" w:type="dxa"/>
            <w:tcBorders>
              <w:top w:val="double" w:sz="4" w:space="0" w:color="000000"/>
              <w:left w:val="single" w:sz="4" w:space="0" w:color="000000"/>
              <w:bottom w:val="double" w:sz="4" w:space="0" w:color="000000"/>
              <w:right w:val="single" w:sz="4" w:space="0" w:color="000000"/>
            </w:tcBorders>
            <w:vAlign w:val="center"/>
          </w:tcPr>
          <w:p w14:paraId="1F02B1C7" w14:textId="77777777" w:rsidR="00D3344B" w:rsidRDefault="00143C25">
            <w:pPr>
              <w:widowControl w:val="0"/>
              <w:suppressAutoHyphens w:val="0"/>
              <w:spacing w:before="109"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2.00</w:t>
            </w:r>
          </w:p>
        </w:tc>
        <w:tc>
          <w:tcPr>
            <w:tcW w:w="779" w:type="dxa"/>
            <w:tcBorders>
              <w:top w:val="double" w:sz="4" w:space="0" w:color="000000"/>
              <w:left w:val="single" w:sz="4" w:space="0" w:color="000000"/>
              <w:bottom w:val="double" w:sz="4" w:space="0" w:color="000000"/>
              <w:right w:val="single" w:sz="4" w:space="0" w:color="000000"/>
            </w:tcBorders>
            <w:vAlign w:val="center"/>
          </w:tcPr>
          <w:p w14:paraId="456AF02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A1D070C" w14:textId="77777777">
        <w:trPr>
          <w:trHeight w:val="718"/>
        </w:trPr>
        <w:tc>
          <w:tcPr>
            <w:tcW w:w="1106" w:type="dxa"/>
            <w:tcBorders>
              <w:top w:val="double" w:sz="4" w:space="0" w:color="000000"/>
              <w:left w:val="single" w:sz="4" w:space="0" w:color="000000"/>
              <w:bottom w:val="double" w:sz="4" w:space="0" w:color="000000"/>
              <w:right w:val="single" w:sz="4" w:space="0" w:color="000000"/>
            </w:tcBorders>
          </w:tcPr>
          <w:p w14:paraId="2A1C9FB1"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128</w:t>
            </w:r>
          </w:p>
        </w:tc>
        <w:tc>
          <w:tcPr>
            <w:tcW w:w="2977" w:type="dxa"/>
            <w:tcBorders>
              <w:top w:val="double" w:sz="4" w:space="0" w:color="000000"/>
              <w:left w:val="single" w:sz="4" w:space="0" w:color="000000"/>
              <w:bottom w:val="double" w:sz="4" w:space="0" w:color="000000"/>
              <w:right w:val="single" w:sz="4" w:space="0" w:color="000000"/>
            </w:tcBorders>
          </w:tcPr>
          <w:p w14:paraId="272710EF" w14:textId="77777777" w:rsidR="00D3344B" w:rsidRDefault="00143C25">
            <w:pPr>
              <w:widowControl w:val="0"/>
              <w:suppressAutoHyphens w:val="0"/>
              <w:spacing w:after="0" w:line="170" w:lineRule="atLeast"/>
              <w:ind w:right="61"/>
              <w:jc w:val="both"/>
              <w:rPr>
                <w:rFonts w:ascii="Arial" w:eastAsia="Times New Roman" w:hAnsi="Arial" w:cs="Arial"/>
                <w:sz w:val="12"/>
                <w:szCs w:val="12"/>
                <w:lang w:val="es-ES"/>
              </w:rPr>
            </w:pPr>
            <w:r>
              <w:rPr>
                <w:rFonts w:ascii="Arial" w:eastAsia="Times New Roman" w:hAnsi="Arial" w:cs="Arial"/>
                <w:sz w:val="12"/>
                <w:szCs w:val="12"/>
                <w:lang w:val="es-ES"/>
              </w:rPr>
              <w:t xml:space="preserve"> COPROLÓGICO (Examen físico, SOH, grasa en heces,</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 xml:space="preserve">actividad </w:t>
            </w:r>
            <w:proofErr w:type="spellStart"/>
            <w:r>
              <w:rPr>
                <w:rFonts w:ascii="Arial" w:eastAsia="Times New Roman" w:hAnsi="Arial" w:cs="Arial"/>
                <w:sz w:val="12"/>
                <w:szCs w:val="12"/>
                <w:lang w:val="es-ES"/>
              </w:rPr>
              <w:t>tríptica</w:t>
            </w:r>
            <w:proofErr w:type="spellEnd"/>
            <w:r>
              <w:rPr>
                <w:rFonts w:ascii="Arial" w:eastAsia="Times New Roman" w:hAnsi="Arial" w:cs="Arial"/>
                <w:sz w:val="12"/>
                <w:szCs w:val="12"/>
                <w:lang w:val="es-ES"/>
              </w:rPr>
              <w:t>, amiba en fresco, CMF, CPS 1 o 3</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muestras y coprocultivo)</w:t>
            </w:r>
          </w:p>
        </w:tc>
        <w:tc>
          <w:tcPr>
            <w:tcW w:w="779" w:type="dxa"/>
            <w:tcBorders>
              <w:top w:val="double" w:sz="4" w:space="0" w:color="000000"/>
              <w:left w:val="single" w:sz="4" w:space="0" w:color="000000"/>
              <w:bottom w:val="double" w:sz="4" w:space="0" w:color="000000"/>
              <w:right w:val="single" w:sz="4" w:space="0" w:color="000000"/>
            </w:tcBorders>
            <w:vAlign w:val="center"/>
          </w:tcPr>
          <w:p w14:paraId="20C16D2E" w14:textId="77777777" w:rsidR="00D3344B" w:rsidRDefault="00143C25">
            <w:pPr>
              <w:widowControl w:val="0"/>
              <w:suppressAutoHyphens w:val="0"/>
              <w:spacing w:before="12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2.40</w:t>
            </w:r>
          </w:p>
        </w:tc>
        <w:tc>
          <w:tcPr>
            <w:tcW w:w="780" w:type="dxa"/>
            <w:tcBorders>
              <w:top w:val="double" w:sz="4" w:space="0" w:color="000000"/>
              <w:left w:val="single" w:sz="4" w:space="0" w:color="000000"/>
              <w:bottom w:val="double" w:sz="4" w:space="0" w:color="000000"/>
              <w:right w:val="single" w:sz="4" w:space="0" w:color="000000"/>
            </w:tcBorders>
            <w:vAlign w:val="center"/>
          </w:tcPr>
          <w:p w14:paraId="378634B6" w14:textId="77777777" w:rsidR="00D3344B" w:rsidRDefault="00143C25">
            <w:pPr>
              <w:widowControl w:val="0"/>
              <w:suppressAutoHyphens w:val="0"/>
              <w:spacing w:before="12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2.20</w:t>
            </w:r>
          </w:p>
        </w:tc>
        <w:tc>
          <w:tcPr>
            <w:tcW w:w="781" w:type="dxa"/>
            <w:tcBorders>
              <w:top w:val="double" w:sz="4" w:space="0" w:color="000000"/>
              <w:left w:val="single" w:sz="4" w:space="0" w:color="000000"/>
              <w:bottom w:val="double" w:sz="4" w:space="0" w:color="000000"/>
              <w:right w:val="single" w:sz="4" w:space="0" w:color="000000"/>
            </w:tcBorders>
            <w:vAlign w:val="center"/>
          </w:tcPr>
          <w:p w14:paraId="32A0EA08" w14:textId="77777777" w:rsidR="00D3344B" w:rsidRDefault="00143C25">
            <w:pPr>
              <w:widowControl w:val="0"/>
              <w:suppressAutoHyphens w:val="0"/>
              <w:spacing w:before="12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1.85</w:t>
            </w:r>
          </w:p>
        </w:tc>
        <w:tc>
          <w:tcPr>
            <w:tcW w:w="779" w:type="dxa"/>
            <w:tcBorders>
              <w:top w:val="double" w:sz="4" w:space="0" w:color="000000"/>
              <w:left w:val="single" w:sz="4" w:space="0" w:color="000000"/>
              <w:bottom w:val="double" w:sz="4" w:space="0" w:color="000000"/>
              <w:right w:val="single" w:sz="4" w:space="0" w:color="000000"/>
            </w:tcBorders>
            <w:vAlign w:val="center"/>
          </w:tcPr>
          <w:p w14:paraId="623F0C6C" w14:textId="77777777" w:rsidR="00D3344B" w:rsidRDefault="00143C25">
            <w:pPr>
              <w:widowControl w:val="0"/>
              <w:suppressAutoHyphens w:val="0"/>
              <w:spacing w:before="12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1.50</w:t>
            </w:r>
          </w:p>
        </w:tc>
        <w:tc>
          <w:tcPr>
            <w:tcW w:w="780" w:type="dxa"/>
            <w:tcBorders>
              <w:top w:val="double" w:sz="4" w:space="0" w:color="000000"/>
              <w:left w:val="single" w:sz="4" w:space="0" w:color="000000"/>
              <w:bottom w:val="double" w:sz="4" w:space="0" w:color="000000"/>
              <w:right w:val="single" w:sz="4" w:space="0" w:color="000000"/>
            </w:tcBorders>
            <w:vAlign w:val="center"/>
          </w:tcPr>
          <w:p w14:paraId="27CC6B12" w14:textId="77777777" w:rsidR="00D3344B" w:rsidRDefault="00143C25">
            <w:pPr>
              <w:widowControl w:val="0"/>
              <w:suppressAutoHyphens w:val="0"/>
              <w:spacing w:before="127" w:after="0" w:line="158"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1.25</w:t>
            </w:r>
          </w:p>
        </w:tc>
        <w:tc>
          <w:tcPr>
            <w:tcW w:w="779" w:type="dxa"/>
            <w:tcBorders>
              <w:top w:val="double" w:sz="4" w:space="0" w:color="000000"/>
              <w:left w:val="single" w:sz="4" w:space="0" w:color="000000"/>
              <w:bottom w:val="double" w:sz="4" w:space="0" w:color="000000"/>
              <w:right w:val="single" w:sz="4" w:space="0" w:color="000000"/>
            </w:tcBorders>
            <w:vAlign w:val="center"/>
          </w:tcPr>
          <w:p w14:paraId="6834513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0A4BC8CC"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06A41D32" w14:textId="77777777" w:rsidR="00D3344B" w:rsidRDefault="00143C25">
            <w:pPr>
              <w:widowControl w:val="0"/>
              <w:suppressAutoHyphens w:val="0"/>
              <w:spacing w:before="118" w:after="0" w:line="146" w:lineRule="exact"/>
              <w:rPr>
                <w:rFonts w:ascii="Arial" w:eastAsia="Times New Roman" w:hAnsi="Arial" w:cs="Arial"/>
                <w:sz w:val="12"/>
                <w:szCs w:val="12"/>
                <w:lang w:val="es-ES"/>
              </w:rPr>
            </w:pPr>
            <w:r>
              <w:rPr>
                <w:rFonts w:ascii="Arial" w:eastAsia="Times New Roman" w:hAnsi="Arial" w:cs="Arial"/>
                <w:spacing w:val="-2"/>
                <w:sz w:val="12"/>
                <w:szCs w:val="12"/>
                <w:lang w:val="es-ES"/>
              </w:rPr>
              <w:t>03-AC-</w:t>
            </w:r>
            <w:r>
              <w:rPr>
                <w:rFonts w:ascii="Arial" w:eastAsia="Times New Roman" w:hAnsi="Arial" w:cs="Arial"/>
                <w:spacing w:val="-5"/>
                <w:sz w:val="12"/>
                <w:szCs w:val="12"/>
                <w:lang w:val="es-ES"/>
              </w:rPr>
              <w:t>129</w:t>
            </w:r>
          </w:p>
        </w:tc>
        <w:tc>
          <w:tcPr>
            <w:tcW w:w="2977" w:type="dxa"/>
            <w:tcBorders>
              <w:top w:val="double" w:sz="4" w:space="0" w:color="000000"/>
              <w:left w:val="single" w:sz="4" w:space="0" w:color="000000"/>
              <w:bottom w:val="double" w:sz="4" w:space="0" w:color="000000"/>
              <w:right w:val="single" w:sz="4" w:space="0" w:color="000000"/>
            </w:tcBorders>
          </w:tcPr>
          <w:p w14:paraId="6100C5BA"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Antígeno</w:t>
            </w:r>
            <w:r>
              <w:rPr>
                <w:rFonts w:ascii="Arial" w:eastAsia="Times New Roman" w:hAnsi="Arial" w:cs="Arial"/>
                <w:spacing w:val="-12"/>
                <w:sz w:val="12"/>
                <w:szCs w:val="12"/>
                <w:lang w:val="es-ES"/>
              </w:rPr>
              <w:t xml:space="preserve"> </w:t>
            </w:r>
            <w:r>
              <w:rPr>
                <w:rFonts w:ascii="Arial" w:eastAsia="Times New Roman" w:hAnsi="Arial" w:cs="Arial"/>
                <w:sz w:val="12"/>
                <w:szCs w:val="12"/>
                <w:lang w:val="es-ES"/>
              </w:rPr>
              <w:t>Carcinoembrionario</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CA</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19-</w:t>
            </w:r>
            <w:r>
              <w:rPr>
                <w:rFonts w:ascii="Arial" w:eastAsia="Times New Roman" w:hAnsi="Arial" w:cs="Arial"/>
                <w:spacing w:val="-10"/>
                <w:sz w:val="12"/>
                <w:szCs w:val="12"/>
                <w:lang w:val="es-ES"/>
              </w:rPr>
              <w:t>9</w:t>
            </w:r>
          </w:p>
        </w:tc>
        <w:tc>
          <w:tcPr>
            <w:tcW w:w="779" w:type="dxa"/>
            <w:tcBorders>
              <w:top w:val="double" w:sz="4" w:space="0" w:color="000000"/>
              <w:left w:val="single" w:sz="4" w:space="0" w:color="000000"/>
              <w:bottom w:val="double" w:sz="4" w:space="0" w:color="000000"/>
              <w:right w:val="single" w:sz="4" w:space="0" w:color="000000"/>
            </w:tcBorders>
            <w:vAlign w:val="center"/>
          </w:tcPr>
          <w:p w14:paraId="75AE641B"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3.00</w:t>
            </w:r>
          </w:p>
        </w:tc>
        <w:tc>
          <w:tcPr>
            <w:tcW w:w="780" w:type="dxa"/>
            <w:tcBorders>
              <w:top w:val="double" w:sz="4" w:space="0" w:color="000000"/>
              <w:left w:val="single" w:sz="4" w:space="0" w:color="000000"/>
              <w:bottom w:val="double" w:sz="4" w:space="0" w:color="000000"/>
              <w:right w:val="single" w:sz="4" w:space="0" w:color="000000"/>
            </w:tcBorders>
            <w:vAlign w:val="center"/>
          </w:tcPr>
          <w:p w14:paraId="3E436375"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2.85</w:t>
            </w:r>
          </w:p>
        </w:tc>
        <w:tc>
          <w:tcPr>
            <w:tcW w:w="781" w:type="dxa"/>
            <w:tcBorders>
              <w:top w:val="double" w:sz="4" w:space="0" w:color="000000"/>
              <w:left w:val="single" w:sz="4" w:space="0" w:color="000000"/>
              <w:bottom w:val="double" w:sz="4" w:space="0" w:color="000000"/>
              <w:right w:val="single" w:sz="4" w:space="0" w:color="000000"/>
            </w:tcBorders>
            <w:vAlign w:val="center"/>
          </w:tcPr>
          <w:p w14:paraId="3A4B5EE3"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2.75</w:t>
            </w:r>
          </w:p>
        </w:tc>
        <w:tc>
          <w:tcPr>
            <w:tcW w:w="779" w:type="dxa"/>
            <w:tcBorders>
              <w:top w:val="double" w:sz="4" w:space="0" w:color="000000"/>
              <w:left w:val="single" w:sz="4" w:space="0" w:color="000000"/>
              <w:bottom w:val="double" w:sz="4" w:space="0" w:color="000000"/>
              <w:right w:val="single" w:sz="4" w:space="0" w:color="000000"/>
            </w:tcBorders>
            <w:vAlign w:val="center"/>
          </w:tcPr>
          <w:p w14:paraId="78840D11"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2.60</w:t>
            </w:r>
          </w:p>
        </w:tc>
        <w:tc>
          <w:tcPr>
            <w:tcW w:w="780" w:type="dxa"/>
            <w:tcBorders>
              <w:top w:val="double" w:sz="4" w:space="0" w:color="000000"/>
              <w:left w:val="single" w:sz="4" w:space="0" w:color="000000"/>
              <w:bottom w:val="double" w:sz="4" w:space="0" w:color="000000"/>
              <w:right w:val="single" w:sz="4" w:space="0" w:color="000000"/>
            </w:tcBorders>
            <w:vAlign w:val="center"/>
          </w:tcPr>
          <w:p w14:paraId="7CF646E0" w14:textId="77777777" w:rsidR="00D3344B" w:rsidRDefault="00143C25">
            <w:pPr>
              <w:widowControl w:val="0"/>
              <w:suppressAutoHyphens w:val="0"/>
              <w:spacing w:before="109" w:after="0" w:line="155" w:lineRule="exact"/>
              <w:jc w:val="center"/>
              <w:rPr>
                <w:rFonts w:ascii="Arial" w:eastAsia="Times New Roman" w:hAnsi="Arial" w:cs="Arial"/>
                <w:sz w:val="12"/>
                <w:szCs w:val="12"/>
                <w:lang w:val="es-ES"/>
              </w:rPr>
            </w:pPr>
            <w:r>
              <w:rPr>
                <w:rFonts w:ascii="Arial" w:eastAsia="Times New Roman" w:hAnsi="Arial" w:cs="Arial"/>
                <w:spacing w:val="-4"/>
                <w:sz w:val="12"/>
                <w:szCs w:val="12"/>
                <w:lang w:val="es-ES"/>
              </w:rPr>
              <w:t>2.45</w:t>
            </w:r>
          </w:p>
        </w:tc>
        <w:tc>
          <w:tcPr>
            <w:tcW w:w="779" w:type="dxa"/>
            <w:tcBorders>
              <w:top w:val="double" w:sz="4" w:space="0" w:color="000000"/>
              <w:left w:val="single" w:sz="4" w:space="0" w:color="000000"/>
              <w:bottom w:val="double" w:sz="4" w:space="0" w:color="000000"/>
              <w:right w:val="single" w:sz="4" w:space="0" w:color="000000"/>
            </w:tcBorders>
            <w:vAlign w:val="center"/>
          </w:tcPr>
          <w:p w14:paraId="0F09E96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FF9E716"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1862EC50" w14:textId="77777777" w:rsidR="00D3344B" w:rsidRDefault="00143C25">
            <w:pPr>
              <w:widowControl w:val="0"/>
              <w:suppressAutoHyphens w:val="0"/>
              <w:spacing w:before="123" w:after="0" w:line="141" w:lineRule="exact"/>
              <w:rPr>
                <w:rFonts w:ascii="Arial" w:eastAsia="Times New Roman" w:hAnsi="Arial" w:cs="Arial"/>
                <w:b/>
                <w:sz w:val="12"/>
                <w:szCs w:val="12"/>
                <w:lang w:val="es-ES"/>
              </w:rPr>
            </w:pPr>
            <w:r>
              <w:rPr>
                <w:rFonts w:ascii="Arial" w:eastAsia="Times New Roman" w:hAnsi="Arial" w:cs="Arial"/>
                <w:b/>
                <w:spacing w:val="-2"/>
                <w:sz w:val="12"/>
                <w:szCs w:val="12"/>
                <w:lang w:val="es-ES"/>
              </w:rPr>
              <w:t>03-AC-</w:t>
            </w:r>
            <w:r>
              <w:rPr>
                <w:rFonts w:ascii="Arial" w:eastAsia="Times New Roman" w:hAnsi="Arial" w:cs="Arial"/>
                <w:b/>
                <w:spacing w:val="-5"/>
                <w:sz w:val="12"/>
                <w:szCs w:val="12"/>
                <w:lang w:val="es-ES"/>
              </w:rPr>
              <w:t>132</w:t>
            </w:r>
          </w:p>
        </w:tc>
        <w:tc>
          <w:tcPr>
            <w:tcW w:w="2977" w:type="dxa"/>
            <w:tcBorders>
              <w:top w:val="double" w:sz="4" w:space="0" w:color="000000"/>
              <w:left w:val="single" w:sz="4" w:space="0" w:color="000000"/>
              <w:bottom w:val="double" w:sz="4" w:space="0" w:color="000000"/>
              <w:right w:val="single" w:sz="4" w:space="0" w:color="000000"/>
            </w:tcBorders>
          </w:tcPr>
          <w:p w14:paraId="2610875D"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z w:val="12"/>
                <w:szCs w:val="12"/>
                <w:lang w:val="es-ES"/>
              </w:rPr>
              <w:t>Prueba</w:t>
            </w:r>
            <w:r>
              <w:rPr>
                <w:rFonts w:ascii="Arial" w:eastAsia="Times New Roman" w:hAnsi="Arial" w:cs="Arial"/>
                <w:b/>
                <w:spacing w:val="-6"/>
                <w:sz w:val="12"/>
                <w:szCs w:val="12"/>
                <w:lang w:val="es-ES"/>
              </w:rPr>
              <w:t xml:space="preserve"> </w:t>
            </w:r>
            <w:r>
              <w:rPr>
                <w:rFonts w:ascii="Arial" w:eastAsia="Times New Roman" w:hAnsi="Arial" w:cs="Arial"/>
                <w:b/>
                <w:sz w:val="12"/>
                <w:szCs w:val="12"/>
                <w:lang w:val="es-ES"/>
              </w:rPr>
              <w:t>rápida</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de</w:t>
            </w:r>
            <w:r>
              <w:rPr>
                <w:rFonts w:ascii="Arial" w:eastAsia="Times New Roman" w:hAnsi="Arial" w:cs="Arial"/>
                <w:b/>
                <w:spacing w:val="-6"/>
                <w:sz w:val="12"/>
                <w:szCs w:val="12"/>
                <w:lang w:val="es-ES"/>
              </w:rPr>
              <w:t xml:space="preserve"> </w:t>
            </w:r>
            <w:r>
              <w:rPr>
                <w:rFonts w:ascii="Arial" w:eastAsia="Times New Roman" w:hAnsi="Arial" w:cs="Arial"/>
                <w:b/>
                <w:sz w:val="12"/>
                <w:szCs w:val="12"/>
                <w:lang w:val="es-ES"/>
              </w:rPr>
              <w:t>Ag</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SARS</w:t>
            </w:r>
            <w:r>
              <w:rPr>
                <w:rFonts w:ascii="Arial" w:eastAsia="Times New Roman" w:hAnsi="Arial" w:cs="Arial"/>
                <w:b/>
                <w:spacing w:val="-8"/>
                <w:sz w:val="12"/>
                <w:szCs w:val="12"/>
                <w:lang w:val="es-ES"/>
              </w:rPr>
              <w:t xml:space="preserve"> </w:t>
            </w:r>
            <w:r>
              <w:rPr>
                <w:rFonts w:ascii="Arial" w:eastAsia="Times New Roman" w:hAnsi="Arial" w:cs="Arial"/>
                <w:b/>
                <w:sz w:val="12"/>
                <w:szCs w:val="12"/>
                <w:lang w:val="es-ES"/>
              </w:rPr>
              <w:t>COV-2</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(COVID-</w:t>
            </w:r>
            <w:r>
              <w:rPr>
                <w:rFonts w:ascii="Arial" w:eastAsia="Times New Roman" w:hAnsi="Arial" w:cs="Arial"/>
                <w:b/>
                <w:spacing w:val="-5"/>
                <w:sz w:val="12"/>
                <w:szCs w:val="12"/>
                <w:lang w:val="es-ES"/>
              </w:rPr>
              <w:t>19)</w:t>
            </w:r>
          </w:p>
        </w:tc>
        <w:tc>
          <w:tcPr>
            <w:tcW w:w="779" w:type="dxa"/>
            <w:tcBorders>
              <w:top w:val="double" w:sz="4" w:space="0" w:color="000000"/>
              <w:left w:val="single" w:sz="4" w:space="0" w:color="000000"/>
              <w:bottom w:val="double" w:sz="4" w:space="0" w:color="000000"/>
              <w:right w:val="single" w:sz="4" w:space="0" w:color="000000"/>
            </w:tcBorders>
            <w:vAlign w:val="center"/>
          </w:tcPr>
          <w:p w14:paraId="6325CD81"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4.40</w:t>
            </w:r>
          </w:p>
        </w:tc>
        <w:tc>
          <w:tcPr>
            <w:tcW w:w="780" w:type="dxa"/>
            <w:tcBorders>
              <w:top w:val="double" w:sz="4" w:space="0" w:color="000000"/>
              <w:left w:val="single" w:sz="4" w:space="0" w:color="000000"/>
              <w:bottom w:val="double" w:sz="4" w:space="0" w:color="000000"/>
              <w:right w:val="single" w:sz="4" w:space="0" w:color="000000"/>
            </w:tcBorders>
            <w:vAlign w:val="center"/>
          </w:tcPr>
          <w:p w14:paraId="3C49BC15"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4.20</w:t>
            </w:r>
          </w:p>
        </w:tc>
        <w:tc>
          <w:tcPr>
            <w:tcW w:w="781" w:type="dxa"/>
            <w:tcBorders>
              <w:top w:val="double" w:sz="4" w:space="0" w:color="000000"/>
              <w:left w:val="single" w:sz="4" w:space="0" w:color="000000"/>
              <w:bottom w:val="double" w:sz="4" w:space="0" w:color="000000"/>
              <w:right w:val="single" w:sz="4" w:space="0" w:color="000000"/>
            </w:tcBorders>
            <w:vAlign w:val="center"/>
          </w:tcPr>
          <w:p w14:paraId="73C152E2"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4.00</w:t>
            </w:r>
          </w:p>
        </w:tc>
        <w:tc>
          <w:tcPr>
            <w:tcW w:w="779" w:type="dxa"/>
            <w:tcBorders>
              <w:top w:val="double" w:sz="4" w:space="0" w:color="000000"/>
              <w:left w:val="single" w:sz="4" w:space="0" w:color="000000"/>
              <w:bottom w:val="double" w:sz="4" w:space="0" w:color="000000"/>
              <w:right w:val="single" w:sz="4" w:space="0" w:color="000000"/>
            </w:tcBorders>
            <w:vAlign w:val="center"/>
          </w:tcPr>
          <w:p w14:paraId="5A959F76"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3.80</w:t>
            </w:r>
          </w:p>
        </w:tc>
        <w:tc>
          <w:tcPr>
            <w:tcW w:w="780" w:type="dxa"/>
            <w:tcBorders>
              <w:top w:val="double" w:sz="4" w:space="0" w:color="000000"/>
              <w:left w:val="single" w:sz="4" w:space="0" w:color="000000"/>
              <w:bottom w:val="double" w:sz="4" w:space="0" w:color="000000"/>
              <w:right w:val="single" w:sz="4" w:space="0" w:color="000000"/>
            </w:tcBorders>
            <w:vAlign w:val="center"/>
          </w:tcPr>
          <w:p w14:paraId="39135958"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3.60</w:t>
            </w:r>
          </w:p>
        </w:tc>
        <w:tc>
          <w:tcPr>
            <w:tcW w:w="779" w:type="dxa"/>
            <w:tcBorders>
              <w:top w:val="double" w:sz="4" w:space="0" w:color="000000"/>
              <w:left w:val="single" w:sz="4" w:space="0" w:color="000000"/>
              <w:bottom w:val="double" w:sz="4" w:space="0" w:color="000000"/>
              <w:right w:val="single" w:sz="4" w:space="0" w:color="000000"/>
            </w:tcBorders>
            <w:vAlign w:val="center"/>
          </w:tcPr>
          <w:p w14:paraId="365758E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71FD3A9" w14:textId="77777777">
        <w:trPr>
          <w:trHeight w:val="481"/>
        </w:trPr>
        <w:tc>
          <w:tcPr>
            <w:tcW w:w="1106" w:type="dxa"/>
            <w:tcBorders>
              <w:top w:val="double" w:sz="4" w:space="0" w:color="000000"/>
              <w:left w:val="single" w:sz="4" w:space="0" w:color="000000"/>
              <w:bottom w:val="double" w:sz="4" w:space="0" w:color="000000"/>
              <w:right w:val="single" w:sz="4" w:space="0" w:color="000000"/>
            </w:tcBorders>
          </w:tcPr>
          <w:p w14:paraId="4123230A" w14:textId="77777777" w:rsidR="00D3344B" w:rsidRDefault="00143C25">
            <w:pPr>
              <w:widowControl w:val="0"/>
              <w:suppressAutoHyphens w:val="0"/>
              <w:spacing w:after="0" w:line="240" w:lineRule="auto"/>
              <w:rPr>
                <w:rFonts w:ascii="Arial" w:eastAsia="Times New Roman" w:hAnsi="Arial" w:cs="Arial"/>
                <w:b/>
                <w:sz w:val="12"/>
                <w:szCs w:val="12"/>
                <w:lang w:val="es-ES"/>
              </w:rPr>
            </w:pPr>
            <w:r>
              <w:rPr>
                <w:rFonts w:ascii="Arial" w:eastAsia="Times New Roman" w:hAnsi="Arial" w:cs="Arial"/>
                <w:sz w:val="12"/>
                <w:szCs w:val="12"/>
                <w:lang w:val="es-ES"/>
              </w:rPr>
              <w:t xml:space="preserve"> </w:t>
            </w:r>
            <w:r>
              <w:rPr>
                <w:rFonts w:ascii="Arial" w:eastAsia="Times New Roman" w:hAnsi="Arial" w:cs="Arial"/>
                <w:b/>
                <w:spacing w:val="-2"/>
                <w:sz w:val="12"/>
                <w:szCs w:val="12"/>
                <w:lang w:val="es-ES"/>
              </w:rPr>
              <w:t>03-CB-</w:t>
            </w:r>
            <w:r>
              <w:rPr>
                <w:rFonts w:ascii="Arial" w:eastAsia="Times New Roman" w:hAnsi="Arial" w:cs="Arial"/>
                <w:b/>
                <w:spacing w:val="-5"/>
                <w:sz w:val="12"/>
                <w:szCs w:val="12"/>
                <w:lang w:val="es-ES"/>
              </w:rPr>
              <w:t>042</w:t>
            </w:r>
          </w:p>
        </w:tc>
        <w:tc>
          <w:tcPr>
            <w:tcW w:w="2977" w:type="dxa"/>
            <w:tcBorders>
              <w:top w:val="double" w:sz="4" w:space="0" w:color="000000"/>
              <w:left w:val="single" w:sz="4" w:space="0" w:color="000000"/>
              <w:bottom w:val="double" w:sz="4" w:space="0" w:color="000000"/>
              <w:right w:val="single" w:sz="4" w:space="0" w:color="000000"/>
            </w:tcBorders>
          </w:tcPr>
          <w:p w14:paraId="7C040D9F" w14:textId="77777777" w:rsidR="00D3344B" w:rsidRDefault="00143C25">
            <w:pPr>
              <w:widowControl w:val="0"/>
              <w:suppressAutoHyphens w:val="0"/>
              <w:spacing w:before="133" w:after="0" w:line="143" w:lineRule="exact"/>
              <w:rPr>
                <w:rFonts w:ascii="Arial" w:eastAsia="Times New Roman" w:hAnsi="Arial" w:cs="Arial"/>
                <w:b/>
                <w:sz w:val="12"/>
                <w:szCs w:val="12"/>
                <w:lang w:val="es-ES"/>
              </w:rPr>
            </w:pPr>
            <w:r>
              <w:rPr>
                <w:rFonts w:ascii="Arial" w:eastAsia="Times New Roman" w:hAnsi="Arial" w:cs="Arial"/>
                <w:sz w:val="12"/>
                <w:szCs w:val="12"/>
                <w:lang w:val="es-ES"/>
              </w:rPr>
              <w:t xml:space="preserve"> </w:t>
            </w:r>
            <w:r>
              <w:rPr>
                <w:rFonts w:ascii="Arial" w:eastAsia="Times New Roman" w:hAnsi="Arial" w:cs="Arial"/>
                <w:b/>
                <w:sz w:val="12"/>
                <w:szCs w:val="12"/>
                <w:lang w:val="es-ES"/>
              </w:rPr>
              <w:t>Examen</w:t>
            </w:r>
            <w:r>
              <w:rPr>
                <w:rFonts w:ascii="Arial" w:eastAsia="Times New Roman" w:hAnsi="Arial" w:cs="Arial"/>
                <w:b/>
                <w:spacing w:val="-8"/>
                <w:sz w:val="12"/>
                <w:szCs w:val="12"/>
                <w:lang w:val="es-ES"/>
              </w:rPr>
              <w:t xml:space="preserve"> </w:t>
            </w:r>
            <w:r>
              <w:rPr>
                <w:rFonts w:ascii="Arial" w:eastAsia="Times New Roman" w:hAnsi="Arial" w:cs="Arial"/>
                <w:b/>
                <w:sz w:val="12"/>
                <w:szCs w:val="12"/>
                <w:lang w:val="es-ES"/>
              </w:rPr>
              <w:t>en</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fresco</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para</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la</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búsqueda</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de</w:t>
            </w:r>
            <w:r>
              <w:rPr>
                <w:rFonts w:ascii="Arial" w:eastAsia="Times New Roman" w:hAnsi="Arial" w:cs="Arial"/>
                <w:b/>
                <w:spacing w:val="-3"/>
                <w:sz w:val="12"/>
                <w:szCs w:val="12"/>
                <w:lang w:val="es-ES"/>
              </w:rPr>
              <w:t xml:space="preserve"> </w:t>
            </w:r>
            <w:r>
              <w:rPr>
                <w:rFonts w:ascii="Arial" w:eastAsia="Times New Roman" w:hAnsi="Arial" w:cs="Arial"/>
                <w:b/>
                <w:sz w:val="12"/>
                <w:szCs w:val="12"/>
                <w:lang w:val="es-ES"/>
              </w:rPr>
              <w:t>hongos</w:t>
            </w:r>
            <w:r>
              <w:rPr>
                <w:rFonts w:ascii="Arial" w:eastAsia="Times New Roman" w:hAnsi="Arial" w:cs="Arial"/>
                <w:b/>
                <w:spacing w:val="-4"/>
                <w:sz w:val="12"/>
                <w:szCs w:val="12"/>
                <w:lang w:val="es-ES"/>
              </w:rPr>
              <w:t xml:space="preserve"> (KOH)</w:t>
            </w:r>
          </w:p>
        </w:tc>
        <w:tc>
          <w:tcPr>
            <w:tcW w:w="779" w:type="dxa"/>
            <w:tcBorders>
              <w:top w:val="double" w:sz="4" w:space="0" w:color="000000"/>
              <w:left w:val="single" w:sz="4" w:space="0" w:color="000000"/>
              <w:bottom w:val="double" w:sz="4" w:space="0" w:color="000000"/>
              <w:right w:val="single" w:sz="4" w:space="0" w:color="000000"/>
            </w:tcBorders>
            <w:vAlign w:val="center"/>
          </w:tcPr>
          <w:p w14:paraId="428B888B" w14:textId="77777777" w:rsidR="00D3344B" w:rsidRDefault="00143C25">
            <w:pPr>
              <w:widowControl w:val="0"/>
              <w:suppressAutoHyphens w:val="0"/>
              <w:spacing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7E021907" w14:textId="77777777" w:rsidR="00D3344B" w:rsidRDefault="00143C25">
            <w:pPr>
              <w:widowControl w:val="0"/>
              <w:suppressAutoHyphens w:val="0"/>
              <w:spacing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31872E42" w14:textId="77777777" w:rsidR="00D3344B" w:rsidRDefault="00143C25">
            <w:pPr>
              <w:widowControl w:val="0"/>
              <w:suppressAutoHyphens w:val="0"/>
              <w:spacing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2A06789D" w14:textId="77777777" w:rsidR="00D3344B" w:rsidRDefault="00143C25">
            <w:pPr>
              <w:widowControl w:val="0"/>
              <w:suppressAutoHyphens w:val="0"/>
              <w:spacing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554DE252" w14:textId="77777777" w:rsidR="00D3344B" w:rsidRDefault="00143C25">
            <w:pPr>
              <w:widowControl w:val="0"/>
              <w:suppressAutoHyphens w:val="0"/>
              <w:spacing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27F041F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661888C"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B07CAF2"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pacing w:val="-2"/>
                <w:sz w:val="12"/>
                <w:szCs w:val="12"/>
                <w:lang w:val="es-ES"/>
              </w:rPr>
              <w:lastRenderedPageBreak/>
              <w:t>03-CB-</w:t>
            </w:r>
            <w:r>
              <w:rPr>
                <w:rFonts w:ascii="Arial" w:eastAsia="Times New Roman" w:hAnsi="Arial" w:cs="Arial"/>
                <w:b/>
                <w:spacing w:val="-5"/>
                <w:sz w:val="12"/>
                <w:szCs w:val="12"/>
                <w:lang w:val="es-ES"/>
              </w:rPr>
              <w:t>043</w:t>
            </w:r>
          </w:p>
        </w:tc>
        <w:tc>
          <w:tcPr>
            <w:tcW w:w="2977" w:type="dxa"/>
            <w:tcBorders>
              <w:top w:val="double" w:sz="4" w:space="0" w:color="000000"/>
              <w:left w:val="single" w:sz="4" w:space="0" w:color="000000"/>
              <w:bottom w:val="double" w:sz="4" w:space="0" w:color="000000"/>
              <w:right w:val="single" w:sz="4" w:space="0" w:color="000000"/>
            </w:tcBorders>
          </w:tcPr>
          <w:p w14:paraId="65016381" w14:textId="77777777" w:rsidR="00D3344B" w:rsidRDefault="00143C25">
            <w:pPr>
              <w:widowControl w:val="0"/>
              <w:suppressAutoHyphens w:val="0"/>
              <w:spacing w:before="121" w:after="0" w:line="143" w:lineRule="exact"/>
              <w:rPr>
                <w:rFonts w:ascii="Arial" w:eastAsia="Times New Roman" w:hAnsi="Arial" w:cs="Arial"/>
                <w:b/>
                <w:sz w:val="12"/>
                <w:szCs w:val="12"/>
                <w:lang w:val="es-ES"/>
              </w:rPr>
            </w:pPr>
            <w:r>
              <w:rPr>
                <w:rFonts w:ascii="Arial" w:eastAsia="Times New Roman" w:hAnsi="Arial" w:cs="Arial"/>
                <w:b/>
                <w:sz w:val="12"/>
                <w:szCs w:val="12"/>
                <w:lang w:val="es-ES"/>
              </w:rPr>
              <w:t>Tinción</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de</w:t>
            </w:r>
            <w:r>
              <w:rPr>
                <w:rFonts w:ascii="Arial" w:eastAsia="Times New Roman" w:hAnsi="Arial" w:cs="Arial"/>
                <w:b/>
                <w:spacing w:val="-3"/>
                <w:sz w:val="12"/>
                <w:szCs w:val="12"/>
                <w:lang w:val="es-ES"/>
              </w:rPr>
              <w:t xml:space="preserve"> </w:t>
            </w:r>
            <w:r>
              <w:rPr>
                <w:rFonts w:ascii="Arial" w:eastAsia="Times New Roman" w:hAnsi="Arial" w:cs="Arial"/>
                <w:b/>
                <w:sz w:val="12"/>
                <w:szCs w:val="12"/>
                <w:lang w:val="es-ES"/>
              </w:rPr>
              <w:t>tinta</w:t>
            </w:r>
            <w:r>
              <w:rPr>
                <w:rFonts w:ascii="Arial" w:eastAsia="Times New Roman" w:hAnsi="Arial" w:cs="Arial"/>
                <w:b/>
                <w:spacing w:val="-4"/>
                <w:sz w:val="12"/>
                <w:szCs w:val="12"/>
                <w:lang w:val="es-ES"/>
              </w:rPr>
              <w:t xml:space="preserve"> </w:t>
            </w:r>
            <w:r>
              <w:rPr>
                <w:rFonts w:ascii="Arial" w:eastAsia="Times New Roman" w:hAnsi="Arial" w:cs="Arial"/>
                <w:b/>
                <w:spacing w:val="-2"/>
                <w:sz w:val="12"/>
                <w:szCs w:val="12"/>
                <w:lang w:val="es-ES"/>
              </w:rPr>
              <w:t>china</w:t>
            </w:r>
          </w:p>
        </w:tc>
        <w:tc>
          <w:tcPr>
            <w:tcW w:w="779" w:type="dxa"/>
            <w:tcBorders>
              <w:top w:val="double" w:sz="4" w:space="0" w:color="000000"/>
              <w:left w:val="single" w:sz="4" w:space="0" w:color="000000"/>
              <w:bottom w:val="double" w:sz="4" w:space="0" w:color="000000"/>
              <w:right w:val="single" w:sz="4" w:space="0" w:color="000000"/>
            </w:tcBorders>
            <w:vAlign w:val="center"/>
          </w:tcPr>
          <w:p w14:paraId="0153318C" w14:textId="77777777" w:rsidR="00D3344B" w:rsidRDefault="00143C25">
            <w:pPr>
              <w:widowControl w:val="0"/>
              <w:suppressAutoHyphens w:val="0"/>
              <w:spacing w:before="109"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1.10</w:t>
            </w:r>
          </w:p>
        </w:tc>
        <w:tc>
          <w:tcPr>
            <w:tcW w:w="780" w:type="dxa"/>
            <w:tcBorders>
              <w:top w:val="double" w:sz="4" w:space="0" w:color="000000"/>
              <w:left w:val="single" w:sz="4" w:space="0" w:color="000000"/>
              <w:bottom w:val="double" w:sz="4" w:space="0" w:color="000000"/>
              <w:right w:val="single" w:sz="4" w:space="0" w:color="000000"/>
            </w:tcBorders>
            <w:vAlign w:val="center"/>
          </w:tcPr>
          <w:p w14:paraId="6FA067A0" w14:textId="77777777" w:rsidR="00D3344B" w:rsidRDefault="00143C25">
            <w:pPr>
              <w:widowControl w:val="0"/>
              <w:suppressAutoHyphens w:val="0"/>
              <w:spacing w:before="109"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0.90</w:t>
            </w:r>
          </w:p>
        </w:tc>
        <w:tc>
          <w:tcPr>
            <w:tcW w:w="781" w:type="dxa"/>
            <w:tcBorders>
              <w:top w:val="double" w:sz="4" w:space="0" w:color="000000"/>
              <w:left w:val="single" w:sz="4" w:space="0" w:color="000000"/>
              <w:bottom w:val="double" w:sz="4" w:space="0" w:color="000000"/>
              <w:right w:val="single" w:sz="4" w:space="0" w:color="000000"/>
            </w:tcBorders>
            <w:vAlign w:val="center"/>
          </w:tcPr>
          <w:p w14:paraId="77B465ED" w14:textId="77777777" w:rsidR="00D3344B" w:rsidRDefault="00143C25">
            <w:pPr>
              <w:widowControl w:val="0"/>
              <w:suppressAutoHyphens w:val="0"/>
              <w:spacing w:before="109"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5EB723C4" w14:textId="77777777" w:rsidR="00D3344B" w:rsidRDefault="00143C25">
            <w:pPr>
              <w:widowControl w:val="0"/>
              <w:suppressAutoHyphens w:val="0"/>
              <w:spacing w:before="109"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0.65</w:t>
            </w:r>
          </w:p>
        </w:tc>
        <w:tc>
          <w:tcPr>
            <w:tcW w:w="780" w:type="dxa"/>
            <w:tcBorders>
              <w:top w:val="double" w:sz="4" w:space="0" w:color="000000"/>
              <w:left w:val="single" w:sz="4" w:space="0" w:color="000000"/>
              <w:bottom w:val="double" w:sz="4" w:space="0" w:color="000000"/>
              <w:right w:val="single" w:sz="4" w:space="0" w:color="000000"/>
            </w:tcBorders>
            <w:vAlign w:val="center"/>
          </w:tcPr>
          <w:p w14:paraId="32E3FAFC" w14:textId="77777777" w:rsidR="00D3344B" w:rsidRDefault="00143C25">
            <w:pPr>
              <w:widowControl w:val="0"/>
              <w:suppressAutoHyphens w:val="0"/>
              <w:spacing w:before="109"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0.50</w:t>
            </w:r>
          </w:p>
        </w:tc>
        <w:tc>
          <w:tcPr>
            <w:tcW w:w="779" w:type="dxa"/>
            <w:tcBorders>
              <w:top w:val="double" w:sz="4" w:space="0" w:color="000000"/>
              <w:left w:val="single" w:sz="4" w:space="0" w:color="000000"/>
              <w:bottom w:val="double" w:sz="4" w:space="0" w:color="000000"/>
              <w:right w:val="single" w:sz="4" w:space="0" w:color="000000"/>
            </w:tcBorders>
            <w:vAlign w:val="center"/>
          </w:tcPr>
          <w:p w14:paraId="6F2054C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3B293FD7"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6C0417F"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pacing w:val="-2"/>
                <w:sz w:val="12"/>
                <w:szCs w:val="12"/>
                <w:lang w:val="es-ES"/>
              </w:rPr>
              <w:t>03-AC-</w:t>
            </w:r>
            <w:r>
              <w:rPr>
                <w:rFonts w:ascii="Arial" w:eastAsia="Times New Roman" w:hAnsi="Arial" w:cs="Arial"/>
                <w:b/>
                <w:spacing w:val="-5"/>
                <w:sz w:val="12"/>
                <w:szCs w:val="12"/>
                <w:lang w:val="es-ES"/>
              </w:rPr>
              <w:t>133</w:t>
            </w:r>
          </w:p>
        </w:tc>
        <w:tc>
          <w:tcPr>
            <w:tcW w:w="2977" w:type="dxa"/>
            <w:tcBorders>
              <w:top w:val="double" w:sz="4" w:space="0" w:color="000000"/>
              <w:left w:val="single" w:sz="4" w:space="0" w:color="000000"/>
              <w:bottom w:val="double" w:sz="4" w:space="0" w:color="000000"/>
              <w:right w:val="single" w:sz="4" w:space="0" w:color="000000"/>
            </w:tcBorders>
          </w:tcPr>
          <w:p w14:paraId="389D686C"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proofErr w:type="spellStart"/>
            <w:r>
              <w:rPr>
                <w:rFonts w:ascii="Arial" w:eastAsia="Times New Roman" w:hAnsi="Arial" w:cs="Arial"/>
                <w:b/>
                <w:sz w:val="12"/>
                <w:szCs w:val="12"/>
                <w:lang w:val="es-ES"/>
              </w:rPr>
              <w:t>Coproparasitoscopico</w:t>
            </w:r>
            <w:proofErr w:type="spellEnd"/>
            <w:r>
              <w:rPr>
                <w:rFonts w:ascii="Arial" w:eastAsia="Times New Roman" w:hAnsi="Arial" w:cs="Arial"/>
                <w:b/>
                <w:spacing w:val="-10"/>
                <w:sz w:val="12"/>
                <w:szCs w:val="12"/>
                <w:lang w:val="es-ES"/>
              </w:rPr>
              <w:t xml:space="preserve"> </w:t>
            </w:r>
            <w:r>
              <w:rPr>
                <w:rFonts w:ascii="Arial" w:eastAsia="Times New Roman" w:hAnsi="Arial" w:cs="Arial"/>
                <w:b/>
                <w:sz w:val="12"/>
                <w:szCs w:val="12"/>
                <w:lang w:val="es-ES"/>
              </w:rPr>
              <w:t>seriado</w:t>
            </w:r>
            <w:r>
              <w:rPr>
                <w:rFonts w:ascii="Arial" w:eastAsia="Times New Roman" w:hAnsi="Arial" w:cs="Arial"/>
                <w:b/>
                <w:spacing w:val="-6"/>
                <w:sz w:val="12"/>
                <w:szCs w:val="12"/>
                <w:lang w:val="es-ES"/>
              </w:rPr>
              <w:t xml:space="preserve"> </w:t>
            </w:r>
            <w:r>
              <w:rPr>
                <w:rFonts w:ascii="Arial" w:eastAsia="Times New Roman" w:hAnsi="Arial" w:cs="Arial"/>
                <w:b/>
                <w:sz w:val="12"/>
                <w:szCs w:val="12"/>
                <w:lang w:val="es-ES"/>
              </w:rPr>
              <w:t>X</w:t>
            </w:r>
            <w:r>
              <w:rPr>
                <w:rFonts w:ascii="Arial" w:eastAsia="Times New Roman" w:hAnsi="Arial" w:cs="Arial"/>
                <w:b/>
                <w:spacing w:val="-8"/>
                <w:sz w:val="12"/>
                <w:szCs w:val="12"/>
                <w:lang w:val="es-ES"/>
              </w:rPr>
              <w:t xml:space="preserve"> </w:t>
            </w:r>
            <w:r>
              <w:rPr>
                <w:rFonts w:ascii="Arial" w:eastAsia="Times New Roman" w:hAnsi="Arial" w:cs="Arial"/>
                <w:b/>
                <w:sz w:val="12"/>
                <w:szCs w:val="12"/>
                <w:lang w:val="es-ES"/>
              </w:rPr>
              <w:t>1</w:t>
            </w:r>
            <w:r>
              <w:rPr>
                <w:rFonts w:ascii="Arial" w:eastAsia="Times New Roman" w:hAnsi="Arial" w:cs="Arial"/>
                <w:b/>
                <w:spacing w:val="-5"/>
                <w:sz w:val="12"/>
                <w:szCs w:val="12"/>
                <w:lang w:val="es-ES"/>
              </w:rPr>
              <w:t xml:space="preserve"> </w:t>
            </w:r>
            <w:r>
              <w:rPr>
                <w:rFonts w:ascii="Arial" w:eastAsia="Times New Roman" w:hAnsi="Arial" w:cs="Arial"/>
                <w:b/>
                <w:spacing w:val="-10"/>
                <w:sz w:val="12"/>
                <w:szCs w:val="12"/>
                <w:lang w:val="es-ES"/>
              </w:rPr>
              <w:t>M</w:t>
            </w:r>
          </w:p>
        </w:tc>
        <w:tc>
          <w:tcPr>
            <w:tcW w:w="779" w:type="dxa"/>
            <w:tcBorders>
              <w:top w:val="double" w:sz="4" w:space="0" w:color="000000"/>
              <w:left w:val="single" w:sz="4" w:space="0" w:color="000000"/>
              <w:bottom w:val="double" w:sz="4" w:space="0" w:color="000000"/>
              <w:right w:val="single" w:sz="4" w:space="0" w:color="000000"/>
            </w:tcBorders>
            <w:vAlign w:val="center"/>
          </w:tcPr>
          <w:p w14:paraId="09BBD56C"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0.55</w:t>
            </w:r>
          </w:p>
        </w:tc>
        <w:tc>
          <w:tcPr>
            <w:tcW w:w="780" w:type="dxa"/>
            <w:tcBorders>
              <w:top w:val="double" w:sz="4" w:space="0" w:color="000000"/>
              <w:left w:val="single" w:sz="4" w:space="0" w:color="000000"/>
              <w:bottom w:val="double" w:sz="4" w:space="0" w:color="000000"/>
              <w:right w:val="single" w:sz="4" w:space="0" w:color="000000"/>
            </w:tcBorders>
            <w:vAlign w:val="center"/>
          </w:tcPr>
          <w:p w14:paraId="05F75014"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0.50</w:t>
            </w:r>
          </w:p>
        </w:tc>
        <w:tc>
          <w:tcPr>
            <w:tcW w:w="781" w:type="dxa"/>
            <w:tcBorders>
              <w:top w:val="double" w:sz="4" w:space="0" w:color="000000"/>
              <w:left w:val="single" w:sz="4" w:space="0" w:color="000000"/>
              <w:bottom w:val="double" w:sz="4" w:space="0" w:color="000000"/>
              <w:right w:val="single" w:sz="4" w:space="0" w:color="000000"/>
            </w:tcBorders>
            <w:vAlign w:val="center"/>
          </w:tcPr>
          <w:p w14:paraId="7BC7B972"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0.45</w:t>
            </w:r>
          </w:p>
        </w:tc>
        <w:tc>
          <w:tcPr>
            <w:tcW w:w="779" w:type="dxa"/>
            <w:tcBorders>
              <w:top w:val="double" w:sz="4" w:space="0" w:color="000000"/>
              <w:left w:val="single" w:sz="4" w:space="0" w:color="000000"/>
              <w:bottom w:val="double" w:sz="4" w:space="0" w:color="000000"/>
              <w:right w:val="single" w:sz="4" w:space="0" w:color="000000"/>
            </w:tcBorders>
            <w:vAlign w:val="center"/>
          </w:tcPr>
          <w:p w14:paraId="382254BC"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0.40</w:t>
            </w:r>
          </w:p>
        </w:tc>
        <w:tc>
          <w:tcPr>
            <w:tcW w:w="780" w:type="dxa"/>
            <w:tcBorders>
              <w:top w:val="double" w:sz="4" w:space="0" w:color="000000"/>
              <w:left w:val="single" w:sz="4" w:space="0" w:color="000000"/>
              <w:bottom w:val="double" w:sz="4" w:space="0" w:color="000000"/>
              <w:right w:val="single" w:sz="4" w:space="0" w:color="000000"/>
            </w:tcBorders>
            <w:vAlign w:val="center"/>
          </w:tcPr>
          <w:p w14:paraId="18196FC4"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0.35</w:t>
            </w:r>
          </w:p>
        </w:tc>
        <w:tc>
          <w:tcPr>
            <w:tcW w:w="779" w:type="dxa"/>
            <w:tcBorders>
              <w:top w:val="double" w:sz="4" w:space="0" w:color="000000"/>
              <w:left w:val="single" w:sz="4" w:space="0" w:color="000000"/>
              <w:bottom w:val="double" w:sz="4" w:space="0" w:color="000000"/>
              <w:right w:val="single" w:sz="4" w:space="0" w:color="000000"/>
            </w:tcBorders>
            <w:vAlign w:val="center"/>
          </w:tcPr>
          <w:p w14:paraId="22E15FE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157863BC"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3882FEE9"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pacing w:val="-2"/>
                <w:sz w:val="12"/>
                <w:szCs w:val="12"/>
                <w:lang w:val="es-ES"/>
              </w:rPr>
              <w:t>03-AC-</w:t>
            </w:r>
            <w:r>
              <w:rPr>
                <w:rFonts w:ascii="Arial" w:eastAsia="Times New Roman" w:hAnsi="Arial" w:cs="Arial"/>
                <w:b/>
                <w:spacing w:val="-5"/>
                <w:sz w:val="12"/>
                <w:szCs w:val="12"/>
                <w:lang w:val="es-ES"/>
              </w:rPr>
              <w:t>134</w:t>
            </w:r>
          </w:p>
        </w:tc>
        <w:tc>
          <w:tcPr>
            <w:tcW w:w="2977" w:type="dxa"/>
            <w:tcBorders>
              <w:top w:val="double" w:sz="4" w:space="0" w:color="000000"/>
              <w:left w:val="single" w:sz="4" w:space="0" w:color="000000"/>
              <w:bottom w:val="double" w:sz="4" w:space="0" w:color="000000"/>
              <w:right w:val="single" w:sz="4" w:space="0" w:color="000000"/>
            </w:tcBorders>
          </w:tcPr>
          <w:p w14:paraId="147A0863"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proofErr w:type="spellStart"/>
            <w:r>
              <w:rPr>
                <w:rFonts w:ascii="Arial" w:eastAsia="Times New Roman" w:hAnsi="Arial" w:cs="Arial"/>
                <w:b/>
                <w:sz w:val="12"/>
                <w:szCs w:val="12"/>
                <w:lang w:val="es-ES"/>
              </w:rPr>
              <w:t>Coproparasitoscopico</w:t>
            </w:r>
            <w:proofErr w:type="spellEnd"/>
            <w:r>
              <w:rPr>
                <w:rFonts w:ascii="Arial" w:eastAsia="Times New Roman" w:hAnsi="Arial" w:cs="Arial"/>
                <w:b/>
                <w:spacing w:val="-10"/>
                <w:sz w:val="12"/>
                <w:szCs w:val="12"/>
                <w:lang w:val="es-ES"/>
              </w:rPr>
              <w:t xml:space="preserve"> </w:t>
            </w:r>
            <w:r>
              <w:rPr>
                <w:rFonts w:ascii="Arial" w:eastAsia="Times New Roman" w:hAnsi="Arial" w:cs="Arial"/>
                <w:b/>
                <w:sz w:val="12"/>
                <w:szCs w:val="12"/>
                <w:lang w:val="es-ES"/>
              </w:rPr>
              <w:t>seriado</w:t>
            </w:r>
            <w:r>
              <w:rPr>
                <w:rFonts w:ascii="Arial" w:eastAsia="Times New Roman" w:hAnsi="Arial" w:cs="Arial"/>
                <w:b/>
                <w:spacing w:val="-6"/>
                <w:sz w:val="12"/>
                <w:szCs w:val="12"/>
                <w:lang w:val="es-ES"/>
              </w:rPr>
              <w:t xml:space="preserve"> </w:t>
            </w:r>
            <w:r>
              <w:rPr>
                <w:rFonts w:ascii="Arial" w:eastAsia="Times New Roman" w:hAnsi="Arial" w:cs="Arial"/>
                <w:b/>
                <w:sz w:val="12"/>
                <w:szCs w:val="12"/>
                <w:lang w:val="es-ES"/>
              </w:rPr>
              <w:t>X</w:t>
            </w:r>
            <w:r>
              <w:rPr>
                <w:rFonts w:ascii="Arial" w:eastAsia="Times New Roman" w:hAnsi="Arial" w:cs="Arial"/>
                <w:b/>
                <w:spacing w:val="-8"/>
                <w:sz w:val="12"/>
                <w:szCs w:val="12"/>
                <w:lang w:val="es-ES"/>
              </w:rPr>
              <w:t xml:space="preserve"> </w:t>
            </w:r>
            <w:r>
              <w:rPr>
                <w:rFonts w:ascii="Arial" w:eastAsia="Times New Roman" w:hAnsi="Arial" w:cs="Arial"/>
                <w:b/>
                <w:sz w:val="12"/>
                <w:szCs w:val="12"/>
                <w:lang w:val="es-ES"/>
              </w:rPr>
              <w:t>2</w:t>
            </w:r>
            <w:r>
              <w:rPr>
                <w:rFonts w:ascii="Arial" w:eastAsia="Times New Roman" w:hAnsi="Arial" w:cs="Arial"/>
                <w:b/>
                <w:spacing w:val="-5"/>
                <w:sz w:val="12"/>
                <w:szCs w:val="12"/>
                <w:lang w:val="es-ES"/>
              </w:rPr>
              <w:t xml:space="preserve"> </w:t>
            </w:r>
            <w:r>
              <w:rPr>
                <w:rFonts w:ascii="Arial" w:eastAsia="Times New Roman" w:hAnsi="Arial" w:cs="Arial"/>
                <w:b/>
                <w:spacing w:val="-10"/>
                <w:sz w:val="12"/>
                <w:szCs w:val="12"/>
                <w:lang w:val="es-ES"/>
              </w:rPr>
              <w:t>M</w:t>
            </w:r>
          </w:p>
        </w:tc>
        <w:tc>
          <w:tcPr>
            <w:tcW w:w="779" w:type="dxa"/>
            <w:tcBorders>
              <w:top w:val="double" w:sz="4" w:space="0" w:color="000000"/>
              <w:left w:val="single" w:sz="4" w:space="0" w:color="000000"/>
              <w:bottom w:val="double" w:sz="4" w:space="0" w:color="000000"/>
              <w:right w:val="single" w:sz="4" w:space="0" w:color="000000"/>
            </w:tcBorders>
            <w:vAlign w:val="center"/>
          </w:tcPr>
          <w:p w14:paraId="28A08C57"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0.90</w:t>
            </w:r>
          </w:p>
        </w:tc>
        <w:tc>
          <w:tcPr>
            <w:tcW w:w="780" w:type="dxa"/>
            <w:tcBorders>
              <w:top w:val="double" w:sz="4" w:space="0" w:color="000000"/>
              <w:left w:val="single" w:sz="4" w:space="0" w:color="000000"/>
              <w:bottom w:val="double" w:sz="4" w:space="0" w:color="000000"/>
              <w:right w:val="single" w:sz="4" w:space="0" w:color="000000"/>
            </w:tcBorders>
            <w:vAlign w:val="center"/>
          </w:tcPr>
          <w:p w14:paraId="3234BF4C"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0.85</w:t>
            </w:r>
          </w:p>
        </w:tc>
        <w:tc>
          <w:tcPr>
            <w:tcW w:w="781" w:type="dxa"/>
            <w:tcBorders>
              <w:top w:val="double" w:sz="4" w:space="0" w:color="000000"/>
              <w:left w:val="single" w:sz="4" w:space="0" w:color="000000"/>
              <w:bottom w:val="double" w:sz="4" w:space="0" w:color="000000"/>
              <w:right w:val="single" w:sz="4" w:space="0" w:color="000000"/>
            </w:tcBorders>
            <w:vAlign w:val="center"/>
          </w:tcPr>
          <w:p w14:paraId="2C9B8A59"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0.80</w:t>
            </w:r>
          </w:p>
        </w:tc>
        <w:tc>
          <w:tcPr>
            <w:tcW w:w="779" w:type="dxa"/>
            <w:tcBorders>
              <w:top w:val="double" w:sz="4" w:space="0" w:color="000000"/>
              <w:left w:val="single" w:sz="4" w:space="0" w:color="000000"/>
              <w:bottom w:val="double" w:sz="4" w:space="0" w:color="000000"/>
              <w:right w:val="single" w:sz="4" w:space="0" w:color="000000"/>
            </w:tcBorders>
            <w:vAlign w:val="center"/>
          </w:tcPr>
          <w:p w14:paraId="66173399"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0.75</w:t>
            </w:r>
          </w:p>
        </w:tc>
        <w:tc>
          <w:tcPr>
            <w:tcW w:w="780" w:type="dxa"/>
            <w:tcBorders>
              <w:top w:val="double" w:sz="4" w:space="0" w:color="000000"/>
              <w:left w:val="single" w:sz="4" w:space="0" w:color="000000"/>
              <w:bottom w:val="double" w:sz="4" w:space="0" w:color="000000"/>
              <w:right w:val="single" w:sz="4" w:space="0" w:color="000000"/>
            </w:tcBorders>
            <w:vAlign w:val="center"/>
          </w:tcPr>
          <w:p w14:paraId="2323686C" w14:textId="77777777" w:rsidR="00D3344B" w:rsidRDefault="00143C25">
            <w:pPr>
              <w:widowControl w:val="0"/>
              <w:suppressAutoHyphens w:val="0"/>
              <w:spacing w:before="111" w:after="0" w:line="153"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0.70</w:t>
            </w:r>
          </w:p>
        </w:tc>
        <w:tc>
          <w:tcPr>
            <w:tcW w:w="779" w:type="dxa"/>
            <w:tcBorders>
              <w:top w:val="double" w:sz="4" w:space="0" w:color="000000"/>
              <w:left w:val="single" w:sz="4" w:space="0" w:color="000000"/>
              <w:bottom w:val="double" w:sz="4" w:space="0" w:color="000000"/>
              <w:right w:val="single" w:sz="4" w:space="0" w:color="000000"/>
            </w:tcBorders>
            <w:vAlign w:val="center"/>
          </w:tcPr>
          <w:p w14:paraId="2069CA0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038B641"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4696DA12"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pacing w:val="-2"/>
                <w:sz w:val="12"/>
                <w:szCs w:val="12"/>
                <w:lang w:val="es-ES"/>
              </w:rPr>
              <w:t>03-PAT-</w:t>
            </w:r>
            <w:r>
              <w:rPr>
                <w:rFonts w:ascii="Arial" w:eastAsia="Times New Roman" w:hAnsi="Arial" w:cs="Arial"/>
                <w:b/>
                <w:spacing w:val="-5"/>
                <w:sz w:val="12"/>
                <w:szCs w:val="12"/>
                <w:lang w:val="es-ES"/>
              </w:rPr>
              <w:t>057</w:t>
            </w:r>
          </w:p>
        </w:tc>
        <w:tc>
          <w:tcPr>
            <w:tcW w:w="2977" w:type="dxa"/>
            <w:tcBorders>
              <w:top w:val="double" w:sz="4" w:space="0" w:color="000000"/>
              <w:left w:val="single" w:sz="4" w:space="0" w:color="000000"/>
              <w:bottom w:val="double" w:sz="4" w:space="0" w:color="000000"/>
              <w:right w:val="single" w:sz="4" w:space="0" w:color="000000"/>
            </w:tcBorders>
          </w:tcPr>
          <w:p w14:paraId="2438B5EA" w14:textId="77777777" w:rsidR="00D3344B" w:rsidRDefault="00143C25">
            <w:pPr>
              <w:widowControl w:val="0"/>
              <w:suppressAutoHyphens w:val="0"/>
              <w:spacing w:before="58" w:after="0" w:line="240" w:lineRule="auto"/>
              <w:rPr>
                <w:rFonts w:ascii="Arial" w:eastAsia="Times New Roman" w:hAnsi="Arial" w:cs="Arial"/>
                <w:b/>
                <w:sz w:val="12"/>
                <w:szCs w:val="12"/>
                <w:lang w:val="es-ES"/>
              </w:rPr>
            </w:pPr>
            <w:r>
              <w:rPr>
                <w:rFonts w:ascii="Arial" w:eastAsia="Times New Roman" w:hAnsi="Arial" w:cs="Arial"/>
                <w:b/>
                <w:sz w:val="12"/>
                <w:szCs w:val="12"/>
                <w:lang w:val="es-ES"/>
              </w:rPr>
              <w:t>Pza.</w:t>
            </w:r>
            <w:r>
              <w:rPr>
                <w:rFonts w:ascii="Arial" w:eastAsia="Times New Roman" w:hAnsi="Arial" w:cs="Arial"/>
                <w:b/>
                <w:spacing w:val="-7"/>
                <w:sz w:val="12"/>
                <w:szCs w:val="12"/>
                <w:lang w:val="es-ES"/>
              </w:rPr>
              <w:t xml:space="preserve"> </w:t>
            </w:r>
            <w:r>
              <w:rPr>
                <w:rFonts w:ascii="Arial" w:eastAsia="Times New Roman" w:hAnsi="Arial" w:cs="Arial"/>
                <w:b/>
                <w:sz w:val="12"/>
                <w:szCs w:val="12"/>
                <w:lang w:val="es-ES"/>
              </w:rPr>
              <w:t>quirúrgica</w:t>
            </w:r>
            <w:r>
              <w:rPr>
                <w:rFonts w:ascii="Arial" w:eastAsia="Times New Roman" w:hAnsi="Arial" w:cs="Arial"/>
                <w:b/>
                <w:spacing w:val="-5"/>
                <w:sz w:val="12"/>
                <w:szCs w:val="12"/>
                <w:lang w:val="es-ES"/>
              </w:rPr>
              <w:t xml:space="preserve"> </w:t>
            </w:r>
            <w:r>
              <w:rPr>
                <w:rFonts w:ascii="Arial" w:eastAsia="Times New Roman" w:hAnsi="Arial" w:cs="Arial"/>
                <w:b/>
                <w:sz w:val="12"/>
                <w:szCs w:val="12"/>
                <w:lang w:val="es-ES"/>
              </w:rPr>
              <w:t>grande</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de</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Riñón</w:t>
            </w:r>
            <w:r>
              <w:rPr>
                <w:rFonts w:ascii="Arial" w:eastAsia="Times New Roman" w:hAnsi="Arial" w:cs="Arial"/>
                <w:b/>
                <w:spacing w:val="-4"/>
                <w:sz w:val="12"/>
                <w:szCs w:val="12"/>
                <w:lang w:val="es-ES"/>
              </w:rPr>
              <w:t xml:space="preserve"> </w:t>
            </w:r>
            <w:r>
              <w:rPr>
                <w:rFonts w:ascii="Arial" w:eastAsia="Times New Roman" w:hAnsi="Arial" w:cs="Arial"/>
                <w:b/>
                <w:sz w:val="12"/>
                <w:szCs w:val="12"/>
                <w:lang w:val="es-ES"/>
              </w:rPr>
              <w:t>con</w:t>
            </w:r>
            <w:r>
              <w:rPr>
                <w:rFonts w:ascii="Arial" w:eastAsia="Times New Roman" w:hAnsi="Arial" w:cs="Arial"/>
                <w:b/>
                <w:spacing w:val="-6"/>
                <w:sz w:val="12"/>
                <w:szCs w:val="12"/>
                <w:lang w:val="es-ES"/>
              </w:rPr>
              <w:t xml:space="preserve"> </w:t>
            </w:r>
            <w:r>
              <w:rPr>
                <w:rFonts w:ascii="Arial" w:eastAsia="Times New Roman" w:hAnsi="Arial" w:cs="Arial"/>
                <w:b/>
                <w:spacing w:val="-4"/>
                <w:sz w:val="12"/>
                <w:szCs w:val="12"/>
                <w:lang w:val="es-ES"/>
              </w:rPr>
              <w:t>tumor</w:t>
            </w:r>
          </w:p>
        </w:tc>
        <w:tc>
          <w:tcPr>
            <w:tcW w:w="779" w:type="dxa"/>
            <w:tcBorders>
              <w:top w:val="double" w:sz="4" w:space="0" w:color="000000"/>
              <w:left w:val="single" w:sz="4" w:space="0" w:color="000000"/>
              <w:bottom w:val="double" w:sz="4" w:space="0" w:color="000000"/>
              <w:right w:val="single" w:sz="4" w:space="0" w:color="000000"/>
            </w:tcBorders>
            <w:vAlign w:val="center"/>
          </w:tcPr>
          <w:p w14:paraId="2EA78F86" w14:textId="77777777" w:rsidR="00D3344B" w:rsidRDefault="00143C25">
            <w:pPr>
              <w:widowControl w:val="0"/>
              <w:suppressAutoHyphens w:val="0"/>
              <w:spacing w:before="111" w:after="0" w:line="155"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15.00</w:t>
            </w:r>
          </w:p>
        </w:tc>
        <w:tc>
          <w:tcPr>
            <w:tcW w:w="780" w:type="dxa"/>
            <w:tcBorders>
              <w:top w:val="double" w:sz="4" w:space="0" w:color="000000"/>
              <w:left w:val="single" w:sz="4" w:space="0" w:color="000000"/>
              <w:bottom w:val="double" w:sz="4" w:space="0" w:color="000000"/>
              <w:right w:val="single" w:sz="4" w:space="0" w:color="000000"/>
            </w:tcBorders>
            <w:vAlign w:val="center"/>
          </w:tcPr>
          <w:p w14:paraId="6D39E663" w14:textId="77777777" w:rsidR="00D3344B" w:rsidRDefault="00143C25">
            <w:pPr>
              <w:widowControl w:val="0"/>
              <w:suppressAutoHyphens w:val="0"/>
              <w:spacing w:before="111" w:after="0" w:line="155"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13.50</w:t>
            </w:r>
          </w:p>
        </w:tc>
        <w:tc>
          <w:tcPr>
            <w:tcW w:w="781" w:type="dxa"/>
            <w:tcBorders>
              <w:top w:val="double" w:sz="4" w:space="0" w:color="000000"/>
              <w:left w:val="single" w:sz="4" w:space="0" w:color="000000"/>
              <w:bottom w:val="double" w:sz="4" w:space="0" w:color="000000"/>
              <w:right w:val="single" w:sz="4" w:space="0" w:color="000000"/>
            </w:tcBorders>
            <w:vAlign w:val="center"/>
          </w:tcPr>
          <w:p w14:paraId="61485495" w14:textId="77777777" w:rsidR="00D3344B" w:rsidRDefault="00143C25">
            <w:pPr>
              <w:widowControl w:val="0"/>
              <w:suppressAutoHyphens w:val="0"/>
              <w:spacing w:before="111" w:after="0" w:line="155"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12.00</w:t>
            </w:r>
          </w:p>
        </w:tc>
        <w:tc>
          <w:tcPr>
            <w:tcW w:w="779" w:type="dxa"/>
            <w:tcBorders>
              <w:top w:val="double" w:sz="4" w:space="0" w:color="000000"/>
              <w:left w:val="single" w:sz="4" w:space="0" w:color="000000"/>
              <w:bottom w:val="double" w:sz="4" w:space="0" w:color="000000"/>
              <w:right w:val="single" w:sz="4" w:space="0" w:color="000000"/>
            </w:tcBorders>
            <w:vAlign w:val="center"/>
          </w:tcPr>
          <w:p w14:paraId="2EE1B245" w14:textId="77777777" w:rsidR="00D3344B" w:rsidRDefault="00143C25">
            <w:pPr>
              <w:widowControl w:val="0"/>
              <w:suppressAutoHyphens w:val="0"/>
              <w:spacing w:before="111" w:after="0" w:line="155" w:lineRule="exact"/>
              <w:jc w:val="center"/>
              <w:rPr>
                <w:rFonts w:ascii="Arial" w:eastAsia="Times New Roman" w:hAnsi="Arial" w:cs="Arial"/>
                <w:b/>
                <w:sz w:val="12"/>
                <w:szCs w:val="12"/>
                <w:lang w:val="es-ES"/>
              </w:rPr>
            </w:pPr>
            <w:r>
              <w:rPr>
                <w:rFonts w:ascii="Arial" w:eastAsia="Times New Roman" w:hAnsi="Arial" w:cs="Arial"/>
                <w:b/>
                <w:spacing w:val="-2"/>
                <w:sz w:val="12"/>
                <w:szCs w:val="12"/>
                <w:lang w:val="es-ES"/>
              </w:rPr>
              <w:t>10.90</w:t>
            </w:r>
          </w:p>
        </w:tc>
        <w:tc>
          <w:tcPr>
            <w:tcW w:w="780" w:type="dxa"/>
            <w:tcBorders>
              <w:top w:val="double" w:sz="4" w:space="0" w:color="000000"/>
              <w:left w:val="single" w:sz="4" w:space="0" w:color="000000"/>
              <w:bottom w:val="double" w:sz="4" w:space="0" w:color="000000"/>
              <w:right w:val="single" w:sz="4" w:space="0" w:color="000000"/>
            </w:tcBorders>
            <w:vAlign w:val="center"/>
          </w:tcPr>
          <w:p w14:paraId="2380C840" w14:textId="77777777" w:rsidR="00D3344B" w:rsidRDefault="00143C25">
            <w:pPr>
              <w:widowControl w:val="0"/>
              <w:suppressAutoHyphens w:val="0"/>
              <w:spacing w:before="111"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9.50</w:t>
            </w:r>
          </w:p>
        </w:tc>
        <w:tc>
          <w:tcPr>
            <w:tcW w:w="779" w:type="dxa"/>
            <w:tcBorders>
              <w:top w:val="double" w:sz="4" w:space="0" w:color="000000"/>
              <w:left w:val="single" w:sz="4" w:space="0" w:color="000000"/>
              <w:bottom w:val="double" w:sz="4" w:space="0" w:color="000000"/>
              <w:right w:val="single" w:sz="4" w:space="0" w:color="000000"/>
            </w:tcBorders>
            <w:vAlign w:val="center"/>
          </w:tcPr>
          <w:p w14:paraId="1E8F082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40889ACF" w14:textId="77777777">
        <w:trPr>
          <w:trHeight w:val="285"/>
        </w:trPr>
        <w:tc>
          <w:tcPr>
            <w:tcW w:w="1106" w:type="dxa"/>
            <w:tcBorders>
              <w:top w:val="double" w:sz="4" w:space="0" w:color="000000"/>
              <w:left w:val="single" w:sz="4" w:space="0" w:color="000000"/>
              <w:bottom w:val="double" w:sz="4" w:space="0" w:color="000000"/>
              <w:right w:val="single" w:sz="4" w:space="0" w:color="000000"/>
            </w:tcBorders>
          </w:tcPr>
          <w:p w14:paraId="4AB4BFA4" w14:textId="77777777" w:rsidR="00D3344B" w:rsidRDefault="00143C25">
            <w:pPr>
              <w:widowControl w:val="0"/>
              <w:suppressAutoHyphens w:val="0"/>
              <w:spacing w:before="56" w:after="0" w:line="240" w:lineRule="auto"/>
              <w:rPr>
                <w:rFonts w:ascii="Arial" w:eastAsia="Times New Roman" w:hAnsi="Arial" w:cs="Arial"/>
                <w:b/>
                <w:sz w:val="12"/>
                <w:szCs w:val="12"/>
                <w:lang w:val="es-ES"/>
              </w:rPr>
            </w:pPr>
            <w:r>
              <w:rPr>
                <w:rFonts w:ascii="Arial" w:eastAsia="Times New Roman" w:hAnsi="Arial" w:cs="Arial"/>
                <w:b/>
                <w:spacing w:val="-2"/>
                <w:sz w:val="12"/>
                <w:szCs w:val="12"/>
                <w:lang w:val="es-ES"/>
              </w:rPr>
              <w:t>03-PI-</w:t>
            </w:r>
            <w:r>
              <w:rPr>
                <w:rFonts w:ascii="Arial" w:eastAsia="Times New Roman" w:hAnsi="Arial" w:cs="Arial"/>
                <w:b/>
                <w:spacing w:val="-5"/>
                <w:sz w:val="12"/>
                <w:szCs w:val="12"/>
                <w:lang w:val="es-ES"/>
              </w:rPr>
              <w:t>045</w:t>
            </w:r>
          </w:p>
        </w:tc>
        <w:tc>
          <w:tcPr>
            <w:tcW w:w="2977" w:type="dxa"/>
            <w:tcBorders>
              <w:top w:val="double" w:sz="4" w:space="0" w:color="000000"/>
              <w:left w:val="single" w:sz="4" w:space="0" w:color="000000"/>
              <w:bottom w:val="double" w:sz="4" w:space="0" w:color="000000"/>
              <w:right w:val="single" w:sz="4" w:space="0" w:color="000000"/>
            </w:tcBorders>
          </w:tcPr>
          <w:p w14:paraId="1328E34D" w14:textId="77777777" w:rsidR="00D3344B" w:rsidRDefault="00143C25">
            <w:pPr>
              <w:widowControl w:val="0"/>
              <w:suppressAutoHyphens w:val="0"/>
              <w:spacing w:before="56" w:after="0" w:line="240" w:lineRule="auto"/>
              <w:rPr>
                <w:rFonts w:ascii="Arial" w:eastAsia="Times New Roman" w:hAnsi="Arial" w:cs="Arial"/>
                <w:b/>
                <w:sz w:val="12"/>
                <w:szCs w:val="12"/>
                <w:lang w:val="es-ES"/>
              </w:rPr>
            </w:pPr>
            <w:r>
              <w:rPr>
                <w:rFonts w:ascii="Arial" w:eastAsia="Times New Roman" w:hAnsi="Arial" w:cs="Arial"/>
                <w:b/>
                <w:sz w:val="12"/>
                <w:szCs w:val="12"/>
                <w:lang w:val="es-ES"/>
              </w:rPr>
              <w:t>Antígeno</w:t>
            </w:r>
            <w:r>
              <w:rPr>
                <w:rFonts w:ascii="Arial" w:eastAsia="Times New Roman" w:hAnsi="Arial" w:cs="Arial"/>
                <w:b/>
                <w:spacing w:val="-10"/>
                <w:sz w:val="12"/>
                <w:szCs w:val="12"/>
                <w:lang w:val="es-ES"/>
              </w:rPr>
              <w:t xml:space="preserve"> </w:t>
            </w:r>
            <w:r>
              <w:rPr>
                <w:rFonts w:ascii="Arial" w:eastAsia="Times New Roman" w:hAnsi="Arial" w:cs="Arial"/>
                <w:b/>
                <w:sz w:val="12"/>
                <w:szCs w:val="12"/>
                <w:lang w:val="es-ES"/>
              </w:rPr>
              <w:t>Prostático</w:t>
            </w:r>
            <w:r>
              <w:rPr>
                <w:rFonts w:ascii="Arial" w:eastAsia="Times New Roman" w:hAnsi="Arial" w:cs="Arial"/>
                <w:b/>
                <w:spacing w:val="-7"/>
                <w:sz w:val="12"/>
                <w:szCs w:val="12"/>
                <w:lang w:val="es-ES"/>
              </w:rPr>
              <w:t xml:space="preserve"> </w:t>
            </w:r>
            <w:r>
              <w:rPr>
                <w:rFonts w:ascii="Arial" w:eastAsia="Times New Roman" w:hAnsi="Arial" w:cs="Arial"/>
                <w:b/>
                <w:spacing w:val="-2"/>
                <w:sz w:val="12"/>
                <w:szCs w:val="12"/>
                <w:lang w:val="es-ES"/>
              </w:rPr>
              <w:t>libre</w:t>
            </w:r>
          </w:p>
        </w:tc>
        <w:tc>
          <w:tcPr>
            <w:tcW w:w="779" w:type="dxa"/>
            <w:tcBorders>
              <w:top w:val="double" w:sz="4" w:space="0" w:color="000000"/>
              <w:left w:val="single" w:sz="4" w:space="0" w:color="000000"/>
              <w:bottom w:val="double" w:sz="4" w:space="0" w:color="000000"/>
              <w:right w:val="single" w:sz="4" w:space="0" w:color="000000"/>
            </w:tcBorders>
            <w:vAlign w:val="center"/>
          </w:tcPr>
          <w:p w14:paraId="22A4C9F4" w14:textId="77777777" w:rsidR="00D3344B" w:rsidRDefault="00143C25">
            <w:pPr>
              <w:widowControl w:val="0"/>
              <w:suppressAutoHyphens w:val="0"/>
              <w:spacing w:before="110"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3.20</w:t>
            </w:r>
          </w:p>
        </w:tc>
        <w:tc>
          <w:tcPr>
            <w:tcW w:w="780" w:type="dxa"/>
            <w:tcBorders>
              <w:top w:val="double" w:sz="4" w:space="0" w:color="000000"/>
              <w:left w:val="single" w:sz="4" w:space="0" w:color="000000"/>
              <w:bottom w:val="double" w:sz="4" w:space="0" w:color="000000"/>
              <w:right w:val="single" w:sz="4" w:space="0" w:color="000000"/>
            </w:tcBorders>
            <w:vAlign w:val="center"/>
          </w:tcPr>
          <w:p w14:paraId="26E46C56" w14:textId="77777777" w:rsidR="00D3344B" w:rsidRDefault="00143C25">
            <w:pPr>
              <w:widowControl w:val="0"/>
              <w:suppressAutoHyphens w:val="0"/>
              <w:spacing w:before="110"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3.10</w:t>
            </w:r>
          </w:p>
        </w:tc>
        <w:tc>
          <w:tcPr>
            <w:tcW w:w="781" w:type="dxa"/>
            <w:tcBorders>
              <w:top w:val="double" w:sz="4" w:space="0" w:color="000000"/>
              <w:left w:val="single" w:sz="4" w:space="0" w:color="000000"/>
              <w:bottom w:val="double" w:sz="4" w:space="0" w:color="000000"/>
              <w:right w:val="single" w:sz="4" w:space="0" w:color="000000"/>
            </w:tcBorders>
            <w:vAlign w:val="center"/>
          </w:tcPr>
          <w:p w14:paraId="241CD8CA" w14:textId="77777777" w:rsidR="00D3344B" w:rsidRDefault="00143C25">
            <w:pPr>
              <w:widowControl w:val="0"/>
              <w:suppressAutoHyphens w:val="0"/>
              <w:spacing w:before="110"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3.00</w:t>
            </w:r>
          </w:p>
        </w:tc>
        <w:tc>
          <w:tcPr>
            <w:tcW w:w="779" w:type="dxa"/>
            <w:tcBorders>
              <w:top w:val="double" w:sz="4" w:space="0" w:color="000000"/>
              <w:left w:val="single" w:sz="4" w:space="0" w:color="000000"/>
              <w:bottom w:val="double" w:sz="4" w:space="0" w:color="000000"/>
              <w:right w:val="single" w:sz="4" w:space="0" w:color="000000"/>
            </w:tcBorders>
            <w:vAlign w:val="center"/>
          </w:tcPr>
          <w:p w14:paraId="01B5840B" w14:textId="77777777" w:rsidR="00D3344B" w:rsidRDefault="00143C25">
            <w:pPr>
              <w:widowControl w:val="0"/>
              <w:suppressAutoHyphens w:val="0"/>
              <w:spacing w:before="110"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2.90</w:t>
            </w:r>
          </w:p>
        </w:tc>
        <w:tc>
          <w:tcPr>
            <w:tcW w:w="780" w:type="dxa"/>
            <w:tcBorders>
              <w:top w:val="double" w:sz="4" w:space="0" w:color="000000"/>
              <w:left w:val="single" w:sz="4" w:space="0" w:color="000000"/>
              <w:bottom w:val="double" w:sz="4" w:space="0" w:color="000000"/>
              <w:right w:val="single" w:sz="4" w:space="0" w:color="000000"/>
            </w:tcBorders>
            <w:vAlign w:val="center"/>
          </w:tcPr>
          <w:p w14:paraId="2B97587D" w14:textId="77777777" w:rsidR="00D3344B" w:rsidRDefault="00143C25">
            <w:pPr>
              <w:widowControl w:val="0"/>
              <w:suppressAutoHyphens w:val="0"/>
              <w:spacing w:before="110" w:after="0" w:line="155" w:lineRule="exact"/>
              <w:jc w:val="center"/>
              <w:rPr>
                <w:rFonts w:ascii="Arial" w:eastAsia="Times New Roman" w:hAnsi="Arial" w:cs="Arial"/>
                <w:b/>
                <w:sz w:val="12"/>
                <w:szCs w:val="12"/>
                <w:lang w:val="es-ES"/>
              </w:rPr>
            </w:pPr>
            <w:r>
              <w:rPr>
                <w:rFonts w:ascii="Arial" w:eastAsia="Times New Roman" w:hAnsi="Arial" w:cs="Arial"/>
                <w:b/>
                <w:spacing w:val="-4"/>
                <w:sz w:val="12"/>
                <w:szCs w:val="12"/>
                <w:lang w:val="es-ES"/>
              </w:rPr>
              <w:t>2.80</w:t>
            </w:r>
          </w:p>
        </w:tc>
        <w:tc>
          <w:tcPr>
            <w:tcW w:w="779" w:type="dxa"/>
            <w:tcBorders>
              <w:top w:val="double" w:sz="4" w:space="0" w:color="000000"/>
              <w:left w:val="single" w:sz="4" w:space="0" w:color="000000"/>
              <w:bottom w:val="double" w:sz="4" w:space="0" w:color="000000"/>
              <w:right w:val="single" w:sz="4" w:space="0" w:color="000000"/>
            </w:tcBorders>
            <w:vAlign w:val="center"/>
          </w:tcPr>
          <w:p w14:paraId="682A799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r>
      <w:tr w:rsidR="00D3344B" w14:paraId="7A34186D"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53A7CD11"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03-CHUH-</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6772E528"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z w:val="12"/>
                <w:szCs w:val="12"/>
                <w:lang w:val="es-ES"/>
              </w:rPr>
              <w:t>CHECK</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UP</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HOMBRES</w:t>
            </w:r>
          </w:p>
        </w:tc>
        <w:tc>
          <w:tcPr>
            <w:tcW w:w="779" w:type="dxa"/>
            <w:tcBorders>
              <w:top w:val="double" w:sz="4" w:space="0" w:color="000000"/>
              <w:left w:val="single" w:sz="4" w:space="0" w:color="000000"/>
              <w:bottom w:val="double" w:sz="4" w:space="0" w:color="000000"/>
              <w:right w:val="single" w:sz="4" w:space="0" w:color="000000"/>
            </w:tcBorders>
            <w:vAlign w:val="center"/>
          </w:tcPr>
          <w:p w14:paraId="3DCE23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835860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2864674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2EDBF93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7F4CA0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14F79C4E" w14:textId="77777777" w:rsidR="00D3344B" w:rsidRDefault="00143C25">
            <w:pPr>
              <w:widowControl w:val="0"/>
              <w:suppressAutoHyphens w:val="0"/>
              <w:spacing w:before="51" w:after="0" w:line="240" w:lineRule="auto"/>
              <w:ind w:right="254"/>
              <w:jc w:val="center"/>
              <w:rPr>
                <w:rFonts w:ascii="Arial" w:eastAsia="Times New Roman" w:hAnsi="Arial" w:cs="Arial"/>
                <w:b/>
                <w:sz w:val="12"/>
                <w:szCs w:val="12"/>
                <w:lang w:val="es-ES"/>
              </w:rPr>
            </w:pPr>
            <w:r>
              <w:rPr>
                <w:rFonts w:ascii="Arial" w:eastAsia="Times New Roman" w:hAnsi="Arial" w:cs="Arial"/>
                <w:b/>
                <w:spacing w:val="-4"/>
                <w:sz w:val="12"/>
                <w:szCs w:val="12"/>
                <w:lang w:val="es-ES"/>
              </w:rPr>
              <w:t>22.5</w:t>
            </w:r>
          </w:p>
        </w:tc>
      </w:tr>
      <w:tr w:rsidR="00D3344B" w14:paraId="03AA14D6"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3B9A015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03-CHUM-</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1E3318B1"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z w:val="12"/>
                <w:szCs w:val="12"/>
                <w:lang w:val="es-ES"/>
              </w:rPr>
              <w:t>CHECK</w:t>
            </w:r>
            <w:r>
              <w:rPr>
                <w:rFonts w:ascii="Arial" w:eastAsia="Times New Roman" w:hAnsi="Arial" w:cs="Arial"/>
                <w:spacing w:val="-4"/>
                <w:sz w:val="12"/>
                <w:szCs w:val="12"/>
                <w:lang w:val="es-ES"/>
              </w:rPr>
              <w:t xml:space="preserve"> </w:t>
            </w:r>
            <w:r>
              <w:rPr>
                <w:rFonts w:ascii="Arial" w:eastAsia="Times New Roman" w:hAnsi="Arial" w:cs="Arial"/>
                <w:sz w:val="12"/>
                <w:szCs w:val="12"/>
                <w:lang w:val="es-ES"/>
              </w:rPr>
              <w:t>UP</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MUJERES</w:t>
            </w:r>
          </w:p>
        </w:tc>
        <w:tc>
          <w:tcPr>
            <w:tcW w:w="779" w:type="dxa"/>
            <w:tcBorders>
              <w:top w:val="double" w:sz="4" w:space="0" w:color="000000"/>
              <w:left w:val="single" w:sz="4" w:space="0" w:color="000000"/>
              <w:bottom w:val="double" w:sz="4" w:space="0" w:color="000000"/>
              <w:right w:val="single" w:sz="4" w:space="0" w:color="000000"/>
            </w:tcBorders>
            <w:vAlign w:val="center"/>
          </w:tcPr>
          <w:p w14:paraId="2946F1D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1B910D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53C7B70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2FC4BCB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9879A8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52403124" w14:textId="77777777" w:rsidR="00D3344B" w:rsidRDefault="00143C25">
            <w:pPr>
              <w:widowControl w:val="0"/>
              <w:suppressAutoHyphens w:val="0"/>
              <w:spacing w:before="51" w:after="0" w:line="240" w:lineRule="auto"/>
              <w:ind w:right="252"/>
              <w:jc w:val="center"/>
              <w:rPr>
                <w:rFonts w:ascii="Arial" w:eastAsia="Times New Roman" w:hAnsi="Arial" w:cs="Arial"/>
                <w:b/>
                <w:sz w:val="12"/>
                <w:szCs w:val="12"/>
                <w:lang w:val="es-ES"/>
              </w:rPr>
            </w:pPr>
            <w:r>
              <w:rPr>
                <w:rFonts w:ascii="Arial" w:eastAsia="Times New Roman" w:hAnsi="Arial" w:cs="Arial"/>
                <w:b/>
                <w:spacing w:val="-5"/>
                <w:sz w:val="12"/>
                <w:szCs w:val="12"/>
                <w:lang w:val="es-ES"/>
              </w:rPr>
              <w:t>23</w:t>
            </w:r>
          </w:p>
        </w:tc>
      </w:tr>
      <w:tr w:rsidR="00D3344B" w14:paraId="2924FDE7"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2EEE18A8"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03-CM-CENDI-</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7F34A05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4"/>
                <w:sz w:val="12"/>
                <w:szCs w:val="12"/>
                <w:lang w:val="es-ES"/>
              </w:rPr>
              <w:t>CENDI</w:t>
            </w:r>
          </w:p>
        </w:tc>
        <w:tc>
          <w:tcPr>
            <w:tcW w:w="779" w:type="dxa"/>
            <w:tcBorders>
              <w:top w:val="double" w:sz="4" w:space="0" w:color="000000"/>
              <w:left w:val="single" w:sz="4" w:space="0" w:color="000000"/>
              <w:bottom w:val="double" w:sz="4" w:space="0" w:color="000000"/>
              <w:right w:val="single" w:sz="4" w:space="0" w:color="000000"/>
            </w:tcBorders>
            <w:vAlign w:val="center"/>
          </w:tcPr>
          <w:p w14:paraId="20F9575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1897B38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0ECF8B4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4B1FDE7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0A65EB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298D3488" w14:textId="77777777" w:rsidR="00D3344B" w:rsidRDefault="00143C25">
            <w:pPr>
              <w:widowControl w:val="0"/>
              <w:suppressAutoHyphens w:val="0"/>
              <w:spacing w:before="51" w:after="0" w:line="240" w:lineRule="auto"/>
              <w:ind w:right="254"/>
              <w:jc w:val="center"/>
              <w:rPr>
                <w:rFonts w:ascii="Arial" w:eastAsia="Times New Roman" w:hAnsi="Arial" w:cs="Arial"/>
                <w:b/>
                <w:sz w:val="12"/>
                <w:szCs w:val="12"/>
                <w:lang w:val="es-ES"/>
              </w:rPr>
            </w:pPr>
            <w:r>
              <w:rPr>
                <w:rFonts w:ascii="Arial" w:eastAsia="Times New Roman" w:hAnsi="Arial" w:cs="Arial"/>
                <w:b/>
                <w:spacing w:val="-5"/>
                <w:sz w:val="12"/>
                <w:szCs w:val="12"/>
                <w:lang w:val="es-ES"/>
              </w:rPr>
              <w:t>2.5</w:t>
            </w:r>
          </w:p>
        </w:tc>
      </w:tr>
      <w:tr w:rsidR="00D3344B" w14:paraId="48AE8F08"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0B2D5F1D"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03-CM-PRE-</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66A686F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PREESCOLAR</w:t>
            </w:r>
          </w:p>
        </w:tc>
        <w:tc>
          <w:tcPr>
            <w:tcW w:w="779" w:type="dxa"/>
            <w:tcBorders>
              <w:top w:val="double" w:sz="4" w:space="0" w:color="000000"/>
              <w:left w:val="single" w:sz="4" w:space="0" w:color="000000"/>
              <w:bottom w:val="double" w:sz="4" w:space="0" w:color="000000"/>
              <w:right w:val="single" w:sz="4" w:space="0" w:color="000000"/>
            </w:tcBorders>
            <w:vAlign w:val="center"/>
          </w:tcPr>
          <w:p w14:paraId="1D95A59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10FECAE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19BBD8F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567F40A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6AE097C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452C1F03" w14:textId="77777777" w:rsidR="00D3344B" w:rsidRDefault="00143C25">
            <w:pPr>
              <w:widowControl w:val="0"/>
              <w:suppressAutoHyphens w:val="0"/>
              <w:spacing w:before="54" w:after="0" w:line="240" w:lineRule="auto"/>
              <w:ind w:right="254"/>
              <w:jc w:val="center"/>
              <w:rPr>
                <w:rFonts w:ascii="Arial" w:eastAsia="Times New Roman" w:hAnsi="Arial" w:cs="Arial"/>
                <w:b/>
                <w:sz w:val="12"/>
                <w:szCs w:val="12"/>
                <w:lang w:val="es-ES"/>
              </w:rPr>
            </w:pPr>
            <w:r>
              <w:rPr>
                <w:rFonts w:ascii="Arial" w:eastAsia="Times New Roman" w:hAnsi="Arial" w:cs="Arial"/>
                <w:b/>
                <w:spacing w:val="-5"/>
                <w:sz w:val="12"/>
                <w:szCs w:val="12"/>
                <w:lang w:val="es-ES"/>
              </w:rPr>
              <w:t>1.5</w:t>
            </w:r>
          </w:p>
        </w:tc>
      </w:tr>
      <w:tr w:rsidR="00D3344B" w14:paraId="3D511656" w14:textId="77777777">
        <w:trPr>
          <w:trHeight w:val="286"/>
        </w:trPr>
        <w:tc>
          <w:tcPr>
            <w:tcW w:w="1106" w:type="dxa"/>
            <w:tcBorders>
              <w:top w:val="double" w:sz="4" w:space="0" w:color="000000"/>
              <w:left w:val="single" w:sz="4" w:space="0" w:color="000000"/>
              <w:bottom w:val="double" w:sz="4" w:space="0" w:color="000000"/>
              <w:right w:val="single" w:sz="4" w:space="0" w:color="000000"/>
            </w:tcBorders>
          </w:tcPr>
          <w:p w14:paraId="6BB1F0AF"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03-CM-PREP-</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246B4E0E"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PREPARATORIA</w:t>
            </w:r>
          </w:p>
        </w:tc>
        <w:tc>
          <w:tcPr>
            <w:tcW w:w="779" w:type="dxa"/>
            <w:tcBorders>
              <w:top w:val="double" w:sz="4" w:space="0" w:color="000000"/>
              <w:left w:val="single" w:sz="4" w:space="0" w:color="000000"/>
              <w:bottom w:val="double" w:sz="4" w:space="0" w:color="000000"/>
              <w:right w:val="single" w:sz="4" w:space="0" w:color="000000"/>
            </w:tcBorders>
            <w:vAlign w:val="center"/>
          </w:tcPr>
          <w:p w14:paraId="439E38E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7F9597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23E9435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46C9C4D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5912A3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6D0D966F" w14:textId="77777777" w:rsidR="00D3344B" w:rsidRDefault="00143C25">
            <w:pPr>
              <w:widowControl w:val="0"/>
              <w:suppressAutoHyphens w:val="0"/>
              <w:spacing w:before="54"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2</w:t>
            </w:r>
          </w:p>
        </w:tc>
      </w:tr>
      <w:tr w:rsidR="00D3344B" w14:paraId="25DD03FE"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6AD2BE60"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03-CM-PRIM-</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31DE609D"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PRIMARIA</w:t>
            </w:r>
          </w:p>
        </w:tc>
        <w:tc>
          <w:tcPr>
            <w:tcW w:w="779" w:type="dxa"/>
            <w:tcBorders>
              <w:top w:val="double" w:sz="4" w:space="0" w:color="000000"/>
              <w:left w:val="single" w:sz="4" w:space="0" w:color="000000"/>
              <w:bottom w:val="double" w:sz="4" w:space="0" w:color="000000"/>
              <w:right w:val="single" w:sz="4" w:space="0" w:color="000000"/>
            </w:tcBorders>
            <w:vAlign w:val="center"/>
          </w:tcPr>
          <w:p w14:paraId="3B2D24B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DE5D3A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04F655D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7948B3B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752412D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03F33FA3" w14:textId="77777777" w:rsidR="00D3344B" w:rsidRDefault="00143C25">
            <w:pPr>
              <w:widowControl w:val="0"/>
              <w:suppressAutoHyphens w:val="0"/>
              <w:spacing w:before="51"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2</w:t>
            </w:r>
          </w:p>
        </w:tc>
      </w:tr>
      <w:tr w:rsidR="00D3344B" w14:paraId="519D0C68" w14:textId="77777777">
        <w:trPr>
          <w:trHeight w:val="296"/>
        </w:trPr>
        <w:tc>
          <w:tcPr>
            <w:tcW w:w="1106" w:type="dxa"/>
            <w:tcBorders>
              <w:top w:val="double" w:sz="4" w:space="0" w:color="000000"/>
              <w:left w:val="single" w:sz="4" w:space="0" w:color="000000"/>
              <w:bottom w:val="single" w:sz="4" w:space="0" w:color="000000"/>
              <w:right w:val="single" w:sz="4" w:space="0" w:color="000000"/>
            </w:tcBorders>
          </w:tcPr>
          <w:p w14:paraId="2AEEEE75"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03-CM-SEC-</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single" w:sz="4" w:space="0" w:color="000000"/>
              <w:right w:val="single" w:sz="4" w:space="0" w:color="000000"/>
            </w:tcBorders>
          </w:tcPr>
          <w:p w14:paraId="2B3EC769"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SECUNDARIA</w:t>
            </w:r>
          </w:p>
        </w:tc>
        <w:tc>
          <w:tcPr>
            <w:tcW w:w="779" w:type="dxa"/>
            <w:tcBorders>
              <w:top w:val="double" w:sz="4" w:space="0" w:color="000000"/>
              <w:left w:val="single" w:sz="4" w:space="0" w:color="000000"/>
              <w:bottom w:val="single" w:sz="4" w:space="0" w:color="000000"/>
              <w:right w:val="single" w:sz="4" w:space="0" w:color="000000"/>
            </w:tcBorders>
            <w:vAlign w:val="center"/>
          </w:tcPr>
          <w:p w14:paraId="2274D6D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single" w:sz="4" w:space="0" w:color="000000"/>
              <w:right w:val="single" w:sz="4" w:space="0" w:color="000000"/>
            </w:tcBorders>
            <w:vAlign w:val="center"/>
          </w:tcPr>
          <w:p w14:paraId="7763E6A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single" w:sz="4" w:space="0" w:color="000000"/>
              <w:right w:val="single" w:sz="4" w:space="0" w:color="000000"/>
            </w:tcBorders>
            <w:vAlign w:val="center"/>
          </w:tcPr>
          <w:p w14:paraId="4E95677E"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single" w:sz="4" w:space="0" w:color="000000"/>
              <w:right w:val="single" w:sz="4" w:space="0" w:color="000000"/>
            </w:tcBorders>
            <w:vAlign w:val="center"/>
          </w:tcPr>
          <w:p w14:paraId="54B0354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single" w:sz="4" w:space="0" w:color="000000"/>
              <w:right w:val="single" w:sz="4" w:space="0" w:color="000000"/>
            </w:tcBorders>
            <w:vAlign w:val="center"/>
          </w:tcPr>
          <w:p w14:paraId="06F98D5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single" w:sz="4" w:space="0" w:color="000000"/>
              <w:right w:val="single" w:sz="4" w:space="0" w:color="000000"/>
            </w:tcBorders>
            <w:vAlign w:val="center"/>
          </w:tcPr>
          <w:p w14:paraId="2EB0D9B7" w14:textId="77777777" w:rsidR="00D3344B" w:rsidRDefault="00143C25">
            <w:pPr>
              <w:widowControl w:val="0"/>
              <w:suppressAutoHyphens w:val="0"/>
              <w:spacing w:before="51"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2</w:t>
            </w:r>
          </w:p>
        </w:tc>
      </w:tr>
      <w:tr w:rsidR="00D3344B" w14:paraId="5C37691B" w14:textId="77777777">
        <w:trPr>
          <w:trHeight w:val="287"/>
        </w:trPr>
        <w:tc>
          <w:tcPr>
            <w:tcW w:w="1106" w:type="dxa"/>
            <w:tcBorders>
              <w:top w:val="single" w:sz="4" w:space="0" w:color="000000"/>
              <w:left w:val="single" w:sz="4" w:space="0" w:color="000000"/>
              <w:bottom w:val="double" w:sz="4" w:space="0" w:color="000000"/>
              <w:right w:val="single" w:sz="4" w:space="0" w:color="000000"/>
            </w:tcBorders>
          </w:tcPr>
          <w:p w14:paraId="10F1E433"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03-CM-UNIV-</w:t>
            </w:r>
            <w:r>
              <w:rPr>
                <w:rFonts w:ascii="Arial" w:eastAsia="Times New Roman" w:hAnsi="Arial" w:cs="Arial"/>
                <w:spacing w:val="-5"/>
                <w:sz w:val="12"/>
                <w:szCs w:val="12"/>
                <w:lang w:val="es-ES"/>
              </w:rPr>
              <w:t>001</w:t>
            </w:r>
          </w:p>
        </w:tc>
        <w:tc>
          <w:tcPr>
            <w:tcW w:w="2977" w:type="dxa"/>
            <w:tcBorders>
              <w:top w:val="single" w:sz="4" w:space="0" w:color="000000"/>
              <w:left w:val="single" w:sz="4" w:space="0" w:color="000000"/>
              <w:bottom w:val="double" w:sz="4" w:space="0" w:color="000000"/>
              <w:right w:val="single" w:sz="4" w:space="0" w:color="000000"/>
            </w:tcBorders>
          </w:tcPr>
          <w:p w14:paraId="2ACC3A04" w14:textId="77777777" w:rsidR="00D3344B" w:rsidRDefault="00143C25">
            <w:pPr>
              <w:widowControl w:val="0"/>
              <w:suppressAutoHyphens w:val="0"/>
              <w:spacing w:before="59"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CERTIFICADO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MEDICO</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UNIVERSIDAD</w:t>
            </w:r>
          </w:p>
        </w:tc>
        <w:tc>
          <w:tcPr>
            <w:tcW w:w="779" w:type="dxa"/>
            <w:tcBorders>
              <w:top w:val="single" w:sz="4" w:space="0" w:color="000000"/>
              <w:left w:val="single" w:sz="4" w:space="0" w:color="000000"/>
              <w:bottom w:val="double" w:sz="4" w:space="0" w:color="000000"/>
              <w:right w:val="single" w:sz="4" w:space="0" w:color="000000"/>
            </w:tcBorders>
            <w:vAlign w:val="center"/>
          </w:tcPr>
          <w:p w14:paraId="77DA7BD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single" w:sz="4" w:space="0" w:color="000000"/>
              <w:left w:val="single" w:sz="4" w:space="0" w:color="000000"/>
              <w:bottom w:val="double" w:sz="4" w:space="0" w:color="000000"/>
              <w:right w:val="single" w:sz="4" w:space="0" w:color="000000"/>
            </w:tcBorders>
            <w:vAlign w:val="center"/>
          </w:tcPr>
          <w:p w14:paraId="13CE303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single" w:sz="4" w:space="0" w:color="000000"/>
              <w:left w:val="single" w:sz="4" w:space="0" w:color="000000"/>
              <w:bottom w:val="double" w:sz="4" w:space="0" w:color="000000"/>
              <w:right w:val="single" w:sz="4" w:space="0" w:color="000000"/>
            </w:tcBorders>
            <w:vAlign w:val="center"/>
          </w:tcPr>
          <w:p w14:paraId="681C758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single" w:sz="4" w:space="0" w:color="000000"/>
              <w:left w:val="single" w:sz="4" w:space="0" w:color="000000"/>
              <w:bottom w:val="double" w:sz="4" w:space="0" w:color="000000"/>
              <w:right w:val="single" w:sz="4" w:space="0" w:color="000000"/>
            </w:tcBorders>
            <w:vAlign w:val="center"/>
          </w:tcPr>
          <w:p w14:paraId="26D5F48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single" w:sz="4" w:space="0" w:color="000000"/>
              <w:left w:val="single" w:sz="4" w:space="0" w:color="000000"/>
              <w:bottom w:val="double" w:sz="4" w:space="0" w:color="000000"/>
              <w:right w:val="single" w:sz="4" w:space="0" w:color="000000"/>
            </w:tcBorders>
            <w:vAlign w:val="center"/>
          </w:tcPr>
          <w:p w14:paraId="79124D6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single" w:sz="4" w:space="0" w:color="000000"/>
              <w:left w:val="single" w:sz="4" w:space="0" w:color="000000"/>
              <w:bottom w:val="double" w:sz="4" w:space="0" w:color="000000"/>
              <w:right w:val="single" w:sz="4" w:space="0" w:color="000000"/>
            </w:tcBorders>
            <w:vAlign w:val="center"/>
          </w:tcPr>
          <w:p w14:paraId="4E31813A" w14:textId="77777777" w:rsidR="00D3344B" w:rsidRDefault="00143C25">
            <w:pPr>
              <w:widowControl w:val="0"/>
              <w:suppressAutoHyphens w:val="0"/>
              <w:spacing w:before="54"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2</w:t>
            </w:r>
          </w:p>
        </w:tc>
      </w:tr>
      <w:tr w:rsidR="00D3344B" w14:paraId="1F5E3121" w14:textId="77777777">
        <w:trPr>
          <w:trHeight w:val="283"/>
        </w:trPr>
        <w:tc>
          <w:tcPr>
            <w:tcW w:w="1106" w:type="dxa"/>
            <w:tcBorders>
              <w:top w:val="double" w:sz="4" w:space="0" w:color="000000"/>
              <w:left w:val="single" w:sz="4" w:space="0" w:color="000000"/>
              <w:bottom w:val="double" w:sz="4" w:space="0" w:color="000000"/>
              <w:right w:val="single" w:sz="4" w:space="0" w:color="000000"/>
            </w:tcBorders>
          </w:tcPr>
          <w:p w14:paraId="54C8253F" w14:textId="77777777" w:rsidR="00D3344B" w:rsidRDefault="00143C25">
            <w:pPr>
              <w:widowControl w:val="0"/>
              <w:suppressAutoHyphens w:val="0"/>
              <w:spacing w:before="54"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03-EIDIS-</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1D49C611" w14:textId="77777777" w:rsidR="00D3344B" w:rsidRDefault="00143C25">
            <w:pPr>
              <w:widowControl w:val="0"/>
              <w:suppressAutoHyphens w:val="0"/>
              <w:spacing w:before="118" w:after="0" w:line="145" w:lineRule="exact"/>
              <w:rPr>
                <w:rFonts w:ascii="Arial" w:eastAsia="Times New Roman" w:hAnsi="Arial" w:cs="Arial"/>
                <w:sz w:val="12"/>
                <w:szCs w:val="12"/>
                <w:lang w:val="es-ES"/>
              </w:rPr>
            </w:pPr>
            <w:r>
              <w:rPr>
                <w:rFonts w:ascii="Arial" w:eastAsia="Times New Roman" w:hAnsi="Arial" w:cs="Arial"/>
                <w:sz w:val="12"/>
                <w:szCs w:val="12"/>
                <w:lang w:val="es-ES"/>
              </w:rPr>
              <w:t>ESTUDIO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INTEGRAL</w:t>
            </w:r>
            <w:r>
              <w:rPr>
                <w:rFonts w:ascii="Arial" w:eastAsia="Times New Roman" w:hAnsi="Arial" w:cs="Arial"/>
                <w:spacing w:val="-1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
                <w:sz w:val="12"/>
                <w:szCs w:val="12"/>
                <w:lang w:val="es-ES"/>
              </w:rPr>
              <w:t xml:space="preserve"> </w:t>
            </w:r>
            <w:r>
              <w:rPr>
                <w:rFonts w:ascii="Arial" w:eastAsia="Times New Roman" w:hAnsi="Arial" w:cs="Arial"/>
                <w:spacing w:val="-2"/>
                <w:sz w:val="12"/>
                <w:szCs w:val="12"/>
                <w:lang w:val="es-ES"/>
              </w:rPr>
              <w:t>DISLIPIDEMIAS</w:t>
            </w:r>
          </w:p>
        </w:tc>
        <w:tc>
          <w:tcPr>
            <w:tcW w:w="779" w:type="dxa"/>
            <w:tcBorders>
              <w:top w:val="double" w:sz="4" w:space="0" w:color="000000"/>
              <w:left w:val="single" w:sz="4" w:space="0" w:color="000000"/>
              <w:bottom w:val="double" w:sz="4" w:space="0" w:color="000000"/>
              <w:right w:val="single" w:sz="4" w:space="0" w:color="000000"/>
            </w:tcBorders>
            <w:vAlign w:val="center"/>
          </w:tcPr>
          <w:p w14:paraId="32404E6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680C58D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3CB8723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0B02807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7A076949"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095F12BA" w14:textId="77777777" w:rsidR="00D3344B" w:rsidRDefault="00143C25">
            <w:pPr>
              <w:widowControl w:val="0"/>
              <w:suppressAutoHyphens w:val="0"/>
              <w:spacing w:before="52"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3</w:t>
            </w:r>
          </w:p>
        </w:tc>
      </w:tr>
      <w:tr w:rsidR="00D3344B" w14:paraId="1A04731A" w14:textId="77777777">
        <w:trPr>
          <w:trHeight w:val="283"/>
        </w:trPr>
        <w:tc>
          <w:tcPr>
            <w:tcW w:w="1106" w:type="dxa"/>
            <w:tcBorders>
              <w:top w:val="double" w:sz="4" w:space="0" w:color="000000"/>
              <w:left w:val="single" w:sz="4" w:space="0" w:color="000000"/>
              <w:bottom w:val="double" w:sz="4" w:space="0" w:color="000000"/>
              <w:right w:val="single" w:sz="4" w:space="0" w:color="000000"/>
            </w:tcBorders>
          </w:tcPr>
          <w:p w14:paraId="7B8F845E" w14:textId="77777777" w:rsidR="00D3344B" w:rsidRDefault="00143C25">
            <w:pPr>
              <w:widowControl w:val="0"/>
              <w:suppressAutoHyphens w:val="0"/>
              <w:spacing w:before="55"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03-EIGER-</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4BD611FE" w14:textId="77777777" w:rsidR="00D3344B" w:rsidRDefault="00143C25">
            <w:pPr>
              <w:widowControl w:val="0"/>
              <w:suppressAutoHyphens w:val="0"/>
              <w:spacing w:before="119" w:after="0" w:line="143" w:lineRule="exact"/>
              <w:rPr>
                <w:rFonts w:ascii="Arial" w:eastAsia="Times New Roman" w:hAnsi="Arial" w:cs="Arial"/>
                <w:sz w:val="12"/>
                <w:szCs w:val="12"/>
                <w:lang w:val="es-ES"/>
              </w:rPr>
            </w:pPr>
            <w:r>
              <w:rPr>
                <w:rFonts w:ascii="Arial" w:eastAsia="Times New Roman" w:hAnsi="Arial" w:cs="Arial"/>
                <w:spacing w:val="-2"/>
                <w:sz w:val="12"/>
                <w:szCs w:val="12"/>
                <w:lang w:val="es-ES"/>
              </w:rPr>
              <w:t>ESTUDIO</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INTEGRAL</w:t>
            </w:r>
            <w:r>
              <w:rPr>
                <w:rFonts w:ascii="Arial" w:eastAsia="Times New Roman" w:hAnsi="Arial" w:cs="Arial"/>
                <w:spacing w:val="2"/>
                <w:sz w:val="12"/>
                <w:szCs w:val="12"/>
                <w:lang w:val="es-ES"/>
              </w:rPr>
              <w:t xml:space="preserve"> </w:t>
            </w:r>
            <w:r>
              <w:rPr>
                <w:rFonts w:ascii="Arial" w:eastAsia="Times New Roman" w:hAnsi="Arial" w:cs="Arial"/>
                <w:spacing w:val="-2"/>
                <w:sz w:val="12"/>
                <w:szCs w:val="12"/>
                <w:lang w:val="es-ES"/>
              </w:rPr>
              <w:t>GERIATRICO</w:t>
            </w:r>
          </w:p>
        </w:tc>
        <w:tc>
          <w:tcPr>
            <w:tcW w:w="779" w:type="dxa"/>
            <w:tcBorders>
              <w:top w:val="double" w:sz="4" w:space="0" w:color="000000"/>
              <w:left w:val="single" w:sz="4" w:space="0" w:color="000000"/>
              <w:bottom w:val="double" w:sz="4" w:space="0" w:color="000000"/>
              <w:right w:val="single" w:sz="4" w:space="0" w:color="000000"/>
            </w:tcBorders>
            <w:vAlign w:val="center"/>
          </w:tcPr>
          <w:p w14:paraId="6E7D234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51BE304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084E1DE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37DF180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04A92228"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678FFDB2" w14:textId="77777777" w:rsidR="00D3344B" w:rsidRDefault="00143C25">
            <w:pPr>
              <w:widowControl w:val="0"/>
              <w:suppressAutoHyphens w:val="0"/>
              <w:spacing w:before="53"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5</w:t>
            </w:r>
          </w:p>
        </w:tc>
      </w:tr>
      <w:tr w:rsidR="00D3344B" w14:paraId="61FEB57B"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37C0735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03-EIGRAL-</w:t>
            </w:r>
            <w:r>
              <w:rPr>
                <w:rFonts w:ascii="Arial" w:eastAsia="Times New Roman" w:hAnsi="Arial" w:cs="Arial"/>
                <w:spacing w:val="-5"/>
                <w:sz w:val="12"/>
                <w:szCs w:val="12"/>
                <w:lang w:val="es-ES"/>
              </w:rPr>
              <w:t>001</w:t>
            </w:r>
          </w:p>
        </w:tc>
        <w:tc>
          <w:tcPr>
            <w:tcW w:w="2977" w:type="dxa"/>
            <w:tcBorders>
              <w:top w:val="double" w:sz="4" w:space="0" w:color="000000"/>
              <w:left w:val="single" w:sz="4" w:space="0" w:color="000000"/>
              <w:bottom w:val="double" w:sz="4" w:space="0" w:color="000000"/>
              <w:right w:val="single" w:sz="4" w:space="0" w:color="000000"/>
            </w:tcBorders>
          </w:tcPr>
          <w:p w14:paraId="6D1530E9" w14:textId="77777777" w:rsidR="00D3344B" w:rsidRDefault="00143C25">
            <w:pPr>
              <w:widowControl w:val="0"/>
              <w:suppressAutoHyphens w:val="0"/>
              <w:spacing w:before="118" w:after="0" w:line="146" w:lineRule="exact"/>
              <w:rPr>
                <w:rFonts w:ascii="Arial" w:eastAsia="Times New Roman" w:hAnsi="Arial" w:cs="Arial"/>
                <w:sz w:val="12"/>
                <w:szCs w:val="12"/>
                <w:lang w:val="es-ES"/>
              </w:rPr>
            </w:pPr>
            <w:r>
              <w:rPr>
                <w:rFonts w:ascii="Arial" w:eastAsia="Times New Roman" w:hAnsi="Arial" w:cs="Arial"/>
                <w:sz w:val="12"/>
                <w:szCs w:val="12"/>
                <w:lang w:val="es-ES"/>
              </w:rPr>
              <w:t>ESTUDIO</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INTEGRAL</w:t>
            </w:r>
            <w:r>
              <w:rPr>
                <w:rFonts w:ascii="Arial" w:eastAsia="Times New Roman" w:hAnsi="Arial" w:cs="Arial"/>
                <w:spacing w:val="-9"/>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8"/>
                <w:sz w:val="12"/>
                <w:szCs w:val="12"/>
                <w:lang w:val="es-ES"/>
              </w:rPr>
              <w:t xml:space="preserve"> </w:t>
            </w:r>
            <w:r>
              <w:rPr>
                <w:rFonts w:ascii="Arial" w:eastAsia="Times New Roman" w:hAnsi="Arial" w:cs="Arial"/>
                <w:sz w:val="12"/>
                <w:szCs w:val="12"/>
                <w:lang w:val="es-ES"/>
              </w:rPr>
              <w:t>EXAMENES</w:t>
            </w:r>
            <w:r>
              <w:rPr>
                <w:rFonts w:ascii="Arial" w:eastAsia="Times New Roman" w:hAnsi="Arial" w:cs="Arial"/>
                <w:spacing w:val="-7"/>
                <w:sz w:val="12"/>
                <w:szCs w:val="12"/>
                <w:lang w:val="es-ES"/>
              </w:rPr>
              <w:t xml:space="preserve"> </w:t>
            </w:r>
            <w:r>
              <w:rPr>
                <w:rFonts w:ascii="Arial" w:eastAsia="Times New Roman" w:hAnsi="Arial" w:cs="Arial"/>
                <w:spacing w:val="-2"/>
                <w:sz w:val="12"/>
                <w:szCs w:val="12"/>
                <w:lang w:val="es-ES"/>
              </w:rPr>
              <w:t>GENERALES</w:t>
            </w:r>
          </w:p>
        </w:tc>
        <w:tc>
          <w:tcPr>
            <w:tcW w:w="779" w:type="dxa"/>
            <w:tcBorders>
              <w:top w:val="double" w:sz="4" w:space="0" w:color="000000"/>
              <w:left w:val="single" w:sz="4" w:space="0" w:color="000000"/>
              <w:bottom w:val="double" w:sz="4" w:space="0" w:color="000000"/>
              <w:right w:val="single" w:sz="4" w:space="0" w:color="000000"/>
            </w:tcBorders>
            <w:vAlign w:val="center"/>
          </w:tcPr>
          <w:p w14:paraId="61023AD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2D989FB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533476F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1EC3C34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57268E4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7D2DD2D8" w14:textId="77777777" w:rsidR="00D3344B" w:rsidRDefault="00143C25">
            <w:pPr>
              <w:widowControl w:val="0"/>
              <w:suppressAutoHyphens w:val="0"/>
              <w:spacing w:before="51"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3</w:t>
            </w:r>
          </w:p>
        </w:tc>
      </w:tr>
      <w:tr w:rsidR="00D3344B" w14:paraId="6C8C318C" w14:textId="77777777">
        <w:trPr>
          <w:trHeight w:val="283"/>
        </w:trPr>
        <w:tc>
          <w:tcPr>
            <w:tcW w:w="1106" w:type="dxa"/>
            <w:tcBorders>
              <w:top w:val="double" w:sz="4" w:space="0" w:color="000000"/>
              <w:left w:val="single" w:sz="4" w:space="0" w:color="000000"/>
              <w:bottom w:val="double" w:sz="4" w:space="0" w:color="000000"/>
              <w:right w:val="single" w:sz="4" w:space="0" w:color="000000"/>
            </w:tcBorders>
          </w:tcPr>
          <w:p w14:paraId="03852A32" w14:textId="77777777" w:rsidR="00D3344B" w:rsidRDefault="00143C25">
            <w:pPr>
              <w:widowControl w:val="0"/>
              <w:suppressAutoHyphens w:val="0"/>
              <w:spacing w:before="53"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03-PCUJ-001-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26B072F8" w14:textId="77777777" w:rsidR="00D3344B" w:rsidRDefault="00143C25">
            <w:pPr>
              <w:widowControl w:val="0"/>
              <w:suppressAutoHyphens w:val="0"/>
              <w:spacing w:before="118" w:after="0" w:line="145" w:lineRule="exact"/>
              <w:rPr>
                <w:rFonts w:ascii="Arial" w:eastAsia="Times New Roman" w:hAnsi="Arial" w:cs="Arial"/>
                <w:sz w:val="12"/>
                <w:szCs w:val="12"/>
                <w:lang w:val="es-ES"/>
              </w:rPr>
            </w:pPr>
            <w:r>
              <w:rPr>
                <w:rFonts w:ascii="Arial" w:eastAsia="Times New Roman" w:hAnsi="Arial" w:cs="Arial"/>
                <w:sz w:val="12"/>
                <w:szCs w:val="12"/>
                <w:lang w:val="es-ES"/>
              </w:rPr>
              <w:t>PAQUETE</w:t>
            </w:r>
            <w:r>
              <w:rPr>
                <w:rFonts w:ascii="Arial" w:eastAsia="Times New Roman" w:hAnsi="Arial" w:cs="Arial"/>
                <w:spacing w:val="-7"/>
                <w:sz w:val="12"/>
                <w:szCs w:val="12"/>
                <w:lang w:val="es-ES"/>
              </w:rPr>
              <w:t xml:space="preserve"> </w:t>
            </w:r>
            <w:r>
              <w:rPr>
                <w:rFonts w:ascii="Arial" w:eastAsia="Times New Roman" w:hAnsi="Arial" w:cs="Arial"/>
                <w:sz w:val="12"/>
                <w:szCs w:val="12"/>
                <w:lang w:val="es-ES"/>
              </w:rPr>
              <w:t>CHECK</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UP</w:t>
            </w:r>
            <w:r>
              <w:rPr>
                <w:rFonts w:ascii="Arial" w:eastAsia="Times New Roman" w:hAnsi="Arial" w:cs="Arial"/>
                <w:spacing w:val="-5"/>
                <w:sz w:val="12"/>
                <w:szCs w:val="12"/>
                <w:lang w:val="es-ES"/>
              </w:rPr>
              <w:t xml:space="preserve"> </w:t>
            </w:r>
            <w:r>
              <w:rPr>
                <w:rFonts w:ascii="Arial" w:eastAsia="Times New Roman" w:hAnsi="Arial" w:cs="Arial"/>
                <w:spacing w:val="-2"/>
                <w:sz w:val="12"/>
                <w:szCs w:val="12"/>
                <w:lang w:val="es-ES"/>
              </w:rPr>
              <w:t>JUVENIL</w:t>
            </w:r>
          </w:p>
        </w:tc>
        <w:tc>
          <w:tcPr>
            <w:tcW w:w="779" w:type="dxa"/>
            <w:tcBorders>
              <w:top w:val="double" w:sz="4" w:space="0" w:color="000000"/>
              <w:left w:val="single" w:sz="4" w:space="0" w:color="000000"/>
              <w:bottom w:val="double" w:sz="4" w:space="0" w:color="000000"/>
              <w:right w:val="single" w:sz="4" w:space="0" w:color="000000"/>
            </w:tcBorders>
            <w:vAlign w:val="center"/>
          </w:tcPr>
          <w:p w14:paraId="5A374D6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16A1B3A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5474CBF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1FC2214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758319A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417CD1DF" w14:textId="77777777" w:rsidR="00D3344B" w:rsidRDefault="00143C25">
            <w:pPr>
              <w:widowControl w:val="0"/>
              <w:suppressAutoHyphens w:val="0"/>
              <w:spacing w:before="51" w:after="0" w:line="240" w:lineRule="auto"/>
              <w:ind w:right="254"/>
              <w:jc w:val="center"/>
              <w:rPr>
                <w:rFonts w:ascii="Arial" w:eastAsia="Times New Roman" w:hAnsi="Arial" w:cs="Arial"/>
                <w:b/>
                <w:sz w:val="12"/>
                <w:szCs w:val="12"/>
                <w:lang w:val="es-ES"/>
              </w:rPr>
            </w:pPr>
            <w:r>
              <w:rPr>
                <w:rFonts w:ascii="Arial" w:eastAsia="Times New Roman" w:hAnsi="Arial" w:cs="Arial"/>
                <w:b/>
                <w:spacing w:val="-5"/>
                <w:sz w:val="12"/>
                <w:szCs w:val="12"/>
                <w:lang w:val="es-ES"/>
              </w:rPr>
              <w:t>3.5</w:t>
            </w:r>
          </w:p>
        </w:tc>
      </w:tr>
      <w:tr w:rsidR="00D3344B" w14:paraId="495F40FD" w14:textId="77777777">
        <w:trPr>
          <w:trHeight w:val="568"/>
        </w:trPr>
        <w:tc>
          <w:tcPr>
            <w:tcW w:w="1106" w:type="dxa"/>
            <w:tcBorders>
              <w:top w:val="double" w:sz="4" w:space="0" w:color="000000"/>
              <w:left w:val="single" w:sz="4" w:space="0" w:color="000000"/>
              <w:bottom w:val="double" w:sz="4" w:space="0" w:color="000000"/>
              <w:right w:val="single" w:sz="4" w:space="0" w:color="000000"/>
            </w:tcBorders>
          </w:tcPr>
          <w:p w14:paraId="5955CA62"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03-PDETS-001-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4B41FBA0" w14:textId="77777777" w:rsidR="00D3344B" w:rsidRDefault="00143C25">
            <w:pPr>
              <w:widowControl w:val="0"/>
              <w:suppressAutoHyphens w:val="0"/>
              <w:spacing w:after="0" w:line="170" w:lineRule="atLeast"/>
              <w:rPr>
                <w:rFonts w:ascii="Arial" w:eastAsia="Times New Roman" w:hAnsi="Arial" w:cs="Arial"/>
                <w:sz w:val="12"/>
                <w:szCs w:val="12"/>
                <w:lang w:val="es-ES"/>
              </w:rPr>
            </w:pPr>
            <w:r>
              <w:rPr>
                <w:rFonts w:ascii="Arial" w:eastAsia="Times New Roman" w:hAnsi="Arial" w:cs="Arial"/>
                <w:sz w:val="12"/>
                <w:szCs w:val="12"/>
                <w:lang w:val="es-ES"/>
              </w:rPr>
              <w:t xml:space="preserve"> PAQUETE DE DETECCIÓN DE ENFERMEDADES 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TRANSMISIÓN</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SEXUAL</w:t>
            </w:r>
          </w:p>
        </w:tc>
        <w:tc>
          <w:tcPr>
            <w:tcW w:w="779" w:type="dxa"/>
            <w:tcBorders>
              <w:top w:val="double" w:sz="4" w:space="0" w:color="000000"/>
              <w:left w:val="single" w:sz="4" w:space="0" w:color="000000"/>
              <w:bottom w:val="double" w:sz="4" w:space="0" w:color="000000"/>
              <w:right w:val="single" w:sz="4" w:space="0" w:color="000000"/>
            </w:tcBorders>
            <w:vAlign w:val="center"/>
          </w:tcPr>
          <w:p w14:paraId="3D5F03C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01212DF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70EDC89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6D35B4A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060680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4D8383AC" w14:textId="77777777" w:rsidR="00D3344B" w:rsidRDefault="00143C25">
            <w:pPr>
              <w:widowControl w:val="0"/>
              <w:suppressAutoHyphens w:val="0"/>
              <w:spacing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5</w:t>
            </w:r>
          </w:p>
        </w:tc>
      </w:tr>
      <w:tr w:rsidR="00D3344B" w14:paraId="7608A987" w14:textId="77777777">
        <w:trPr>
          <w:trHeight w:val="284"/>
        </w:trPr>
        <w:tc>
          <w:tcPr>
            <w:tcW w:w="1106" w:type="dxa"/>
            <w:tcBorders>
              <w:top w:val="double" w:sz="4" w:space="0" w:color="000000"/>
              <w:left w:val="single" w:sz="4" w:space="0" w:color="000000"/>
              <w:bottom w:val="double" w:sz="4" w:space="0" w:color="000000"/>
              <w:right w:val="single" w:sz="4" w:space="0" w:color="000000"/>
            </w:tcBorders>
          </w:tcPr>
          <w:p w14:paraId="664D0C24" w14:textId="77777777" w:rsidR="00D3344B" w:rsidRDefault="00143C25">
            <w:pPr>
              <w:widowControl w:val="0"/>
              <w:suppressAutoHyphens w:val="0"/>
              <w:spacing w:before="56"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03-PPN-001-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34D79FF0" w14:textId="77777777" w:rsidR="00D3344B" w:rsidRDefault="00143C25">
            <w:pPr>
              <w:widowControl w:val="0"/>
              <w:suppressAutoHyphens w:val="0"/>
              <w:spacing w:before="118" w:after="0" w:line="146" w:lineRule="exact"/>
              <w:rPr>
                <w:rFonts w:ascii="Arial" w:eastAsia="Times New Roman" w:hAnsi="Arial" w:cs="Arial"/>
                <w:sz w:val="12"/>
                <w:szCs w:val="12"/>
                <w:lang w:val="es-ES"/>
              </w:rPr>
            </w:pPr>
            <w:r>
              <w:rPr>
                <w:rFonts w:ascii="Arial" w:eastAsia="Times New Roman" w:hAnsi="Arial" w:cs="Arial"/>
                <w:spacing w:val="-2"/>
                <w:sz w:val="12"/>
                <w:szCs w:val="12"/>
                <w:lang w:val="es-ES"/>
              </w:rPr>
              <w:t>PAQUETE</w:t>
            </w:r>
            <w:r>
              <w:rPr>
                <w:rFonts w:ascii="Arial" w:eastAsia="Times New Roman" w:hAnsi="Arial" w:cs="Arial"/>
                <w:spacing w:val="3"/>
                <w:sz w:val="12"/>
                <w:szCs w:val="12"/>
                <w:lang w:val="es-ES"/>
              </w:rPr>
              <w:t xml:space="preserve"> </w:t>
            </w:r>
            <w:r>
              <w:rPr>
                <w:rFonts w:ascii="Arial" w:eastAsia="Times New Roman" w:hAnsi="Arial" w:cs="Arial"/>
                <w:spacing w:val="-2"/>
                <w:sz w:val="12"/>
                <w:szCs w:val="12"/>
                <w:lang w:val="es-ES"/>
              </w:rPr>
              <w:t>PRENUPCIAL</w:t>
            </w:r>
          </w:p>
        </w:tc>
        <w:tc>
          <w:tcPr>
            <w:tcW w:w="779" w:type="dxa"/>
            <w:tcBorders>
              <w:top w:val="double" w:sz="4" w:space="0" w:color="000000"/>
              <w:left w:val="single" w:sz="4" w:space="0" w:color="000000"/>
              <w:bottom w:val="double" w:sz="4" w:space="0" w:color="000000"/>
              <w:right w:val="single" w:sz="4" w:space="0" w:color="000000"/>
            </w:tcBorders>
            <w:vAlign w:val="center"/>
          </w:tcPr>
          <w:p w14:paraId="4F1F926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093F6510"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6014D7C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1AA6B34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0838774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7945638A" w14:textId="77777777" w:rsidR="00D3344B" w:rsidRDefault="00143C25">
            <w:pPr>
              <w:widowControl w:val="0"/>
              <w:suppressAutoHyphens w:val="0"/>
              <w:spacing w:before="51"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3</w:t>
            </w:r>
          </w:p>
        </w:tc>
      </w:tr>
      <w:tr w:rsidR="00D3344B" w14:paraId="6F356D02" w14:textId="77777777">
        <w:trPr>
          <w:trHeight w:val="553"/>
        </w:trPr>
        <w:tc>
          <w:tcPr>
            <w:tcW w:w="1106" w:type="dxa"/>
            <w:tcBorders>
              <w:top w:val="double" w:sz="4" w:space="0" w:color="000000"/>
              <w:left w:val="single" w:sz="4" w:space="0" w:color="000000"/>
              <w:bottom w:val="double" w:sz="4" w:space="0" w:color="000000"/>
              <w:right w:val="single" w:sz="4" w:space="0" w:color="000000"/>
            </w:tcBorders>
          </w:tcPr>
          <w:p w14:paraId="455C9EBF"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03-EIDIU-001-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0D42E539" w14:textId="77777777" w:rsidR="00D3344B" w:rsidRDefault="00143C25">
            <w:pPr>
              <w:widowControl w:val="0"/>
              <w:tabs>
                <w:tab w:val="left" w:pos="951"/>
                <w:tab w:val="left" w:pos="1942"/>
                <w:tab w:val="left" w:pos="2383"/>
                <w:tab w:val="left" w:pos="3475"/>
              </w:tabs>
              <w:suppressAutoHyphens w:val="0"/>
              <w:spacing w:after="0" w:line="170" w:lineRule="exact"/>
              <w:ind w:right="64"/>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ESTUDIO</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INTEGRAL</w:t>
            </w:r>
            <w:r>
              <w:rPr>
                <w:rFonts w:ascii="Arial" w:eastAsia="Times New Roman" w:hAnsi="Arial" w:cs="Arial"/>
                <w:sz w:val="12"/>
                <w:szCs w:val="12"/>
                <w:lang w:val="es-ES"/>
              </w:rPr>
              <w:t xml:space="preserve"> </w:t>
            </w:r>
            <w:r>
              <w:rPr>
                <w:rFonts w:ascii="Arial" w:eastAsia="Times New Roman" w:hAnsi="Arial" w:cs="Arial"/>
                <w:spacing w:val="-6"/>
                <w:sz w:val="12"/>
                <w:szCs w:val="12"/>
                <w:lang w:val="es-ES"/>
              </w:rPr>
              <w:t>DE</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DETECCIÓN</w:t>
            </w:r>
            <w:r>
              <w:rPr>
                <w:rFonts w:ascii="Arial" w:eastAsia="Times New Roman" w:hAnsi="Arial" w:cs="Arial"/>
                <w:sz w:val="12"/>
                <w:szCs w:val="12"/>
                <w:lang w:val="es-ES"/>
              </w:rPr>
              <w:t xml:space="preserve"> </w:t>
            </w:r>
            <w:r>
              <w:rPr>
                <w:rFonts w:ascii="Arial" w:eastAsia="Times New Roman" w:hAnsi="Arial" w:cs="Arial"/>
                <w:spacing w:val="-6"/>
                <w:sz w:val="12"/>
                <w:szCs w:val="12"/>
                <w:lang w:val="es-ES"/>
              </w:rPr>
              <w:t>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INFECCIONES</w:t>
            </w:r>
            <w:r>
              <w:rPr>
                <w:rFonts w:ascii="Arial" w:eastAsia="Times New Roman" w:hAnsi="Arial" w:cs="Arial"/>
                <w:spacing w:val="-3"/>
                <w:sz w:val="12"/>
                <w:szCs w:val="12"/>
                <w:lang w:val="es-ES"/>
              </w:rPr>
              <w:t xml:space="preserve"> </w:t>
            </w:r>
            <w:r>
              <w:rPr>
                <w:rFonts w:ascii="Arial" w:eastAsia="Times New Roman" w:hAnsi="Arial" w:cs="Arial"/>
                <w:sz w:val="12"/>
                <w:szCs w:val="12"/>
                <w:lang w:val="es-ES"/>
              </w:rPr>
              <w:t>URINARIAS</w:t>
            </w:r>
          </w:p>
        </w:tc>
        <w:tc>
          <w:tcPr>
            <w:tcW w:w="779" w:type="dxa"/>
            <w:tcBorders>
              <w:top w:val="double" w:sz="4" w:space="0" w:color="000000"/>
              <w:left w:val="single" w:sz="4" w:space="0" w:color="000000"/>
              <w:bottom w:val="double" w:sz="4" w:space="0" w:color="000000"/>
              <w:right w:val="single" w:sz="4" w:space="0" w:color="000000"/>
            </w:tcBorders>
            <w:vAlign w:val="center"/>
          </w:tcPr>
          <w:p w14:paraId="5A607B6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26ABAAB"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1387F7F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6240309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53941E3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74580143" w14:textId="77777777" w:rsidR="00D3344B" w:rsidRDefault="00143C25">
            <w:pPr>
              <w:widowControl w:val="0"/>
              <w:suppressAutoHyphens w:val="0"/>
              <w:spacing w:after="0" w:line="240" w:lineRule="auto"/>
              <w:ind w:right="254"/>
              <w:jc w:val="center"/>
              <w:rPr>
                <w:rFonts w:ascii="Arial" w:eastAsia="Times New Roman" w:hAnsi="Arial" w:cs="Arial"/>
                <w:b/>
                <w:sz w:val="12"/>
                <w:szCs w:val="12"/>
                <w:lang w:val="es-ES"/>
              </w:rPr>
            </w:pPr>
            <w:r>
              <w:rPr>
                <w:rFonts w:ascii="Arial" w:eastAsia="Times New Roman" w:hAnsi="Arial" w:cs="Arial"/>
                <w:b/>
                <w:spacing w:val="-5"/>
                <w:sz w:val="12"/>
                <w:szCs w:val="12"/>
                <w:lang w:val="es-ES"/>
              </w:rPr>
              <w:t>1.5</w:t>
            </w:r>
          </w:p>
        </w:tc>
      </w:tr>
      <w:tr w:rsidR="00D3344B" w14:paraId="0DB60AA5" w14:textId="77777777">
        <w:trPr>
          <w:trHeight w:val="584"/>
        </w:trPr>
        <w:tc>
          <w:tcPr>
            <w:tcW w:w="1106" w:type="dxa"/>
            <w:tcBorders>
              <w:top w:val="double" w:sz="4" w:space="0" w:color="000000"/>
              <w:left w:val="single" w:sz="4" w:space="0" w:color="000000"/>
              <w:bottom w:val="double" w:sz="4" w:space="0" w:color="000000"/>
              <w:right w:val="single" w:sz="4" w:space="0" w:color="000000"/>
            </w:tcBorders>
          </w:tcPr>
          <w:p w14:paraId="6FA3E7B9"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03-PECM-001-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7DFDAA1A" w14:textId="77777777" w:rsidR="00D3344B" w:rsidRDefault="00143C25">
            <w:pPr>
              <w:widowControl w:val="0"/>
              <w:suppressAutoHyphens w:val="0"/>
              <w:spacing w:after="0" w:line="170" w:lineRule="atLeast"/>
              <w:rPr>
                <w:rFonts w:ascii="Arial" w:eastAsia="Times New Roman" w:hAnsi="Arial" w:cs="Arial"/>
                <w:sz w:val="12"/>
                <w:szCs w:val="12"/>
                <w:lang w:val="es-ES"/>
              </w:rPr>
            </w:pPr>
            <w:r>
              <w:rPr>
                <w:rFonts w:ascii="Arial" w:eastAsia="Times New Roman" w:hAnsi="Arial" w:cs="Arial"/>
                <w:sz w:val="12"/>
                <w:szCs w:val="12"/>
                <w:lang w:val="es-ES"/>
              </w:rPr>
              <w:t xml:space="preserve"> PAQUETE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ESTUDIOS</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PARA</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OBTENCION</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40"/>
                <w:sz w:val="12"/>
                <w:szCs w:val="12"/>
                <w:lang w:val="es-ES"/>
              </w:rPr>
              <w:t xml:space="preserve"> </w:t>
            </w:r>
            <w:r>
              <w:rPr>
                <w:rFonts w:ascii="Arial" w:eastAsia="Times New Roman" w:hAnsi="Arial" w:cs="Arial"/>
                <w:sz w:val="12"/>
                <w:szCs w:val="12"/>
                <w:lang w:val="es-ES"/>
              </w:rPr>
              <w:t>CERTIFICADO</w:t>
            </w:r>
            <w:r>
              <w:rPr>
                <w:rFonts w:ascii="Arial" w:eastAsia="Times New Roman" w:hAnsi="Arial" w:cs="Arial"/>
                <w:spacing w:val="-5"/>
                <w:sz w:val="12"/>
                <w:szCs w:val="12"/>
                <w:lang w:val="es-ES"/>
              </w:rPr>
              <w:t xml:space="preserve"> </w:t>
            </w:r>
            <w:r>
              <w:rPr>
                <w:rFonts w:ascii="Arial" w:eastAsia="Times New Roman" w:hAnsi="Arial" w:cs="Arial"/>
                <w:sz w:val="12"/>
                <w:szCs w:val="12"/>
                <w:lang w:val="es-ES"/>
              </w:rPr>
              <w:t>MEDICO</w:t>
            </w:r>
          </w:p>
        </w:tc>
        <w:tc>
          <w:tcPr>
            <w:tcW w:w="779" w:type="dxa"/>
            <w:tcBorders>
              <w:top w:val="double" w:sz="4" w:space="0" w:color="000000"/>
              <w:left w:val="single" w:sz="4" w:space="0" w:color="000000"/>
              <w:bottom w:val="double" w:sz="4" w:space="0" w:color="000000"/>
              <w:right w:val="single" w:sz="4" w:space="0" w:color="000000"/>
            </w:tcBorders>
            <w:vAlign w:val="center"/>
          </w:tcPr>
          <w:p w14:paraId="0773981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789D77F3"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4C0F92D2"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0C8071B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36970A6A"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5B77604B" w14:textId="77777777" w:rsidR="00D3344B" w:rsidRDefault="00143C25">
            <w:pPr>
              <w:widowControl w:val="0"/>
              <w:suppressAutoHyphens w:val="0"/>
              <w:spacing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3</w:t>
            </w:r>
          </w:p>
        </w:tc>
      </w:tr>
      <w:tr w:rsidR="00D3344B" w14:paraId="4E368280" w14:textId="77777777">
        <w:trPr>
          <w:trHeight w:val="283"/>
        </w:trPr>
        <w:tc>
          <w:tcPr>
            <w:tcW w:w="1106" w:type="dxa"/>
            <w:tcBorders>
              <w:top w:val="double" w:sz="4" w:space="0" w:color="000000"/>
              <w:left w:val="single" w:sz="4" w:space="0" w:color="000000"/>
              <w:bottom w:val="double" w:sz="4" w:space="0" w:color="000000"/>
              <w:right w:val="single" w:sz="4" w:space="0" w:color="000000"/>
            </w:tcBorders>
          </w:tcPr>
          <w:p w14:paraId="1BC316EA" w14:textId="77777777" w:rsidR="00D3344B" w:rsidRDefault="00143C25">
            <w:pPr>
              <w:widowControl w:val="0"/>
              <w:suppressAutoHyphens w:val="0"/>
              <w:spacing w:before="54" w:after="0" w:line="240" w:lineRule="auto"/>
              <w:rPr>
                <w:rFonts w:ascii="Arial" w:eastAsia="Times New Roman" w:hAnsi="Arial" w:cs="Arial"/>
                <w:sz w:val="12"/>
                <w:szCs w:val="12"/>
                <w:lang w:val="es-ES"/>
              </w:rPr>
            </w:pPr>
            <w:r>
              <w:rPr>
                <w:rFonts w:ascii="Arial" w:eastAsia="Times New Roman" w:hAnsi="Arial" w:cs="Arial"/>
                <w:spacing w:val="-2"/>
                <w:sz w:val="12"/>
                <w:szCs w:val="12"/>
                <w:lang w:val="es-ES"/>
              </w:rPr>
              <w:t>03-PCH-001-</w:t>
            </w:r>
            <w:r>
              <w:rPr>
                <w:rFonts w:ascii="Arial" w:eastAsia="Times New Roman" w:hAnsi="Arial" w:cs="Arial"/>
                <w:spacing w:val="-5"/>
                <w:sz w:val="12"/>
                <w:szCs w:val="12"/>
                <w:lang w:val="es-ES"/>
              </w:rPr>
              <w:t>12</w:t>
            </w:r>
          </w:p>
        </w:tc>
        <w:tc>
          <w:tcPr>
            <w:tcW w:w="2977" w:type="dxa"/>
            <w:tcBorders>
              <w:top w:val="double" w:sz="4" w:space="0" w:color="000000"/>
              <w:left w:val="single" w:sz="4" w:space="0" w:color="000000"/>
              <w:bottom w:val="double" w:sz="4" w:space="0" w:color="000000"/>
              <w:right w:val="single" w:sz="4" w:space="0" w:color="000000"/>
            </w:tcBorders>
          </w:tcPr>
          <w:p w14:paraId="2652C09D" w14:textId="77777777" w:rsidR="00D3344B" w:rsidRDefault="00143C25">
            <w:pPr>
              <w:widowControl w:val="0"/>
              <w:suppressAutoHyphens w:val="0"/>
              <w:spacing w:before="119" w:after="0" w:line="145" w:lineRule="exact"/>
              <w:rPr>
                <w:rFonts w:ascii="Arial" w:eastAsia="Times New Roman" w:hAnsi="Arial" w:cs="Arial"/>
                <w:sz w:val="12"/>
                <w:szCs w:val="12"/>
                <w:lang w:val="es-ES"/>
              </w:rPr>
            </w:pPr>
            <w:r>
              <w:rPr>
                <w:rFonts w:ascii="Arial" w:eastAsia="Times New Roman" w:hAnsi="Arial" w:cs="Arial"/>
                <w:sz w:val="12"/>
                <w:szCs w:val="12"/>
                <w:lang w:val="es-ES"/>
              </w:rPr>
              <w:t>PAQUETE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CAPTURA</w:t>
            </w:r>
            <w:r>
              <w:rPr>
                <w:rFonts w:ascii="Arial" w:eastAsia="Times New Roman" w:hAnsi="Arial" w:cs="Arial"/>
                <w:spacing w:val="-6"/>
                <w:sz w:val="12"/>
                <w:szCs w:val="12"/>
                <w:lang w:val="es-ES"/>
              </w:rPr>
              <w:t xml:space="preserve"> </w:t>
            </w:r>
            <w:r>
              <w:rPr>
                <w:rFonts w:ascii="Arial" w:eastAsia="Times New Roman" w:hAnsi="Arial" w:cs="Arial"/>
                <w:sz w:val="12"/>
                <w:szCs w:val="12"/>
                <w:lang w:val="es-ES"/>
              </w:rPr>
              <w:t>DE</w:t>
            </w:r>
            <w:r>
              <w:rPr>
                <w:rFonts w:ascii="Arial" w:eastAsia="Times New Roman" w:hAnsi="Arial" w:cs="Arial"/>
                <w:spacing w:val="-6"/>
                <w:sz w:val="12"/>
                <w:szCs w:val="12"/>
                <w:lang w:val="es-ES"/>
              </w:rPr>
              <w:t xml:space="preserve"> </w:t>
            </w:r>
            <w:r>
              <w:rPr>
                <w:rFonts w:ascii="Arial" w:eastAsia="Times New Roman" w:hAnsi="Arial" w:cs="Arial"/>
                <w:spacing w:val="-2"/>
                <w:sz w:val="12"/>
                <w:szCs w:val="12"/>
                <w:lang w:val="es-ES"/>
              </w:rPr>
              <w:t>HIBRIDOS</w:t>
            </w:r>
          </w:p>
        </w:tc>
        <w:tc>
          <w:tcPr>
            <w:tcW w:w="779" w:type="dxa"/>
            <w:tcBorders>
              <w:top w:val="double" w:sz="4" w:space="0" w:color="000000"/>
              <w:left w:val="single" w:sz="4" w:space="0" w:color="000000"/>
              <w:bottom w:val="double" w:sz="4" w:space="0" w:color="000000"/>
              <w:right w:val="single" w:sz="4" w:space="0" w:color="000000"/>
            </w:tcBorders>
            <w:vAlign w:val="center"/>
          </w:tcPr>
          <w:p w14:paraId="4FB403F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480874F7"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double" w:sz="4" w:space="0" w:color="000000"/>
              <w:right w:val="single" w:sz="4" w:space="0" w:color="000000"/>
            </w:tcBorders>
            <w:vAlign w:val="center"/>
          </w:tcPr>
          <w:p w14:paraId="077C12F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3DEFF1B5"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double" w:sz="4" w:space="0" w:color="000000"/>
              <w:right w:val="single" w:sz="4" w:space="0" w:color="000000"/>
            </w:tcBorders>
            <w:vAlign w:val="center"/>
          </w:tcPr>
          <w:p w14:paraId="39188924"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double" w:sz="4" w:space="0" w:color="000000"/>
              <w:right w:val="single" w:sz="4" w:space="0" w:color="000000"/>
            </w:tcBorders>
            <w:vAlign w:val="center"/>
          </w:tcPr>
          <w:p w14:paraId="7D52027D" w14:textId="77777777" w:rsidR="00D3344B" w:rsidRDefault="00143C25">
            <w:pPr>
              <w:widowControl w:val="0"/>
              <w:suppressAutoHyphens w:val="0"/>
              <w:spacing w:before="52" w:after="0" w:line="240" w:lineRule="auto"/>
              <w:ind w:right="254"/>
              <w:jc w:val="center"/>
              <w:rPr>
                <w:rFonts w:ascii="Arial" w:eastAsia="Times New Roman" w:hAnsi="Arial" w:cs="Arial"/>
                <w:b/>
                <w:sz w:val="12"/>
                <w:szCs w:val="12"/>
                <w:lang w:val="es-ES"/>
              </w:rPr>
            </w:pPr>
            <w:r>
              <w:rPr>
                <w:rFonts w:ascii="Arial" w:eastAsia="Times New Roman" w:hAnsi="Arial" w:cs="Arial"/>
                <w:b/>
                <w:spacing w:val="-4"/>
                <w:sz w:val="12"/>
                <w:szCs w:val="12"/>
                <w:lang w:val="es-ES"/>
              </w:rPr>
              <w:t>11.5</w:t>
            </w:r>
          </w:p>
        </w:tc>
      </w:tr>
      <w:tr w:rsidR="00D3344B" w14:paraId="1D1441E8" w14:textId="77777777">
        <w:trPr>
          <w:trHeight w:val="641"/>
        </w:trPr>
        <w:tc>
          <w:tcPr>
            <w:tcW w:w="1106" w:type="dxa"/>
            <w:tcBorders>
              <w:top w:val="double" w:sz="4" w:space="0" w:color="000000"/>
              <w:left w:val="single" w:sz="4" w:space="0" w:color="000000"/>
              <w:bottom w:val="single" w:sz="4" w:space="0" w:color="000000"/>
              <w:right w:val="single" w:sz="4" w:space="0" w:color="000000"/>
            </w:tcBorders>
          </w:tcPr>
          <w:p w14:paraId="1C39438A" w14:textId="77777777" w:rsidR="00D3344B" w:rsidRDefault="00143C25">
            <w:pPr>
              <w:widowControl w:val="0"/>
              <w:suppressAutoHyphens w:val="0"/>
              <w:spacing w:after="0" w:line="240" w:lineRule="auto"/>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03-PICV-001-</w:t>
            </w:r>
            <w:r>
              <w:rPr>
                <w:rFonts w:ascii="Arial" w:eastAsia="Times New Roman" w:hAnsi="Arial" w:cs="Arial"/>
                <w:spacing w:val="-5"/>
                <w:sz w:val="12"/>
                <w:szCs w:val="12"/>
                <w:lang w:val="es-ES"/>
              </w:rPr>
              <w:t>15</w:t>
            </w:r>
          </w:p>
        </w:tc>
        <w:tc>
          <w:tcPr>
            <w:tcW w:w="2977" w:type="dxa"/>
            <w:tcBorders>
              <w:top w:val="double" w:sz="4" w:space="0" w:color="000000"/>
              <w:left w:val="single" w:sz="4" w:space="0" w:color="000000"/>
              <w:bottom w:val="single" w:sz="4" w:space="0" w:color="000000"/>
              <w:right w:val="single" w:sz="4" w:space="0" w:color="000000"/>
            </w:tcBorders>
          </w:tcPr>
          <w:p w14:paraId="5BE0D335" w14:textId="77777777" w:rsidR="00D3344B" w:rsidRDefault="00143C25">
            <w:pPr>
              <w:widowControl w:val="0"/>
              <w:tabs>
                <w:tab w:val="left" w:pos="1275"/>
                <w:tab w:val="left" w:pos="1736"/>
                <w:tab w:val="left" w:pos="2969"/>
              </w:tabs>
              <w:suppressAutoHyphens w:val="0"/>
              <w:spacing w:before="92" w:after="0" w:line="170" w:lineRule="atLeast"/>
              <w:ind w:right="60"/>
              <w:rPr>
                <w:rFonts w:ascii="Arial" w:eastAsia="Times New Roman" w:hAnsi="Arial" w:cs="Arial"/>
                <w:sz w:val="12"/>
                <w:szCs w:val="12"/>
                <w:lang w:val="es-ES"/>
              </w:rPr>
            </w:pP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PREVENCION</w:t>
            </w:r>
            <w:r>
              <w:rPr>
                <w:rFonts w:ascii="Arial" w:eastAsia="Times New Roman" w:hAnsi="Arial" w:cs="Arial"/>
                <w:sz w:val="12"/>
                <w:szCs w:val="12"/>
                <w:lang w:val="es-ES"/>
              </w:rPr>
              <w:t xml:space="preserve"> </w:t>
            </w:r>
            <w:r>
              <w:rPr>
                <w:rFonts w:ascii="Arial" w:eastAsia="Times New Roman" w:hAnsi="Arial" w:cs="Arial"/>
                <w:spacing w:val="-6"/>
                <w:sz w:val="12"/>
                <w:szCs w:val="12"/>
                <w:lang w:val="es-ES"/>
              </w:rPr>
              <w:t>DE</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INFECCIONES</w:t>
            </w:r>
            <w:r>
              <w:rPr>
                <w:rFonts w:ascii="Arial" w:eastAsia="Times New Roman" w:hAnsi="Arial" w:cs="Arial"/>
                <w:sz w:val="12"/>
                <w:szCs w:val="12"/>
                <w:lang w:val="es-ES"/>
              </w:rPr>
              <w:t xml:space="preserve"> </w:t>
            </w:r>
            <w:r>
              <w:rPr>
                <w:rFonts w:ascii="Arial" w:eastAsia="Times New Roman" w:hAnsi="Arial" w:cs="Arial"/>
                <w:spacing w:val="-2"/>
                <w:sz w:val="12"/>
                <w:szCs w:val="12"/>
                <w:lang w:val="es-ES"/>
              </w:rPr>
              <w:t>CERVICO-</w:t>
            </w:r>
            <w:r>
              <w:rPr>
                <w:rFonts w:ascii="Arial" w:eastAsia="Times New Roman" w:hAnsi="Arial" w:cs="Arial"/>
                <w:spacing w:val="40"/>
                <w:sz w:val="12"/>
                <w:szCs w:val="12"/>
                <w:lang w:val="es-ES"/>
              </w:rPr>
              <w:t xml:space="preserve"> </w:t>
            </w:r>
            <w:r>
              <w:rPr>
                <w:rFonts w:ascii="Arial" w:eastAsia="Times New Roman" w:hAnsi="Arial" w:cs="Arial"/>
                <w:spacing w:val="-2"/>
                <w:sz w:val="12"/>
                <w:szCs w:val="12"/>
                <w:lang w:val="es-ES"/>
              </w:rPr>
              <w:t>VAGINALES</w:t>
            </w:r>
          </w:p>
        </w:tc>
        <w:tc>
          <w:tcPr>
            <w:tcW w:w="779" w:type="dxa"/>
            <w:tcBorders>
              <w:top w:val="double" w:sz="4" w:space="0" w:color="000000"/>
              <w:left w:val="single" w:sz="4" w:space="0" w:color="000000"/>
              <w:bottom w:val="single" w:sz="4" w:space="0" w:color="000000"/>
              <w:right w:val="single" w:sz="4" w:space="0" w:color="000000"/>
            </w:tcBorders>
            <w:vAlign w:val="center"/>
          </w:tcPr>
          <w:p w14:paraId="5B137C6F"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single" w:sz="4" w:space="0" w:color="000000"/>
              <w:right w:val="single" w:sz="4" w:space="0" w:color="000000"/>
            </w:tcBorders>
            <w:vAlign w:val="center"/>
          </w:tcPr>
          <w:p w14:paraId="1599828C"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1" w:type="dxa"/>
            <w:tcBorders>
              <w:top w:val="double" w:sz="4" w:space="0" w:color="000000"/>
              <w:left w:val="single" w:sz="4" w:space="0" w:color="000000"/>
              <w:bottom w:val="single" w:sz="4" w:space="0" w:color="000000"/>
              <w:right w:val="single" w:sz="4" w:space="0" w:color="000000"/>
            </w:tcBorders>
            <w:vAlign w:val="center"/>
          </w:tcPr>
          <w:p w14:paraId="3D31EEA1"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single" w:sz="4" w:space="0" w:color="000000"/>
              <w:right w:val="single" w:sz="4" w:space="0" w:color="000000"/>
            </w:tcBorders>
            <w:vAlign w:val="center"/>
          </w:tcPr>
          <w:p w14:paraId="3F9C720D"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80" w:type="dxa"/>
            <w:tcBorders>
              <w:top w:val="double" w:sz="4" w:space="0" w:color="000000"/>
              <w:left w:val="single" w:sz="4" w:space="0" w:color="000000"/>
              <w:bottom w:val="single" w:sz="4" w:space="0" w:color="000000"/>
              <w:right w:val="single" w:sz="4" w:space="0" w:color="000000"/>
            </w:tcBorders>
            <w:vAlign w:val="center"/>
          </w:tcPr>
          <w:p w14:paraId="6FD03536" w14:textId="77777777" w:rsidR="00D3344B" w:rsidRDefault="00D3344B">
            <w:pPr>
              <w:widowControl w:val="0"/>
              <w:suppressAutoHyphens w:val="0"/>
              <w:spacing w:after="0" w:line="240" w:lineRule="auto"/>
              <w:jc w:val="center"/>
              <w:rPr>
                <w:rFonts w:ascii="Arial" w:eastAsia="Times New Roman" w:hAnsi="Arial" w:cs="Arial"/>
                <w:sz w:val="12"/>
                <w:szCs w:val="12"/>
                <w:lang w:val="es-ES"/>
              </w:rPr>
            </w:pPr>
          </w:p>
        </w:tc>
        <w:tc>
          <w:tcPr>
            <w:tcW w:w="779" w:type="dxa"/>
            <w:tcBorders>
              <w:top w:val="double" w:sz="4" w:space="0" w:color="000000"/>
              <w:left w:val="single" w:sz="4" w:space="0" w:color="000000"/>
              <w:bottom w:val="single" w:sz="4" w:space="0" w:color="000000"/>
              <w:right w:val="single" w:sz="4" w:space="0" w:color="000000"/>
            </w:tcBorders>
            <w:vAlign w:val="center"/>
          </w:tcPr>
          <w:p w14:paraId="21964650" w14:textId="77777777" w:rsidR="00D3344B" w:rsidRDefault="00143C25">
            <w:pPr>
              <w:widowControl w:val="0"/>
              <w:suppressAutoHyphens w:val="0"/>
              <w:spacing w:after="0" w:line="240" w:lineRule="auto"/>
              <w:jc w:val="center"/>
              <w:rPr>
                <w:rFonts w:ascii="Arial" w:eastAsia="Times New Roman" w:hAnsi="Arial" w:cs="Arial"/>
                <w:b/>
                <w:sz w:val="12"/>
                <w:szCs w:val="12"/>
                <w:lang w:val="es-ES"/>
              </w:rPr>
            </w:pPr>
            <w:r>
              <w:rPr>
                <w:rFonts w:ascii="Arial" w:eastAsia="Times New Roman" w:hAnsi="Arial" w:cs="Arial"/>
                <w:b/>
                <w:sz w:val="12"/>
                <w:szCs w:val="12"/>
                <w:lang w:val="es-ES"/>
              </w:rPr>
              <w:t>6</w:t>
            </w:r>
          </w:p>
        </w:tc>
      </w:tr>
    </w:tbl>
    <w:p w14:paraId="2D3128C4" w14:textId="77777777" w:rsidR="00D3344B" w:rsidRDefault="00D3344B">
      <w:pPr>
        <w:pStyle w:val="Estilo"/>
        <w:rPr>
          <w:rFonts w:cs="Arial"/>
        </w:rPr>
      </w:pPr>
    </w:p>
    <w:p w14:paraId="51F5A59E" w14:textId="77777777" w:rsidR="00D3344B" w:rsidRDefault="00D3344B">
      <w:pPr>
        <w:pStyle w:val="Estilo"/>
        <w:rPr>
          <w:rFonts w:cs="Arial"/>
        </w:rPr>
      </w:pPr>
    </w:p>
    <w:p w14:paraId="57DF8400" w14:textId="77777777" w:rsidR="00D3344B" w:rsidRDefault="00143C25">
      <w:pPr>
        <w:pStyle w:val="Estilo"/>
        <w:rPr>
          <w:rFonts w:cs="Arial"/>
          <w:b/>
          <w:bCs/>
          <w:sz w:val="22"/>
        </w:rPr>
      </w:pPr>
      <w:r>
        <w:rPr>
          <w:rFonts w:cs="Arial"/>
        </w:rPr>
        <w:t xml:space="preserve">III. </w:t>
      </w:r>
      <w:r>
        <w:rPr>
          <w:rFonts w:cs="Arial"/>
          <w:bCs/>
          <w:sz w:val="22"/>
        </w:rPr>
        <w:t>(DEROGADO, P.O. 29 DICIEMBRE 2010)</w:t>
      </w:r>
    </w:p>
    <w:p w14:paraId="34D7D987" w14:textId="77777777" w:rsidR="00D3344B" w:rsidRDefault="00D3344B">
      <w:pPr>
        <w:pStyle w:val="Estilo"/>
        <w:rPr>
          <w:rFonts w:cs="Arial"/>
        </w:rPr>
      </w:pPr>
    </w:p>
    <w:p w14:paraId="57C0EE9A" w14:textId="77777777" w:rsidR="00D3344B" w:rsidRDefault="00143C25">
      <w:pPr>
        <w:pStyle w:val="Estilo"/>
        <w:rPr>
          <w:rFonts w:cs="Arial"/>
        </w:rPr>
      </w:pPr>
      <w:r>
        <w:rPr>
          <w:rFonts w:cs="Arial"/>
          <w:i/>
          <w:sz w:val="16"/>
        </w:rPr>
        <w:t>(REFORMADA, P.O. 26 DE DICIEMBRE DE 2022)</w:t>
      </w:r>
    </w:p>
    <w:p w14:paraId="1F8E6CA1" w14:textId="77777777" w:rsidR="00D3344B" w:rsidRDefault="00143C25">
      <w:pPr>
        <w:pStyle w:val="Estilo"/>
        <w:rPr>
          <w:rFonts w:eastAsia="Times New Roman" w:cs="Arial"/>
          <w:b/>
        </w:rPr>
      </w:pPr>
      <w:r>
        <w:rPr>
          <w:rFonts w:cs="Arial"/>
        </w:rPr>
        <w:t>IV. Servicios del Módulo de la Mujer</w:t>
      </w:r>
      <w:r>
        <w:rPr>
          <w:rFonts w:eastAsia="Times New Roman" w:cs="Arial"/>
          <w:b/>
        </w:rPr>
        <w:t>:</w:t>
      </w:r>
    </w:p>
    <w:p w14:paraId="35EA186F" w14:textId="77777777" w:rsidR="00D3344B" w:rsidRDefault="00D3344B">
      <w:pPr>
        <w:pStyle w:val="Estilo"/>
        <w:rPr>
          <w:rFonts w:cs="Arial"/>
          <w:i/>
          <w:sz w:val="16"/>
        </w:rPr>
      </w:pPr>
    </w:p>
    <w:p w14:paraId="70B819C9" w14:textId="77777777" w:rsidR="00D3344B" w:rsidRDefault="00143C25">
      <w:pPr>
        <w:pStyle w:val="Estilo"/>
        <w:rPr>
          <w:rFonts w:cs="Arial"/>
        </w:rPr>
      </w:pPr>
      <w:r>
        <w:rPr>
          <w:rFonts w:cs="Arial"/>
          <w:i/>
          <w:sz w:val="16"/>
        </w:rPr>
        <w:t>(REFORMADA, P.O. 29 DE NOVIEMBRE DE 2023)</w:t>
      </w:r>
    </w:p>
    <w:p w14:paraId="61C22E73" w14:textId="77777777" w:rsidR="00D3344B" w:rsidRDefault="00D3344B">
      <w:pPr>
        <w:pStyle w:val="Estilo"/>
        <w:rPr>
          <w:rFonts w:eastAsia="Times New Roman" w:cs="Arial"/>
          <w:b/>
        </w:rPr>
      </w:pPr>
    </w:p>
    <w:tbl>
      <w:tblPr>
        <w:tblStyle w:val="TableNormal"/>
        <w:tblW w:w="8842" w:type="dxa"/>
        <w:tblInd w:w="127" w:type="dxa"/>
        <w:tblLayout w:type="fixed"/>
        <w:tblCellMar>
          <w:left w:w="5" w:type="dxa"/>
          <w:right w:w="5" w:type="dxa"/>
        </w:tblCellMar>
        <w:tblLook w:val="01E0" w:firstRow="1" w:lastRow="1" w:firstColumn="1" w:lastColumn="1" w:noHBand="0" w:noVBand="0"/>
      </w:tblPr>
      <w:tblGrid>
        <w:gridCol w:w="1260"/>
        <w:gridCol w:w="3277"/>
        <w:gridCol w:w="709"/>
        <w:gridCol w:w="711"/>
        <w:gridCol w:w="709"/>
        <w:gridCol w:w="710"/>
        <w:gridCol w:w="711"/>
        <w:gridCol w:w="755"/>
      </w:tblGrid>
      <w:tr w:rsidR="00D3344B" w14:paraId="59D3A68C" w14:textId="77777777">
        <w:trPr>
          <w:trHeight w:val="505"/>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717CEA7C" w14:textId="77777777" w:rsidR="00D3344B" w:rsidRDefault="00D3344B">
            <w:pPr>
              <w:pStyle w:val="TableParagraph"/>
              <w:spacing w:before="11"/>
              <w:rPr>
                <w:rFonts w:ascii="Arial" w:hAnsi="Arial" w:cs="Arial"/>
                <w:sz w:val="18"/>
                <w:szCs w:val="18"/>
              </w:rPr>
            </w:pPr>
          </w:p>
          <w:p w14:paraId="603C88C9" w14:textId="77777777" w:rsidR="00D3344B" w:rsidRDefault="00143C25">
            <w:pPr>
              <w:pStyle w:val="TableParagraph"/>
              <w:rPr>
                <w:rFonts w:ascii="Arial" w:hAnsi="Arial" w:cs="Arial"/>
                <w:b/>
                <w:sz w:val="18"/>
                <w:szCs w:val="18"/>
              </w:rPr>
            </w:pPr>
            <w:r>
              <w:rPr>
                <w:rFonts w:ascii="Arial" w:hAnsi="Arial" w:cs="Arial"/>
                <w:b/>
                <w:spacing w:val="-4"/>
                <w:w w:val="115"/>
                <w:sz w:val="18"/>
                <w:szCs w:val="18"/>
              </w:rPr>
              <w:t>Clave</w:t>
            </w:r>
          </w:p>
        </w:tc>
        <w:tc>
          <w:tcPr>
            <w:tcW w:w="3277" w:type="dxa"/>
            <w:vMerge w:val="restart"/>
            <w:tcBorders>
              <w:top w:val="single" w:sz="4" w:space="0" w:color="000000"/>
              <w:left w:val="single" w:sz="4" w:space="0" w:color="000000"/>
              <w:bottom w:val="single" w:sz="4" w:space="0" w:color="000000"/>
              <w:right w:val="single" w:sz="4" w:space="0" w:color="000000"/>
            </w:tcBorders>
            <w:shd w:val="clear" w:color="auto" w:fill="A6A6A6"/>
          </w:tcPr>
          <w:p w14:paraId="0D587D09" w14:textId="77777777" w:rsidR="00D3344B" w:rsidRDefault="00D3344B">
            <w:pPr>
              <w:pStyle w:val="TableParagraph"/>
              <w:spacing w:before="11"/>
              <w:rPr>
                <w:rFonts w:ascii="Arial" w:hAnsi="Arial" w:cs="Arial"/>
                <w:sz w:val="18"/>
                <w:szCs w:val="18"/>
              </w:rPr>
            </w:pPr>
          </w:p>
          <w:p w14:paraId="16C178F8" w14:textId="77777777" w:rsidR="00D3344B" w:rsidRDefault="00143C25">
            <w:pPr>
              <w:pStyle w:val="TableParagraph"/>
              <w:rPr>
                <w:rFonts w:ascii="Arial" w:hAnsi="Arial" w:cs="Arial"/>
                <w:b/>
                <w:sz w:val="18"/>
                <w:szCs w:val="18"/>
              </w:rPr>
            </w:pPr>
            <w:r>
              <w:rPr>
                <w:rFonts w:ascii="Arial" w:hAnsi="Arial" w:cs="Arial"/>
                <w:b/>
                <w:spacing w:val="-2"/>
                <w:w w:val="115"/>
                <w:sz w:val="18"/>
                <w:szCs w:val="18"/>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174A8C80" w14:textId="77777777" w:rsidR="00D3344B" w:rsidRDefault="00143C25">
            <w:pPr>
              <w:pStyle w:val="TableParagraph"/>
              <w:spacing w:line="254" w:lineRule="exact"/>
              <w:ind w:right="138"/>
              <w:rPr>
                <w:rFonts w:ascii="Arial" w:hAnsi="Arial" w:cs="Arial"/>
                <w:b/>
                <w:sz w:val="18"/>
                <w:szCs w:val="18"/>
              </w:rPr>
            </w:pPr>
            <w:r>
              <w:rPr>
                <w:rFonts w:ascii="Arial" w:hAnsi="Arial" w:cs="Arial"/>
                <w:b/>
                <w:spacing w:val="-4"/>
                <w:sz w:val="18"/>
                <w:szCs w:val="18"/>
              </w:rPr>
              <w:t xml:space="preserve">Nivel </w:t>
            </w:r>
            <w:r>
              <w:rPr>
                <w:rFonts w:ascii="Arial" w:hAnsi="Arial" w:cs="Arial"/>
                <w:b/>
                <w:spacing w:val="-10"/>
                <w:w w:val="110"/>
                <w:sz w:val="18"/>
                <w:szCs w:val="18"/>
              </w:rPr>
              <w:t>5</w:t>
            </w:r>
          </w:p>
        </w:tc>
        <w:tc>
          <w:tcPr>
            <w:tcW w:w="711" w:type="dxa"/>
            <w:tcBorders>
              <w:top w:val="single" w:sz="4" w:space="0" w:color="000000"/>
              <w:left w:val="single" w:sz="4" w:space="0" w:color="000000"/>
              <w:bottom w:val="single" w:sz="4" w:space="0" w:color="000000"/>
              <w:right w:val="single" w:sz="4" w:space="0" w:color="000000"/>
            </w:tcBorders>
            <w:shd w:val="clear" w:color="auto" w:fill="A6A6A6"/>
          </w:tcPr>
          <w:p w14:paraId="21FCCC24" w14:textId="77777777" w:rsidR="00D3344B" w:rsidRDefault="00143C25">
            <w:pPr>
              <w:pStyle w:val="TableParagraph"/>
              <w:spacing w:line="254" w:lineRule="exact"/>
              <w:ind w:left="3" w:right="138"/>
              <w:rPr>
                <w:rFonts w:ascii="Arial" w:hAnsi="Arial" w:cs="Arial"/>
                <w:b/>
                <w:sz w:val="18"/>
                <w:szCs w:val="18"/>
              </w:rPr>
            </w:pPr>
            <w:r>
              <w:rPr>
                <w:rFonts w:ascii="Arial" w:hAnsi="Arial" w:cs="Arial"/>
                <w:b/>
                <w:spacing w:val="-4"/>
                <w:sz w:val="18"/>
                <w:szCs w:val="18"/>
              </w:rPr>
              <w:t xml:space="preserve">Nivel </w:t>
            </w:r>
            <w:r>
              <w:rPr>
                <w:rFonts w:ascii="Arial" w:hAnsi="Arial" w:cs="Arial"/>
                <w:b/>
                <w:spacing w:val="-10"/>
                <w:w w:val="110"/>
                <w:sz w:val="18"/>
                <w:szCs w:val="1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6A6A6"/>
          </w:tcPr>
          <w:p w14:paraId="7A30390C" w14:textId="77777777" w:rsidR="00D3344B" w:rsidRDefault="00143C25">
            <w:pPr>
              <w:pStyle w:val="TableParagraph"/>
              <w:spacing w:line="254" w:lineRule="exact"/>
              <w:ind w:left="2" w:right="138"/>
              <w:rPr>
                <w:rFonts w:ascii="Arial" w:hAnsi="Arial" w:cs="Arial"/>
                <w:b/>
                <w:sz w:val="18"/>
                <w:szCs w:val="18"/>
              </w:rPr>
            </w:pPr>
            <w:r>
              <w:rPr>
                <w:rFonts w:ascii="Arial" w:hAnsi="Arial" w:cs="Arial"/>
                <w:b/>
                <w:spacing w:val="-4"/>
                <w:sz w:val="18"/>
                <w:szCs w:val="18"/>
              </w:rPr>
              <w:t xml:space="preserve">Nivel </w:t>
            </w:r>
            <w:r>
              <w:rPr>
                <w:rFonts w:ascii="Arial" w:hAnsi="Arial" w:cs="Arial"/>
                <w:b/>
                <w:spacing w:val="-10"/>
                <w:w w:val="110"/>
                <w:sz w:val="18"/>
                <w:szCs w:val="18"/>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6A6A6"/>
          </w:tcPr>
          <w:p w14:paraId="27097580" w14:textId="77777777" w:rsidR="00D3344B" w:rsidRDefault="00143C25">
            <w:pPr>
              <w:pStyle w:val="TableParagraph"/>
              <w:spacing w:line="254" w:lineRule="exact"/>
              <w:ind w:left="1" w:right="138"/>
              <w:rPr>
                <w:rFonts w:ascii="Arial" w:hAnsi="Arial" w:cs="Arial"/>
                <w:b/>
                <w:sz w:val="18"/>
                <w:szCs w:val="18"/>
              </w:rPr>
            </w:pPr>
            <w:r>
              <w:rPr>
                <w:rFonts w:ascii="Arial" w:hAnsi="Arial" w:cs="Arial"/>
                <w:b/>
                <w:spacing w:val="-4"/>
                <w:sz w:val="18"/>
                <w:szCs w:val="18"/>
              </w:rPr>
              <w:t xml:space="preserve">Nivel </w:t>
            </w:r>
            <w:r>
              <w:rPr>
                <w:rFonts w:ascii="Arial" w:hAnsi="Arial" w:cs="Arial"/>
                <w:b/>
                <w:spacing w:val="-10"/>
                <w:w w:val="110"/>
                <w:sz w:val="18"/>
                <w:szCs w:val="1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A6A6A6"/>
          </w:tcPr>
          <w:p w14:paraId="30ED77F5" w14:textId="77777777" w:rsidR="00D3344B" w:rsidRDefault="00143C25">
            <w:pPr>
              <w:pStyle w:val="TableParagraph"/>
              <w:spacing w:line="254" w:lineRule="exact"/>
              <w:ind w:right="142"/>
              <w:rPr>
                <w:rFonts w:ascii="Arial" w:hAnsi="Arial" w:cs="Arial"/>
                <w:b/>
                <w:sz w:val="18"/>
                <w:szCs w:val="18"/>
              </w:rPr>
            </w:pPr>
            <w:r>
              <w:rPr>
                <w:rFonts w:ascii="Arial" w:hAnsi="Arial" w:cs="Arial"/>
                <w:b/>
                <w:spacing w:val="-4"/>
                <w:sz w:val="18"/>
                <w:szCs w:val="18"/>
              </w:rPr>
              <w:t xml:space="preserve">Nivel </w:t>
            </w:r>
            <w:r>
              <w:rPr>
                <w:rFonts w:ascii="Arial" w:hAnsi="Arial" w:cs="Arial"/>
                <w:b/>
                <w:spacing w:val="-10"/>
                <w:w w:val="110"/>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6A6A6"/>
          </w:tcPr>
          <w:p w14:paraId="211FBE48" w14:textId="77777777" w:rsidR="00D3344B" w:rsidRDefault="00143C25">
            <w:pPr>
              <w:pStyle w:val="TableParagraph"/>
              <w:spacing w:line="254" w:lineRule="exact"/>
              <w:ind w:left="-1" w:right="109"/>
              <w:rPr>
                <w:rFonts w:ascii="Arial" w:hAnsi="Arial" w:cs="Arial"/>
                <w:b/>
                <w:sz w:val="18"/>
                <w:szCs w:val="18"/>
              </w:rPr>
            </w:pPr>
            <w:proofErr w:type="spellStart"/>
            <w:r>
              <w:rPr>
                <w:rFonts w:ascii="Arial" w:hAnsi="Arial" w:cs="Arial"/>
                <w:b/>
                <w:spacing w:val="-2"/>
                <w:sz w:val="18"/>
                <w:szCs w:val="18"/>
              </w:rPr>
              <w:t>Paque</w:t>
            </w:r>
            <w:proofErr w:type="spellEnd"/>
            <w:r>
              <w:rPr>
                <w:rFonts w:ascii="Arial" w:hAnsi="Arial" w:cs="Arial"/>
                <w:b/>
                <w:spacing w:val="-2"/>
                <w:sz w:val="18"/>
                <w:szCs w:val="18"/>
              </w:rPr>
              <w:t xml:space="preserve"> </w:t>
            </w:r>
            <w:r>
              <w:rPr>
                <w:rFonts w:ascii="Arial" w:hAnsi="Arial" w:cs="Arial"/>
                <w:b/>
                <w:spacing w:val="-6"/>
                <w:w w:val="110"/>
                <w:sz w:val="18"/>
                <w:szCs w:val="18"/>
              </w:rPr>
              <w:t>te</w:t>
            </w:r>
          </w:p>
        </w:tc>
      </w:tr>
      <w:tr w:rsidR="00D3344B" w14:paraId="1600FDE9" w14:textId="77777777">
        <w:trPr>
          <w:trHeight w:val="297"/>
        </w:trPr>
        <w:tc>
          <w:tcPr>
            <w:tcW w:w="1259" w:type="dxa"/>
            <w:vMerge/>
            <w:tcBorders>
              <w:left w:val="single" w:sz="4" w:space="0" w:color="000000"/>
              <w:bottom w:val="single" w:sz="4" w:space="0" w:color="000000"/>
              <w:right w:val="single" w:sz="4" w:space="0" w:color="000000"/>
            </w:tcBorders>
            <w:shd w:val="clear" w:color="auto" w:fill="A6A6A6"/>
          </w:tcPr>
          <w:p w14:paraId="27A93342" w14:textId="77777777" w:rsidR="00D3344B" w:rsidRDefault="00D3344B">
            <w:pPr>
              <w:widowControl w:val="0"/>
              <w:suppressAutoHyphens w:val="0"/>
              <w:rPr>
                <w:rFonts w:ascii="Arial" w:hAnsi="Arial" w:cs="Arial"/>
                <w:sz w:val="18"/>
                <w:szCs w:val="18"/>
              </w:rPr>
            </w:pPr>
          </w:p>
        </w:tc>
        <w:tc>
          <w:tcPr>
            <w:tcW w:w="3277" w:type="dxa"/>
            <w:vMerge/>
            <w:tcBorders>
              <w:left w:val="single" w:sz="4" w:space="0" w:color="000000"/>
              <w:bottom w:val="single" w:sz="4" w:space="0" w:color="000000"/>
              <w:right w:val="single" w:sz="4" w:space="0" w:color="000000"/>
            </w:tcBorders>
            <w:shd w:val="clear" w:color="auto" w:fill="A6A6A6"/>
          </w:tcPr>
          <w:p w14:paraId="2120421F" w14:textId="77777777" w:rsidR="00D3344B" w:rsidRDefault="00D3344B">
            <w:pPr>
              <w:widowControl w:val="0"/>
              <w:suppressAutoHyphens w:val="0"/>
              <w:rPr>
                <w:rFonts w:ascii="Arial" w:hAnsi="Arial" w:cs="Arial"/>
                <w:sz w:val="18"/>
                <w:szCs w:val="18"/>
              </w:rPr>
            </w:pPr>
          </w:p>
        </w:tc>
        <w:tc>
          <w:tcPr>
            <w:tcW w:w="4305" w:type="dxa"/>
            <w:gridSpan w:val="6"/>
            <w:tcBorders>
              <w:top w:val="single" w:sz="4" w:space="0" w:color="000000"/>
              <w:left w:val="single" w:sz="4" w:space="0" w:color="000000"/>
              <w:bottom w:val="single" w:sz="4" w:space="0" w:color="000000"/>
              <w:right w:val="single" w:sz="4" w:space="0" w:color="000000"/>
            </w:tcBorders>
            <w:shd w:val="clear" w:color="auto" w:fill="A6A6A6"/>
          </w:tcPr>
          <w:p w14:paraId="6D955C40" w14:textId="77777777" w:rsidR="00D3344B" w:rsidRDefault="00143C25">
            <w:pPr>
              <w:pStyle w:val="TableParagraph"/>
              <w:spacing w:line="249" w:lineRule="exact"/>
              <w:rPr>
                <w:rFonts w:ascii="Arial" w:hAnsi="Arial" w:cs="Arial"/>
                <w:b/>
                <w:sz w:val="18"/>
                <w:szCs w:val="18"/>
              </w:rPr>
            </w:pPr>
            <w:r>
              <w:rPr>
                <w:rFonts w:ascii="Arial" w:hAnsi="Arial" w:cs="Arial"/>
                <w:b/>
                <w:w w:val="120"/>
                <w:sz w:val="18"/>
                <w:szCs w:val="18"/>
              </w:rPr>
              <w:t>DERECHOS</w:t>
            </w:r>
            <w:r>
              <w:rPr>
                <w:rFonts w:ascii="Arial" w:hAnsi="Arial" w:cs="Arial"/>
                <w:b/>
                <w:spacing w:val="4"/>
                <w:w w:val="120"/>
                <w:sz w:val="18"/>
                <w:szCs w:val="18"/>
              </w:rPr>
              <w:t xml:space="preserve"> </w:t>
            </w:r>
            <w:r>
              <w:rPr>
                <w:rFonts w:ascii="Arial" w:hAnsi="Arial" w:cs="Arial"/>
                <w:b/>
                <w:w w:val="120"/>
                <w:sz w:val="18"/>
                <w:szCs w:val="18"/>
              </w:rPr>
              <w:t>CAUSADOS</w:t>
            </w:r>
            <w:r>
              <w:rPr>
                <w:rFonts w:ascii="Arial" w:hAnsi="Arial" w:cs="Arial"/>
                <w:b/>
                <w:spacing w:val="4"/>
                <w:w w:val="120"/>
                <w:sz w:val="18"/>
                <w:szCs w:val="18"/>
              </w:rPr>
              <w:t xml:space="preserve"> </w:t>
            </w:r>
            <w:r>
              <w:rPr>
                <w:rFonts w:ascii="Arial" w:hAnsi="Arial" w:cs="Arial"/>
                <w:b/>
                <w:w w:val="120"/>
                <w:sz w:val="18"/>
                <w:szCs w:val="18"/>
              </w:rPr>
              <w:t>EN</w:t>
            </w:r>
            <w:r>
              <w:rPr>
                <w:rFonts w:ascii="Arial" w:hAnsi="Arial" w:cs="Arial"/>
                <w:b/>
                <w:spacing w:val="3"/>
                <w:w w:val="120"/>
                <w:sz w:val="18"/>
                <w:szCs w:val="18"/>
              </w:rPr>
              <w:t xml:space="preserve"> </w:t>
            </w:r>
            <w:r>
              <w:rPr>
                <w:rFonts w:ascii="Arial" w:hAnsi="Arial" w:cs="Arial"/>
                <w:b/>
                <w:spacing w:val="-5"/>
                <w:w w:val="120"/>
                <w:sz w:val="18"/>
                <w:szCs w:val="18"/>
              </w:rPr>
              <w:t>UMA</w:t>
            </w:r>
          </w:p>
        </w:tc>
      </w:tr>
      <w:tr w:rsidR="00D3344B" w14:paraId="5279AEEF" w14:textId="77777777">
        <w:trPr>
          <w:trHeight w:val="302"/>
        </w:trPr>
        <w:tc>
          <w:tcPr>
            <w:tcW w:w="1259" w:type="dxa"/>
            <w:tcBorders>
              <w:top w:val="single" w:sz="4" w:space="0" w:color="000000"/>
              <w:left w:val="single" w:sz="4" w:space="0" w:color="000000"/>
              <w:bottom w:val="single" w:sz="4" w:space="0" w:color="000000"/>
              <w:right w:val="single" w:sz="4" w:space="0" w:color="000000"/>
            </w:tcBorders>
          </w:tcPr>
          <w:p w14:paraId="3F199475"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001</w:t>
            </w:r>
          </w:p>
        </w:tc>
        <w:tc>
          <w:tcPr>
            <w:tcW w:w="3277" w:type="dxa"/>
            <w:tcBorders>
              <w:top w:val="single" w:sz="4" w:space="0" w:color="000000"/>
              <w:left w:val="single" w:sz="4" w:space="0" w:color="000000"/>
              <w:bottom w:val="single" w:sz="4" w:space="0" w:color="000000"/>
              <w:right w:val="single" w:sz="4" w:space="0" w:color="000000"/>
            </w:tcBorders>
          </w:tcPr>
          <w:p w14:paraId="53612AEA" w14:textId="77777777" w:rsidR="00D3344B" w:rsidRDefault="00143C25">
            <w:pPr>
              <w:pStyle w:val="TableParagraph"/>
              <w:rPr>
                <w:rFonts w:ascii="Arial" w:hAnsi="Arial" w:cs="Arial"/>
                <w:sz w:val="18"/>
                <w:szCs w:val="18"/>
              </w:rPr>
            </w:pPr>
            <w:r>
              <w:rPr>
                <w:rFonts w:ascii="Arial" w:hAnsi="Arial" w:cs="Arial"/>
                <w:spacing w:val="-2"/>
                <w:w w:val="115"/>
                <w:sz w:val="18"/>
                <w:szCs w:val="18"/>
              </w:rPr>
              <w:t>Colposcopia</w:t>
            </w:r>
          </w:p>
        </w:tc>
        <w:tc>
          <w:tcPr>
            <w:tcW w:w="709" w:type="dxa"/>
            <w:tcBorders>
              <w:top w:val="single" w:sz="4" w:space="0" w:color="000000"/>
              <w:left w:val="single" w:sz="4" w:space="0" w:color="000000"/>
              <w:bottom w:val="single" w:sz="4" w:space="0" w:color="000000"/>
              <w:right w:val="single" w:sz="4" w:space="0" w:color="000000"/>
            </w:tcBorders>
          </w:tcPr>
          <w:p w14:paraId="51B827C0" w14:textId="77777777" w:rsidR="00D3344B" w:rsidRDefault="00143C25">
            <w:pPr>
              <w:pStyle w:val="TableParagraph"/>
              <w:rPr>
                <w:rFonts w:ascii="Arial" w:hAnsi="Arial" w:cs="Arial"/>
                <w:sz w:val="18"/>
                <w:szCs w:val="18"/>
              </w:rPr>
            </w:pPr>
            <w:r>
              <w:rPr>
                <w:rFonts w:ascii="Arial" w:hAnsi="Arial" w:cs="Arial"/>
                <w:spacing w:val="-4"/>
                <w:w w:val="125"/>
                <w:sz w:val="18"/>
                <w:szCs w:val="18"/>
              </w:rPr>
              <w:t>2.75</w:t>
            </w:r>
          </w:p>
        </w:tc>
        <w:tc>
          <w:tcPr>
            <w:tcW w:w="711" w:type="dxa"/>
            <w:tcBorders>
              <w:top w:val="single" w:sz="4" w:space="0" w:color="000000"/>
              <w:left w:val="single" w:sz="4" w:space="0" w:color="000000"/>
              <w:bottom w:val="single" w:sz="4" w:space="0" w:color="000000"/>
              <w:right w:val="single" w:sz="4" w:space="0" w:color="000000"/>
            </w:tcBorders>
          </w:tcPr>
          <w:p w14:paraId="20D9DB4D"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2.50</w:t>
            </w:r>
          </w:p>
        </w:tc>
        <w:tc>
          <w:tcPr>
            <w:tcW w:w="709" w:type="dxa"/>
            <w:tcBorders>
              <w:top w:val="single" w:sz="4" w:space="0" w:color="000000"/>
              <w:left w:val="single" w:sz="4" w:space="0" w:color="000000"/>
              <w:bottom w:val="single" w:sz="4" w:space="0" w:color="000000"/>
              <w:right w:val="single" w:sz="4" w:space="0" w:color="000000"/>
            </w:tcBorders>
          </w:tcPr>
          <w:p w14:paraId="60BED7B0"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2.25</w:t>
            </w:r>
          </w:p>
        </w:tc>
        <w:tc>
          <w:tcPr>
            <w:tcW w:w="710" w:type="dxa"/>
            <w:tcBorders>
              <w:top w:val="single" w:sz="4" w:space="0" w:color="000000"/>
              <w:left w:val="single" w:sz="4" w:space="0" w:color="000000"/>
              <w:bottom w:val="single" w:sz="4" w:space="0" w:color="000000"/>
              <w:right w:val="single" w:sz="4" w:space="0" w:color="000000"/>
            </w:tcBorders>
          </w:tcPr>
          <w:p w14:paraId="1465560E"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2.00</w:t>
            </w:r>
          </w:p>
        </w:tc>
        <w:tc>
          <w:tcPr>
            <w:tcW w:w="711" w:type="dxa"/>
            <w:tcBorders>
              <w:top w:val="single" w:sz="4" w:space="0" w:color="000000"/>
              <w:left w:val="single" w:sz="4" w:space="0" w:color="000000"/>
              <w:bottom w:val="single" w:sz="4" w:space="0" w:color="000000"/>
              <w:right w:val="single" w:sz="4" w:space="0" w:color="000000"/>
            </w:tcBorders>
          </w:tcPr>
          <w:p w14:paraId="0EA305C5" w14:textId="77777777" w:rsidR="00D3344B" w:rsidRDefault="00143C25">
            <w:pPr>
              <w:pStyle w:val="TableParagraph"/>
              <w:rPr>
                <w:rFonts w:ascii="Arial" w:hAnsi="Arial" w:cs="Arial"/>
                <w:sz w:val="18"/>
                <w:szCs w:val="18"/>
              </w:rPr>
            </w:pPr>
            <w:r>
              <w:rPr>
                <w:rFonts w:ascii="Arial" w:hAnsi="Arial" w:cs="Arial"/>
                <w:spacing w:val="-4"/>
                <w:w w:val="125"/>
                <w:sz w:val="18"/>
                <w:szCs w:val="18"/>
              </w:rPr>
              <w:t>1.75</w:t>
            </w:r>
          </w:p>
        </w:tc>
        <w:tc>
          <w:tcPr>
            <w:tcW w:w="755" w:type="dxa"/>
            <w:tcBorders>
              <w:top w:val="single" w:sz="4" w:space="0" w:color="000000"/>
              <w:left w:val="single" w:sz="4" w:space="0" w:color="000000"/>
              <w:bottom w:val="single" w:sz="4" w:space="0" w:color="000000"/>
              <w:right w:val="single" w:sz="4" w:space="0" w:color="000000"/>
            </w:tcBorders>
          </w:tcPr>
          <w:p w14:paraId="1F211043" w14:textId="77777777" w:rsidR="00D3344B" w:rsidRDefault="00D3344B">
            <w:pPr>
              <w:pStyle w:val="TableParagraph"/>
              <w:rPr>
                <w:rFonts w:ascii="Arial" w:hAnsi="Arial" w:cs="Arial"/>
                <w:sz w:val="18"/>
                <w:szCs w:val="18"/>
              </w:rPr>
            </w:pPr>
          </w:p>
        </w:tc>
      </w:tr>
      <w:tr w:rsidR="00D3344B" w14:paraId="752D1FBF"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2138E370"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lastRenderedPageBreak/>
              <w:t>01-MU-</w:t>
            </w:r>
            <w:r>
              <w:rPr>
                <w:rFonts w:ascii="Arial" w:hAnsi="Arial" w:cs="Arial"/>
                <w:spacing w:val="-5"/>
                <w:w w:val="110"/>
                <w:sz w:val="18"/>
                <w:szCs w:val="18"/>
              </w:rPr>
              <w:t>002</w:t>
            </w:r>
          </w:p>
        </w:tc>
        <w:tc>
          <w:tcPr>
            <w:tcW w:w="3277" w:type="dxa"/>
            <w:tcBorders>
              <w:top w:val="single" w:sz="4" w:space="0" w:color="000000"/>
              <w:left w:val="single" w:sz="4" w:space="0" w:color="000000"/>
              <w:bottom w:val="single" w:sz="4" w:space="0" w:color="000000"/>
              <w:right w:val="single" w:sz="4" w:space="0" w:color="000000"/>
            </w:tcBorders>
          </w:tcPr>
          <w:p w14:paraId="1E7A06A6" w14:textId="77777777" w:rsidR="00D3344B" w:rsidRDefault="00143C25">
            <w:pPr>
              <w:pStyle w:val="TableParagraph"/>
              <w:rPr>
                <w:rFonts w:ascii="Arial" w:hAnsi="Arial" w:cs="Arial"/>
                <w:sz w:val="18"/>
                <w:szCs w:val="18"/>
              </w:rPr>
            </w:pPr>
            <w:r>
              <w:rPr>
                <w:rFonts w:ascii="Arial" w:hAnsi="Arial" w:cs="Arial"/>
                <w:w w:val="110"/>
                <w:sz w:val="18"/>
                <w:szCs w:val="18"/>
              </w:rPr>
              <w:t>Conización</w:t>
            </w:r>
            <w:r>
              <w:rPr>
                <w:rFonts w:ascii="Arial" w:hAnsi="Arial" w:cs="Arial"/>
                <w:spacing w:val="32"/>
                <w:w w:val="115"/>
                <w:sz w:val="18"/>
                <w:szCs w:val="18"/>
              </w:rPr>
              <w:t xml:space="preserve"> </w:t>
            </w:r>
            <w:r>
              <w:rPr>
                <w:rFonts w:ascii="Arial" w:hAnsi="Arial" w:cs="Arial"/>
                <w:spacing w:val="-2"/>
                <w:w w:val="115"/>
                <w:sz w:val="18"/>
                <w:szCs w:val="18"/>
              </w:rPr>
              <w:t>cervical</w:t>
            </w:r>
          </w:p>
        </w:tc>
        <w:tc>
          <w:tcPr>
            <w:tcW w:w="709" w:type="dxa"/>
            <w:tcBorders>
              <w:top w:val="single" w:sz="4" w:space="0" w:color="000000"/>
              <w:left w:val="single" w:sz="4" w:space="0" w:color="000000"/>
              <w:bottom w:val="single" w:sz="4" w:space="0" w:color="000000"/>
              <w:right w:val="single" w:sz="4" w:space="0" w:color="000000"/>
            </w:tcBorders>
          </w:tcPr>
          <w:p w14:paraId="4A5DC24E" w14:textId="77777777" w:rsidR="00D3344B" w:rsidRDefault="00143C25">
            <w:pPr>
              <w:pStyle w:val="TableParagraph"/>
              <w:rPr>
                <w:rFonts w:ascii="Arial" w:hAnsi="Arial" w:cs="Arial"/>
                <w:sz w:val="18"/>
                <w:szCs w:val="18"/>
              </w:rPr>
            </w:pPr>
            <w:r>
              <w:rPr>
                <w:rFonts w:ascii="Arial" w:hAnsi="Arial" w:cs="Arial"/>
                <w:spacing w:val="-2"/>
                <w:w w:val="120"/>
                <w:sz w:val="18"/>
                <w:szCs w:val="18"/>
              </w:rPr>
              <w:t>34.50</w:t>
            </w:r>
          </w:p>
        </w:tc>
        <w:tc>
          <w:tcPr>
            <w:tcW w:w="711" w:type="dxa"/>
            <w:tcBorders>
              <w:top w:val="single" w:sz="4" w:space="0" w:color="000000"/>
              <w:left w:val="single" w:sz="4" w:space="0" w:color="000000"/>
              <w:bottom w:val="single" w:sz="4" w:space="0" w:color="000000"/>
              <w:right w:val="single" w:sz="4" w:space="0" w:color="000000"/>
            </w:tcBorders>
          </w:tcPr>
          <w:p w14:paraId="09F4066D" w14:textId="77777777" w:rsidR="00D3344B" w:rsidRDefault="00143C25">
            <w:pPr>
              <w:pStyle w:val="TableParagraph"/>
              <w:ind w:left="3"/>
              <w:rPr>
                <w:rFonts w:ascii="Arial" w:hAnsi="Arial" w:cs="Arial"/>
                <w:sz w:val="18"/>
                <w:szCs w:val="18"/>
              </w:rPr>
            </w:pPr>
            <w:r>
              <w:rPr>
                <w:rFonts w:ascii="Arial" w:hAnsi="Arial" w:cs="Arial"/>
                <w:spacing w:val="-2"/>
                <w:w w:val="120"/>
                <w:sz w:val="18"/>
                <w:szCs w:val="18"/>
              </w:rPr>
              <w:t>30.25</w:t>
            </w:r>
          </w:p>
        </w:tc>
        <w:tc>
          <w:tcPr>
            <w:tcW w:w="709" w:type="dxa"/>
            <w:tcBorders>
              <w:top w:val="single" w:sz="4" w:space="0" w:color="000000"/>
              <w:left w:val="single" w:sz="4" w:space="0" w:color="000000"/>
              <w:bottom w:val="single" w:sz="4" w:space="0" w:color="000000"/>
              <w:right w:val="single" w:sz="4" w:space="0" w:color="000000"/>
            </w:tcBorders>
          </w:tcPr>
          <w:p w14:paraId="71A74023" w14:textId="77777777" w:rsidR="00D3344B" w:rsidRDefault="00143C25">
            <w:pPr>
              <w:pStyle w:val="TableParagraph"/>
              <w:ind w:left="2"/>
              <w:rPr>
                <w:rFonts w:ascii="Arial" w:hAnsi="Arial" w:cs="Arial"/>
                <w:sz w:val="18"/>
                <w:szCs w:val="18"/>
              </w:rPr>
            </w:pPr>
            <w:r>
              <w:rPr>
                <w:rFonts w:ascii="Arial" w:hAnsi="Arial" w:cs="Arial"/>
                <w:spacing w:val="-2"/>
                <w:w w:val="120"/>
                <w:sz w:val="18"/>
                <w:szCs w:val="18"/>
              </w:rPr>
              <w:t>26.50</w:t>
            </w:r>
          </w:p>
        </w:tc>
        <w:tc>
          <w:tcPr>
            <w:tcW w:w="710" w:type="dxa"/>
            <w:tcBorders>
              <w:top w:val="single" w:sz="4" w:space="0" w:color="000000"/>
              <w:left w:val="single" w:sz="4" w:space="0" w:color="000000"/>
              <w:bottom w:val="single" w:sz="4" w:space="0" w:color="000000"/>
              <w:right w:val="single" w:sz="4" w:space="0" w:color="000000"/>
            </w:tcBorders>
          </w:tcPr>
          <w:p w14:paraId="385475ED" w14:textId="77777777" w:rsidR="00D3344B" w:rsidRDefault="00143C25">
            <w:pPr>
              <w:pStyle w:val="TableParagraph"/>
              <w:ind w:right="117"/>
              <w:jc w:val="center"/>
              <w:rPr>
                <w:rFonts w:ascii="Arial" w:hAnsi="Arial" w:cs="Arial"/>
                <w:sz w:val="18"/>
                <w:szCs w:val="18"/>
              </w:rPr>
            </w:pPr>
            <w:r>
              <w:rPr>
                <w:rFonts w:ascii="Arial" w:hAnsi="Arial" w:cs="Arial"/>
                <w:spacing w:val="-6"/>
                <w:w w:val="120"/>
                <w:sz w:val="18"/>
                <w:szCs w:val="18"/>
              </w:rPr>
              <w:t>23.00</w:t>
            </w:r>
          </w:p>
        </w:tc>
        <w:tc>
          <w:tcPr>
            <w:tcW w:w="711" w:type="dxa"/>
            <w:tcBorders>
              <w:top w:val="single" w:sz="4" w:space="0" w:color="000000"/>
              <w:left w:val="single" w:sz="4" w:space="0" w:color="000000"/>
              <w:bottom w:val="single" w:sz="4" w:space="0" w:color="000000"/>
              <w:right w:val="single" w:sz="4" w:space="0" w:color="000000"/>
            </w:tcBorders>
          </w:tcPr>
          <w:p w14:paraId="1B3CDEA4" w14:textId="77777777" w:rsidR="00D3344B" w:rsidRDefault="00143C25">
            <w:pPr>
              <w:pStyle w:val="TableParagraph"/>
              <w:rPr>
                <w:rFonts w:ascii="Arial" w:hAnsi="Arial" w:cs="Arial"/>
                <w:sz w:val="18"/>
                <w:szCs w:val="18"/>
              </w:rPr>
            </w:pPr>
            <w:r>
              <w:rPr>
                <w:rFonts w:ascii="Arial" w:hAnsi="Arial" w:cs="Arial"/>
                <w:spacing w:val="-2"/>
                <w:w w:val="120"/>
                <w:sz w:val="18"/>
                <w:szCs w:val="18"/>
              </w:rPr>
              <w:t>19.00</w:t>
            </w:r>
          </w:p>
        </w:tc>
        <w:tc>
          <w:tcPr>
            <w:tcW w:w="755" w:type="dxa"/>
            <w:tcBorders>
              <w:top w:val="single" w:sz="4" w:space="0" w:color="000000"/>
              <w:left w:val="single" w:sz="4" w:space="0" w:color="000000"/>
              <w:bottom w:val="single" w:sz="4" w:space="0" w:color="000000"/>
              <w:right w:val="single" w:sz="4" w:space="0" w:color="000000"/>
            </w:tcBorders>
          </w:tcPr>
          <w:p w14:paraId="0935EF61" w14:textId="77777777" w:rsidR="00D3344B" w:rsidRDefault="00D3344B">
            <w:pPr>
              <w:pStyle w:val="TableParagraph"/>
              <w:rPr>
                <w:rFonts w:ascii="Arial" w:hAnsi="Arial" w:cs="Arial"/>
                <w:sz w:val="18"/>
                <w:szCs w:val="18"/>
              </w:rPr>
            </w:pPr>
          </w:p>
        </w:tc>
      </w:tr>
      <w:tr w:rsidR="00D3344B" w14:paraId="554D96C5"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5F27D57A"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003</w:t>
            </w:r>
          </w:p>
        </w:tc>
        <w:tc>
          <w:tcPr>
            <w:tcW w:w="3277" w:type="dxa"/>
            <w:tcBorders>
              <w:top w:val="single" w:sz="4" w:space="0" w:color="000000"/>
              <w:left w:val="single" w:sz="4" w:space="0" w:color="000000"/>
              <w:bottom w:val="single" w:sz="4" w:space="0" w:color="000000"/>
              <w:right w:val="single" w:sz="4" w:space="0" w:color="000000"/>
            </w:tcBorders>
          </w:tcPr>
          <w:p w14:paraId="1635832A" w14:textId="77777777" w:rsidR="00D3344B" w:rsidRDefault="00143C25">
            <w:pPr>
              <w:pStyle w:val="TableParagraph"/>
              <w:rPr>
                <w:rFonts w:ascii="Arial" w:hAnsi="Arial" w:cs="Arial"/>
                <w:sz w:val="18"/>
                <w:szCs w:val="18"/>
              </w:rPr>
            </w:pPr>
            <w:r>
              <w:rPr>
                <w:rFonts w:ascii="Arial" w:hAnsi="Arial" w:cs="Arial"/>
                <w:spacing w:val="-2"/>
                <w:w w:val="110"/>
                <w:sz w:val="18"/>
                <w:szCs w:val="18"/>
              </w:rPr>
              <w:t>Crioterapia</w:t>
            </w:r>
          </w:p>
        </w:tc>
        <w:tc>
          <w:tcPr>
            <w:tcW w:w="709" w:type="dxa"/>
            <w:tcBorders>
              <w:top w:val="single" w:sz="4" w:space="0" w:color="000000"/>
              <w:left w:val="single" w:sz="4" w:space="0" w:color="000000"/>
              <w:bottom w:val="single" w:sz="4" w:space="0" w:color="000000"/>
              <w:right w:val="single" w:sz="4" w:space="0" w:color="000000"/>
            </w:tcBorders>
          </w:tcPr>
          <w:p w14:paraId="1DF58D92" w14:textId="77777777" w:rsidR="00D3344B" w:rsidRDefault="00143C25">
            <w:pPr>
              <w:pStyle w:val="TableParagraph"/>
              <w:rPr>
                <w:rFonts w:ascii="Arial" w:hAnsi="Arial" w:cs="Arial"/>
                <w:sz w:val="18"/>
                <w:szCs w:val="18"/>
              </w:rPr>
            </w:pPr>
            <w:r>
              <w:rPr>
                <w:rFonts w:ascii="Arial" w:hAnsi="Arial" w:cs="Arial"/>
                <w:spacing w:val="-2"/>
                <w:w w:val="120"/>
                <w:sz w:val="18"/>
                <w:szCs w:val="18"/>
              </w:rPr>
              <w:t>11.75</w:t>
            </w:r>
          </w:p>
        </w:tc>
        <w:tc>
          <w:tcPr>
            <w:tcW w:w="711" w:type="dxa"/>
            <w:tcBorders>
              <w:top w:val="single" w:sz="4" w:space="0" w:color="000000"/>
              <w:left w:val="single" w:sz="4" w:space="0" w:color="000000"/>
              <w:bottom w:val="single" w:sz="4" w:space="0" w:color="000000"/>
              <w:right w:val="single" w:sz="4" w:space="0" w:color="000000"/>
            </w:tcBorders>
          </w:tcPr>
          <w:p w14:paraId="7044CD10" w14:textId="77777777" w:rsidR="00D3344B" w:rsidRDefault="00143C25">
            <w:pPr>
              <w:pStyle w:val="TableParagraph"/>
              <w:ind w:left="3"/>
              <w:rPr>
                <w:rFonts w:ascii="Arial" w:hAnsi="Arial" w:cs="Arial"/>
                <w:sz w:val="18"/>
                <w:szCs w:val="18"/>
              </w:rPr>
            </w:pPr>
            <w:r>
              <w:rPr>
                <w:rFonts w:ascii="Arial" w:hAnsi="Arial" w:cs="Arial"/>
                <w:spacing w:val="-2"/>
                <w:w w:val="120"/>
                <w:sz w:val="18"/>
                <w:szCs w:val="18"/>
              </w:rPr>
              <w:t>10.50</w:t>
            </w:r>
          </w:p>
        </w:tc>
        <w:tc>
          <w:tcPr>
            <w:tcW w:w="709" w:type="dxa"/>
            <w:tcBorders>
              <w:top w:val="single" w:sz="4" w:space="0" w:color="000000"/>
              <w:left w:val="single" w:sz="4" w:space="0" w:color="000000"/>
              <w:bottom w:val="single" w:sz="4" w:space="0" w:color="000000"/>
              <w:right w:val="single" w:sz="4" w:space="0" w:color="000000"/>
            </w:tcBorders>
          </w:tcPr>
          <w:p w14:paraId="1A7BD367"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9.00</w:t>
            </w:r>
          </w:p>
        </w:tc>
        <w:tc>
          <w:tcPr>
            <w:tcW w:w="710" w:type="dxa"/>
            <w:tcBorders>
              <w:top w:val="single" w:sz="4" w:space="0" w:color="000000"/>
              <w:left w:val="single" w:sz="4" w:space="0" w:color="000000"/>
              <w:bottom w:val="single" w:sz="4" w:space="0" w:color="000000"/>
              <w:right w:val="single" w:sz="4" w:space="0" w:color="000000"/>
            </w:tcBorders>
          </w:tcPr>
          <w:p w14:paraId="1B69E22C"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48167DF6" w14:textId="77777777" w:rsidR="00D3344B" w:rsidRDefault="00143C25">
            <w:pPr>
              <w:pStyle w:val="TableParagraph"/>
              <w:rPr>
                <w:rFonts w:ascii="Arial" w:hAnsi="Arial" w:cs="Arial"/>
                <w:sz w:val="18"/>
                <w:szCs w:val="18"/>
              </w:rPr>
            </w:pPr>
            <w:r>
              <w:rPr>
                <w:rFonts w:ascii="Arial" w:hAnsi="Arial" w:cs="Arial"/>
                <w:spacing w:val="-4"/>
                <w:w w:val="125"/>
                <w:sz w:val="18"/>
                <w:szCs w:val="18"/>
              </w:rPr>
              <w:t>6.75</w:t>
            </w:r>
          </w:p>
        </w:tc>
        <w:tc>
          <w:tcPr>
            <w:tcW w:w="755" w:type="dxa"/>
            <w:tcBorders>
              <w:top w:val="single" w:sz="4" w:space="0" w:color="000000"/>
              <w:left w:val="single" w:sz="4" w:space="0" w:color="000000"/>
              <w:bottom w:val="single" w:sz="4" w:space="0" w:color="000000"/>
              <w:right w:val="single" w:sz="4" w:space="0" w:color="000000"/>
            </w:tcBorders>
          </w:tcPr>
          <w:p w14:paraId="21EB2740" w14:textId="77777777" w:rsidR="00D3344B" w:rsidRDefault="00D3344B">
            <w:pPr>
              <w:pStyle w:val="TableParagraph"/>
              <w:rPr>
                <w:rFonts w:ascii="Arial" w:hAnsi="Arial" w:cs="Arial"/>
                <w:sz w:val="18"/>
                <w:szCs w:val="18"/>
              </w:rPr>
            </w:pPr>
          </w:p>
        </w:tc>
      </w:tr>
      <w:tr w:rsidR="00D3344B" w14:paraId="2BFF986E" w14:textId="77777777">
        <w:trPr>
          <w:trHeight w:val="297"/>
        </w:trPr>
        <w:tc>
          <w:tcPr>
            <w:tcW w:w="1259" w:type="dxa"/>
            <w:tcBorders>
              <w:top w:val="single" w:sz="4" w:space="0" w:color="000000"/>
              <w:left w:val="single" w:sz="4" w:space="0" w:color="000000"/>
              <w:bottom w:val="single" w:sz="4" w:space="0" w:color="000000"/>
              <w:right w:val="single" w:sz="4" w:space="0" w:color="000000"/>
            </w:tcBorders>
          </w:tcPr>
          <w:p w14:paraId="1C9DD936" w14:textId="77777777" w:rsidR="00D3344B" w:rsidRDefault="00143C25">
            <w:pPr>
              <w:pStyle w:val="TableParagraph"/>
              <w:spacing w:line="252" w:lineRule="exact"/>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004</w:t>
            </w:r>
          </w:p>
        </w:tc>
        <w:tc>
          <w:tcPr>
            <w:tcW w:w="3277" w:type="dxa"/>
            <w:tcBorders>
              <w:top w:val="single" w:sz="4" w:space="0" w:color="000000"/>
              <w:left w:val="single" w:sz="4" w:space="0" w:color="000000"/>
              <w:bottom w:val="single" w:sz="4" w:space="0" w:color="000000"/>
              <w:right w:val="single" w:sz="4" w:space="0" w:color="000000"/>
            </w:tcBorders>
          </w:tcPr>
          <w:p w14:paraId="6EA2B7B1" w14:textId="77777777" w:rsidR="00D3344B" w:rsidRDefault="00143C25">
            <w:pPr>
              <w:pStyle w:val="TableParagraph"/>
              <w:spacing w:line="252" w:lineRule="exact"/>
              <w:rPr>
                <w:rFonts w:ascii="Arial" w:hAnsi="Arial" w:cs="Arial"/>
                <w:sz w:val="18"/>
                <w:szCs w:val="18"/>
              </w:rPr>
            </w:pPr>
            <w:r>
              <w:rPr>
                <w:rFonts w:ascii="Arial" w:hAnsi="Arial" w:cs="Arial"/>
                <w:w w:val="110"/>
                <w:sz w:val="18"/>
                <w:szCs w:val="18"/>
              </w:rPr>
              <w:t>Electro</w:t>
            </w:r>
            <w:r>
              <w:rPr>
                <w:rFonts w:ascii="Arial" w:hAnsi="Arial" w:cs="Arial"/>
                <w:spacing w:val="15"/>
                <w:w w:val="115"/>
                <w:sz w:val="18"/>
                <w:szCs w:val="18"/>
              </w:rPr>
              <w:t xml:space="preserve"> </w:t>
            </w:r>
            <w:r>
              <w:rPr>
                <w:rFonts w:ascii="Arial" w:hAnsi="Arial" w:cs="Arial"/>
                <w:spacing w:val="-2"/>
                <w:w w:val="115"/>
                <w:sz w:val="18"/>
                <w:szCs w:val="18"/>
              </w:rPr>
              <w:t>fulguración</w:t>
            </w:r>
          </w:p>
        </w:tc>
        <w:tc>
          <w:tcPr>
            <w:tcW w:w="709" w:type="dxa"/>
            <w:tcBorders>
              <w:top w:val="single" w:sz="4" w:space="0" w:color="000000"/>
              <w:left w:val="single" w:sz="4" w:space="0" w:color="000000"/>
              <w:bottom w:val="single" w:sz="4" w:space="0" w:color="000000"/>
              <w:right w:val="single" w:sz="4" w:space="0" w:color="000000"/>
            </w:tcBorders>
          </w:tcPr>
          <w:p w14:paraId="736E01A6" w14:textId="77777777" w:rsidR="00D3344B" w:rsidRDefault="00143C25">
            <w:pPr>
              <w:pStyle w:val="TableParagraph"/>
              <w:spacing w:line="252" w:lineRule="exact"/>
              <w:rPr>
                <w:rFonts w:ascii="Arial" w:hAnsi="Arial" w:cs="Arial"/>
                <w:sz w:val="18"/>
                <w:szCs w:val="18"/>
              </w:rPr>
            </w:pPr>
            <w:r>
              <w:rPr>
                <w:rFonts w:ascii="Arial" w:hAnsi="Arial" w:cs="Arial"/>
                <w:spacing w:val="-2"/>
                <w:w w:val="120"/>
                <w:sz w:val="18"/>
                <w:szCs w:val="18"/>
              </w:rPr>
              <w:t>11.75</w:t>
            </w:r>
          </w:p>
        </w:tc>
        <w:tc>
          <w:tcPr>
            <w:tcW w:w="711" w:type="dxa"/>
            <w:tcBorders>
              <w:top w:val="single" w:sz="4" w:space="0" w:color="000000"/>
              <w:left w:val="single" w:sz="4" w:space="0" w:color="000000"/>
              <w:bottom w:val="single" w:sz="4" w:space="0" w:color="000000"/>
              <w:right w:val="single" w:sz="4" w:space="0" w:color="000000"/>
            </w:tcBorders>
          </w:tcPr>
          <w:p w14:paraId="5E42435A" w14:textId="77777777" w:rsidR="00D3344B" w:rsidRDefault="00143C25">
            <w:pPr>
              <w:pStyle w:val="TableParagraph"/>
              <w:spacing w:line="252" w:lineRule="exact"/>
              <w:ind w:left="3"/>
              <w:rPr>
                <w:rFonts w:ascii="Arial" w:hAnsi="Arial" w:cs="Arial"/>
                <w:sz w:val="18"/>
                <w:szCs w:val="18"/>
              </w:rPr>
            </w:pPr>
            <w:r>
              <w:rPr>
                <w:rFonts w:ascii="Arial" w:hAnsi="Arial" w:cs="Arial"/>
                <w:spacing w:val="-2"/>
                <w:w w:val="120"/>
                <w:sz w:val="18"/>
                <w:szCs w:val="18"/>
              </w:rPr>
              <w:t>10.50</w:t>
            </w:r>
          </w:p>
        </w:tc>
        <w:tc>
          <w:tcPr>
            <w:tcW w:w="709" w:type="dxa"/>
            <w:tcBorders>
              <w:top w:val="single" w:sz="4" w:space="0" w:color="000000"/>
              <w:left w:val="single" w:sz="4" w:space="0" w:color="000000"/>
              <w:bottom w:val="single" w:sz="4" w:space="0" w:color="000000"/>
              <w:right w:val="single" w:sz="4" w:space="0" w:color="000000"/>
            </w:tcBorders>
          </w:tcPr>
          <w:p w14:paraId="2F1EABE3" w14:textId="77777777" w:rsidR="00D3344B" w:rsidRDefault="00143C25">
            <w:pPr>
              <w:pStyle w:val="TableParagraph"/>
              <w:spacing w:line="252" w:lineRule="exact"/>
              <w:ind w:left="2"/>
              <w:rPr>
                <w:rFonts w:ascii="Arial" w:hAnsi="Arial" w:cs="Arial"/>
                <w:sz w:val="18"/>
                <w:szCs w:val="18"/>
              </w:rPr>
            </w:pPr>
            <w:r>
              <w:rPr>
                <w:rFonts w:ascii="Arial" w:hAnsi="Arial" w:cs="Arial"/>
                <w:spacing w:val="-4"/>
                <w:w w:val="125"/>
                <w:sz w:val="18"/>
                <w:szCs w:val="18"/>
              </w:rPr>
              <w:t>9.00</w:t>
            </w:r>
          </w:p>
        </w:tc>
        <w:tc>
          <w:tcPr>
            <w:tcW w:w="710" w:type="dxa"/>
            <w:tcBorders>
              <w:top w:val="single" w:sz="4" w:space="0" w:color="000000"/>
              <w:left w:val="single" w:sz="4" w:space="0" w:color="000000"/>
              <w:bottom w:val="single" w:sz="4" w:space="0" w:color="000000"/>
              <w:right w:val="single" w:sz="4" w:space="0" w:color="000000"/>
            </w:tcBorders>
          </w:tcPr>
          <w:p w14:paraId="46B4F549" w14:textId="77777777" w:rsidR="00D3344B" w:rsidRDefault="00143C25">
            <w:pPr>
              <w:pStyle w:val="TableParagraph"/>
              <w:spacing w:line="252" w:lineRule="exact"/>
              <w:ind w:right="224"/>
              <w:jc w:val="center"/>
              <w:rPr>
                <w:rFonts w:ascii="Arial" w:hAnsi="Arial" w:cs="Arial"/>
                <w:sz w:val="18"/>
                <w:szCs w:val="18"/>
              </w:rPr>
            </w:pPr>
            <w:r>
              <w:rPr>
                <w:rFonts w:ascii="Arial" w:hAnsi="Arial" w:cs="Arial"/>
                <w:spacing w:val="-6"/>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2732D8D9" w14:textId="77777777" w:rsidR="00D3344B" w:rsidRDefault="00143C25">
            <w:pPr>
              <w:pStyle w:val="TableParagraph"/>
              <w:spacing w:line="252" w:lineRule="exact"/>
              <w:rPr>
                <w:rFonts w:ascii="Arial" w:hAnsi="Arial" w:cs="Arial"/>
                <w:sz w:val="18"/>
                <w:szCs w:val="18"/>
              </w:rPr>
            </w:pPr>
            <w:r>
              <w:rPr>
                <w:rFonts w:ascii="Arial" w:hAnsi="Arial" w:cs="Arial"/>
                <w:spacing w:val="-4"/>
                <w:w w:val="125"/>
                <w:sz w:val="18"/>
                <w:szCs w:val="18"/>
              </w:rPr>
              <w:t>6.75</w:t>
            </w:r>
          </w:p>
        </w:tc>
        <w:tc>
          <w:tcPr>
            <w:tcW w:w="755" w:type="dxa"/>
            <w:tcBorders>
              <w:top w:val="single" w:sz="4" w:space="0" w:color="000000"/>
              <w:left w:val="single" w:sz="4" w:space="0" w:color="000000"/>
              <w:bottom w:val="single" w:sz="4" w:space="0" w:color="000000"/>
              <w:right w:val="single" w:sz="4" w:space="0" w:color="000000"/>
            </w:tcBorders>
          </w:tcPr>
          <w:p w14:paraId="64B5C2D0" w14:textId="77777777" w:rsidR="00D3344B" w:rsidRDefault="00D3344B">
            <w:pPr>
              <w:pStyle w:val="TableParagraph"/>
              <w:rPr>
                <w:rFonts w:ascii="Arial" w:hAnsi="Arial" w:cs="Arial"/>
                <w:sz w:val="18"/>
                <w:szCs w:val="18"/>
              </w:rPr>
            </w:pPr>
          </w:p>
        </w:tc>
      </w:tr>
      <w:tr w:rsidR="00D3344B" w14:paraId="0FF0A9B9"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078778E6"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005</w:t>
            </w:r>
          </w:p>
        </w:tc>
        <w:tc>
          <w:tcPr>
            <w:tcW w:w="3277" w:type="dxa"/>
            <w:tcBorders>
              <w:top w:val="single" w:sz="4" w:space="0" w:color="000000"/>
              <w:left w:val="single" w:sz="4" w:space="0" w:color="000000"/>
              <w:bottom w:val="single" w:sz="4" w:space="0" w:color="000000"/>
              <w:right w:val="single" w:sz="4" w:space="0" w:color="000000"/>
            </w:tcBorders>
          </w:tcPr>
          <w:p w14:paraId="7335C739" w14:textId="77777777" w:rsidR="00D3344B" w:rsidRDefault="00143C25">
            <w:pPr>
              <w:pStyle w:val="TableParagraph"/>
              <w:rPr>
                <w:rFonts w:ascii="Arial" w:hAnsi="Arial" w:cs="Arial"/>
                <w:sz w:val="18"/>
                <w:szCs w:val="18"/>
              </w:rPr>
            </w:pPr>
            <w:r>
              <w:rPr>
                <w:rFonts w:ascii="Arial" w:hAnsi="Arial" w:cs="Arial"/>
                <w:w w:val="110"/>
                <w:sz w:val="18"/>
                <w:szCs w:val="18"/>
              </w:rPr>
              <w:t>Cirugía</w:t>
            </w:r>
            <w:r>
              <w:rPr>
                <w:rFonts w:ascii="Arial" w:hAnsi="Arial" w:cs="Arial"/>
                <w:spacing w:val="15"/>
                <w:w w:val="110"/>
                <w:sz w:val="18"/>
                <w:szCs w:val="18"/>
              </w:rPr>
              <w:t xml:space="preserve"> </w:t>
            </w:r>
            <w:r>
              <w:rPr>
                <w:rFonts w:ascii="Arial" w:hAnsi="Arial" w:cs="Arial"/>
                <w:w w:val="110"/>
                <w:sz w:val="18"/>
                <w:szCs w:val="18"/>
              </w:rPr>
              <w:t>de</w:t>
            </w:r>
            <w:r>
              <w:rPr>
                <w:rFonts w:ascii="Arial" w:hAnsi="Arial" w:cs="Arial"/>
                <w:spacing w:val="19"/>
                <w:w w:val="110"/>
                <w:sz w:val="18"/>
                <w:szCs w:val="18"/>
              </w:rPr>
              <w:t xml:space="preserve"> </w:t>
            </w:r>
            <w:r>
              <w:rPr>
                <w:rFonts w:ascii="Arial" w:hAnsi="Arial" w:cs="Arial"/>
                <w:w w:val="110"/>
                <w:sz w:val="18"/>
                <w:szCs w:val="18"/>
              </w:rPr>
              <w:t>cuello</w:t>
            </w:r>
            <w:r>
              <w:rPr>
                <w:rFonts w:ascii="Arial" w:hAnsi="Arial" w:cs="Arial"/>
                <w:spacing w:val="21"/>
                <w:w w:val="110"/>
                <w:sz w:val="18"/>
                <w:szCs w:val="18"/>
              </w:rPr>
              <w:t xml:space="preserve"> </w:t>
            </w:r>
            <w:r>
              <w:rPr>
                <w:rFonts w:ascii="Arial" w:hAnsi="Arial" w:cs="Arial"/>
                <w:spacing w:val="-2"/>
                <w:w w:val="110"/>
                <w:sz w:val="18"/>
                <w:szCs w:val="18"/>
              </w:rPr>
              <w:t>uterino</w:t>
            </w:r>
          </w:p>
        </w:tc>
        <w:tc>
          <w:tcPr>
            <w:tcW w:w="709" w:type="dxa"/>
            <w:tcBorders>
              <w:top w:val="single" w:sz="4" w:space="0" w:color="000000"/>
              <w:left w:val="single" w:sz="4" w:space="0" w:color="000000"/>
              <w:bottom w:val="single" w:sz="4" w:space="0" w:color="000000"/>
              <w:right w:val="single" w:sz="4" w:space="0" w:color="000000"/>
            </w:tcBorders>
          </w:tcPr>
          <w:p w14:paraId="7128D455" w14:textId="77777777" w:rsidR="00D3344B" w:rsidRDefault="00143C25">
            <w:pPr>
              <w:pStyle w:val="TableParagraph"/>
              <w:rPr>
                <w:rFonts w:ascii="Arial" w:hAnsi="Arial" w:cs="Arial"/>
                <w:sz w:val="18"/>
                <w:szCs w:val="18"/>
              </w:rPr>
            </w:pPr>
            <w:r>
              <w:rPr>
                <w:rFonts w:ascii="Arial" w:hAnsi="Arial" w:cs="Arial"/>
                <w:spacing w:val="-2"/>
                <w:w w:val="120"/>
                <w:sz w:val="18"/>
                <w:szCs w:val="18"/>
              </w:rPr>
              <w:t>11.75</w:t>
            </w:r>
          </w:p>
        </w:tc>
        <w:tc>
          <w:tcPr>
            <w:tcW w:w="711" w:type="dxa"/>
            <w:tcBorders>
              <w:top w:val="single" w:sz="4" w:space="0" w:color="000000"/>
              <w:left w:val="single" w:sz="4" w:space="0" w:color="000000"/>
              <w:bottom w:val="single" w:sz="4" w:space="0" w:color="000000"/>
              <w:right w:val="single" w:sz="4" w:space="0" w:color="000000"/>
            </w:tcBorders>
          </w:tcPr>
          <w:p w14:paraId="4666C02F" w14:textId="77777777" w:rsidR="00D3344B" w:rsidRDefault="00143C25">
            <w:pPr>
              <w:pStyle w:val="TableParagraph"/>
              <w:ind w:left="3"/>
              <w:rPr>
                <w:rFonts w:ascii="Arial" w:hAnsi="Arial" w:cs="Arial"/>
                <w:sz w:val="18"/>
                <w:szCs w:val="18"/>
              </w:rPr>
            </w:pPr>
            <w:r>
              <w:rPr>
                <w:rFonts w:ascii="Arial" w:hAnsi="Arial" w:cs="Arial"/>
                <w:spacing w:val="-2"/>
                <w:w w:val="120"/>
                <w:sz w:val="18"/>
                <w:szCs w:val="18"/>
              </w:rPr>
              <w:t>10.50</w:t>
            </w:r>
          </w:p>
        </w:tc>
        <w:tc>
          <w:tcPr>
            <w:tcW w:w="709" w:type="dxa"/>
            <w:tcBorders>
              <w:top w:val="single" w:sz="4" w:space="0" w:color="000000"/>
              <w:left w:val="single" w:sz="4" w:space="0" w:color="000000"/>
              <w:bottom w:val="single" w:sz="4" w:space="0" w:color="000000"/>
              <w:right w:val="single" w:sz="4" w:space="0" w:color="000000"/>
            </w:tcBorders>
          </w:tcPr>
          <w:p w14:paraId="6EE795ED"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9.00</w:t>
            </w:r>
          </w:p>
        </w:tc>
        <w:tc>
          <w:tcPr>
            <w:tcW w:w="710" w:type="dxa"/>
            <w:tcBorders>
              <w:top w:val="single" w:sz="4" w:space="0" w:color="000000"/>
              <w:left w:val="single" w:sz="4" w:space="0" w:color="000000"/>
              <w:bottom w:val="single" w:sz="4" w:space="0" w:color="000000"/>
              <w:right w:val="single" w:sz="4" w:space="0" w:color="000000"/>
            </w:tcBorders>
          </w:tcPr>
          <w:p w14:paraId="456F908B"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6409109E" w14:textId="77777777" w:rsidR="00D3344B" w:rsidRDefault="00143C25">
            <w:pPr>
              <w:pStyle w:val="TableParagraph"/>
              <w:rPr>
                <w:rFonts w:ascii="Arial" w:hAnsi="Arial" w:cs="Arial"/>
                <w:sz w:val="18"/>
                <w:szCs w:val="18"/>
              </w:rPr>
            </w:pPr>
            <w:r>
              <w:rPr>
                <w:rFonts w:ascii="Arial" w:hAnsi="Arial" w:cs="Arial"/>
                <w:spacing w:val="-4"/>
                <w:w w:val="125"/>
                <w:sz w:val="18"/>
                <w:szCs w:val="18"/>
              </w:rPr>
              <w:t>6.75</w:t>
            </w:r>
          </w:p>
        </w:tc>
        <w:tc>
          <w:tcPr>
            <w:tcW w:w="755" w:type="dxa"/>
            <w:tcBorders>
              <w:top w:val="single" w:sz="4" w:space="0" w:color="000000"/>
              <w:left w:val="single" w:sz="4" w:space="0" w:color="000000"/>
              <w:bottom w:val="single" w:sz="4" w:space="0" w:color="000000"/>
              <w:right w:val="single" w:sz="4" w:space="0" w:color="000000"/>
            </w:tcBorders>
          </w:tcPr>
          <w:p w14:paraId="4ACF5B5C" w14:textId="77777777" w:rsidR="00D3344B" w:rsidRDefault="00D3344B">
            <w:pPr>
              <w:pStyle w:val="TableParagraph"/>
              <w:rPr>
                <w:rFonts w:ascii="Arial" w:hAnsi="Arial" w:cs="Arial"/>
                <w:sz w:val="18"/>
                <w:szCs w:val="18"/>
              </w:rPr>
            </w:pPr>
          </w:p>
        </w:tc>
      </w:tr>
      <w:tr w:rsidR="00D3344B" w14:paraId="2EC2D8F0"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1EABD4C2"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006</w:t>
            </w:r>
          </w:p>
        </w:tc>
        <w:tc>
          <w:tcPr>
            <w:tcW w:w="3277" w:type="dxa"/>
            <w:tcBorders>
              <w:top w:val="single" w:sz="4" w:space="0" w:color="000000"/>
              <w:left w:val="single" w:sz="4" w:space="0" w:color="000000"/>
              <w:bottom w:val="single" w:sz="4" w:space="0" w:color="000000"/>
              <w:right w:val="single" w:sz="4" w:space="0" w:color="000000"/>
            </w:tcBorders>
          </w:tcPr>
          <w:p w14:paraId="410DD2F2" w14:textId="77777777" w:rsidR="00D3344B" w:rsidRDefault="00143C25">
            <w:pPr>
              <w:pStyle w:val="TableParagraph"/>
              <w:rPr>
                <w:rFonts w:ascii="Arial" w:hAnsi="Arial" w:cs="Arial"/>
                <w:sz w:val="18"/>
                <w:szCs w:val="18"/>
              </w:rPr>
            </w:pPr>
            <w:r>
              <w:rPr>
                <w:rFonts w:ascii="Arial" w:hAnsi="Arial" w:cs="Arial"/>
                <w:w w:val="115"/>
                <w:sz w:val="18"/>
                <w:szCs w:val="18"/>
              </w:rPr>
              <w:t>Consulta</w:t>
            </w:r>
            <w:r>
              <w:rPr>
                <w:rFonts w:ascii="Arial" w:hAnsi="Arial" w:cs="Arial"/>
                <w:spacing w:val="15"/>
                <w:w w:val="115"/>
                <w:sz w:val="18"/>
                <w:szCs w:val="18"/>
              </w:rPr>
              <w:t xml:space="preserve"> </w:t>
            </w:r>
            <w:r>
              <w:rPr>
                <w:rFonts w:ascii="Arial" w:hAnsi="Arial" w:cs="Arial"/>
                <w:spacing w:val="-2"/>
                <w:w w:val="115"/>
                <w:sz w:val="18"/>
                <w:szCs w:val="18"/>
              </w:rPr>
              <w:t>Ginecólogo</w:t>
            </w:r>
          </w:p>
        </w:tc>
        <w:tc>
          <w:tcPr>
            <w:tcW w:w="709" w:type="dxa"/>
            <w:tcBorders>
              <w:top w:val="single" w:sz="4" w:space="0" w:color="000000"/>
              <w:left w:val="single" w:sz="4" w:space="0" w:color="000000"/>
              <w:bottom w:val="single" w:sz="4" w:space="0" w:color="000000"/>
              <w:right w:val="single" w:sz="4" w:space="0" w:color="000000"/>
            </w:tcBorders>
          </w:tcPr>
          <w:p w14:paraId="4A6257CB" w14:textId="77777777" w:rsidR="00D3344B" w:rsidRDefault="00143C25">
            <w:pPr>
              <w:pStyle w:val="TableParagraph"/>
              <w:rPr>
                <w:rFonts w:ascii="Arial" w:hAnsi="Arial" w:cs="Arial"/>
                <w:sz w:val="18"/>
                <w:szCs w:val="18"/>
              </w:rPr>
            </w:pPr>
            <w:r>
              <w:rPr>
                <w:rFonts w:ascii="Arial" w:hAnsi="Arial" w:cs="Arial"/>
                <w:spacing w:val="-4"/>
                <w:w w:val="125"/>
                <w:sz w:val="18"/>
                <w:szCs w:val="18"/>
              </w:rPr>
              <w:t>2.75</w:t>
            </w:r>
          </w:p>
        </w:tc>
        <w:tc>
          <w:tcPr>
            <w:tcW w:w="711" w:type="dxa"/>
            <w:tcBorders>
              <w:top w:val="single" w:sz="4" w:space="0" w:color="000000"/>
              <w:left w:val="single" w:sz="4" w:space="0" w:color="000000"/>
              <w:bottom w:val="single" w:sz="4" w:space="0" w:color="000000"/>
              <w:right w:val="single" w:sz="4" w:space="0" w:color="000000"/>
            </w:tcBorders>
          </w:tcPr>
          <w:p w14:paraId="39CEE455"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2.50</w:t>
            </w:r>
          </w:p>
        </w:tc>
        <w:tc>
          <w:tcPr>
            <w:tcW w:w="709" w:type="dxa"/>
            <w:tcBorders>
              <w:top w:val="single" w:sz="4" w:space="0" w:color="000000"/>
              <w:left w:val="single" w:sz="4" w:space="0" w:color="000000"/>
              <w:bottom w:val="single" w:sz="4" w:space="0" w:color="000000"/>
              <w:right w:val="single" w:sz="4" w:space="0" w:color="000000"/>
            </w:tcBorders>
          </w:tcPr>
          <w:p w14:paraId="511A65B2"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2.25</w:t>
            </w:r>
          </w:p>
        </w:tc>
        <w:tc>
          <w:tcPr>
            <w:tcW w:w="710" w:type="dxa"/>
            <w:tcBorders>
              <w:top w:val="single" w:sz="4" w:space="0" w:color="000000"/>
              <w:left w:val="single" w:sz="4" w:space="0" w:color="000000"/>
              <w:bottom w:val="single" w:sz="4" w:space="0" w:color="000000"/>
              <w:right w:val="single" w:sz="4" w:space="0" w:color="000000"/>
            </w:tcBorders>
          </w:tcPr>
          <w:p w14:paraId="7CBC4F2D"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2.00</w:t>
            </w:r>
          </w:p>
        </w:tc>
        <w:tc>
          <w:tcPr>
            <w:tcW w:w="711" w:type="dxa"/>
            <w:tcBorders>
              <w:top w:val="single" w:sz="4" w:space="0" w:color="000000"/>
              <w:left w:val="single" w:sz="4" w:space="0" w:color="000000"/>
              <w:bottom w:val="single" w:sz="4" w:space="0" w:color="000000"/>
              <w:right w:val="single" w:sz="4" w:space="0" w:color="000000"/>
            </w:tcBorders>
          </w:tcPr>
          <w:p w14:paraId="5F3678AB" w14:textId="77777777" w:rsidR="00D3344B" w:rsidRDefault="00143C25">
            <w:pPr>
              <w:pStyle w:val="TableParagraph"/>
              <w:rPr>
                <w:rFonts w:ascii="Arial" w:hAnsi="Arial" w:cs="Arial"/>
                <w:sz w:val="18"/>
                <w:szCs w:val="18"/>
              </w:rPr>
            </w:pPr>
            <w:r>
              <w:rPr>
                <w:rFonts w:ascii="Arial" w:hAnsi="Arial" w:cs="Arial"/>
                <w:spacing w:val="-4"/>
                <w:w w:val="125"/>
                <w:sz w:val="18"/>
                <w:szCs w:val="18"/>
              </w:rPr>
              <w:t>1.75</w:t>
            </w:r>
          </w:p>
        </w:tc>
        <w:tc>
          <w:tcPr>
            <w:tcW w:w="755" w:type="dxa"/>
            <w:tcBorders>
              <w:top w:val="single" w:sz="4" w:space="0" w:color="000000"/>
              <w:left w:val="single" w:sz="4" w:space="0" w:color="000000"/>
              <w:bottom w:val="single" w:sz="4" w:space="0" w:color="000000"/>
              <w:right w:val="single" w:sz="4" w:space="0" w:color="000000"/>
            </w:tcBorders>
          </w:tcPr>
          <w:p w14:paraId="47C013C2" w14:textId="77777777" w:rsidR="00D3344B" w:rsidRDefault="00D3344B">
            <w:pPr>
              <w:pStyle w:val="TableParagraph"/>
              <w:rPr>
                <w:rFonts w:ascii="Arial" w:hAnsi="Arial" w:cs="Arial"/>
                <w:sz w:val="18"/>
                <w:szCs w:val="18"/>
              </w:rPr>
            </w:pPr>
          </w:p>
        </w:tc>
      </w:tr>
      <w:tr w:rsidR="00D3344B" w14:paraId="14BDC5DE" w14:textId="77777777">
        <w:trPr>
          <w:trHeight w:val="301"/>
        </w:trPr>
        <w:tc>
          <w:tcPr>
            <w:tcW w:w="1259" w:type="dxa"/>
            <w:tcBorders>
              <w:top w:val="single" w:sz="4" w:space="0" w:color="000000"/>
              <w:left w:val="single" w:sz="4" w:space="0" w:color="000000"/>
              <w:bottom w:val="single" w:sz="4" w:space="0" w:color="000000"/>
              <w:right w:val="single" w:sz="4" w:space="0" w:color="000000"/>
            </w:tcBorders>
          </w:tcPr>
          <w:p w14:paraId="04093267"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007</w:t>
            </w:r>
          </w:p>
        </w:tc>
        <w:tc>
          <w:tcPr>
            <w:tcW w:w="3277" w:type="dxa"/>
            <w:tcBorders>
              <w:top w:val="single" w:sz="4" w:space="0" w:color="000000"/>
              <w:left w:val="single" w:sz="4" w:space="0" w:color="000000"/>
              <w:bottom w:val="single" w:sz="4" w:space="0" w:color="000000"/>
              <w:right w:val="single" w:sz="4" w:space="0" w:color="000000"/>
            </w:tcBorders>
          </w:tcPr>
          <w:p w14:paraId="6FDF4A45" w14:textId="77777777" w:rsidR="00D3344B" w:rsidRDefault="00143C25">
            <w:pPr>
              <w:pStyle w:val="TableParagraph"/>
              <w:rPr>
                <w:rFonts w:ascii="Arial" w:hAnsi="Arial" w:cs="Arial"/>
                <w:sz w:val="18"/>
                <w:szCs w:val="18"/>
              </w:rPr>
            </w:pPr>
            <w:r>
              <w:rPr>
                <w:rFonts w:ascii="Arial" w:hAnsi="Arial" w:cs="Arial"/>
                <w:spacing w:val="-2"/>
                <w:w w:val="115"/>
                <w:sz w:val="18"/>
                <w:szCs w:val="18"/>
              </w:rPr>
              <w:t>Colposcopia</w:t>
            </w:r>
            <w:r>
              <w:rPr>
                <w:rFonts w:ascii="Arial" w:hAnsi="Arial" w:cs="Arial"/>
                <w:w w:val="115"/>
                <w:sz w:val="18"/>
                <w:szCs w:val="18"/>
              </w:rPr>
              <w:t xml:space="preserve"> </w:t>
            </w:r>
            <w:r>
              <w:rPr>
                <w:rFonts w:ascii="Arial" w:hAnsi="Arial" w:cs="Arial"/>
                <w:spacing w:val="-2"/>
                <w:w w:val="115"/>
                <w:sz w:val="18"/>
                <w:szCs w:val="18"/>
              </w:rPr>
              <w:t>Interpretada</w:t>
            </w:r>
          </w:p>
        </w:tc>
        <w:tc>
          <w:tcPr>
            <w:tcW w:w="709" w:type="dxa"/>
            <w:tcBorders>
              <w:top w:val="single" w:sz="4" w:space="0" w:color="000000"/>
              <w:left w:val="single" w:sz="4" w:space="0" w:color="000000"/>
              <w:bottom w:val="single" w:sz="4" w:space="0" w:color="000000"/>
              <w:right w:val="single" w:sz="4" w:space="0" w:color="000000"/>
            </w:tcBorders>
          </w:tcPr>
          <w:p w14:paraId="64312363" w14:textId="77777777" w:rsidR="00D3344B" w:rsidRDefault="00143C25">
            <w:pPr>
              <w:pStyle w:val="TableParagraph"/>
              <w:rPr>
                <w:rFonts w:ascii="Arial" w:hAnsi="Arial" w:cs="Arial"/>
                <w:sz w:val="18"/>
                <w:szCs w:val="18"/>
              </w:rPr>
            </w:pPr>
            <w:r>
              <w:rPr>
                <w:rFonts w:ascii="Arial" w:hAnsi="Arial" w:cs="Arial"/>
                <w:spacing w:val="-4"/>
                <w:w w:val="125"/>
                <w:sz w:val="18"/>
                <w:szCs w:val="18"/>
              </w:rPr>
              <w:t>5.50</w:t>
            </w:r>
          </w:p>
        </w:tc>
        <w:tc>
          <w:tcPr>
            <w:tcW w:w="711" w:type="dxa"/>
            <w:tcBorders>
              <w:top w:val="single" w:sz="4" w:space="0" w:color="000000"/>
              <w:left w:val="single" w:sz="4" w:space="0" w:color="000000"/>
              <w:bottom w:val="single" w:sz="4" w:space="0" w:color="000000"/>
              <w:right w:val="single" w:sz="4" w:space="0" w:color="000000"/>
            </w:tcBorders>
          </w:tcPr>
          <w:p w14:paraId="4C278393"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4.75</w:t>
            </w:r>
          </w:p>
        </w:tc>
        <w:tc>
          <w:tcPr>
            <w:tcW w:w="709" w:type="dxa"/>
            <w:tcBorders>
              <w:top w:val="single" w:sz="4" w:space="0" w:color="000000"/>
              <w:left w:val="single" w:sz="4" w:space="0" w:color="000000"/>
              <w:bottom w:val="single" w:sz="4" w:space="0" w:color="000000"/>
              <w:right w:val="single" w:sz="4" w:space="0" w:color="000000"/>
            </w:tcBorders>
          </w:tcPr>
          <w:p w14:paraId="22EF8CD9"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4.00</w:t>
            </w:r>
          </w:p>
        </w:tc>
        <w:tc>
          <w:tcPr>
            <w:tcW w:w="710" w:type="dxa"/>
            <w:tcBorders>
              <w:top w:val="single" w:sz="4" w:space="0" w:color="000000"/>
              <w:left w:val="single" w:sz="4" w:space="0" w:color="000000"/>
              <w:bottom w:val="single" w:sz="4" w:space="0" w:color="000000"/>
              <w:right w:val="single" w:sz="4" w:space="0" w:color="000000"/>
            </w:tcBorders>
          </w:tcPr>
          <w:p w14:paraId="5AFB30A1"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3.25</w:t>
            </w:r>
          </w:p>
        </w:tc>
        <w:tc>
          <w:tcPr>
            <w:tcW w:w="711" w:type="dxa"/>
            <w:tcBorders>
              <w:top w:val="single" w:sz="4" w:space="0" w:color="000000"/>
              <w:left w:val="single" w:sz="4" w:space="0" w:color="000000"/>
              <w:bottom w:val="single" w:sz="4" w:space="0" w:color="000000"/>
              <w:right w:val="single" w:sz="4" w:space="0" w:color="000000"/>
            </w:tcBorders>
          </w:tcPr>
          <w:p w14:paraId="71857B7C" w14:textId="77777777" w:rsidR="00D3344B" w:rsidRDefault="00143C25">
            <w:pPr>
              <w:pStyle w:val="TableParagraph"/>
              <w:rPr>
                <w:rFonts w:ascii="Arial" w:hAnsi="Arial" w:cs="Arial"/>
                <w:sz w:val="18"/>
                <w:szCs w:val="18"/>
              </w:rPr>
            </w:pPr>
            <w:r>
              <w:rPr>
                <w:rFonts w:ascii="Arial" w:hAnsi="Arial" w:cs="Arial"/>
                <w:spacing w:val="-4"/>
                <w:w w:val="125"/>
                <w:sz w:val="18"/>
                <w:szCs w:val="18"/>
              </w:rPr>
              <w:t>2.50</w:t>
            </w:r>
          </w:p>
        </w:tc>
        <w:tc>
          <w:tcPr>
            <w:tcW w:w="755" w:type="dxa"/>
            <w:tcBorders>
              <w:top w:val="single" w:sz="4" w:space="0" w:color="000000"/>
              <w:left w:val="single" w:sz="4" w:space="0" w:color="000000"/>
              <w:bottom w:val="single" w:sz="4" w:space="0" w:color="000000"/>
              <w:right w:val="single" w:sz="4" w:space="0" w:color="000000"/>
            </w:tcBorders>
          </w:tcPr>
          <w:p w14:paraId="28DF2C93" w14:textId="77777777" w:rsidR="00D3344B" w:rsidRDefault="00D3344B">
            <w:pPr>
              <w:pStyle w:val="TableParagraph"/>
              <w:rPr>
                <w:rFonts w:ascii="Arial" w:hAnsi="Arial" w:cs="Arial"/>
                <w:sz w:val="18"/>
                <w:szCs w:val="18"/>
              </w:rPr>
            </w:pPr>
          </w:p>
        </w:tc>
      </w:tr>
      <w:tr w:rsidR="00D3344B" w14:paraId="1B119807"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4F5C8D8B"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008</w:t>
            </w:r>
          </w:p>
        </w:tc>
        <w:tc>
          <w:tcPr>
            <w:tcW w:w="3277" w:type="dxa"/>
            <w:tcBorders>
              <w:top w:val="single" w:sz="4" w:space="0" w:color="000000"/>
              <w:left w:val="single" w:sz="4" w:space="0" w:color="000000"/>
              <w:bottom w:val="single" w:sz="4" w:space="0" w:color="000000"/>
              <w:right w:val="single" w:sz="4" w:space="0" w:color="000000"/>
            </w:tcBorders>
          </w:tcPr>
          <w:p w14:paraId="2CAEFAAB" w14:textId="77777777" w:rsidR="00D3344B" w:rsidRDefault="00143C25">
            <w:pPr>
              <w:pStyle w:val="TableParagraph"/>
              <w:rPr>
                <w:rFonts w:ascii="Arial" w:hAnsi="Arial" w:cs="Arial"/>
                <w:sz w:val="18"/>
                <w:szCs w:val="18"/>
              </w:rPr>
            </w:pPr>
            <w:r>
              <w:rPr>
                <w:rFonts w:ascii="Arial" w:hAnsi="Arial" w:cs="Arial"/>
                <w:w w:val="115"/>
                <w:sz w:val="18"/>
                <w:szCs w:val="18"/>
              </w:rPr>
              <w:t>Cirugía</w:t>
            </w:r>
            <w:r>
              <w:rPr>
                <w:rFonts w:ascii="Arial" w:hAnsi="Arial" w:cs="Arial"/>
                <w:spacing w:val="5"/>
                <w:w w:val="115"/>
                <w:sz w:val="18"/>
                <w:szCs w:val="18"/>
              </w:rPr>
              <w:t xml:space="preserve"> </w:t>
            </w:r>
            <w:r>
              <w:rPr>
                <w:rFonts w:ascii="Arial" w:hAnsi="Arial" w:cs="Arial"/>
                <w:spacing w:val="-2"/>
                <w:w w:val="115"/>
                <w:sz w:val="18"/>
                <w:szCs w:val="18"/>
              </w:rPr>
              <w:t>Laser</w:t>
            </w:r>
          </w:p>
        </w:tc>
        <w:tc>
          <w:tcPr>
            <w:tcW w:w="709" w:type="dxa"/>
            <w:tcBorders>
              <w:top w:val="single" w:sz="4" w:space="0" w:color="000000"/>
              <w:left w:val="single" w:sz="4" w:space="0" w:color="000000"/>
              <w:bottom w:val="single" w:sz="4" w:space="0" w:color="000000"/>
              <w:right w:val="single" w:sz="4" w:space="0" w:color="000000"/>
            </w:tcBorders>
          </w:tcPr>
          <w:p w14:paraId="4FD33E8C" w14:textId="77777777" w:rsidR="00D3344B" w:rsidRDefault="00143C25">
            <w:pPr>
              <w:pStyle w:val="TableParagraph"/>
              <w:rPr>
                <w:rFonts w:ascii="Arial" w:hAnsi="Arial" w:cs="Arial"/>
                <w:sz w:val="18"/>
                <w:szCs w:val="18"/>
              </w:rPr>
            </w:pPr>
            <w:r>
              <w:rPr>
                <w:rFonts w:ascii="Arial" w:hAnsi="Arial" w:cs="Arial"/>
                <w:spacing w:val="-2"/>
                <w:w w:val="120"/>
                <w:sz w:val="18"/>
                <w:szCs w:val="18"/>
              </w:rPr>
              <w:t>14.75</w:t>
            </w:r>
          </w:p>
        </w:tc>
        <w:tc>
          <w:tcPr>
            <w:tcW w:w="711" w:type="dxa"/>
            <w:tcBorders>
              <w:top w:val="single" w:sz="4" w:space="0" w:color="000000"/>
              <w:left w:val="single" w:sz="4" w:space="0" w:color="000000"/>
              <w:bottom w:val="single" w:sz="4" w:space="0" w:color="000000"/>
              <w:right w:val="single" w:sz="4" w:space="0" w:color="000000"/>
            </w:tcBorders>
          </w:tcPr>
          <w:p w14:paraId="7613652F" w14:textId="77777777" w:rsidR="00D3344B" w:rsidRDefault="00143C25">
            <w:pPr>
              <w:pStyle w:val="TableParagraph"/>
              <w:ind w:left="3"/>
              <w:rPr>
                <w:rFonts w:ascii="Arial" w:hAnsi="Arial" w:cs="Arial"/>
                <w:sz w:val="18"/>
                <w:szCs w:val="18"/>
              </w:rPr>
            </w:pPr>
            <w:r>
              <w:rPr>
                <w:rFonts w:ascii="Arial" w:hAnsi="Arial" w:cs="Arial"/>
                <w:spacing w:val="-2"/>
                <w:w w:val="120"/>
                <w:sz w:val="18"/>
                <w:szCs w:val="18"/>
              </w:rPr>
              <w:t>13.25</w:t>
            </w:r>
          </w:p>
        </w:tc>
        <w:tc>
          <w:tcPr>
            <w:tcW w:w="709" w:type="dxa"/>
            <w:tcBorders>
              <w:top w:val="single" w:sz="4" w:space="0" w:color="000000"/>
              <w:left w:val="single" w:sz="4" w:space="0" w:color="000000"/>
              <w:bottom w:val="single" w:sz="4" w:space="0" w:color="000000"/>
              <w:right w:val="single" w:sz="4" w:space="0" w:color="000000"/>
            </w:tcBorders>
          </w:tcPr>
          <w:p w14:paraId="611DC498" w14:textId="77777777" w:rsidR="00D3344B" w:rsidRDefault="00143C25">
            <w:pPr>
              <w:pStyle w:val="TableParagraph"/>
              <w:ind w:left="2"/>
              <w:rPr>
                <w:rFonts w:ascii="Arial" w:hAnsi="Arial" w:cs="Arial"/>
                <w:sz w:val="18"/>
                <w:szCs w:val="18"/>
              </w:rPr>
            </w:pPr>
            <w:r>
              <w:rPr>
                <w:rFonts w:ascii="Arial" w:hAnsi="Arial" w:cs="Arial"/>
                <w:spacing w:val="-2"/>
                <w:w w:val="120"/>
                <w:sz w:val="18"/>
                <w:szCs w:val="18"/>
              </w:rPr>
              <w:t>11.00</w:t>
            </w:r>
          </w:p>
        </w:tc>
        <w:tc>
          <w:tcPr>
            <w:tcW w:w="710" w:type="dxa"/>
            <w:tcBorders>
              <w:top w:val="single" w:sz="4" w:space="0" w:color="000000"/>
              <w:left w:val="single" w:sz="4" w:space="0" w:color="000000"/>
              <w:bottom w:val="single" w:sz="4" w:space="0" w:color="000000"/>
              <w:right w:val="single" w:sz="4" w:space="0" w:color="000000"/>
            </w:tcBorders>
          </w:tcPr>
          <w:p w14:paraId="4E0BD342"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9.75</w:t>
            </w:r>
          </w:p>
        </w:tc>
        <w:tc>
          <w:tcPr>
            <w:tcW w:w="711" w:type="dxa"/>
            <w:tcBorders>
              <w:top w:val="single" w:sz="4" w:space="0" w:color="000000"/>
              <w:left w:val="single" w:sz="4" w:space="0" w:color="000000"/>
              <w:bottom w:val="single" w:sz="4" w:space="0" w:color="000000"/>
              <w:right w:val="single" w:sz="4" w:space="0" w:color="000000"/>
            </w:tcBorders>
          </w:tcPr>
          <w:p w14:paraId="36B4753A" w14:textId="77777777" w:rsidR="00D3344B" w:rsidRDefault="00143C25">
            <w:pPr>
              <w:pStyle w:val="TableParagraph"/>
              <w:rPr>
                <w:rFonts w:ascii="Arial" w:hAnsi="Arial" w:cs="Arial"/>
                <w:sz w:val="18"/>
                <w:szCs w:val="18"/>
              </w:rPr>
            </w:pPr>
            <w:r>
              <w:rPr>
                <w:rFonts w:ascii="Arial" w:hAnsi="Arial" w:cs="Arial"/>
                <w:spacing w:val="-4"/>
                <w:w w:val="125"/>
                <w:sz w:val="18"/>
                <w:szCs w:val="18"/>
              </w:rPr>
              <w:t>7.75</w:t>
            </w:r>
          </w:p>
        </w:tc>
        <w:tc>
          <w:tcPr>
            <w:tcW w:w="755" w:type="dxa"/>
            <w:tcBorders>
              <w:top w:val="single" w:sz="4" w:space="0" w:color="000000"/>
              <w:left w:val="single" w:sz="4" w:space="0" w:color="000000"/>
              <w:bottom w:val="single" w:sz="4" w:space="0" w:color="000000"/>
              <w:right w:val="single" w:sz="4" w:space="0" w:color="000000"/>
            </w:tcBorders>
          </w:tcPr>
          <w:p w14:paraId="4401FB46" w14:textId="77777777" w:rsidR="00D3344B" w:rsidRDefault="00D3344B">
            <w:pPr>
              <w:pStyle w:val="TableParagraph"/>
              <w:rPr>
                <w:rFonts w:ascii="Arial" w:hAnsi="Arial" w:cs="Arial"/>
                <w:sz w:val="18"/>
                <w:szCs w:val="18"/>
              </w:rPr>
            </w:pPr>
          </w:p>
        </w:tc>
      </w:tr>
      <w:tr w:rsidR="00D3344B" w14:paraId="4A1D574A"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0D021817"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009</w:t>
            </w:r>
          </w:p>
        </w:tc>
        <w:tc>
          <w:tcPr>
            <w:tcW w:w="3277" w:type="dxa"/>
            <w:tcBorders>
              <w:top w:val="single" w:sz="4" w:space="0" w:color="000000"/>
              <w:left w:val="single" w:sz="4" w:space="0" w:color="000000"/>
              <w:bottom w:val="single" w:sz="4" w:space="0" w:color="000000"/>
              <w:right w:val="single" w:sz="4" w:space="0" w:color="000000"/>
            </w:tcBorders>
          </w:tcPr>
          <w:p w14:paraId="2462F224" w14:textId="77777777" w:rsidR="00D3344B" w:rsidRDefault="00143C25">
            <w:pPr>
              <w:pStyle w:val="TableParagraph"/>
              <w:rPr>
                <w:rFonts w:ascii="Arial" w:hAnsi="Arial" w:cs="Arial"/>
                <w:sz w:val="18"/>
                <w:szCs w:val="18"/>
              </w:rPr>
            </w:pPr>
            <w:r>
              <w:rPr>
                <w:rFonts w:ascii="Arial" w:hAnsi="Arial" w:cs="Arial"/>
                <w:spacing w:val="-2"/>
                <w:w w:val="115"/>
                <w:sz w:val="18"/>
                <w:szCs w:val="18"/>
              </w:rPr>
              <w:t>Biopsia</w:t>
            </w:r>
          </w:p>
        </w:tc>
        <w:tc>
          <w:tcPr>
            <w:tcW w:w="709" w:type="dxa"/>
            <w:tcBorders>
              <w:top w:val="single" w:sz="4" w:space="0" w:color="000000"/>
              <w:left w:val="single" w:sz="4" w:space="0" w:color="000000"/>
              <w:bottom w:val="single" w:sz="4" w:space="0" w:color="000000"/>
              <w:right w:val="single" w:sz="4" w:space="0" w:color="000000"/>
            </w:tcBorders>
          </w:tcPr>
          <w:p w14:paraId="02F00302" w14:textId="77777777" w:rsidR="00D3344B" w:rsidRDefault="00143C25">
            <w:pPr>
              <w:pStyle w:val="TableParagraph"/>
              <w:rPr>
                <w:rFonts w:ascii="Arial" w:hAnsi="Arial" w:cs="Arial"/>
                <w:sz w:val="18"/>
                <w:szCs w:val="18"/>
              </w:rPr>
            </w:pPr>
            <w:r>
              <w:rPr>
                <w:rFonts w:ascii="Arial" w:hAnsi="Arial" w:cs="Arial"/>
                <w:spacing w:val="-4"/>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4CB0127B"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7.75</w:t>
            </w:r>
          </w:p>
        </w:tc>
        <w:tc>
          <w:tcPr>
            <w:tcW w:w="709" w:type="dxa"/>
            <w:tcBorders>
              <w:top w:val="single" w:sz="4" w:space="0" w:color="000000"/>
              <w:left w:val="single" w:sz="4" w:space="0" w:color="000000"/>
              <w:bottom w:val="single" w:sz="4" w:space="0" w:color="000000"/>
              <w:right w:val="single" w:sz="4" w:space="0" w:color="000000"/>
            </w:tcBorders>
          </w:tcPr>
          <w:p w14:paraId="19C1DFB7"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7.75</w:t>
            </w:r>
          </w:p>
        </w:tc>
        <w:tc>
          <w:tcPr>
            <w:tcW w:w="710" w:type="dxa"/>
            <w:tcBorders>
              <w:top w:val="single" w:sz="4" w:space="0" w:color="000000"/>
              <w:left w:val="single" w:sz="4" w:space="0" w:color="000000"/>
              <w:bottom w:val="single" w:sz="4" w:space="0" w:color="000000"/>
              <w:right w:val="single" w:sz="4" w:space="0" w:color="000000"/>
            </w:tcBorders>
          </w:tcPr>
          <w:p w14:paraId="3DB03098"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2B450B24" w14:textId="77777777" w:rsidR="00D3344B" w:rsidRDefault="00143C25">
            <w:pPr>
              <w:pStyle w:val="TableParagraph"/>
              <w:rPr>
                <w:rFonts w:ascii="Arial" w:hAnsi="Arial" w:cs="Arial"/>
                <w:sz w:val="18"/>
                <w:szCs w:val="18"/>
              </w:rPr>
            </w:pPr>
            <w:r>
              <w:rPr>
                <w:rFonts w:ascii="Arial" w:hAnsi="Arial" w:cs="Arial"/>
                <w:spacing w:val="-4"/>
                <w:w w:val="125"/>
                <w:sz w:val="18"/>
                <w:szCs w:val="18"/>
              </w:rPr>
              <w:t>7.75</w:t>
            </w:r>
          </w:p>
        </w:tc>
        <w:tc>
          <w:tcPr>
            <w:tcW w:w="755" w:type="dxa"/>
            <w:tcBorders>
              <w:top w:val="single" w:sz="4" w:space="0" w:color="000000"/>
              <w:left w:val="single" w:sz="4" w:space="0" w:color="000000"/>
              <w:bottom w:val="single" w:sz="4" w:space="0" w:color="000000"/>
              <w:right w:val="single" w:sz="4" w:space="0" w:color="000000"/>
            </w:tcBorders>
          </w:tcPr>
          <w:p w14:paraId="12C92857" w14:textId="77777777" w:rsidR="00D3344B" w:rsidRDefault="00D3344B">
            <w:pPr>
              <w:pStyle w:val="TableParagraph"/>
              <w:rPr>
                <w:rFonts w:ascii="Arial" w:hAnsi="Arial" w:cs="Arial"/>
                <w:sz w:val="18"/>
                <w:szCs w:val="18"/>
              </w:rPr>
            </w:pPr>
          </w:p>
        </w:tc>
      </w:tr>
      <w:tr w:rsidR="00D3344B" w14:paraId="3DB79F74" w14:textId="77777777">
        <w:trPr>
          <w:trHeight w:val="297"/>
        </w:trPr>
        <w:tc>
          <w:tcPr>
            <w:tcW w:w="1259" w:type="dxa"/>
            <w:tcBorders>
              <w:top w:val="single" w:sz="4" w:space="0" w:color="000000"/>
              <w:left w:val="single" w:sz="4" w:space="0" w:color="000000"/>
              <w:bottom w:val="single" w:sz="4" w:space="0" w:color="000000"/>
              <w:right w:val="single" w:sz="4" w:space="0" w:color="000000"/>
            </w:tcBorders>
          </w:tcPr>
          <w:p w14:paraId="62AA88DF"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010</w:t>
            </w:r>
          </w:p>
        </w:tc>
        <w:tc>
          <w:tcPr>
            <w:tcW w:w="3277" w:type="dxa"/>
            <w:tcBorders>
              <w:top w:val="single" w:sz="4" w:space="0" w:color="000000"/>
              <w:left w:val="single" w:sz="4" w:space="0" w:color="000000"/>
              <w:bottom w:val="single" w:sz="4" w:space="0" w:color="000000"/>
              <w:right w:val="single" w:sz="4" w:space="0" w:color="000000"/>
            </w:tcBorders>
          </w:tcPr>
          <w:p w14:paraId="4351CECB" w14:textId="77777777" w:rsidR="00D3344B" w:rsidRDefault="00143C25">
            <w:pPr>
              <w:pStyle w:val="TableParagraph"/>
              <w:rPr>
                <w:rFonts w:ascii="Arial" w:hAnsi="Arial" w:cs="Arial"/>
                <w:sz w:val="18"/>
                <w:szCs w:val="18"/>
              </w:rPr>
            </w:pPr>
            <w:r>
              <w:rPr>
                <w:rFonts w:ascii="Arial" w:hAnsi="Arial" w:cs="Arial"/>
                <w:spacing w:val="-4"/>
                <w:w w:val="115"/>
                <w:sz w:val="18"/>
                <w:szCs w:val="18"/>
              </w:rPr>
              <w:t>Cono</w:t>
            </w:r>
          </w:p>
        </w:tc>
        <w:tc>
          <w:tcPr>
            <w:tcW w:w="709" w:type="dxa"/>
            <w:tcBorders>
              <w:top w:val="single" w:sz="4" w:space="0" w:color="000000"/>
              <w:left w:val="single" w:sz="4" w:space="0" w:color="000000"/>
              <w:bottom w:val="single" w:sz="4" w:space="0" w:color="000000"/>
              <w:right w:val="single" w:sz="4" w:space="0" w:color="000000"/>
            </w:tcBorders>
          </w:tcPr>
          <w:p w14:paraId="34771E49" w14:textId="77777777" w:rsidR="00D3344B" w:rsidRDefault="00143C25">
            <w:pPr>
              <w:pStyle w:val="TableParagraph"/>
              <w:rPr>
                <w:rFonts w:ascii="Arial" w:hAnsi="Arial" w:cs="Arial"/>
                <w:sz w:val="18"/>
                <w:szCs w:val="18"/>
              </w:rPr>
            </w:pPr>
            <w:r>
              <w:rPr>
                <w:rFonts w:ascii="Arial" w:hAnsi="Arial" w:cs="Arial"/>
                <w:spacing w:val="-4"/>
                <w:w w:val="125"/>
                <w:sz w:val="18"/>
                <w:szCs w:val="18"/>
              </w:rPr>
              <w:t>9.50</w:t>
            </w:r>
          </w:p>
        </w:tc>
        <w:tc>
          <w:tcPr>
            <w:tcW w:w="711" w:type="dxa"/>
            <w:tcBorders>
              <w:top w:val="single" w:sz="4" w:space="0" w:color="000000"/>
              <w:left w:val="single" w:sz="4" w:space="0" w:color="000000"/>
              <w:bottom w:val="single" w:sz="4" w:space="0" w:color="000000"/>
              <w:right w:val="single" w:sz="4" w:space="0" w:color="000000"/>
            </w:tcBorders>
          </w:tcPr>
          <w:p w14:paraId="58D19682"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9.50</w:t>
            </w:r>
          </w:p>
        </w:tc>
        <w:tc>
          <w:tcPr>
            <w:tcW w:w="709" w:type="dxa"/>
            <w:tcBorders>
              <w:top w:val="single" w:sz="4" w:space="0" w:color="000000"/>
              <w:left w:val="single" w:sz="4" w:space="0" w:color="000000"/>
              <w:bottom w:val="single" w:sz="4" w:space="0" w:color="000000"/>
              <w:right w:val="single" w:sz="4" w:space="0" w:color="000000"/>
            </w:tcBorders>
          </w:tcPr>
          <w:p w14:paraId="7B87D7B5"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9.50</w:t>
            </w:r>
          </w:p>
        </w:tc>
        <w:tc>
          <w:tcPr>
            <w:tcW w:w="710" w:type="dxa"/>
            <w:tcBorders>
              <w:top w:val="single" w:sz="4" w:space="0" w:color="000000"/>
              <w:left w:val="single" w:sz="4" w:space="0" w:color="000000"/>
              <w:bottom w:val="single" w:sz="4" w:space="0" w:color="000000"/>
              <w:right w:val="single" w:sz="4" w:space="0" w:color="000000"/>
            </w:tcBorders>
          </w:tcPr>
          <w:p w14:paraId="256B3CD5"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9.50</w:t>
            </w:r>
          </w:p>
        </w:tc>
        <w:tc>
          <w:tcPr>
            <w:tcW w:w="711" w:type="dxa"/>
            <w:tcBorders>
              <w:top w:val="single" w:sz="4" w:space="0" w:color="000000"/>
              <w:left w:val="single" w:sz="4" w:space="0" w:color="000000"/>
              <w:bottom w:val="single" w:sz="4" w:space="0" w:color="000000"/>
              <w:right w:val="single" w:sz="4" w:space="0" w:color="000000"/>
            </w:tcBorders>
          </w:tcPr>
          <w:p w14:paraId="1E097772" w14:textId="77777777" w:rsidR="00D3344B" w:rsidRDefault="00143C25">
            <w:pPr>
              <w:pStyle w:val="TableParagraph"/>
              <w:rPr>
                <w:rFonts w:ascii="Arial" w:hAnsi="Arial" w:cs="Arial"/>
                <w:sz w:val="18"/>
                <w:szCs w:val="18"/>
              </w:rPr>
            </w:pPr>
            <w:r>
              <w:rPr>
                <w:rFonts w:ascii="Arial" w:hAnsi="Arial" w:cs="Arial"/>
                <w:spacing w:val="-4"/>
                <w:w w:val="125"/>
                <w:sz w:val="18"/>
                <w:szCs w:val="18"/>
              </w:rPr>
              <w:t>9.50</w:t>
            </w:r>
          </w:p>
        </w:tc>
        <w:tc>
          <w:tcPr>
            <w:tcW w:w="755" w:type="dxa"/>
            <w:tcBorders>
              <w:top w:val="single" w:sz="4" w:space="0" w:color="000000"/>
              <w:left w:val="single" w:sz="4" w:space="0" w:color="000000"/>
              <w:bottom w:val="single" w:sz="4" w:space="0" w:color="000000"/>
              <w:right w:val="single" w:sz="4" w:space="0" w:color="000000"/>
            </w:tcBorders>
          </w:tcPr>
          <w:p w14:paraId="6C380F80" w14:textId="77777777" w:rsidR="00D3344B" w:rsidRDefault="00D3344B">
            <w:pPr>
              <w:pStyle w:val="TableParagraph"/>
              <w:rPr>
                <w:rFonts w:ascii="Arial" w:hAnsi="Arial" w:cs="Arial"/>
                <w:sz w:val="18"/>
                <w:szCs w:val="18"/>
              </w:rPr>
            </w:pPr>
          </w:p>
        </w:tc>
      </w:tr>
      <w:tr w:rsidR="00D3344B" w14:paraId="0E94917A" w14:textId="77777777">
        <w:trPr>
          <w:trHeight w:val="299"/>
        </w:trPr>
        <w:tc>
          <w:tcPr>
            <w:tcW w:w="1259" w:type="dxa"/>
            <w:tcBorders>
              <w:top w:val="single" w:sz="4" w:space="0" w:color="000000"/>
              <w:left w:val="single" w:sz="4" w:space="0" w:color="000000"/>
              <w:bottom w:val="single" w:sz="4" w:space="0" w:color="000000"/>
              <w:right w:val="single" w:sz="4" w:space="0" w:color="000000"/>
            </w:tcBorders>
          </w:tcPr>
          <w:p w14:paraId="486D0C04" w14:textId="77777777" w:rsidR="00D3344B" w:rsidRDefault="00143C25">
            <w:pPr>
              <w:pStyle w:val="TableParagraph"/>
              <w:spacing w:before="1"/>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011</w:t>
            </w:r>
          </w:p>
        </w:tc>
        <w:tc>
          <w:tcPr>
            <w:tcW w:w="3277" w:type="dxa"/>
            <w:tcBorders>
              <w:top w:val="single" w:sz="4" w:space="0" w:color="000000"/>
              <w:left w:val="single" w:sz="4" w:space="0" w:color="000000"/>
              <w:bottom w:val="single" w:sz="4" w:space="0" w:color="000000"/>
              <w:right w:val="single" w:sz="4" w:space="0" w:color="000000"/>
            </w:tcBorders>
          </w:tcPr>
          <w:p w14:paraId="1A72DE5B" w14:textId="77777777" w:rsidR="00D3344B" w:rsidRDefault="00143C25">
            <w:pPr>
              <w:pStyle w:val="TableParagraph"/>
              <w:spacing w:before="1"/>
              <w:rPr>
                <w:rFonts w:ascii="Arial" w:hAnsi="Arial" w:cs="Arial"/>
                <w:sz w:val="18"/>
                <w:szCs w:val="18"/>
              </w:rPr>
            </w:pPr>
            <w:proofErr w:type="spellStart"/>
            <w:r>
              <w:rPr>
                <w:rFonts w:ascii="Arial" w:hAnsi="Arial" w:cs="Arial"/>
                <w:w w:val="115"/>
                <w:sz w:val="18"/>
                <w:szCs w:val="18"/>
              </w:rPr>
              <w:t>Baff</w:t>
            </w:r>
            <w:proofErr w:type="spellEnd"/>
            <w:r>
              <w:rPr>
                <w:rFonts w:ascii="Arial" w:hAnsi="Arial" w:cs="Arial"/>
                <w:spacing w:val="-1"/>
                <w:w w:val="115"/>
                <w:sz w:val="18"/>
                <w:szCs w:val="18"/>
              </w:rPr>
              <w:t xml:space="preserve"> </w:t>
            </w:r>
            <w:r>
              <w:rPr>
                <w:rFonts w:ascii="Arial" w:hAnsi="Arial" w:cs="Arial"/>
                <w:w w:val="115"/>
                <w:sz w:val="18"/>
                <w:szCs w:val="18"/>
              </w:rPr>
              <w:t>de</w:t>
            </w:r>
            <w:r>
              <w:rPr>
                <w:rFonts w:ascii="Arial" w:hAnsi="Arial" w:cs="Arial"/>
                <w:spacing w:val="-2"/>
                <w:w w:val="115"/>
                <w:sz w:val="18"/>
                <w:szCs w:val="18"/>
              </w:rPr>
              <w:t xml:space="preserve"> </w:t>
            </w:r>
            <w:r>
              <w:rPr>
                <w:rFonts w:ascii="Arial" w:hAnsi="Arial" w:cs="Arial"/>
                <w:spacing w:val="-4"/>
                <w:w w:val="115"/>
                <w:sz w:val="18"/>
                <w:szCs w:val="18"/>
              </w:rPr>
              <w:t>mama</w:t>
            </w:r>
          </w:p>
        </w:tc>
        <w:tc>
          <w:tcPr>
            <w:tcW w:w="709" w:type="dxa"/>
            <w:tcBorders>
              <w:top w:val="single" w:sz="4" w:space="0" w:color="000000"/>
              <w:left w:val="single" w:sz="4" w:space="0" w:color="000000"/>
              <w:bottom w:val="single" w:sz="4" w:space="0" w:color="000000"/>
              <w:right w:val="single" w:sz="4" w:space="0" w:color="000000"/>
            </w:tcBorders>
          </w:tcPr>
          <w:p w14:paraId="43C907EC" w14:textId="77777777" w:rsidR="00D3344B" w:rsidRDefault="00143C25">
            <w:pPr>
              <w:pStyle w:val="TableParagraph"/>
              <w:spacing w:before="1"/>
              <w:rPr>
                <w:rFonts w:ascii="Arial" w:hAnsi="Arial" w:cs="Arial"/>
                <w:sz w:val="18"/>
                <w:szCs w:val="18"/>
              </w:rPr>
            </w:pPr>
            <w:r>
              <w:rPr>
                <w:rFonts w:ascii="Arial" w:hAnsi="Arial" w:cs="Arial"/>
                <w:spacing w:val="-4"/>
                <w:w w:val="125"/>
                <w:sz w:val="18"/>
                <w:szCs w:val="18"/>
              </w:rPr>
              <w:t>4.75</w:t>
            </w:r>
          </w:p>
        </w:tc>
        <w:tc>
          <w:tcPr>
            <w:tcW w:w="711" w:type="dxa"/>
            <w:tcBorders>
              <w:top w:val="single" w:sz="4" w:space="0" w:color="000000"/>
              <w:left w:val="single" w:sz="4" w:space="0" w:color="000000"/>
              <w:bottom w:val="single" w:sz="4" w:space="0" w:color="000000"/>
              <w:right w:val="single" w:sz="4" w:space="0" w:color="000000"/>
            </w:tcBorders>
          </w:tcPr>
          <w:p w14:paraId="1241D1C9" w14:textId="77777777" w:rsidR="00D3344B" w:rsidRDefault="00143C25">
            <w:pPr>
              <w:pStyle w:val="TableParagraph"/>
              <w:spacing w:before="1"/>
              <w:ind w:left="3"/>
              <w:rPr>
                <w:rFonts w:ascii="Arial" w:hAnsi="Arial" w:cs="Arial"/>
                <w:sz w:val="18"/>
                <w:szCs w:val="18"/>
              </w:rPr>
            </w:pPr>
            <w:r>
              <w:rPr>
                <w:rFonts w:ascii="Arial" w:hAnsi="Arial" w:cs="Arial"/>
                <w:spacing w:val="-4"/>
                <w:w w:val="125"/>
                <w:sz w:val="18"/>
                <w:szCs w:val="18"/>
              </w:rPr>
              <w:t>4.75</w:t>
            </w:r>
          </w:p>
        </w:tc>
        <w:tc>
          <w:tcPr>
            <w:tcW w:w="709" w:type="dxa"/>
            <w:tcBorders>
              <w:top w:val="single" w:sz="4" w:space="0" w:color="000000"/>
              <w:left w:val="single" w:sz="4" w:space="0" w:color="000000"/>
              <w:bottom w:val="single" w:sz="4" w:space="0" w:color="000000"/>
              <w:right w:val="single" w:sz="4" w:space="0" w:color="000000"/>
            </w:tcBorders>
          </w:tcPr>
          <w:p w14:paraId="0219D8D3" w14:textId="77777777" w:rsidR="00D3344B" w:rsidRDefault="00143C25">
            <w:pPr>
              <w:pStyle w:val="TableParagraph"/>
              <w:spacing w:before="1"/>
              <w:ind w:left="2"/>
              <w:rPr>
                <w:rFonts w:ascii="Arial" w:hAnsi="Arial" w:cs="Arial"/>
                <w:sz w:val="18"/>
                <w:szCs w:val="18"/>
              </w:rPr>
            </w:pPr>
            <w:r>
              <w:rPr>
                <w:rFonts w:ascii="Arial" w:hAnsi="Arial" w:cs="Arial"/>
                <w:spacing w:val="-4"/>
                <w:w w:val="125"/>
                <w:sz w:val="18"/>
                <w:szCs w:val="18"/>
              </w:rPr>
              <w:t>4.75</w:t>
            </w:r>
          </w:p>
        </w:tc>
        <w:tc>
          <w:tcPr>
            <w:tcW w:w="710" w:type="dxa"/>
            <w:tcBorders>
              <w:top w:val="single" w:sz="4" w:space="0" w:color="000000"/>
              <w:left w:val="single" w:sz="4" w:space="0" w:color="000000"/>
              <w:bottom w:val="single" w:sz="4" w:space="0" w:color="000000"/>
              <w:right w:val="single" w:sz="4" w:space="0" w:color="000000"/>
            </w:tcBorders>
          </w:tcPr>
          <w:p w14:paraId="349FD119" w14:textId="77777777" w:rsidR="00D3344B" w:rsidRDefault="00143C25">
            <w:pPr>
              <w:pStyle w:val="TableParagraph"/>
              <w:spacing w:before="1"/>
              <w:ind w:right="224"/>
              <w:jc w:val="center"/>
              <w:rPr>
                <w:rFonts w:ascii="Arial" w:hAnsi="Arial" w:cs="Arial"/>
                <w:sz w:val="18"/>
                <w:szCs w:val="18"/>
              </w:rPr>
            </w:pPr>
            <w:r>
              <w:rPr>
                <w:rFonts w:ascii="Arial" w:hAnsi="Arial" w:cs="Arial"/>
                <w:spacing w:val="-6"/>
                <w:w w:val="125"/>
                <w:sz w:val="18"/>
                <w:szCs w:val="18"/>
              </w:rPr>
              <w:t>4.75</w:t>
            </w:r>
          </w:p>
        </w:tc>
        <w:tc>
          <w:tcPr>
            <w:tcW w:w="711" w:type="dxa"/>
            <w:tcBorders>
              <w:top w:val="single" w:sz="4" w:space="0" w:color="000000"/>
              <w:left w:val="single" w:sz="4" w:space="0" w:color="000000"/>
              <w:bottom w:val="single" w:sz="4" w:space="0" w:color="000000"/>
              <w:right w:val="single" w:sz="4" w:space="0" w:color="000000"/>
            </w:tcBorders>
          </w:tcPr>
          <w:p w14:paraId="722579A2" w14:textId="77777777" w:rsidR="00D3344B" w:rsidRDefault="00143C25">
            <w:pPr>
              <w:pStyle w:val="TableParagraph"/>
              <w:spacing w:before="1"/>
              <w:rPr>
                <w:rFonts w:ascii="Arial" w:hAnsi="Arial" w:cs="Arial"/>
                <w:sz w:val="18"/>
                <w:szCs w:val="18"/>
              </w:rPr>
            </w:pPr>
            <w:r>
              <w:rPr>
                <w:rFonts w:ascii="Arial" w:hAnsi="Arial" w:cs="Arial"/>
                <w:spacing w:val="-4"/>
                <w:w w:val="125"/>
                <w:sz w:val="18"/>
                <w:szCs w:val="18"/>
              </w:rPr>
              <w:t>4.75</w:t>
            </w:r>
          </w:p>
        </w:tc>
        <w:tc>
          <w:tcPr>
            <w:tcW w:w="755" w:type="dxa"/>
            <w:tcBorders>
              <w:top w:val="single" w:sz="4" w:space="0" w:color="000000"/>
              <w:left w:val="single" w:sz="4" w:space="0" w:color="000000"/>
              <w:bottom w:val="single" w:sz="4" w:space="0" w:color="000000"/>
              <w:right w:val="single" w:sz="4" w:space="0" w:color="000000"/>
            </w:tcBorders>
          </w:tcPr>
          <w:p w14:paraId="22B82C9F" w14:textId="77777777" w:rsidR="00D3344B" w:rsidRDefault="00D3344B">
            <w:pPr>
              <w:pStyle w:val="TableParagraph"/>
              <w:rPr>
                <w:rFonts w:ascii="Arial" w:hAnsi="Arial" w:cs="Arial"/>
                <w:sz w:val="18"/>
                <w:szCs w:val="18"/>
              </w:rPr>
            </w:pPr>
          </w:p>
        </w:tc>
      </w:tr>
      <w:tr w:rsidR="00D3344B" w14:paraId="3C707426" w14:textId="77777777">
        <w:trPr>
          <w:trHeight w:val="505"/>
        </w:trPr>
        <w:tc>
          <w:tcPr>
            <w:tcW w:w="1259" w:type="dxa"/>
            <w:tcBorders>
              <w:top w:val="single" w:sz="4" w:space="0" w:color="000000"/>
              <w:left w:val="single" w:sz="4" w:space="0" w:color="000000"/>
              <w:bottom w:val="single" w:sz="4" w:space="0" w:color="000000"/>
              <w:right w:val="single" w:sz="4" w:space="0" w:color="000000"/>
            </w:tcBorders>
          </w:tcPr>
          <w:p w14:paraId="749DB442" w14:textId="77777777" w:rsidR="00D3344B" w:rsidRDefault="00143C25">
            <w:pPr>
              <w:pStyle w:val="TableParagraph"/>
              <w:ind w:left="6" w:right="61"/>
              <w:jc w:val="center"/>
              <w:rPr>
                <w:rFonts w:ascii="Arial" w:hAnsi="Arial" w:cs="Arial"/>
                <w:sz w:val="18"/>
                <w:szCs w:val="18"/>
              </w:rPr>
            </w:pPr>
            <w:r>
              <w:rPr>
                <w:rFonts w:ascii="Arial" w:hAnsi="Arial" w:cs="Arial"/>
                <w:w w:val="110"/>
                <w:sz w:val="18"/>
                <w:szCs w:val="18"/>
              </w:rPr>
              <w:t>01-MU-</w:t>
            </w:r>
            <w:r>
              <w:rPr>
                <w:rFonts w:ascii="Arial" w:hAnsi="Arial" w:cs="Arial"/>
                <w:spacing w:val="-5"/>
                <w:w w:val="110"/>
                <w:sz w:val="18"/>
                <w:szCs w:val="18"/>
              </w:rPr>
              <w:t>012</w:t>
            </w:r>
          </w:p>
        </w:tc>
        <w:tc>
          <w:tcPr>
            <w:tcW w:w="3277" w:type="dxa"/>
            <w:tcBorders>
              <w:top w:val="single" w:sz="4" w:space="0" w:color="000000"/>
              <w:left w:val="single" w:sz="4" w:space="0" w:color="000000"/>
              <w:bottom w:val="single" w:sz="4" w:space="0" w:color="000000"/>
              <w:right w:val="single" w:sz="4" w:space="0" w:color="000000"/>
            </w:tcBorders>
          </w:tcPr>
          <w:p w14:paraId="611937FE" w14:textId="77777777" w:rsidR="00D3344B" w:rsidRDefault="00143C25">
            <w:pPr>
              <w:pStyle w:val="TableParagraph"/>
              <w:spacing w:line="254" w:lineRule="exact"/>
              <w:ind w:right="471"/>
              <w:rPr>
                <w:rFonts w:ascii="Arial" w:hAnsi="Arial" w:cs="Arial"/>
                <w:sz w:val="18"/>
                <w:szCs w:val="18"/>
              </w:rPr>
            </w:pPr>
            <w:r>
              <w:rPr>
                <w:rFonts w:ascii="Arial" w:hAnsi="Arial" w:cs="Arial"/>
                <w:w w:val="110"/>
                <w:sz w:val="18"/>
                <w:szCs w:val="18"/>
              </w:rPr>
              <w:t xml:space="preserve">Biopsia de canal </w:t>
            </w:r>
            <w:r>
              <w:rPr>
                <w:rFonts w:ascii="Arial" w:hAnsi="Arial" w:cs="Arial"/>
                <w:spacing w:val="-2"/>
                <w:w w:val="110"/>
                <w:sz w:val="18"/>
                <w:szCs w:val="18"/>
              </w:rPr>
              <w:t>endocervical</w:t>
            </w:r>
          </w:p>
        </w:tc>
        <w:tc>
          <w:tcPr>
            <w:tcW w:w="709" w:type="dxa"/>
            <w:tcBorders>
              <w:top w:val="single" w:sz="4" w:space="0" w:color="000000"/>
              <w:left w:val="single" w:sz="4" w:space="0" w:color="000000"/>
              <w:bottom w:val="single" w:sz="4" w:space="0" w:color="000000"/>
              <w:right w:val="single" w:sz="4" w:space="0" w:color="000000"/>
            </w:tcBorders>
          </w:tcPr>
          <w:p w14:paraId="1F85FA65" w14:textId="77777777" w:rsidR="00D3344B" w:rsidRDefault="00143C25">
            <w:pPr>
              <w:pStyle w:val="TableParagraph"/>
              <w:rPr>
                <w:rFonts w:ascii="Arial" w:hAnsi="Arial" w:cs="Arial"/>
                <w:sz w:val="18"/>
                <w:szCs w:val="18"/>
              </w:rPr>
            </w:pPr>
            <w:r>
              <w:rPr>
                <w:rFonts w:ascii="Arial" w:hAnsi="Arial" w:cs="Arial"/>
                <w:spacing w:val="-4"/>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71E3B67A" w14:textId="77777777" w:rsidR="00D3344B" w:rsidRDefault="00143C25">
            <w:pPr>
              <w:pStyle w:val="TableParagraph"/>
              <w:ind w:left="3"/>
              <w:rPr>
                <w:rFonts w:ascii="Arial" w:hAnsi="Arial" w:cs="Arial"/>
                <w:sz w:val="18"/>
                <w:szCs w:val="18"/>
              </w:rPr>
            </w:pPr>
            <w:r>
              <w:rPr>
                <w:rFonts w:ascii="Arial" w:hAnsi="Arial" w:cs="Arial"/>
                <w:spacing w:val="-4"/>
                <w:w w:val="125"/>
                <w:sz w:val="18"/>
                <w:szCs w:val="18"/>
              </w:rPr>
              <w:t>7.75</w:t>
            </w:r>
          </w:p>
        </w:tc>
        <w:tc>
          <w:tcPr>
            <w:tcW w:w="709" w:type="dxa"/>
            <w:tcBorders>
              <w:top w:val="single" w:sz="4" w:space="0" w:color="000000"/>
              <w:left w:val="single" w:sz="4" w:space="0" w:color="000000"/>
              <w:bottom w:val="single" w:sz="4" w:space="0" w:color="000000"/>
              <w:right w:val="single" w:sz="4" w:space="0" w:color="000000"/>
            </w:tcBorders>
          </w:tcPr>
          <w:p w14:paraId="47DC5297" w14:textId="77777777" w:rsidR="00D3344B" w:rsidRDefault="00143C25">
            <w:pPr>
              <w:pStyle w:val="TableParagraph"/>
              <w:ind w:left="2"/>
              <w:rPr>
                <w:rFonts w:ascii="Arial" w:hAnsi="Arial" w:cs="Arial"/>
                <w:sz w:val="18"/>
                <w:szCs w:val="18"/>
              </w:rPr>
            </w:pPr>
            <w:r>
              <w:rPr>
                <w:rFonts w:ascii="Arial" w:hAnsi="Arial" w:cs="Arial"/>
                <w:spacing w:val="-4"/>
                <w:w w:val="125"/>
                <w:sz w:val="18"/>
                <w:szCs w:val="18"/>
              </w:rPr>
              <w:t>7.75</w:t>
            </w:r>
          </w:p>
        </w:tc>
        <w:tc>
          <w:tcPr>
            <w:tcW w:w="710" w:type="dxa"/>
            <w:tcBorders>
              <w:top w:val="single" w:sz="4" w:space="0" w:color="000000"/>
              <w:left w:val="single" w:sz="4" w:space="0" w:color="000000"/>
              <w:bottom w:val="single" w:sz="4" w:space="0" w:color="000000"/>
              <w:right w:val="single" w:sz="4" w:space="0" w:color="000000"/>
            </w:tcBorders>
          </w:tcPr>
          <w:p w14:paraId="6A5956D3" w14:textId="77777777" w:rsidR="00D3344B" w:rsidRDefault="00143C25">
            <w:pPr>
              <w:pStyle w:val="TableParagraph"/>
              <w:ind w:right="224"/>
              <w:jc w:val="center"/>
              <w:rPr>
                <w:rFonts w:ascii="Arial" w:hAnsi="Arial" w:cs="Arial"/>
                <w:sz w:val="18"/>
                <w:szCs w:val="18"/>
              </w:rPr>
            </w:pPr>
            <w:r>
              <w:rPr>
                <w:rFonts w:ascii="Arial" w:hAnsi="Arial" w:cs="Arial"/>
                <w:spacing w:val="-6"/>
                <w:w w:val="125"/>
                <w:sz w:val="18"/>
                <w:szCs w:val="18"/>
              </w:rPr>
              <w:t>7.75</w:t>
            </w:r>
          </w:p>
        </w:tc>
        <w:tc>
          <w:tcPr>
            <w:tcW w:w="711" w:type="dxa"/>
            <w:tcBorders>
              <w:top w:val="single" w:sz="4" w:space="0" w:color="000000"/>
              <w:left w:val="single" w:sz="4" w:space="0" w:color="000000"/>
              <w:bottom w:val="single" w:sz="4" w:space="0" w:color="000000"/>
              <w:right w:val="single" w:sz="4" w:space="0" w:color="000000"/>
            </w:tcBorders>
          </w:tcPr>
          <w:p w14:paraId="0064D30B" w14:textId="77777777" w:rsidR="00D3344B" w:rsidRDefault="00143C25">
            <w:pPr>
              <w:pStyle w:val="TableParagraph"/>
              <w:rPr>
                <w:rFonts w:ascii="Arial" w:hAnsi="Arial" w:cs="Arial"/>
                <w:sz w:val="18"/>
                <w:szCs w:val="18"/>
              </w:rPr>
            </w:pPr>
            <w:r>
              <w:rPr>
                <w:rFonts w:ascii="Arial" w:hAnsi="Arial" w:cs="Arial"/>
                <w:spacing w:val="-4"/>
                <w:w w:val="125"/>
                <w:sz w:val="18"/>
                <w:szCs w:val="18"/>
              </w:rPr>
              <w:t>7.75</w:t>
            </w:r>
          </w:p>
        </w:tc>
        <w:tc>
          <w:tcPr>
            <w:tcW w:w="755" w:type="dxa"/>
            <w:tcBorders>
              <w:top w:val="single" w:sz="4" w:space="0" w:color="000000"/>
              <w:left w:val="single" w:sz="4" w:space="0" w:color="000000"/>
              <w:bottom w:val="single" w:sz="4" w:space="0" w:color="000000"/>
              <w:right w:val="single" w:sz="4" w:space="0" w:color="000000"/>
            </w:tcBorders>
          </w:tcPr>
          <w:p w14:paraId="3701002C" w14:textId="77777777" w:rsidR="00D3344B" w:rsidRDefault="00D3344B">
            <w:pPr>
              <w:pStyle w:val="TableParagraph"/>
              <w:rPr>
                <w:rFonts w:ascii="Arial" w:hAnsi="Arial" w:cs="Arial"/>
                <w:sz w:val="18"/>
                <w:szCs w:val="18"/>
              </w:rPr>
            </w:pPr>
          </w:p>
        </w:tc>
      </w:tr>
      <w:tr w:rsidR="00D3344B" w14:paraId="712665D9" w14:textId="77777777">
        <w:trPr>
          <w:trHeight w:val="758"/>
        </w:trPr>
        <w:tc>
          <w:tcPr>
            <w:tcW w:w="1259" w:type="dxa"/>
            <w:tcBorders>
              <w:top w:val="single" w:sz="4" w:space="0" w:color="000000"/>
              <w:left w:val="single" w:sz="4" w:space="0" w:color="000000"/>
              <w:bottom w:val="single" w:sz="4" w:space="0" w:color="000000"/>
              <w:right w:val="single" w:sz="4" w:space="0" w:color="000000"/>
            </w:tcBorders>
          </w:tcPr>
          <w:p w14:paraId="4124A7B4" w14:textId="77777777" w:rsidR="00D3344B" w:rsidRDefault="00143C25">
            <w:pPr>
              <w:pStyle w:val="TableParagraph"/>
              <w:spacing w:line="249" w:lineRule="exact"/>
              <w:rPr>
                <w:rFonts w:ascii="Arial" w:hAnsi="Arial" w:cs="Arial"/>
                <w:sz w:val="18"/>
                <w:szCs w:val="18"/>
              </w:rPr>
            </w:pPr>
            <w:r>
              <w:rPr>
                <w:rFonts w:ascii="Arial" w:hAnsi="Arial" w:cs="Arial"/>
                <w:spacing w:val="-5"/>
                <w:w w:val="110"/>
                <w:sz w:val="18"/>
                <w:szCs w:val="18"/>
              </w:rPr>
              <w:t>01-</w:t>
            </w:r>
          </w:p>
          <w:p w14:paraId="36426C53" w14:textId="77777777" w:rsidR="00D3344B" w:rsidRDefault="00143C25">
            <w:pPr>
              <w:pStyle w:val="TableParagraph"/>
              <w:spacing w:line="252" w:lineRule="exact"/>
              <w:ind w:right="244"/>
              <w:rPr>
                <w:rFonts w:ascii="Arial" w:hAnsi="Arial" w:cs="Arial"/>
                <w:sz w:val="18"/>
                <w:szCs w:val="18"/>
              </w:rPr>
            </w:pPr>
            <w:r>
              <w:rPr>
                <w:rFonts w:ascii="Arial" w:hAnsi="Arial" w:cs="Arial"/>
                <w:spacing w:val="-2"/>
                <w:w w:val="115"/>
                <w:sz w:val="18"/>
                <w:szCs w:val="18"/>
              </w:rPr>
              <w:t>DOCCU- 001-15</w:t>
            </w:r>
          </w:p>
        </w:tc>
        <w:tc>
          <w:tcPr>
            <w:tcW w:w="3277" w:type="dxa"/>
            <w:tcBorders>
              <w:top w:val="single" w:sz="4" w:space="0" w:color="000000"/>
              <w:left w:val="single" w:sz="4" w:space="0" w:color="000000"/>
              <w:bottom w:val="single" w:sz="4" w:space="0" w:color="000000"/>
              <w:right w:val="single" w:sz="4" w:space="0" w:color="000000"/>
            </w:tcBorders>
          </w:tcPr>
          <w:p w14:paraId="2D426E04" w14:textId="77777777" w:rsidR="00D3344B" w:rsidRDefault="00143C25">
            <w:pPr>
              <w:pStyle w:val="TableParagraph"/>
              <w:tabs>
                <w:tab w:val="left" w:pos="1193"/>
                <w:tab w:val="left" w:pos="1631"/>
                <w:tab w:val="left" w:pos="2475"/>
              </w:tabs>
              <w:ind w:right="-15"/>
              <w:rPr>
                <w:rFonts w:ascii="Arial" w:hAnsi="Arial" w:cs="Arial"/>
                <w:sz w:val="18"/>
                <w:szCs w:val="18"/>
              </w:rPr>
            </w:pPr>
            <w:r>
              <w:rPr>
                <w:rFonts w:ascii="Arial" w:hAnsi="Arial" w:cs="Arial"/>
                <w:spacing w:val="-2"/>
                <w:w w:val="110"/>
                <w:sz w:val="18"/>
                <w:szCs w:val="18"/>
              </w:rPr>
              <w:t>Detección</w:t>
            </w:r>
            <w:r>
              <w:rPr>
                <w:rFonts w:ascii="Arial" w:hAnsi="Arial" w:cs="Arial"/>
                <w:sz w:val="18"/>
                <w:szCs w:val="18"/>
              </w:rPr>
              <w:tab/>
            </w:r>
            <w:r>
              <w:rPr>
                <w:rFonts w:ascii="Arial" w:hAnsi="Arial" w:cs="Arial"/>
                <w:spacing w:val="-6"/>
                <w:w w:val="110"/>
                <w:sz w:val="18"/>
                <w:szCs w:val="18"/>
              </w:rPr>
              <w:t>de</w:t>
            </w:r>
            <w:r>
              <w:rPr>
                <w:rFonts w:ascii="Arial" w:hAnsi="Arial" w:cs="Arial"/>
                <w:sz w:val="18"/>
                <w:szCs w:val="18"/>
              </w:rPr>
              <w:tab/>
            </w:r>
            <w:r>
              <w:rPr>
                <w:rFonts w:ascii="Arial" w:hAnsi="Arial" w:cs="Arial"/>
                <w:spacing w:val="-2"/>
                <w:w w:val="110"/>
                <w:sz w:val="18"/>
                <w:szCs w:val="18"/>
              </w:rPr>
              <w:t>cáncer</w:t>
            </w:r>
            <w:r>
              <w:rPr>
                <w:rFonts w:ascii="Arial" w:hAnsi="Arial" w:cs="Arial"/>
                <w:sz w:val="18"/>
                <w:szCs w:val="18"/>
              </w:rPr>
              <w:tab/>
            </w:r>
            <w:r>
              <w:rPr>
                <w:rFonts w:ascii="Arial" w:hAnsi="Arial" w:cs="Arial"/>
                <w:spacing w:val="-2"/>
                <w:w w:val="110"/>
                <w:sz w:val="18"/>
                <w:szCs w:val="18"/>
              </w:rPr>
              <w:t>cérvico- uterino</w:t>
            </w:r>
          </w:p>
        </w:tc>
        <w:tc>
          <w:tcPr>
            <w:tcW w:w="709" w:type="dxa"/>
            <w:tcBorders>
              <w:top w:val="single" w:sz="4" w:space="0" w:color="000000"/>
              <w:left w:val="single" w:sz="4" w:space="0" w:color="000000"/>
              <w:bottom w:val="single" w:sz="4" w:space="0" w:color="000000"/>
              <w:right w:val="single" w:sz="4" w:space="0" w:color="000000"/>
            </w:tcBorders>
          </w:tcPr>
          <w:p w14:paraId="68835C54" w14:textId="77777777" w:rsidR="00D3344B" w:rsidRDefault="00D3344B">
            <w:pPr>
              <w:pStyle w:val="TableParagraph"/>
              <w:rPr>
                <w:rFonts w:ascii="Arial" w:hAnsi="Arial" w:cs="Arial"/>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1279EA4B" w14:textId="77777777" w:rsidR="00D3344B" w:rsidRDefault="00D3344B">
            <w:pPr>
              <w:pStyle w:val="TableParagrap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6A1E08AC" w14:textId="77777777" w:rsidR="00D3344B" w:rsidRDefault="00D3344B">
            <w:pPr>
              <w:pStyle w:val="TableParagraph"/>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14:paraId="1D3FAEFD" w14:textId="77777777" w:rsidR="00D3344B" w:rsidRDefault="00D3344B">
            <w:pPr>
              <w:pStyle w:val="TableParagraph"/>
              <w:rPr>
                <w:rFonts w:ascii="Arial" w:hAnsi="Arial" w:cs="Arial"/>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2F28E718" w14:textId="77777777" w:rsidR="00D3344B" w:rsidRDefault="00D3344B">
            <w:pPr>
              <w:pStyle w:val="TableParagraph"/>
              <w:rPr>
                <w:rFonts w:ascii="Arial" w:hAnsi="Arial" w:cs="Arial"/>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4F364CA0" w14:textId="77777777" w:rsidR="00D3344B" w:rsidRDefault="00143C25">
            <w:pPr>
              <w:pStyle w:val="TableParagraph"/>
              <w:spacing w:line="249" w:lineRule="exact"/>
              <w:ind w:left="-1"/>
              <w:rPr>
                <w:rFonts w:ascii="Arial" w:hAnsi="Arial" w:cs="Arial"/>
                <w:sz w:val="18"/>
                <w:szCs w:val="18"/>
              </w:rPr>
            </w:pPr>
            <w:r>
              <w:rPr>
                <w:rFonts w:ascii="Arial" w:hAnsi="Arial" w:cs="Arial"/>
                <w:w w:val="108"/>
                <w:sz w:val="18"/>
                <w:szCs w:val="18"/>
              </w:rPr>
              <w:t>5</w:t>
            </w:r>
          </w:p>
        </w:tc>
      </w:tr>
      <w:tr w:rsidR="00D3344B" w14:paraId="42BEC8EF" w14:textId="77777777">
        <w:trPr>
          <w:trHeight w:val="757"/>
        </w:trPr>
        <w:tc>
          <w:tcPr>
            <w:tcW w:w="1259" w:type="dxa"/>
            <w:tcBorders>
              <w:top w:val="single" w:sz="4" w:space="0" w:color="000000"/>
              <w:left w:val="single" w:sz="4" w:space="0" w:color="000000"/>
              <w:bottom w:val="single" w:sz="4" w:space="0" w:color="000000"/>
              <w:right w:val="single" w:sz="4" w:space="0" w:color="000000"/>
            </w:tcBorders>
          </w:tcPr>
          <w:p w14:paraId="691E19DC" w14:textId="77777777" w:rsidR="00D3344B" w:rsidRDefault="00143C25">
            <w:pPr>
              <w:pStyle w:val="TableParagraph"/>
              <w:rPr>
                <w:rFonts w:ascii="Arial" w:hAnsi="Arial" w:cs="Arial"/>
                <w:sz w:val="18"/>
                <w:szCs w:val="18"/>
              </w:rPr>
            </w:pPr>
            <w:r>
              <w:rPr>
                <w:rFonts w:ascii="Arial" w:hAnsi="Arial" w:cs="Arial"/>
                <w:w w:val="115"/>
                <w:sz w:val="18"/>
                <w:szCs w:val="18"/>
              </w:rPr>
              <w:t>01-</w:t>
            </w:r>
            <w:r>
              <w:rPr>
                <w:rFonts w:ascii="Arial" w:hAnsi="Arial" w:cs="Arial"/>
                <w:spacing w:val="-4"/>
                <w:w w:val="120"/>
                <w:sz w:val="18"/>
                <w:szCs w:val="18"/>
              </w:rPr>
              <w:t>PMJ-</w:t>
            </w:r>
          </w:p>
          <w:p w14:paraId="42D2F9A5" w14:textId="77777777" w:rsidR="00D3344B" w:rsidRDefault="00143C25">
            <w:pPr>
              <w:pStyle w:val="TableParagraph"/>
              <w:spacing w:line="252" w:lineRule="exact"/>
              <w:rPr>
                <w:rFonts w:ascii="Arial" w:hAnsi="Arial" w:cs="Arial"/>
                <w:sz w:val="18"/>
                <w:szCs w:val="18"/>
              </w:rPr>
            </w:pPr>
            <w:r>
              <w:rPr>
                <w:rFonts w:ascii="Arial" w:hAnsi="Arial" w:cs="Arial"/>
                <w:spacing w:val="-4"/>
                <w:w w:val="120"/>
                <w:sz w:val="18"/>
                <w:szCs w:val="18"/>
              </w:rPr>
              <w:t>001-</w:t>
            </w:r>
          </w:p>
          <w:p w14:paraId="32BFF7EC" w14:textId="77777777" w:rsidR="00D3344B" w:rsidRDefault="00143C25">
            <w:pPr>
              <w:pStyle w:val="TableParagraph"/>
              <w:spacing w:before="1" w:line="233" w:lineRule="exact"/>
              <w:rPr>
                <w:rFonts w:ascii="Arial" w:hAnsi="Arial" w:cs="Arial"/>
                <w:sz w:val="18"/>
                <w:szCs w:val="18"/>
              </w:rPr>
            </w:pPr>
            <w:r>
              <w:rPr>
                <w:rFonts w:ascii="Arial" w:hAnsi="Arial" w:cs="Arial"/>
                <w:spacing w:val="-5"/>
                <w:w w:val="110"/>
                <w:sz w:val="18"/>
                <w:szCs w:val="18"/>
              </w:rPr>
              <w:t>12</w:t>
            </w:r>
          </w:p>
        </w:tc>
        <w:tc>
          <w:tcPr>
            <w:tcW w:w="3277" w:type="dxa"/>
            <w:tcBorders>
              <w:top w:val="single" w:sz="4" w:space="0" w:color="000000"/>
              <w:left w:val="single" w:sz="4" w:space="0" w:color="000000"/>
              <w:bottom w:val="single" w:sz="4" w:space="0" w:color="000000"/>
              <w:right w:val="single" w:sz="4" w:space="0" w:color="000000"/>
            </w:tcBorders>
          </w:tcPr>
          <w:p w14:paraId="0996EF6E" w14:textId="77777777" w:rsidR="00D3344B" w:rsidRDefault="00143C25">
            <w:pPr>
              <w:pStyle w:val="TableParagraph"/>
              <w:rPr>
                <w:rFonts w:ascii="Arial" w:hAnsi="Arial" w:cs="Arial"/>
                <w:sz w:val="18"/>
                <w:szCs w:val="18"/>
              </w:rPr>
            </w:pPr>
            <w:r>
              <w:rPr>
                <w:rFonts w:ascii="Arial" w:hAnsi="Arial" w:cs="Arial"/>
                <w:w w:val="110"/>
                <w:sz w:val="18"/>
                <w:szCs w:val="18"/>
              </w:rPr>
              <w:t>Paquete</w:t>
            </w:r>
            <w:r>
              <w:rPr>
                <w:rFonts w:ascii="Arial" w:hAnsi="Arial" w:cs="Arial"/>
                <w:spacing w:val="-6"/>
                <w:w w:val="110"/>
                <w:sz w:val="18"/>
                <w:szCs w:val="18"/>
              </w:rPr>
              <w:t xml:space="preserve"> </w:t>
            </w:r>
            <w:r>
              <w:rPr>
                <w:rFonts w:ascii="Arial" w:hAnsi="Arial" w:cs="Arial"/>
                <w:w w:val="110"/>
                <w:sz w:val="18"/>
                <w:szCs w:val="18"/>
              </w:rPr>
              <w:t>para</w:t>
            </w:r>
            <w:r>
              <w:rPr>
                <w:rFonts w:ascii="Arial" w:hAnsi="Arial" w:cs="Arial"/>
                <w:spacing w:val="-5"/>
                <w:w w:val="110"/>
                <w:sz w:val="18"/>
                <w:szCs w:val="18"/>
              </w:rPr>
              <w:t xml:space="preserve"> </w:t>
            </w:r>
            <w:r>
              <w:rPr>
                <w:rFonts w:ascii="Arial" w:hAnsi="Arial" w:cs="Arial"/>
                <w:w w:val="110"/>
                <w:sz w:val="18"/>
                <w:szCs w:val="18"/>
              </w:rPr>
              <w:t>mujeres</w:t>
            </w:r>
            <w:r>
              <w:rPr>
                <w:rFonts w:ascii="Arial" w:hAnsi="Arial" w:cs="Arial"/>
                <w:spacing w:val="34"/>
                <w:w w:val="110"/>
                <w:sz w:val="18"/>
                <w:szCs w:val="18"/>
              </w:rPr>
              <w:t xml:space="preserve"> </w:t>
            </w:r>
            <w:r>
              <w:rPr>
                <w:rFonts w:ascii="Arial" w:hAnsi="Arial" w:cs="Arial"/>
                <w:spacing w:val="-2"/>
                <w:w w:val="110"/>
                <w:sz w:val="18"/>
                <w:szCs w:val="18"/>
              </w:rPr>
              <w:t>jóvenes</w:t>
            </w:r>
          </w:p>
        </w:tc>
        <w:tc>
          <w:tcPr>
            <w:tcW w:w="709" w:type="dxa"/>
            <w:tcBorders>
              <w:top w:val="single" w:sz="4" w:space="0" w:color="000000"/>
              <w:left w:val="single" w:sz="4" w:space="0" w:color="000000"/>
              <w:bottom w:val="single" w:sz="4" w:space="0" w:color="000000"/>
              <w:right w:val="single" w:sz="4" w:space="0" w:color="000000"/>
            </w:tcBorders>
          </w:tcPr>
          <w:p w14:paraId="7E6C0881" w14:textId="77777777" w:rsidR="00D3344B" w:rsidRDefault="00D3344B">
            <w:pPr>
              <w:pStyle w:val="TableParagraph"/>
              <w:rPr>
                <w:rFonts w:ascii="Arial" w:hAnsi="Arial" w:cs="Arial"/>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118F29E3" w14:textId="77777777" w:rsidR="00D3344B" w:rsidRDefault="00D3344B">
            <w:pPr>
              <w:pStyle w:val="TableParagraph"/>
              <w:rPr>
                <w:rFonts w:ascii="Arial" w:hAnsi="Arial" w:cs="Arial"/>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3C46A808" w14:textId="77777777" w:rsidR="00D3344B" w:rsidRDefault="00D3344B">
            <w:pPr>
              <w:pStyle w:val="TableParagraph"/>
              <w:rPr>
                <w:rFonts w:ascii="Arial" w:hAnsi="Arial" w:cs="Arial"/>
                <w:sz w:val="18"/>
                <w:szCs w:val="18"/>
              </w:rPr>
            </w:pPr>
          </w:p>
        </w:tc>
        <w:tc>
          <w:tcPr>
            <w:tcW w:w="710" w:type="dxa"/>
            <w:tcBorders>
              <w:top w:val="single" w:sz="4" w:space="0" w:color="000000"/>
              <w:left w:val="single" w:sz="4" w:space="0" w:color="000000"/>
              <w:bottom w:val="single" w:sz="4" w:space="0" w:color="000000"/>
              <w:right w:val="single" w:sz="4" w:space="0" w:color="000000"/>
            </w:tcBorders>
          </w:tcPr>
          <w:p w14:paraId="7DA90814" w14:textId="77777777" w:rsidR="00D3344B" w:rsidRDefault="00D3344B">
            <w:pPr>
              <w:pStyle w:val="TableParagraph"/>
              <w:rPr>
                <w:rFonts w:ascii="Arial" w:hAnsi="Arial" w:cs="Arial"/>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58A7EAEA" w14:textId="77777777" w:rsidR="00D3344B" w:rsidRDefault="00D3344B">
            <w:pPr>
              <w:pStyle w:val="TableParagraph"/>
              <w:rPr>
                <w:rFonts w:ascii="Arial" w:hAnsi="Arial" w:cs="Arial"/>
                <w:sz w:val="18"/>
                <w:szCs w:val="18"/>
              </w:rPr>
            </w:pPr>
          </w:p>
        </w:tc>
        <w:tc>
          <w:tcPr>
            <w:tcW w:w="755" w:type="dxa"/>
            <w:tcBorders>
              <w:top w:val="single" w:sz="4" w:space="0" w:color="000000"/>
              <w:left w:val="single" w:sz="4" w:space="0" w:color="000000"/>
              <w:bottom w:val="single" w:sz="4" w:space="0" w:color="000000"/>
              <w:right w:val="single" w:sz="4" w:space="0" w:color="000000"/>
            </w:tcBorders>
          </w:tcPr>
          <w:p w14:paraId="3CEBF264" w14:textId="77777777" w:rsidR="00D3344B" w:rsidRDefault="00143C25">
            <w:pPr>
              <w:pStyle w:val="TableParagraph"/>
              <w:ind w:left="-1"/>
              <w:rPr>
                <w:rFonts w:ascii="Arial" w:hAnsi="Arial" w:cs="Arial"/>
                <w:sz w:val="18"/>
                <w:szCs w:val="18"/>
              </w:rPr>
            </w:pPr>
            <w:r>
              <w:rPr>
                <w:rFonts w:ascii="Arial" w:hAnsi="Arial" w:cs="Arial"/>
                <w:w w:val="108"/>
                <w:sz w:val="18"/>
                <w:szCs w:val="18"/>
              </w:rPr>
              <w:t>3</w:t>
            </w:r>
          </w:p>
        </w:tc>
      </w:tr>
    </w:tbl>
    <w:p w14:paraId="2C2F542A" w14:textId="77777777" w:rsidR="00D3344B" w:rsidRDefault="00D3344B">
      <w:pPr>
        <w:pStyle w:val="Estilo"/>
        <w:rPr>
          <w:rFonts w:eastAsia="Times New Roman" w:cs="Arial"/>
          <w:b/>
        </w:rPr>
      </w:pPr>
    </w:p>
    <w:p w14:paraId="2EBC92D8" w14:textId="77777777" w:rsidR="00D3344B" w:rsidRDefault="00D3344B">
      <w:pPr>
        <w:pStyle w:val="Estilo"/>
        <w:rPr>
          <w:rFonts w:eastAsia="Times New Roman" w:cs="Arial"/>
          <w:b/>
        </w:rPr>
      </w:pPr>
    </w:p>
    <w:p w14:paraId="135A3C2B" w14:textId="77777777" w:rsidR="00D3344B" w:rsidRDefault="00143C25">
      <w:pPr>
        <w:pStyle w:val="Estilo"/>
        <w:rPr>
          <w:rFonts w:eastAsia="Times New Roman" w:cs="Arial"/>
        </w:rPr>
      </w:pPr>
      <w:r>
        <w:rPr>
          <w:rFonts w:eastAsia="Times New Roman" w:cs="Arial"/>
        </w:rPr>
        <w:t xml:space="preserve">El costo de los servicios que preste el Instituto Tlaxcalteca de Asistencia Especializada a la Salud dentro del marco de las instituciones de salud del Estado de Tlaxcala, se regirán por </w:t>
      </w:r>
      <w:proofErr w:type="gramStart"/>
      <w:r>
        <w:rPr>
          <w:rFonts w:eastAsia="Times New Roman" w:cs="Arial"/>
        </w:rPr>
        <w:t>un  convenio</w:t>
      </w:r>
      <w:proofErr w:type="gramEnd"/>
      <w:r>
        <w:rPr>
          <w:rFonts w:eastAsia="Times New Roman" w:cs="Arial"/>
        </w:rPr>
        <w:t xml:space="preserve"> específico.</w:t>
      </w:r>
    </w:p>
    <w:p w14:paraId="07C2ECFB" w14:textId="77777777" w:rsidR="00D3344B" w:rsidRDefault="00D3344B">
      <w:pPr>
        <w:pStyle w:val="Estilo"/>
        <w:rPr>
          <w:rFonts w:cs="Arial"/>
        </w:rPr>
      </w:pPr>
    </w:p>
    <w:p w14:paraId="5C0A04DE" w14:textId="77777777" w:rsidR="00D3344B" w:rsidRDefault="00143C25">
      <w:pPr>
        <w:pStyle w:val="Estilo"/>
        <w:rPr>
          <w:rFonts w:cs="Arial"/>
        </w:rPr>
      </w:pPr>
      <w:r>
        <w:rPr>
          <w:rFonts w:cs="Arial"/>
          <w:i/>
          <w:sz w:val="16"/>
        </w:rPr>
        <w:t>(REFORMADO, P.O. 21 DE JUNIO DE 2021)</w:t>
      </w:r>
    </w:p>
    <w:p w14:paraId="07698E85" w14:textId="77777777" w:rsidR="00D3344B" w:rsidRDefault="00143C25">
      <w:pPr>
        <w:pStyle w:val="Estilo"/>
        <w:rPr>
          <w:rFonts w:cs="Arial"/>
        </w:rPr>
      </w:pPr>
      <w:r>
        <w:rPr>
          <w:rFonts w:cs="Arial"/>
          <w:b/>
        </w:rPr>
        <w:t>ARTÍCULO 162-C</w:t>
      </w:r>
      <w:r>
        <w:rPr>
          <w:rFonts w:cs="Arial"/>
        </w:rPr>
        <w:t xml:space="preserve">. Los servicios prestados por la Secretaría de Salud, a través de su Organismo Desconcentrado Comisión Estatal para la Protección Contra Riesgos Sanitarios de Tlaxcala, que de manera específica se señalan en este artículo causarán los derechos siguientes: </w:t>
      </w:r>
    </w:p>
    <w:p w14:paraId="778D3DEF" w14:textId="77777777" w:rsidR="00D3344B" w:rsidRDefault="00143C25">
      <w:pPr>
        <w:pStyle w:val="Estilo"/>
        <w:rPr>
          <w:rFonts w:cs="Arial"/>
        </w:rPr>
      </w:pPr>
      <w:r>
        <w:rPr>
          <w:rFonts w:cs="Arial"/>
        </w:rPr>
        <w:t xml:space="preserve"> </w:t>
      </w:r>
    </w:p>
    <w:p w14:paraId="008DEDD1" w14:textId="77777777" w:rsidR="00D3344B" w:rsidRDefault="00143C25">
      <w:pPr>
        <w:pStyle w:val="Estilo"/>
        <w:rPr>
          <w:rFonts w:cs="Arial"/>
        </w:rPr>
      </w:pPr>
      <w:r>
        <w:rPr>
          <w:rFonts w:cs="Arial"/>
          <w:i/>
          <w:sz w:val="16"/>
        </w:rPr>
        <w:t>(REFORMADO, P.O. 29 DE NOVIEMBRE DE 2023)</w:t>
      </w:r>
    </w:p>
    <w:p w14:paraId="5FE9254B" w14:textId="77777777" w:rsidR="00D3344B" w:rsidRDefault="00143C25">
      <w:pPr>
        <w:pStyle w:val="Estilo"/>
        <w:rPr>
          <w:rFonts w:cs="Arial"/>
        </w:rPr>
      </w:pPr>
      <w:r>
        <w:rPr>
          <w:rFonts w:cs="Arial"/>
        </w:rPr>
        <w:t>Por la solicitud de asesoría en materia de infraestructura en relación a los establecimientos de atención médica o de salud se pagarán de 6 a 10 UMA; a excepción de los hospitales que deberán pagar 25 UMAS atendiendo a las características del establecimiento que se trate, teniendo derecho a dos revisiones de documentación.</w:t>
      </w:r>
    </w:p>
    <w:p w14:paraId="0E489B32" w14:textId="77777777" w:rsidR="00D3344B" w:rsidRDefault="00D3344B">
      <w:pPr>
        <w:pStyle w:val="Estilo"/>
        <w:rPr>
          <w:rFonts w:cs="Arial"/>
        </w:rPr>
      </w:pPr>
    </w:p>
    <w:p w14:paraId="12769027" w14:textId="77777777" w:rsidR="00D3344B" w:rsidRDefault="00143C25">
      <w:pPr>
        <w:pStyle w:val="Estilo"/>
        <w:rPr>
          <w:rFonts w:cs="Arial"/>
        </w:rPr>
      </w:pPr>
      <w:r>
        <w:rPr>
          <w:rFonts w:cs="Arial"/>
          <w:i/>
          <w:sz w:val="16"/>
        </w:rPr>
        <w:t>(REFORMADO, P.O. 29 DE NOVIEMBRE DE 2023)</w:t>
      </w:r>
    </w:p>
    <w:p w14:paraId="6984EA7A" w14:textId="77777777" w:rsidR="00D3344B" w:rsidRDefault="00143C25">
      <w:pPr>
        <w:pStyle w:val="Estilo"/>
        <w:rPr>
          <w:rFonts w:cs="Arial"/>
        </w:rPr>
      </w:pPr>
      <w:r>
        <w:rPr>
          <w:rFonts w:cs="Arial"/>
        </w:rPr>
        <w:t>Por cada libro de control y registro que empleen los establecimientos farmacéuticos para el control y registro de estupefacientes y sustancias psicotrópicas, así como los Bancos de Sangre y Servicios de Transfusión sanguínea, se pagarán 3 UMA.</w:t>
      </w:r>
    </w:p>
    <w:p w14:paraId="2B244102" w14:textId="77777777" w:rsidR="00D3344B" w:rsidRDefault="00D3344B">
      <w:pPr>
        <w:pStyle w:val="Estilo"/>
        <w:rPr>
          <w:rFonts w:cs="Arial"/>
        </w:rPr>
      </w:pPr>
    </w:p>
    <w:p w14:paraId="28DEB8C7" w14:textId="77777777" w:rsidR="00D3344B" w:rsidRDefault="00143C25">
      <w:pPr>
        <w:pStyle w:val="Estilo"/>
        <w:rPr>
          <w:rFonts w:cs="Arial"/>
        </w:rPr>
      </w:pPr>
      <w:r>
        <w:rPr>
          <w:rFonts w:cs="Arial"/>
          <w:i/>
          <w:sz w:val="16"/>
        </w:rPr>
        <w:t>(ADICIONADO, P.O. 30 DE DICIEMBRE DE 2005)</w:t>
      </w:r>
    </w:p>
    <w:p w14:paraId="036375F9" w14:textId="77777777" w:rsidR="00D3344B" w:rsidRDefault="00143C25">
      <w:pPr>
        <w:pStyle w:val="Estilo"/>
        <w:rPr>
          <w:rFonts w:cs="Arial"/>
        </w:rPr>
      </w:pPr>
      <w:r>
        <w:rPr>
          <w:rFonts w:cs="Arial"/>
          <w:i/>
          <w:sz w:val="16"/>
        </w:rPr>
        <w:t>(REFORMADO, P.O. 29 DE NOVIEMBRE DE 2023)</w:t>
      </w:r>
    </w:p>
    <w:p w14:paraId="19B19678" w14:textId="77777777" w:rsidR="00D3344B" w:rsidRDefault="00143C25">
      <w:pPr>
        <w:pStyle w:val="Estilo"/>
        <w:rPr>
          <w:rFonts w:cs="Arial"/>
        </w:rPr>
      </w:pPr>
      <w:r>
        <w:rPr>
          <w:rFonts w:cs="Arial"/>
          <w:b/>
        </w:rPr>
        <w:t>Artículo 162 D.</w:t>
      </w:r>
      <w:r>
        <w:rPr>
          <w:rFonts w:cs="Arial"/>
        </w:rPr>
        <w:t xml:space="preserve"> Por los servicios de verificación o fomento sanitario, cuando se realice a solicitud de los particulares se pagará conforme a lo siguiente:</w:t>
      </w:r>
    </w:p>
    <w:p w14:paraId="4CE6383C" w14:textId="77777777" w:rsidR="00D3344B" w:rsidRDefault="00D3344B">
      <w:pPr>
        <w:pStyle w:val="Estilo"/>
        <w:rPr>
          <w:rFonts w:cs="Arial"/>
        </w:rPr>
      </w:pPr>
    </w:p>
    <w:p w14:paraId="370829F1" w14:textId="77777777" w:rsidR="00D3344B" w:rsidRDefault="00143C25">
      <w:pPr>
        <w:pStyle w:val="Estilo"/>
        <w:rPr>
          <w:rFonts w:cs="Arial"/>
        </w:rPr>
      </w:pPr>
      <w:r>
        <w:rPr>
          <w:rFonts w:cs="Arial"/>
          <w:i/>
          <w:sz w:val="16"/>
        </w:rPr>
        <w:lastRenderedPageBreak/>
        <w:t>(REFORMADA, P.O. 29 DE NOVIEMBRE DE 2023)</w:t>
      </w:r>
    </w:p>
    <w:p w14:paraId="4F3DDBB7" w14:textId="77777777" w:rsidR="00D3344B" w:rsidRDefault="00143C25">
      <w:pPr>
        <w:pStyle w:val="Estilo"/>
        <w:ind w:left="567" w:hanging="567"/>
        <w:rPr>
          <w:rFonts w:cs="Arial"/>
        </w:rPr>
      </w:pPr>
      <w:r>
        <w:rPr>
          <w:rFonts w:cs="Arial"/>
        </w:rPr>
        <w:t xml:space="preserve">I </w:t>
      </w:r>
      <w:r>
        <w:rPr>
          <w:rFonts w:cs="Arial"/>
        </w:rPr>
        <w:tab/>
        <w:t>Por cada visita de verificación, solicitada para determinar las condiciones sanitarias de las actividades, productos y servicios, se pagará de 10 a 32 UMA.</w:t>
      </w:r>
    </w:p>
    <w:p w14:paraId="1322DB2B" w14:textId="77777777" w:rsidR="00D3344B" w:rsidRDefault="00D3344B">
      <w:pPr>
        <w:pStyle w:val="Estilo"/>
        <w:ind w:left="567" w:hanging="567"/>
        <w:rPr>
          <w:rFonts w:cs="Arial"/>
        </w:rPr>
      </w:pPr>
    </w:p>
    <w:p w14:paraId="3B3EB260" w14:textId="77777777" w:rsidR="00D3344B" w:rsidRDefault="00143C25">
      <w:pPr>
        <w:pStyle w:val="Estilo"/>
        <w:ind w:left="567"/>
        <w:rPr>
          <w:rFonts w:cs="Arial"/>
        </w:rPr>
      </w:pPr>
      <w:r>
        <w:rPr>
          <w:rFonts w:cs="Arial"/>
        </w:rPr>
        <w:t>El pago de los derechos por la prestación de los servicios antes descritos, estará en función de las condiciones y circunstancias del lugar a verificarse.</w:t>
      </w:r>
    </w:p>
    <w:p w14:paraId="6F4DD7BA" w14:textId="77777777" w:rsidR="00D3344B" w:rsidRDefault="00D3344B">
      <w:pPr>
        <w:pStyle w:val="Estilo"/>
        <w:ind w:left="567" w:hanging="567"/>
        <w:rPr>
          <w:rFonts w:cs="Arial"/>
        </w:rPr>
      </w:pPr>
    </w:p>
    <w:p w14:paraId="1859E605" w14:textId="77777777" w:rsidR="00D3344B" w:rsidRDefault="00143C25">
      <w:pPr>
        <w:pStyle w:val="Estilo"/>
        <w:ind w:left="567" w:hanging="567"/>
        <w:rPr>
          <w:rFonts w:cs="Arial"/>
          <w:i/>
          <w:sz w:val="16"/>
          <w:szCs w:val="16"/>
        </w:rPr>
      </w:pPr>
      <w:r>
        <w:rPr>
          <w:rFonts w:cs="Arial"/>
        </w:rPr>
        <w:t xml:space="preserve">II. </w:t>
      </w:r>
      <w:r>
        <w:rPr>
          <w:rFonts w:cs="Arial"/>
        </w:rPr>
        <w:tab/>
      </w:r>
      <w:r>
        <w:rPr>
          <w:rFonts w:cs="Arial"/>
          <w:i/>
          <w:sz w:val="16"/>
          <w:szCs w:val="16"/>
        </w:rPr>
        <w:t>(DEROGADA, P.O 21 DE JUNIO DE 2021)</w:t>
      </w:r>
    </w:p>
    <w:p w14:paraId="4BDA1393" w14:textId="77777777" w:rsidR="00D3344B" w:rsidRDefault="00D3344B">
      <w:pPr>
        <w:pStyle w:val="Estilo"/>
        <w:rPr>
          <w:rFonts w:cs="Arial"/>
        </w:rPr>
      </w:pPr>
    </w:p>
    <w:p w14:paraId="082DCC5E" w14:textId="77777777" w:rsidR="00D3344B" w:rsidRDefault="00143C25">
      <w:pPr>
        <w:pStyle w:val="Estilo"/>
        <w:rPr>
          <w:rFonts w:cs="Arial"/>
        </w:rPr>
      </w:pPr>
      <w:r>
        <w:rPr>
          <w:rFonts w:cs="Arial"/>
          <w:i/>
          <w:sz w:val="16"/>
        </w:rPr>
        <w:t>(REFORMADO, P.O. 29 DE NOVIEMBRE DE 2023)</w:t>
      </w:r>
    </w:p>
    <w:p w14:paraId="6005DD15" w14:textId="77777777" w:rsidR="00D3344B" w:rsidRDefault="00143C25">
      <w:pPr>
        <w:spacing w:after="162"/>
        <w:ind w:left="-5"/>
        <w:jc w:val="both"/>
        <w:rPr>
          <w:rFonts w:ascii="Arial" w:hAnsi="Arial" w:cs="Arial"/>
        </w:rPr>
      </w:pPr>
      <w:r>
        <w:rPr>
          <w:rFonts w:ascii="Arial" w:hAnsi="Arial" w:cs="Arial"/>
          <w:b/>
        </w:rPr>
        <w:t>Artículo 162-E.</w:t>
      </w:r>
      <w:r>
        <w:rPr>
          <w:rFonts w:ascii="Arial" w:hAnsi="Arial" w:cs="Arial"/>
        </w:rPr>
        <w:t xml:space="preserve"> Por los estudios y análisis sanitarios de laboratorio, que se realicen a petición de los particulares involucrados en el proceso de alimentos, bebidas alcohólicas y no alcohólicas, materias primas que intervengan en su elaboración, así como agua para consumo humano, para determinar las condiciones sanitarias, se pagará el derecho de análisis sanitarios conforme a lo siguiente: </w:t>
      </w:r>
    </w:p>
    <w:tbl>
      <w:tblPr>
        <w:tblStyle w:val="TableGrid"/>
        <w:tblW w:w="7571" w:type="dxa"/>
        <w:tblInd w:w="367" w:type="dxa"/>
        <w:tblLayout w:type="fixed"/>
        <w:tblCellMar>
          <w:top w:w="8" w:type="dxa"/>
          <w:right w:w="239" w:type="dxa"/>
        </w:tblCellMar>
        <w:tblLook w:val="04A0" w:firstRow="1" w:lastRow="0" w:firstColumn="1" w:lastColumn="0" w:noHBand="0" w:noVBand="1"/>
      </w:tblPr>
      <w:tblGrid>
        <w:gridCol w:w="872"/>
        <w:gridCol w:w="5564"/>
        <w:gridCol w:w="1135"/>
      </w:tblGrid>
      <w:tr w:rsidR="00D3344B" w14:paraId="74E83E67" w14:textId="77777777">
        <w:trPr>
          <w:trHeight w:val="474"/>
        </w:trPr>
        <w:tc>
          <w:tcPr>
            <w:tcW w:w="872" w:type="dxa"/>
            <w:shd w:val="clear" w:color="auto" w:fill="D9D9D9"/>
          </w:tcPr>
          <w:p w14:paraId="5BFF4B8A" w14:textId="77777777" w:rsidR="00D3344B" w:rsidRDefault="00143C25">
            <w:pPr>
              <w:spacing w:after="0" w:line="259" w:lineRule="auto"/>
              <w:ind w:left="108"/>
              <w:rPr>
                <w:rFonts w:ascii="Arial" w:hAnsi="Arial" w:cs="Arial"/>
              </w:rPr>
            </w:pPr>
            <w:r>
              <w:rPr>
                <w:rFonts w:ascii="Arial" w:hAnsi="Arial" w:cs="Arial"/>
              </w:rPr>
              <w:t xml:space="preserve">No. </w:t>
            </w:r>
          </w:p>
        </w:tc>
        <w:tc>
          <w:tcPr>
            <w:tcW w:w="5564" w:type="dxa"/>
            <w:shd w:val="clear" w:color="auto" w:fill="D9D9D9"/>
          </w:tcPr>
          <w:p w14:paraId="6C01CFF6" w14:textId="77777777" w:rsidR="00D3344B" w:rsidRDefault="00143C25">
            <w:pPr>
              <w:spacing w:after="0" w:line="259" w:lineRule="auto"/>
              <w:rPr>
                <w:rFonts w:ascii="Arial" w:hAnsi="Arial" w:cs="Arial"/>
              </w:rPr>
            </w:pPr>
            <w:r>
              <w:rPr>
                <w:rFonts w:ascii="Arial" w:hAnsi="Arial" w:cs="Arial"/>
              </w:rPr>
              <w:t xml:space="preserve">Descripción de pruebas </w:t>
            </w:r>
          </w:p>
        </w:tc>
        <w:tc>
          <w:tcPr>
            <w:tcW w:w="1135" w:type="dxa"/>
            <w:shd w:val="clear" w:color="auto" w:fill="D9D9D9"/>
          </w:tcPr>
          <w:p w14:paraId="1C94009D" w14:textId="77777777" w:rsidR="00D3344B" w:rsidRDefault="00143C25">
            <w:pPr>
              <w:spacing w:after="0" w:line="259" w:lineRule="auto"/>
              <w:ind w:right="56"/>
              <w:jc w:val="right"/>
              <w:rPr>
                <w:rFonts w:ascii="Arial" w:hAnsi="Arial" w:cs="Arial"/>
              </w:rPr>
            </w:pPr>
            <w:r>
              <w:rPr>
                <w:rFonts w:ascii="Arial" w:hAnsi="Arial" w:cs="Arial"/>
              </w:rPr>
              <w:t xml:space="preserve">UMA </w:t>
            </w:r>
          </w:p>
        </w:tc>
      </w:tr>
      <w:tr w:rsidR="00D3344B" w14:paraId="66BA8BD2" w14:textId="77777777">
        <w:trPr>
          <w:trHeight w:val="474"/>
        </w:trPr>
        <w:tc>
          <w:tcPr>
            <w:tcW w:w="872" w:type="dxa"/>
            <w:shd w:val="clear" w:color="auto" w:fill="auto"/>
          </w:tcPr>
          <w:p w14:paraId="0CAEFE8A" w14:textId="77777777" w:rsidR="00D3344B" w:rsidRDefault="00143C25">
            <w:pPr>
              <w:spacing w:after="0" w:line="259" w:lineRule="auto"/>
              <w:ind w:left="108"/>
              <w:rPr>
                <w:rFonts w:ascii="Arial" w:hAnsi="Arial" w:cs="Arial"/>
              </w:rPr>
            </w:pPr>
            <w:r>
              <w:rPr>
                <w:rFonts w:ascii="Arial" w:hAnsi="Arial" w:cs="Arial"/>
              </w:rPr>
              <w:t>1.</w:t>
            </w:r>
          </w:p>
        </w:tc>
        <w:tc>
          <w:tcPr>
            <w:tcW w:w="5564" w:type="dxa"/>
            <w:shd w:val="clear" w:color="auto" w:fill="auto"/>
          </w:tcPr>
          <w:p w14:paraId="3067B732" w14:textId="77777777" w:rsidR="00D3344B" w:rsidRDefault="00143C25">
            <w:pPr>
              <w:pStyle w:val="Estilo"/>
              <w:rPr>
                <w:rFonts w:cs="Arial"/>
              </w:rPr>
            </w:pPr>
            <w:r>
              <w:rPr>
                <w:rFonts w:cs="Arial"/>
                <w:i/>
                <w:sz w:val="16"/>
              </w:rPr>
              <w:t>(REFORMADO, P.O. 29 DE NOVIEMBRE DE 2023)</w:t>
            </w:r>
          </w:p>
          <w:p w14:paraId="15EBC272" w14:textId="77777777" w:rsidR="00D3344B" w:rsidRDefault="00143C25">
            <w:pPr>
              <w:spacing w:after="0" w:line="259" w:lineRule="auto"/>
              <w:rPr>
                <w:rFonts w:ascii="Arial" w:hAnsi="Arial" w:cs="Arial"/>
              </w:rPr>
            </w:pPr>
            <w:r>
              <w:rPr>
                <w:rFonts w:ascii="Arial" w:hAnsi="Arial" w:cs="Arial"/>
              </w:rPr>
              <w:t>Cuenta de Mesofílicos aerobios en placa</w:t>
            </w:r>
          </w:p>
        </w:tc>
        <w:tc>
          <w:tcPr>
            <w:tcW w:w="1135" w:type="dxa"/>
            <w:shd w:val="clear" w:color="auto" w:fill="auto"/>
          </w:tcPr>
          <w:p w14:paraId="108F5B9F" w14:textId="77777777" w:rsidR="00D3344B" w:rsidRDefault="00143C25">
            <w:pPr>
              <w:spacing w:after="0" w:line="259" w:lineRule="auto"/>
              <w:ind w:right="56"/>
              <w:jc w:val="right"/>
              <w:rPr>
                <w:rFonts w:ascii="Arial" w:hAnsi="Arial" w:cs="Arial"/>
              </w:rPr>
            </w:pPr>
            <w:r>
              <w:rPr>
                <w:rFonts w:ascii="Arial" w:hAnsi="Arial" w:cs="Arial"/>
              </w:rPr>
              <w:t>5.5</w:t>
            </w:r>
          </w:p>
        </w:tc>
      </w:tr>
      <w:tr w:rsidR="00D3344B" w14:paraId="15E69136" w14:textId="77777777">
        <w:trPr>
          <w:trHeight w:val="474"/>
        </w:trPr>
        <w:tc>
          <w:tcPr>
            <w:tcW w:w="872" w:type="dxa"/>
            <w:shd w:val="clear" w:color="auto" w:fill="auto"/>
          </w:tcPr>
          <w:p w14:paraId="1D92E5D0" w14:textId="77777777" w:rsidR="00D3344B" w:rsidRDefault="00143C25">
            <w:pPr>
              <w:spacing w:after="0" w:line="259" w:lineRule="auto"/>
              <w:ind w:left="108"/>
              <w:rPr>
                <w:rFonts w:ascii="Arial" w:hAnsi="Arial" w:cs="Arial"/>
              </w:rPr>
            </w:pPr>
            <w:r>
              <w:rPr>
                <w:rFonts w:ascii="Arial" w:hAnsi="Arial" w:cs="Arial"/>
              </w:rPr>
              <w:t>2.</w:t>
            </w:r>
          </w:p>
        </w:tc>
        <w:tc>
          <w:tcPr>
            <w:tcW w:w="5564" w:type="dxa"/>
            <w:shd w:val="clear" w:color="auto" w:fill="auto"/>
          </w:tcPr>
          <w:p w14:paraId="27870CF8" w14:textId="77777777" w:rsidR="00D3344B" w:rsidRDefault="00143C25">
            <w:pPr>
              <w:spacing w:after="0" w:line="259" w:lineRule="auto"/>
              <w:rPr>
                <w:rFonts w:ascii="Arial" w:hAnsi="Arial" w:cs="Arial"/>
              </w:rPr>
            </w:pPr>
            <w:r>
              <w:rPr>
                <w:rFonts w:ascii="Arial" w:hAnsi="Arial" w:cs="Arial"/>
              </w:rPr>
              <w:t>Coliformes totales NMP</w:t>
            </w:r>
          </w:p>
        </w:tc>
        <w:tc>
          <w:tcPr>
            <w:tcW w:w="1135" w:type="dxa"/>
            <w:shd w:val="clear" w:color="auto" w:fill="auto"/>
          </w:tcPr>
          <w:p w14:paraId="0309469C" w14:textId="77777777" w:rsidR="00D3344B" w:rsidRDefault="00143C25">
            <w:pPr>
              <w:spacing w:after="0" w:line="259" w:lineRule="auto"/>
              <w:ind w:right="56"/>
              <w:jc w:val="right"/>
              <w:rPr>
                <w:rFonts w:ascii="Arial" w:hAnsi="Arial" w:cs="Arial"/>
              </w:rPr>
            </w:pPr>
            <w:r>
              <w:rPr>
                <w:rFonts w:ascii="Arial" w:hAnsi="Arial" w:cs="Arial"/>
              </w:rPr>
              <w:t>5.5</w:t>
            </w:r>
          </w:p>
        </w:tc>
      </w:tr>
      <w:tr w:rsidR="00D3344B" w14:paraId="1A5BEF53" w14:textId="77777777">
        <w:trPr>
          <w:trHeight w:val="474"/>
        </w:trPr>
        <w:tc>
          <w:tcPr>
            <w:tcW w:w="872" w:type="dxa"/>
            <w:shd w:val="clear" w:color="auto" w:fill="auto"/>
          </w:tcPr>
          <w:p w14:paraId="495D837C" w14:textId="77777777" w:rsidR="00D3344B" w:rsidRDefault="00143C25">
            <w:pPr>
              <w:spacing w:after="0" w:line="259" w:lineRule="auto"/>
              <w:ind w:left="108"/>
              <w:rPr>
                <w:rFonts w:ascii="Arial" w:hAnsi="Arial" w:cs="Arial"/>
              </w:rPr>
            </w:pPr>
            <w:r>
              <w:rPr>
                <w:rFonts w:ascii="Arial" w:hAnsi="Arial" w:cs="Arial"/>
              </w:rPr>
              <w:t>3.</w:t>
            </w:r>
          </w:p>
        </w:tc>
        <w:tc>
          <w:tcPr>
            <w:tcW w:w="5564" w:type="dxa"/>
            <w:shd w:val="clear" w:color="auto" w:fill="auto"/>
          </w:tcPr>
          <w:p w14:paraId="238A05BD" w14:textId="77777777" w:rsidR="00D3344B" w:rsidRDefault="00143C25">
            <w:pPr>
              <w:spacing w:after="0" w:line="259" w:lineRule="auto"/>
              <w:rPr>
                <w:rFonts w:ascii="Arial" w:hAnsi="Arial" w:cs="Arial"/>
              </w:rPr>
            </w:pPr>
            <w:proofErr w:type="spellStart"/>
            <w:r>
              <w:rPr>
                <w:rFonts w:ascii="Arial" w:hAnsi="Arial" w:cs="Arial"/>
              </w:rPr>
              <w:t>Staphylococus</w:t>
            </w:r>
            <w:proofErr w:type="spellEnd"/>
            <w:r>
              <w:rPr>
                <w:rFonts w:ascii="Arial" w:hAnsi="Arial" w:cs="Arial"/>
              </w:rPr>
              <w:t xml:space="preserve"> </w:t>
            </w:r>
            <w:proofErr w:type="spellStart"/>
            <w:r>
              <w:rPr>
                <w:rFonts w:ascii="Arial" w:hAnsi="Arial" w:cs="Arial"/>
              </w:rPr>
              <w:t>aureus</w:t>
            </w:r>
            <w:proofErr w:type="spellEnd"/>
          </w:p>
        </w:tc>
        <w:tc>
          <w:tcPr>
            <w:tcW w:w="1135" w:type="dxa"/>
            <w:shd w:val="clear" w:color="auto" w:fill="auto"/>
          </w:tcPr>
          <w:p w14:paraId="010AE766" w14:textId="77777777" w:rsidR="00D3344B" w:rsidRDefault="00143C25">
            <w:pPr>
              <w:spacing w:after="0" w:line="259" w:lineRule="auto"/>
              <w:ind w:right="56"/>
              <w:jc w:val="right"/>
              <w:rPr>
                <w:rFonts w:ascii="Arial" w:hAnsi="Arial" w:cs="Arial"/>
              </w:rPr>
            </w:pPr>
            <w:r>
              <w:rPr>
                <w:rFonts w:ascii="Arial" w:hAnsi="Arial" w:cs="Arial"/>
              </w:rPr>
              <w:t>7.5</w:t>
            </w:r>
          </w:p>
        </w:tc>
      </w:tr>
      <w:tr w:rsidR="00D3344B" w14:paraId="65157941" w14:textId="77777777">
        <w:trPr>
          <w:trHeight w:val="474"/>
        </w:trPr>
        <w:tc>
          <w:tcPr>
            <w:tcW w:w="872" w:type="dxa"/>
            <w:shd w:val="clear" w:color="auto" w:fill="auto"/>
          </w:tcPr>
          <w:p w14:paraId="53F910A1" w14:textId="77777777" w:rsidR="00D3344B" w:rsidRDefault="00143C25">
            <w:pPr>
              <w:spacing w:after="0" w:line="259" w:lineRule="auto"/>
              <w:ind w:left="108"/>
              <w:rPr>
                <w:rFonts w:ascii="Arial" w:hAnsi="Arial" w:cs="Arial"/>
              </w:rPr>
            </w:pPr>
            <w:r>
              <w:rPr>
                <w:rFonts w:ascii="Arial" w:hAnsi="Arial" w:cs="Arial"/>
              </w:rPr>
              <w:t>4.</w:t>
            </w:r>
          </w:p>
        </w:tc>
        <w:tc>
          <w:tcPr>
            <w:tcW w:w="5564" w:type="dxa"/>
            <w:shd w:val="clear" w:color="auto" w:fill="auto"/>
          </w:tcPr>
          <w:p w14:paraId="14FFCECA" w14:textId="77777777" w:rsidR="00D3344B" w:rsidRDefault="00143C25">
            <w:pPr>
              <w:spacing w:after="0" w:line="259" w:lineRule="auto"/>
              <w:rPr>
                <w:rFonts w:ascii="Arial" w:hAnsi="Arial" w:cs="Arial"/>
              </w:rPr>
            </w:pPr>
            <w:r>
              <w:rPr>
                <w:rFonts w:ascii="Arial" w:hAnsi="Arial" w:cs="Arial"/>
              </w:rPr>
              <w:t xml:space="preserve">Salmonella </w:t>
            </w:r>
            <w:proofErr w:type="spellStart"/>
            <w:r>
              <w:rPr>
                <w:rFonts w:ascii="Arial" w:hAnsi="Arial" w:cs="Arial"/>
              </w:rPr>
              <w:t>sp</w:t>
            </w:r>
            <w:proofErr w:type="spellEnd"/>
          </w:p>
        </w:tc>
        <w:tc>
          <w:tcPr>
            <w:tcW w:w="1135" w:type="dxa"/>
            <w:shd w:val="clear" w:color="auto" w:fill="auto"/>
          </w:tcPr>
          <w:p w14:paraId="34ACD288" w14:textId="77777777" w:rsidR="00D3344B" w:rsidRDefault="00143C25">
            <w:pPr>
              <w:spacing w:after="0" w:line="259" w:lineRule="auto"/>
              <w:ind w:right="56"/>
              <w:jc w:val="right"/>
              <w:rPr>
                <w:rFonts w:ascii="Arial" w:hAnsi="Arial" w:cs="Arial"/>
              </w:rPr>
            </w:pPr>
            <w:r>
              <w:rPr>
                <w:rFonts w:ascii="Arial" w:hAnsi="Arial" w:cs="Arial"/>
              </w:rPr>
              <w:t>7.5</w:t>
            </w:r>
          </w:p>
        </w:tc>
      </w:tr>
      <w:tr w:rsidR="00D3344B" w14:paraId="100AC34D" w14:textId="77777777">
        <w:trPr>
          <w:trHeight w:val="474"/>
        </w:trPr>
        <w:tc>
          <w:tcPr>
            <w:tcW w:w="872" w:type="dxa"/>
            <w:shd w:val="clear" w:color="auto" w:fill="auto"/>
          </w:tcPr>
          <w:p w14:paraId="03D9A841" w14:textId="77777777" w:rsidR="00D3344B" w:rsidRDefault="00143C25">
            <w:pPr>
              <w:spacing w:after="0" w:line="259" w:lineRule="auto"/>
              <w:ind w:left="108"/>
              <w:rPr>
                <w:rFonts w:ascii="Arial" w:hAnsi="Arial" w:cs="Arial"/>
              </w:rPr>
            </w:pPr>
            <w:r>
              <w:rPr>
                <w:rFonts w:ascii="Arial" w:hAnsi="Arial" w:cs="Arial"/>
              </w:rPr>
              <w:t>5.</w:t>
            </w:r>
          </w:p>
        </w:tc>
        <w:tc>
          <w:tcPr>
            <w:tcW w:w="5564" w:type="dxa"/>
            <w:shd w:val="clear" w:color="auto" w:fill="auto"/>
          </w:tcPr>
          <w:p w14:paraId="50187FD5" w14:textId="77777777" w:rsidR="00D3344B" w:rsidRDefault="00143C25">
            <w:pPr>
              <w:pStyle w:val="Estilo"/>
              <w:rPr>
                <w:rFonts w:cs="Arial"/>
              </w:rPr>
            </w:pPr>
            <w:r>
              <w:rPr>
                <w:rFonts w:cs="Arial"/>
                <w:i/>
                <w:sz w:val="16"/>
              </w:rPr>
              <w:t>(REFORMADO, P.O. 29 DE NOVIEMBRE DE 2023)</w:t>
            </w:r>
          </w:p>
          <w:p w14:paraId="56ECED63" w14:textId="77777777" w:rsidR="00D3344B" w:rsidRDefault="00143C25">
            <w:pPr>
              <w:spacing w:after="0" w:line="259" w:lineRule="auto"/>
              <w:rPr>
                <w:rFonts w:ascii="Arial" w:hAnsi="Arial" w:cs="Arial"/>
              </w:rPr>
            </w:pPr>
            <w:r>
              <w:rPr>
                <w:rFonts w:ascii="Arial" w:hAnsi="Arial" w:cs="Arial"/>
              </w:rPr>
              <w:t>Hongos y Levaduras en alimentos</w:t>
            </w:r>
          </w:p>
        </w:tc>
        <w:tc>
          <w:tcPr>
            <w:tcW w:w="1135" w:type="dxa"/>
            <w:shd w:val="clear" w:color="auto" w:fill="auto"/>
          </w:tcPr>
          <w:p w14:paraId="5A5BD517" w14:textId="77777777" w:rsidR="00D3344B" w:rsidRDefault="00143C25">
            <w:pPr>
              <w:spacing w:after="0" w:line="259" w:lineRule="auto"/>
              <w:ind w:right="56"/>
              <w:jc w:val="right"/>
              <w:rPr>
                <w:rFonts w:ascii="Arial" w:hAnsi="Arial" w:cs="Arial"/>
              </w:rPr>
            </w:pPr>
            <w:r>
              <w:rPr>
                <w:rFonts w:ascii="Arial" w:hAnsi="Arial" w:cs="Arial"/>
              </w:rPr>
              <w:t>5.5</w:t>
            </w:r>
          </w:p>
        </w:tc>
      </w:tr>
      <w:tr w:rsidR="00D3344B" w14:paraId="17530060" w14:textId="77777777">
        <w:trPr>
          <w:trHeight w:val="474"/>
        </w:trPr>
        <w:tc>
          <w:tcPr>
            <w:tcW w:w="872" w:type="dxa"/>
            <w:shd w:val="clear" w:color="auto" w:fill="auto"/>
          </w:tcPr>
          <w:p w14:paraId="07F322B0" w14:textId="77777777" w:rsidR="00D3344B" w:rsidRDefault="00143C25">
            <w:pPr>
              <w:spacing w:after="0" w:line="259" w:lineRule="auto"/>
              <w:ind w:left="108"/>
              <w:rPr>
                <w:rFonts w:ascii="Arial" w:hAnsi="Arial" w:cs="Arial"/>
              </w:rPr>
            </w:pPr>
            <w:r>
              <w:rPr>
                <w:rFonts w:ascii="Arial" w:hAnsi="Arial" w:cs="Arial"/>
              </w:rPr>
              <w:t>6.</w:t>
            </w:r>
          </w:p>
        </w:tc>
        <w:tc>
          <w:tcPr>
            <w:tcW w:w="5564" w:type="dxa"/>
            <w:shd w:val="clear" w:color="auto" w:fill="auto"/>
          </w:tcPr>
          <w:p w14:paraId="158678E1" w14:textId="77777777" w:rsidR="00D3344B" w:rsidRDefault="00143C25">
            <w:pPr>
              <w:spacing w:after="0" w:line="259" w:lineRule="auto"/>
              <w:rPr>
                <w:rFonts w:ascii="Arial" w:hAnsi="Arial" w:cs="Arial"/>
              </w:rPr>
            </w:pPr>
            <w:r>
              <w:rPr>
                <w:rFonts w:ascii="Arial" w:hAnsi="Arial" w:cs="Arial"/>
              </w:rPr>
              <w:t xml:space="preserve">Vibrio </w:t>
            </w:r>
            <w:proofErr w:type="spellStart"/>
            <w:r>
              <w:rPr>
                <w:rFonts w:ascii="Arial" w:hAnsi="Arial" w:cs="Arial"/>
              </w:rPr>
              <w:t>Cholerae</w:t>
            </w:r>
            <w:proofErr w:type="spellEnd"/>
          </w:p>
        </w:tc>
        <w:tc>
          <w:tcPr>
            <w:tcW w:w="1135" w:type="dxa"/>
            <w:shd w:val="clear" w:color="auto" w:fill="auto"/>
          </w:tcPr>
          <w:p w14:paraId="62D81964" w14:textId="77777777" w:rsidR="00D3344B" w:rsidRDefault="00143C25">
            <w:pPr>
              <w:spacing w:after="0" w:line="259" w:lineRule="auto"/>
              <w:ind w:right="56"/>
              <w:jc w:val="right"/>
              <w:rPr>
                <w:rFonts w:ascii="Arial" w:hAnsi="Arial" w:cs="Arial"/>
              </w:rPr>
            </w:pPr>
            <w:r>
              <w:rPr>
                <w:rFonts w:ascii="Arial" w:hAnsi="Arial" w:cs="Arial"/>
              </w:rPr>
              <w:t>17.5</w:t>
            </w:r>
          </w:p>
        </w:tc>
      </w:tr>
      <w:tr w:rsidR="00D3344B" w14:paraId="5E52AF3A" w14:textId="77777777">
        <w:trPr>
          <w:trHeight w:val="474"/>
        </w:trPr>
        <w:tc>
          <w:tcPr>
            <w:tcW w:w="872" w:type="dxa"/>
            <w:shd w:val="clear" w:color="auto" w:fill="auto"/>
          </w:tcPr>
          <w:p w14:paraId="66421DB1" w14:textId="77777777" w:rsidR="00D3344B" w:rsidRDefault="00143C25">
            <w:pPr>
              <w:spacing w:after="0" w:line="259" w:lineRule="auto"/>
              <w:ind w:left="108"/>
              <w:rPr>
                <w:rFonts w:ascii="Arial" w:hAnsi="Arial" w:cs="Arial"/>
              </w:rPr>
            </w:pPr>
            <w:r>
              <w:rPr>
                <w:rFonts w:ascii="Arial" w:hAnsi="Arial" w:cs="Arial"/>
              </w:rPr>
              <w:t>7.</w:t>
            </w:r>
          </w:p>
        </w:tc>
        <w:tc>
          <w:tcPr>
            <w:tcW w:w="5564" w:type="dxa"/>
            <w:shd w:val="clear" w:color="auto" w:fill="auto"/>
          </w:tcPr>
          <w:p w14:paraId="1179FFB2" w14:textId="77777777" w:rsidR="00D3344B" w:rsidRDefault="00143C25">
            <w:pPr>
              <w:spacing w:after="0" w:line="259" w:lineRule="auto"/>
              <w:rPr>
                <w:rFonts w:ascii="Arial" w:hAnsi="Arial" w:cs="Arial"/>
              </w:rPr>
            </w:pPr>
            <w:r>
              <w:rPr>
                <w:rFonts w:ascii="Arial" w:hAnsi="Arial" w:cs="Arial"/>
              </w:rPr>
              <w:t>Coliformes totales en placa</w:t>
            </w:r>
          </w:p>
        </w:tc>
        <w:tc>
          <w:tcPr>
            <w:tcW w:w="1135" w:type="dxa"/>
            <w:shd w:val="clear" w:color="auto" w:fill="auto"/>
          </w:tcPr>
          <w:p w14:paraId="105314D3" w14:textId="77777777" w:rsidR="00D3344B" w:rsidRDefault="00143C25">
            <w:pPr>
              <w:spacing w:after="0" w:line="259" w:lineRule="auto"/>
              <w:ind w:right="56"/>
              <w:jc w:val="right"/>
              <w:rPr>
                <w:rFonts w:ascii="Arial" w:hAnsi="Arial" w:cs="Arial"/>
              </w:rPr>
            </w:pPr>
            <w:r>
              <w:rPr>
                <w:rFonts w:ascii="Arial" w:hAnsi="Arial" w:cs="Arial"/>
              </w:rPr>
              <w:t>6.5</w:t>
            </w:r>
          </w:p>
        </w:tc>
      </w:tr>
      <w:tr w:rsidR="00D3344B" w14:paraId="7541FB40" w14:textId="77777777">
        <w:trPr>
          <w:trHeight w:val="474"/>
        </w:trPr>
        <w:tc>
          <w:tcPr>
            <w:tcW w:w="872" w:type="dxa"/>
            <w:shd w:val="clear" w:color="auto" w:fill="auto"/>
          </w:tcPr>
          <w:p w14:paraId="25193657" w14:textId="77777777" w:rsidR="00D3344B" w:rsidRDefault="00143C25">
            <w:pPr>
              <w:spacing w:after="0" w:line="259" w:lineRule="auto"/>
              <w:ind w:left="108"/>
              <w:rPr>
                <w:rFonts w:ascii="Arial" w:hAnsi="Arial" w:cs="Arial"/>
              </w:rPr>
            </w:pPr>
            <w:r>
              <w:rPr>
                <w:rFonts w:ascii="Arial" w:hAnsi="Arial" w:cs="Arial"/>
              </w:rPr>
              <w:t>8.</w:t>
            </w:r>
          </w:p>
        </w:tc>
        <w:tc>
          <w:tcPr>
            <w:tcW w:w="5564" w:type="dxa"/>
            <w:shd w:val="clear" w:color="auto" w:fill="auto"/>
          </w:tcPr>
          <w:p w14:paraId="53465B28" w14:textId="77777777" w:rsidR="00D3344B" w:rsidRDefault="00143C25">
            <w:pPr>
              <w:spacing w:after="0" w:line="259" w:lineRule="auto"/>
              <w:rPr>
                <w:rFonts w:ascii="Arial" w:hAnsi="Arial" w:cs="Arial"/>
              </w:rPr>
            </w:pPr>
            <w:r>
              <w:rPr>
                <w:rFonts w:ascii="Arial" w:hAnsi="Arial" w:cs="Arial"/>
              </w:rPr>
              <w:t>Coliformes Fecales NMP</w:t>
            </w:r>
          </w:p>
        </w:tc>
        <w:tc>
          <w:tcPr>
            <w:tcW w:w="1135" w:type="dxa"/>
            <w:shd w:val="clear" w:color="auto" w:fill="auto"/>
          </w:tcPr>
          <w:p w14:paraId="4D23E62C" w14:textId="77777777" w:rsidR="00D3344B" w:rsidRDefault="00143C25">
            <w:pPr>
              <w:spacing w:after="0" w:line="259" w:lineRule="auto"/>
              <w:ind w:right="56"/>
              <w:jc w:val="right"/>
              <w:rPr>
                <w:rFonts w:ascii="Arial" w:hAnsi="Arial" w:cs="Arial"/>
              </w:rPr>
            </w:pPr>
            <w:r>
              <w:rPr>
                <w:rFonts w:ascii="Arial" w:hAnsi="Arial" w:cs="Arial"/>
              </w:rPr>
              <w:t>3.5</w:t>
            </w:r>
          </w:p>
        </w:tc>
      </w:tr>
      <w:tr w:rsidR="00D3344B" w14:paraId="6EFA0736" w14:textId="77777777">
        <w:trPr>
          <w:trHeight w:val="474"/>
        </w:trPr>
        <w:tc>
          <w:tcPr>
            <w:tcW w:w="872" w:type="dxa"/>
            <w:shd w:val="clear" w:color="auto" w:fill="auto"/>
          </w:tcPr>
          <w:p w14:paraId="7F50BB36" w14:textId="77777777" w:rsidR="00D3344B" w:rsidRDefault="00143C25">
            <w:pPr>
              <w:spacing w:after="0" w:line="259" w:lineRule="auto"/>
              <w:ind w:left="108"/>
              <w:rPr>
                <w:rFonts w:ascii="Arial" w:hAnsi="Arial" w:cs="Arial"/>
              </w:rPr>
            </w:pPr>
            <w:r>
              <w:rPr>
                <w:rFonts w:ascii="Arial" w:hAnsi="Arial" w:cs="Arial"/>
              </w:rPr>
              <w:t>9.</w:t>
            </w:r>
          </w:p>
        </w:tc>
        <w:tc>
          <w:tcPr>
            <w:tcW w:w="5564" w:type="dxa"/>
            <w:shd w:val="clear" w:color="auto" w:fill="auto"/>
          </w:tcPr>
          <w:p w14:paraId="572AF549" w14:textId="77777777" w:rsidR="00D3344B" w:rsidRDefault="00143C25">
            <w:pPr>
              <w:spacing w:after="0" w:line="259" w:lineRule="auto"/>
              <w:rPr>
                <w:rFonts w:ascii="Arial" w:hAnsi="Arial" w:cs="Arial"/>
              </w:rPr>
            </w:pPr>
            <w:r>
              <w:rPr>
                <w:rFonts w:ascii="Arial" w:hAnsi="Arial" w:cs="Arial"/>
              </w:rPr>
              <w:t>Determinación de PH (en agua)</w:t>
            </w:r>
          </w:p>
        </w:tc>
        <w:tc>
          <w:tcPr>
            <w:tcW w:w="1135" w:type="dxa"/>
            <w:shd w:val="clear" w:color="auto" w:fill="auto"/>
          </w:tcPr>
          <w:p w14:paraId="2610D64D" w14:textId="77777777" w:rsidR="00D3344B" w:rsidRDefault="00143C25">
            <w:pPr>
              <w:spacing w:after="0" w:line="259" w:lineRule="auto"/>
              <w:ind w:right="56"/>
              <w:jc w:val="right"/>
              <w:rPr>
                <w:rFonts w:ascii="Arial" w:hAnsi="Arial" w:cs="Arial"/>
              </w:rPr>
            </w:pPr>
            <w:r>
              <w:rPr>
                <w:rFonts w:ascii="Arial" w:hAnsi="Arial" w:cs="Arial"/>
              </w:rPr>
              <w:t>4.5</w:t>
            </w:r>
          </w:p>
        </w:tc>
      </w:tr>
      <w:tr w:rsidR="00D3344B" w14:paraId="3D605B69" w14:textId="77777777">
        <w:trPr>
          <w:trHeight w:val="474"/>
        </w:trPr>
        <w:tc>
          <w:tcPr>
            <w:tcW w:w="872" w:type="dxa"/>
            <w:shd w:val="clear" w:color="auto" w:fill="auto"/>
          </w:tcPr>
          <w:p w14:paraId="08F38826" w14:textId="77777777" w:rsidR="00D3344B" w:rsidRDefault="00143C25">
            <w:pPr>
              <w:spacing w:after="0" w:line="259" w:lineRule="auto"/>
              <w:ind w:left="108"/>
              <w:rPr>
                <w:rFonts w:ascii="Arial" w:hAnsi="Arial" w:cs="Arial"/>
              </w:rPr>
            </w:pPr>
            <w:r>
              <w:rPr>
                <w:rFonts w:ascii="Arial" w:hAnsi="Arial" w:cs="Arial"/>
              </w:rPr>
              <w:t>10.</w:t>
            </w:r>
          </w:p>
        </w:tc>
        <w:tc>
          <w:tcPr>
            <w:tcW w:w="5564" w:type="dxa"/>
            <w:shd w:val="clear" w:color="auto" w:fill="auto"/>
          </w:tcPr>
          <w:p w14:paraId="01BAD214" w14:textId="77777777" w:rsidR="00D3344B" w:rsidRDefault="00143C25">
            <w:pPr>
              <w:spacing w:after="0" w:line="259" w:lineRule="auto"/>
              <w:rPr>
                <w:rFonts w:ascii="Arial" w:hAnsi="Arial" w:cs="Arial"/>
              </w:rPr>
            </w:pPr>
            <w:r>
              <w:rPr>
                <w:rFonts w:ascii="Arial" w:hAnsi="Arial" w:cs="Arial"/>
              </w:rPr>
              <w:t>Determinación de PH (en alimentos)</w:t>
            </w:r>
          </w:p>
        </w:tc>
        <w:tc>
          <w:tcPr>
            <w:tcW w:w="1135" w:type="dxa"/>
            <w:shd w:val="clear" w:color="auto" w:fill="auto"/>
          </w:tcPr>
          <w:p w14:paraId="771A0C8C" w14:textId="77777777" w:rsidR="00D3344B" w:rsidRDefault="00143C25">
            <w:pPr>
              <w:spacing w:after="0" w:line="259" w:lineRule="auto"/>
              <w:ind w:right="56"/>
              <w:jc w:val="right"/>
              <w:rPr>
                <w:rFonts w:ascii="Arial" w:hAnsi="Arial" w:cs="Arial"/>
              </w:rPr>
            </w:pPr>
            <w:r>
              <w:rPr>
                <w:rFonts w:ascii="Arial" w:hAnsi="Arial" w:cs="Arial"/>
              </w:rPr>
              <w:t>5.5</w:t>
            </w:r>
          </w:p>
        </w:tc>
      </w:tr>
      <w:tr w:rsidR="00D3344B" w14:paraId="066C9D8C" w14:textId="77777777">
        <w:trPr>
          <w:trHeight w:val="474"/>
        </w:trPr>
        <w:tc>
          <w:tcPr>
            <w:tcW w:w="872" w:type="dxa"/>
            <w:shd w:val="clear" w:color="auto" w:fill="auto"/>
          </w:tcPr>
          <w:p w14:paraId="349FA1FD" w14:textId="77777777" w:rsidR="00D3344B" w:rsidRDefault="00143C25">
            <w:pPr>
              <w:spacing w:after="0" w:line="259" w:lineRule="auto"/>
              <w:ind w:left="108"/>
              <w:rPr>
                <w:rFonts w:ascii="Arial" w:hAnsi="Arial" w:cs="Arial"/>
              </w:rPr>
            </w:pPr>
            <w:r>
              <w:rPr>
                <w:rFonts w:ascii="Arial" w:hAnsi="Arial" w:cs="Arial"/>
              </w:rPr>
              <w:t>11.</w:t>
            </w:r>
          </w:p>
        </w:tc>
        <w:tc>
          <w:tcPr>
            <w:tcW w:w="5564" w:type="dxa"/>
            <w:shd w:val="clear" w:color="auto" w:fill="auto"/>
          </w:tcPr>
          <w:p w14:paraId="6B162E64" w14:textId="77777777" w:rsidR="00D3344B" w:rsidRDefault="00143C25">
            <w:pPr>
              <w:pStyle w:val="Estilo"/>
              <w:rPr>
                <w:rFonts w:cs="Arial"/>
              </w:rPr>
            </w:pPr>
            <w:r>
              <w:rPr>
                <w:rFonts w:cs="Arial"/>
                <w:i/>
                <w:sz w:val="16"/>
              </w:rPr>
              <w:t>(REFORMADO, P.O. 29 DE NOVIEMBRE DE 2023)</w:t>
            </w:r>
          </w:p>
          <w:p w14:paraId="4CFE971B" w14:textId="77777777" w:rsidR="00D3344B" w:rsidRDefault="00143C25">
            <w:pPr>
              <w:spacing w:after="0" w:line="259" w:lineRule="auto"/>
              <w:rPr>
                <w:rFonts w:ascii="Arial" w:hAnsi="Arial" w:cs="Arial"/>
              </w:rPr>
            </w:pPr>
            <w:r>
              <w:rPr>
                <w:rFonts w:ascii="Arial" w:hAnsi="Arial" w:cs="Arial"/>
              </w:rPr>
              <w:t xml:space="preserve">Determinación de Cloro Libre residual - Método por </w:t>
            </w:r>
            <w:proofErr w:type="spellStart"/>
            <w:r>
              <w:rPr>
                <w:rFonts w:ascii="Arial" w:hAnsi="Arial" w:cs="Arial"/>
              </w:rPr>
              <w:t>ortotoluidina</w:t>
            </w:r>
            <w:proofErr w:type="spellEnd"/>
            <w:r>
              <w:rPr>
                <w:rFonts w:ascii="Arial" w:hAnsi="Arial" w:cs="Arial"/>
              </w:rPr>
              <w:t xml:space="preserve"> y arsenito</w:t>
            </w:r>
          </w:p>
        </w:tc>
        <w:tc>
          <w:tcPr>
            <w:tcW w:w="1135" w:type="dxa"/>
            <w:shd w:val="clear" w:color="auto" w:fill="auto"/>
          </w:tcPr>
          <w:p w14:paraId="5DF7CC7C" w14:textId="77777777" w:rsidR="00D3344B" w:rsidRDefault="00143C25">
            <w:pPr>
              <w:spacing w:after="0" w:line="259" w:lineRule="auto"/>
              <w:ind w:right="56"/>
              <w:jc w:val="right"/>
              <w:rPr>
                <w:rFonts w:ascii="Arial" w:hAnsi="Arial" w:cs="Arial"/>
              </w:rPr>
            </w:pPr>
            <w:r>
              <w:rPr>
                <w:rFonts w:ascii="Arial" w:hAnsi="Arial" w:cs="Arial"/>
              </w:rPr>
              <w:t>3.5</w:t>
            </w:r>
          </w:p>
        </w:tc>
      </w:tr>
      <w:tr w:rsidR="00D3344B" w14:paraId="132481E8" w14:textId="77777777">
        <w:trPr>
          <w:trHeight w:val="474"/>
        </w:trPr>
        <w:tc>
          <w:tcPr>
            <w:tcW w:w="872" w:type="dxa"/>
            <w:shd w:val="clear" w:color="auto" w:fill="auto"/>
          </w:tcPr>
          <w:p w14:paraId="0FE4B7F0" w14:textId="77777777" w:rsidR="00D3344B" w:rsidRDefault="00143C25">
            <w:pPr>
              <w:spacing w:after="0" w:line="259" w:lineRule="auto"/>
              <w:ind w:left="108"/>
              <w:rPr>
                <w:rFonts w:ascii="Arial" w:hAnsi="Arial" w:cs="Arial"/>
              </w:rPr>
            </w:pPr>
            <w:r>
              <w:rPr>
                <w:rFonts w:ascii="Arial" w:hAnsi="Arial" w:cs="Arial"/>
              </w:rPr>
              <w:t>12.</w:t>
            </w:r>
          </w:p>
        </w:tc>
        <w:tc>
          <w:tcPr>
            <w:tcW w:w="5564" w:type="dxa"/>
            <w:shd w:val="clear" w:color="auto" w:fill="auto"/>
          </w:tcPr>
          <w:p w14:paraId="54712EE1" w14:textId="77777777" w:rsidR="00D3344B" w:rsidRDefault="00143C25">
            <w:pPr>
              <w:spacing w:after="0" w:line="259" w:lineRule="auto"/>
              <w:rPr>
                <w:rFonts w:ascii="Arial" w:hAnsi="Arial" w:cs="Arial"/>
              </w:rPr>
            </w:pPr>
            <w:r>
              <w:rPr>
                <w:rFonts w:ascii="Arial" w:hAnsi="Arial" w:cs="Arial"/>
              </w:rPr>
              <w:t>Conductividad</w:t>
            </w:r>
          </w:p>
        </w:tc>
        <w:tc>
          <w:tcPr>
            <w:tcW w:w="1135" w:type="dxa"/>
            <w:shd w:val="clear" w:color="auto" w:fill="auto"/>
          </w:tcPr>
          <w:p w14:paraId="15204C87" w14:textId="77777777" w:rsidR="00D3344B" w:rsidRDefault="00143C25">
            <w:pPr>
              <w:spacing w:after="0" w:line="259" w:lineRule="auto"/>
              <w:ind w:right="56"/>
              <w:jc w:val="right"/>
              <w:rPr>
                <w:rFonts w:ascii="Arial" w:hAnsi="Arial" w:cs="Arial"/>
              </w:rPr>
            </w:pPr>
            <w:r>
              <w:rPr>
                <w:rFonts w:ascii="Arial" w:hAnsi="Arial" w:cs="Arial"/>
              </w:rPr>
              <w:t>4.5</w:t>
            </w:r>
          </w:p>
        </w:tc>
      </w:tr>
      <w:tr w:rsidR="00D3344B" w14:paraId="05C9E897" w14:textId="77777777">
        <w:trPr>
          <w:trHeight w:val="474"/>
        </w:trPr>
        <w:tc>
          <w:tcPr>
            <w:tcW w:w="872" w:type="dxa"/>
            <w:shd w:val="clear" w:color="auto" w:fill="auto"/>
          </w:tcPr>
          <w:p w14:paraId="7A9850DC" w14:textId="77777777" w:rsidR="00D3344B" w:rsidRDefault="00143C25">
            <w:pPr>
              <w:spacing w:after="0" w:line="259" w:lineRule="auto"/>
              <w:ind w:left="108"/>
              <w:rPr>
                <w:rFonts w:ascii="Arial" w:hAnsi="Arial" w:cs="Arial"/>
              </w:rPr>
            </w:pPr>
            <w:r>
              <w:rPr>
                <w:rFonts w:ascii="Arial" w:hAnsi="Arial" w:cs="Arial"/>
              </w:rPr>
              <w:t>13.</w:t>
            </w:r>
          </w:p>
        </w:tc>
        <w:tc>
          <w:tcPr>
            <w:tcW w:w="5564" w:type="dxa"/>
            <w:shd w:val="clear" w:color="auto" w:fill="auto"/>
          </w:tcPr>
          <w:p w14:paraId="4062EEE0" w14:textId="77777777" w:rsidR="00D3344B" w:rsidRDefault="00143C25">
            <w:pPr>
              <w:spacing w:after="0" w:line="259" w:lineRule="auto"/>
              <w:rPr>
                <w:rFonts w:ascii="Arial" w:hAnsi="Arial" w:cs="Arial"/>
              </w:rPr>
            </w:pPr>
            <w:r>
              <w:rPr>
                <w:rFonts w:ascii="Arial" w:hAnsi="Arial" w:cs="Arial"/>
              </w:rPr>
              <w:t>Dureza Total CaCO3</w:t>
            </w:r>
          </w:p>
        </w:tc>
        <w:tc>
          <w:tcPr>
            <w:tcW w:w="1135" w:type="dxa"/>
            <w:shd w:val="clear" w:color="auto" w:fill="auto"/>
          </w:tcPr>
          <w:p w14:paraId="2E72D108" w14:textId="77777777" w:rsidR="00D3344B" w:rsidRDefault="00143C25">
            <w:pPr>
              <w:spacing w:after="0" w:line="259" w:lineRule="auto"/>
              <w:ind w:right="56"/>
              <w:jc w:val="right"/>
              <w:rPr>
                <w:rFonts w:ascii="Arial" w:hAnsi="Arial" w:cs="Arial"/>
              </w:rPr>
            </w:pPr>
            <w:r>
              <w:rPr>
                <w:rFonts w:ascii="Arial" w:hAnsi="Arial" w:cs="Arial"/>
              </w:rPr>
              <w:t>8.5</w:t>
            </w:r>
          </w:p>
        </w:tc>
      </w:tr>
      <w:tr w:rsidR="00D3344B" w14:paraId="2F346522" w14:textId="77777777">
        <w:trPr>
          <w:trHeight w:val="474"/>
        </w:trPr>
        <w:tc>
          <w:tcPr>
            <w:tcW w:w="872" w:type="dxa"/>
            <w:shd w:val="clear" w:color="auto" w:fill="auto"/>
          </w:tcPr>
          <w:p w14:paraId="2DECA3AD" w14:textId="77777777" w:rsidR="00D3344B" w:rsidRDefault="00143C25">
            <w:pPr>
              <w:spacing w:after="0" w:line="259" w:lineRule="auto"/>
              <w:ind w:left="108"/>
              <w:rPr>
                <w:rFonts w:ascii="Arial" w:hAnsi="Arial" w:cs="Arial"/>
              </w:rPr>
            </w:pPr>
            <w:r>
              <w:rPr>
                <w:rFonts w:ascii="Arial" w:hAnsi="Arial" w:cs="Arial"/>
              </w:rPr>
              <w:t>14.</w:t>
            </w:r>
          </w:p>
        </w:tc>
        <w:tc>
          <w:tcPr>
            <w:tcW w:w="5564" w:type="dxa"/>
            <w:shd w:val="clear" w:color="auto" w:fill="auto"/>
          </w:tcPr>
          <w:p w14:paraId="6A4FEDE0" w14:textId="77777777" w:rsidR="00D3344B" w:rsidRDefault="00143C25">
            <w:pPr>
              <w:spacing w:after="0" w:line="259" w:lineRule="auto"/>
              <w:rPr>
                <w:rFonts w:ascii="Arial" w:hAnsi="Arial" w:cs="Arial"/>
              </w:rPr>
            </w:pPr>
            <w:proofErr w:type="spellStart"/>
            <w:r>
              <w:rPr>
                <w:rFonts w:ascii="Arial" w:hAnsi="Arial" w:cs="Arial"/>
              </w:rPr>
              <w:t>Clenbuterol</w:t>
            </w:r>
            <w:proofErr w:type="spellEnd"/>
          </w:p>
        </w:tc>
        <w:tc>
          <w:tcPr>
            <w:tcW w:w="1135" w:type="dxa"/>
            <w:shd w:val="clear" w:color="auto" w:fill="auto"/>
          </w:tcPr>
          <w:p w14:paraId="176595E6" w14:textId="77777777" w:rsidR="00D3344B" w:rsidRDefault="00143C25">
            <w:pPr>
              <w:spacing w:after="0" w:line="259" w:lineRule="auto"/>
              <w:ind w:right="56"/>
              <w:jc w:val="right"/>
              <w:rPr>
                <w:rFonts w:ascii="Arial" w:hAnsi="Arial" w:cs="Arial"/>
              </w:rPr>
            </w:pPr>
            <w:r>
              <w:rPr>
                <w:rFonts w:ascii="Arial" w:hAnsi="Arial" w:cs="Arial"/>
              </w:rPr>
              <w:t>12.5</w:t>
            </w:r>
          </w:p>
        </w:tc>
      </w:tr>
      <w:tr w:rsidR="00D3344B" w14:paraId="26176DD8" w14:textId="77777777">
        <w:trPr>
          <w:trHeight w:val="474"/>
        </w:trPr>
        <w:tc>
          <w:tcPr>
            <w:tcW w:w="872" w:type="dxa"/>
            <w:shd w:val="clear" w:color="auto" w:fill="auto"/>
          </w:tcPr>
          <w:p w14:paraId="08189542" w14:textId="77777777" w:rsidR="00D3344B" w:rsidRDefault="00143C25">
            <w:pPr>
              <w:spacing w:after="0" w:line="259" w:lineRule="auto"/>
              <w:ind w:left="108"/>
              <w:rPr>
                <w:rFonts w:ascii="Arial" w:hAnsi="Arial" w:cs="Arial"/>
              </w:rPr>
            </w:pPr>
            <w:r>
              <w:rPr>
                <w:rFonts w:ascii="Arial" w:hAnsi="Arial" w:cs="Arial"/>
              </w:rPr>
              <w:t>15.</w:t>
            </w:r>
          </w:p>
        </w:tc>
        <w:tc>
          <w:tcPr>
            <w:tcW w:w="5564" w:type="dxa"/>
            <w:shd w:val="clear" w:color="auto" w:fill="auto"/>
          </w:tcPr>
          <w:p w14:paraId="3222B887" w14:textId="77777777" w:rsidR="00D3344B" w:rsidRDefault="00143C25">
            <w:pPr>
              <w:spacing w:after="0" w:line="259" w:lineRule="auto"/>
              <w:rPr>
                <w:rFonts w:ascii="Arial" w:hAnsi="Arial" w:cs="Arial"/>
              </w:rPr>
            </w:pPr>
            <w:r>
              <w:rPr>
                <w:rFonts w:ascii="Arial" w:hAnsi="Arial" w:cs="Arial"/>
              </w:rPr>
              <w:t>Determinación de metanol</w:t>
            </w:r>
          </w:p>
        </w:tc>
        <w:tc>
          <w:tcPr>
            <w:tcW w:w="1135" w:type="dxa"/>
            <w:shd w:val="clear" w:color="auto" w:fill="auto"/>
          </w:tcPr>
          <w:p w14:paraId="790DEBAE" w14:textId="77777777" w:rsidR="00D3344B" w:rsidRDefault="00143C25">
            <w:pPr>
              <w:spacing w:after="0" w:line="259" w:lineRule="auto"/>
              <w:ind w:right="56"/>
              <w:jc w:val="right"/>
              <w:rPr>
                <w:rFonts w:ascii="Arial" w:hAnsi="Arial" w:cs="Arial"/>
              </w:rPr>
            </w:pPr>
            <w:r>
              <w:rPr>
                <w:rFonts w:ascii="Arial" w:hAnsi="Arial" w:cs="Arial"/>
              </w:rPr>
              <w:t>14.5</w:t>
            </w:r>
          </w:p>
        </w:tc>
      </w:tr>
      <w:tr w:rsidR="00D3344B" w14:paraId="30934A5D" w14:textId="77777777">
        <w:trPr>
          <w:trHeight w:val="474"/>
        </w:trPr>
        <w:tc>
          <w:tcPr>
            <w:tcW w:w="872" w:type="dxa"/>
            <w:shd w:val="clear" w:color="auto" w:fill="auto"/>
          </w:tcPr>
          <w:p w14:paraId="6BDDC637" w14:textId="77777777" w:rsidR="00D3344B" w:rsidRDefault="00143C25">
            <w:pPr>
              <w:spacing w:after="0" w:line="259" w:lineRule="auto"/>
              <w:ind w:left="108"/>
              <w:rPr>
                <w:rFonts w:ascii="Arial" w:hAnsi="Arial" w:cs="Arial"/>
              </w:rPr>
            </w:pPr>
            <w:r>
              <w:rPr>
                <w:rFonts w:ascii="Arial" w:hAnsi="Arial" w:cs="Arial"/>
              </w:rPr>
              <w:t>16.</w:t>
            </w:r>
          </w:p>
        </w:tc>
        <w:tc>
          <w:tcPr>
            <w:tcW w:w="5564" w:type="dxa"/>
            <w:shd w:val="clear" w:color="auto" w:fill="auto"/>
          </w:tcPr>
          <w:p w14:paraId="360A2883" w14:textId="77777777" w:rsidR="00D3344B" w:rsidRDefault="00143C25">
            <w:pPr>
              <w:pStyle w:val="Estilo"/>
              <w:rPr>
                <w:rFonts w:cs="Arial"/>
              </w:rPr>
            </w:pPr>
            <w:r>
              <w:rPr>
                <w:rFonts w:cs="Arial"/>
                <w:i/>
                <w:sz w:val="16"/>
              </w:rPr>
              <w:t>(REFORMADO, P.O. 29 DE NOVIEMBRE DE 2023)</w:t>
            </w:r>
          </w:p>
          <w:p w14:paraId="3EC0FF3C" w14:textId="77777777" w:rsidR="00D3344B" w:rsidRDefault="00143C25">
            <w:pPr>
              <w:spacing w:after="0" w:line="259" w:lineRule="auto"/>
              <w:rPr>
                <w:rFonts w:ascii="Arial" w:hAnsi="Arial" w:cs="Arial"/>
              </w:rPr>
            </w:pPr>
            <w:r>
              <w:rPr>
                <w:rFonts w:cs="Arial"/>
                <w:iCs/>
              </w:rPr>
              <w:t xml:space="preserve">Determinación de Listeria </w:t>
            </w:r>
            <w:proofErr w:type="spellStart"/>
            <w:r>
              <w:rPr>
                <w:rFonts w:cs="Arial"/>
                <w:iCs/>
              </w:rPr>
              <w:t>monocytogenes</w:t>
            </w:r>
            <w:proofErr w:type="spellEnd"/>
          </w:p>
        </w:tc>
        <w:tc>
          <w:tcPr>
            <w:tcW w:w="1135" w:type="dxa"/>
            <w:shd w:val="clear" w:color="auto" w:fill="auto"/>
          </w:tcPr>
          <w:p w14:paraId="0D0C6BE1" w14:textId="77777777" w:rsidR="00D3344B" w:rsidRDefault="00143C25">
            <w:pPr>
              <w:spacing w:after="0" w:line="259" w:lineRule="auto"/>
              <w:ind w:right="56"/>
              <w:jc w:val="right"/>
              <w:rPr>
                <w:rFonts w:ascii="Arial" w:hAnsi="Arial" w:cs="Arial"/>
              </w:rPr>
            </w:pPr>
            <w:r>
              <w:t>18.5</w:t>
            </w:r>
          </w:p>
        </w:tc>
      </w:tr>
      <w:tr w:rsidR="00D3344B" w14:paraId="796693BB" w14:textId="77777777">
        <w:trPr>
          <w:trHeight w:val="474"/>
        </w:trPr>
        <w:tc>
          <w:tcPr>
            <w:tcW w:w="872" w:type="dxa"/>
            <w:shd w:val="clear" w:color="auto" w:fill="auto"/>
          </w:tcPr>
          <w:p w14:paraId="1D98B165" w14:textId="77777777" w:rsidR="00D3344B" w:rsidRDefault="00143C25">
            <w:pPr>
              <w:spacing w:after="0" w:line="259" w:lineRule="auto"/>
              <w:ind w:left="108"/>
              <w:rPr>
                <w:rFonts w:ascii="Arial" w:hAnsi="Arial" w:cs="Arial"/>
              </w:rPr>
            </w:pPr>
            <w:r>
              <w:rPr>
                <w:rFonts w:ascii="Arial" w:hAnsi="Arial" w:cs="Arial"/>
              </w:rPr>
              <w:lastRenderedPageBreak/>
              <w:t>17.</w:t>
            </w:r>
          </w:p>
        </w:tc>
        <w:tc>
          <w:tcPr>
            <w:tcW w:w="5564" w:type="dxa"/>
            <w:shd w:val="clear" w:color="auto" w:fill="auto"/>
          </w:tcPr>
          <w:p w14:paraId="05DA40D8" w14:textId="77777777" w:rsidR="00D3344B" w:rsidRDefault="00143C25">
            <w:pPr>
              <w:pStyle w:val="Estilo"/>
              <w:rPr>
                <w:rFonts w:cs="Arial"/>
              </w:rPr>
            </w:pPr>
            <w:r>
              <w:rPr>
                <w:rFonts w:cs="Arial"/>
                <w:i/>
                <w:sz w:val="16"/>
              </w:rPr>
              <w:t>(ADICIONADO, P.O. 29 DE NOVIEMBRE DE 2023)</w:t>
            </w:r>
          </w:p>
          <w:p w14:paraId="20F64715" w14:textId="77777777" w:rsidR="00D3344B" w:rsidRDefault="00143C25">
            <w:pPr>
              <w:pStyle w:val="Estilo"/>
              <w:rPr>
                <w:rFonts w:cs="Arial"/>
                <w:iCs/>
                <w:sz w:val="22"/>
              </w:rPr>
            </w:pPr>
            <w:r>
              <w:rPr>
                <w:rFonts w:cs="Arial"/>
                <w:iCs/>
                <w:sz w:val="22"/>
              </w:rPr>
              <w:t xml:space="preserve">Determinación de Vibrio </w:t>
            </w:r>
            <w:proofErr w:type="spellStart"/>
            <w:r>
              <w:rPr>
                <w:rFonts w:cs="Arial"/>
                <w:iCs/>
                <w:sz w:val="22"/>
              </w:rPr>
              <w:t>parahaemolyticus</w:t>
            </w:r>
            <w:proofErr w:type="spellEnd"/>
          </w:p>
        </w:tc>
        <w:tc>
          <w:tcPr>
            <w:tcW w:w="1135" w:type="dxa"/>
            <w:shd w:val="clear" w:color="auto" w:fill="auto"/>
          </w:tcPr>
          <w:p w14:paraId="2311B557" w14:textId="77777777" w:rsidR="00D3344B" w:rsidRDefault="00143C25">
            <w:pPr>
              <w:spacing w:after="0" w:line="259" w:lineRule="auto"/>
              <w:ind w:right="56"/>
              <w:jc w:val="right"/>
              <w:rPr>
                <w:rFonts w:ascii="Arial" w:hAnsi="Arial" w:cs="Arial"/>
              </w:rPr>
            </w:pPr>
            <w:r>
              <w:t>14</w:t>
            </w:r>
          </w:p>
        </w:tc>
      </w:tr>
      <w:tr w:rsidR="00D3344B" w14:paraId="3A205C80" w14:textId="77777777">
        <w:trPr>
          <w:trHeight w:val="474"/>
        </w:trPr>
        <w:tc>
          <w:tcPr>
            <w:tcW w:w="872" w:type="dxa"/>
            <w:shd w:val="clear" w:color="auto" w:fill="auto"/>
          </w:tcPr>
          <w:p w14:paraId="6F3E77EC" w14:textId="77777777" w:rsidR="00D3344B" w:rsidRDefault="00143C25">
            <w:pPr>
              <w:spacing w:after="0" w:line="259" w:lineRule="auto"/>
              <w:ind w:left="108"/>
              <w:rPr>
                <w:rFonts w:ascii="Arial" w:hAnsi="Arial" w:cs="Arial"/>
              </w:rPr>
            </w:pPr>
            <w:r>
              <w:rPr>
                <w:rFonts w:ascii="Arial" w:hAnsi="Arial" w:cs="Arial"/>
              </w:rPr>
              <w:t>18.</w:t>
            </w:r>
          </w:p>
        </w:tc>
        <w:tc>
          <w:tcPr>
            <w:tcW w:w="5564" w:type="dxa"/>
            <w:shd w:val="clear" w:color="auto" w:fill="auto"/>
          </w:tcPr>
          <w:p w14:paraId="4A8B96D7" w14:textId="77777777" w:rsidR="00D3344B" w:rsidRDefault="00143C25">
            <w:pPr>
              <w:pStyle w:val="Estilo"/>
              <w:rPr>
                <w:rFonts w:cs="Arial"/>
              </w:rPr>
            </w:pPr>
            <w:r>
              <w:rPr>
                <w:rFonts w:cs="Arial"/>
                <w:i/>
                <w:sz w:val="16"/>
              </w:rPr>
              <w:t>(ADICIONADO, P.O. 29 DE NOVIEMBRE DE 2023)</w:t>
            </w:r>
          </w:p>
          <w:p w14:paraId="6826848E" w14:textId="77777777" w:rsidR="00D3344B" w:rsidRDefault="00143C25">
            <w:pPr>
              <w:pStyle w:val="Estilo"/>
              <w:rPr>
                <w:rFonts w:cs="Arial"/>
                <w:i/>
                <w:sz w:val="16"/>
              </w:rPr>
            </w:pPr>
            <w:r>
              <w:rPr>
                <w:rFonts w:cs="Arial"/>
                <w:i/>
                <w:sz w:val="16"/>
              </w:rPr>
              <w:t xml:space="preserve">Determinación E. </w:t>
            </w:r>
            <w:proofErr w:type="spellStart"/>
            <w:r>
              <w:rPr>
                <w:rFonts w:cs="Arial"/>
                <w:i/>
                <w:sz w:val="16"/>
              </w:rPr>
              <w:t>coli</w:t>
            </w:r>
            <w:proofErr w:type="spellEnd"/>
            <w:r>
              <w:rPr>
                <w:rFonts w:cs="Arial"/>
                <w:i/>
                <w:sz w:val="16"/>
              </w:rPr>
              <w:t xml:space="preserve"> (NMP)</w:t>
            </w:r>
          </w:p>
        </w:tc>
        <w:tc>
          <w:tcPr>
            <w:tcW w:w="1135" w:type="dxa"/>
            <w:shd w:val="clear" w:color="auto" w:fill="auto"/>
          </w:tcPr>
          <w:p w14:paraId="28B81C3F" w14:textId="77777777" w:rsidR="00D3344B" w:rsidRDefault="00143C25">
            <w:pPr>
              <w:spacing w:after="0" w:line="259" w:lineRule="auto"/>
              <w:ind w:right="56"/>
              <w:jc w:val="right"/>
              <w:rPr>
                <w:rFonts w:ascii="Arial" w:hAnsi="Arial" w:cs="Arial"/>
              </w:rPr>
            </w:pPr>
            <w:r>
              <w:t>9</w:t>
            </w:r>
          </w:p>
        </w:tc>
      </w:tr>
      <w:tr w:rsidR="00D3344B" w14:paraId="7536FDF1" w14:textId="77777777">
        <w:trPr>
          <w:trHeight w:val="474"/>
        </w:trPr>
        <w:tc>
          <w:tcPr>
            <w:tcW w:w="872" w:type="dxa"/>
            <w:shd w:val="clear" w:color="auto" w:fill="auto"/>
          </w:tcPr>
          <w:p w14:paraId="06897C83" w14:textId="77777777" w:rsidR="00D3344B" w:rsidRDefault="00143C25">
            <w:pPr>
              <w:spacing w:after="0" w:line="259" w:lineRule="auto"/>
              <w:ind w:left="108"/>
              <w:rPr>
                <w:rFonts w:ascii="Arial" w:hAnsi="Arial" w:cs="Arial"/>
              </w:rPr>
            </w:pPr>
            <w:r>
              <w:rPr>
                <w:rFonts w:ascii="Arial" w:hAnsi="Arial" w:cs="Arial"/>
              </w:rPr>
              <w:t>19.</w:t>
            </w:r>
          </w:p>
        </w:tc>
        <w:tc>
          <w:tcPr>
            <w:tcW w:w="5564" w:type="dxa"/>
            <w:shd w:val="clear" w:color="auto" w:fill="auto"/>
          </w:tcPr>
          <w:p w14:paraId="637A512E" w14:textId="77777777" w:rsidR="00D3344B" w:rsidRDefault="00143C25">
            <w:pPr>
              <w:pStyle w:val="Estilo"/>
              <w:rPr>
                <w:rFonts w:cs="Arial"/>
              </w:rPr>
            </w:pPr>
            <w:r>
              <w:rPr>
                <w:rFonts w:cs="Arial"/>
                <w:i/>
                <w:sz w:val="16"/>
              </w:rPr>
              <w:t>(ADICIONADO, P.O. 29 DE NOVIEMBRE DE 2023)</w:t>
            </w:r>
          </w:p>
          <w:p w14:paraId="66893643" w14:textId="77777777" w:rsidR="00D3344B" w:rsidRDefault="00143C25">
            <w:pPr>
              <w:pStyle w:val="Estilo"/>
              <w:rPr>
                <w:rFonts w:cs="Arial"/>
                <w:i/>
                <w:sz w:val="16"/>
              </w:rPr>
            </w:pPr>
            <w:r>
              <w:rPr>
                <w:rFonts w:cs="Arial"/>
                <w:i/>
                <w:sz w:val="16"/>
              </w:rPr>
              <w:t xml:space="preserve">Determinación E. </w:t>
            </w:r>
            <w:proofErr w:type="spellStart"/>
            <w:r>
              <w:rPr>
                <w:rFonts w:cs="Arial"/>
                <w:i/>
                <w:sz w:val="16"/>
              </w:rPr>
              <w:t>coli</w:t>
            </w:r>
            <w:proofErr w:type="spellEnd"/>
            <w:r>
              <w:rPr>
                <w:rFonts w:cs="Arial"/>
                <w:i/>
                <w:sz w:val="16"/>
              </w:rPr>
              <w:t xml:space="preserve"> (8 </w:t>
            </w:r>
            <w:proofErr w:type="spellStart"/>
            <w:r>
              <w:rPr>
                <w:rFonts w:cs="Arial"/>
                <w:i/>
                <w:sz w:val="16"/>
              </w:rPr>
              <w:t>glucoronidasa</w:t>
            </w:r>
            <w:proofErr w:type="spellEnd"/>
            <w:r>
              <w:rPr>
                <w:rFonts w:cs="Arial"/>
                <w:i/>
                <w:sz w:val="16"/>
              </w:rPr>
              <w:t>)</w:t>
            </w:r>
          </w:p>
        </w:tc>
        <w:tc>
          <w:tcPr>
            <w:tcW w:w="1135" w:type="dxa"/>
            <w:shd w:val="clear" w:color="auto" w:fill="auto"/>
          </w:tcPr>
          <w:p w14:paraId="38F39F67" w14:textId="77777777" w:rsidR="00D3344B" w:rsidRDefault="00143C25">
            <w:pPr>
              <w:spacing w:after="0" w:line="259" w:lineRule="auto"/>
              <w:ind w:right="56"/>
              <w:jc w:val="right"/>
              <w:rPr>
                <w:rFonts w:ascii="Arial" w:hAnsi="Arial" w:cs="Arial"/>
              </w:rPr>
            </w:pPr>
            <w:r>
              <w:t>14</w:t>
            </w:r>
          </w:p>
        </w:tc>
      </w:tr>
      <w:tr w:rsidR="00D3344B" w14:paraId="642F2B2D" w14:textId="77777777">
        <w:trPr>
          <w:trHeight w:val="474"/>
        </w:trPr>
        <w:tc>
          <w:tcPr>
            <w:tcW w:w="872" w:type="dxa"/>
            <w:shd w:val="clear" w:color="auto" w:fill="auto"/>
          </w:tcPr>
          <w:p w14:paraId="59B90A59" w14:textId="77777777" w:rsidR="00D3344B" w:rsidRDefault="00143C25">
            <w:pPr>
              <w:spacing w:after="0" w:line="259" w:lineRule="auto"/>
              <w:ind w:left="108"/>
              <w:rPr>
                <w:rFonts w:ascii="Arial" w:hAnsi="Arial" w:cs="Arial"/>
              </w:rPr>
            </w:pPr>
            <w:r>
              <w:rPr>
                <w:rFonts w:ascii="Arial" w:hAnsi="Arial" w:cs="Arial"/>
              </w:rPr>
              <w:t>20.</w:t>
            </w:r>
          </w:p>
        </w:tc>
        <w:tc>
          <w:tcPr>
            <w:tcW w:w="5564" w:type="dxa"/>
            <w:shd w:val="clear" w:color="auto" w:fill="auto"/>
          </w:tcPr>
          <w:p w14:paraId="2ACEE5A7" w14:textId="77777777" w:rsidR="00D3344B" w:rsidRDefault="00143C25">
            <w:pPr>
              <w:pStyle w:val="Estilo"/>
              <w:rPr>
                <w:rFonts w:cs="Arial"/>
              </w:rPr>
            </w:pPr>
            <w:r>
              <w:rPr>
                <w:rFonts w:cs="Arial"/>
                <w:i/>
                <w:sz w:val="16"/>
              </w:rPr>
              <w:t>(ADICIONADO, P.O. 29 DE NOVIEMBRE DE 2023)</w:t>
            </w:r>
          </w:p>
          <w:p w14:paraId="5E4D1208" w14:textId="77777777" w:rsidR="00D3344B" w:rsidRDefault="00143C25">
            <w:pPr>
              <w:pStyle w:val="Estilo"/>
              <w:rPr>
                <w:rFonts w:cs="Arial"/>
                <w:i/>
                <w:sz w:val="16"/>
              </w:rPr>
            </w:pPr>
            <w:r>
              <w:rPr>
                <w:rFonts w:cs="Arial"/>
                <w:i/>
                <w:sz w:val="16"/>
              </w:rPr>
              <w:t xml:space="preserve">Identificación de </w:t>
            </w:r>
            <w:proofErr w:type="spellStart"/>
            <w:r>
              <w:rPr>
                <w:rFonts w:cs="Arial"/>
                <w:i/>
                <w:sz w:val="16"/>
              </w:rPr>
              <w:t>Brucella</w:t>
            </w:r>
            <w:proofErr w:type="spellEnd"/>
            <w:r>
              <w:rPr>
                <w:rFonts w:cs="Arial"/>
                <w:i/>
                <w:sz w:val="16"/>
              </w:rPr>
              <w:t xml:space="preserve"> </w:t>
            </w:r>
            <w:proofErr w:type="spellStart"/>
            <w:r>
              <w:rPr>
                <w:rFonts w:cs="Arial"/>
                <w:i/>
                <w:sz w:val="16"/>
              </w:rPr>
              <w:t>sp</w:t>
            </w:r>
            <w:proofErr w:type="spellEnd"/>
            <w:r>
              <w:rPr>
                <w:rFonts w:cs="Arial"/>
                <w:i/>
                <w:sz w:val="16"/>
              </w:rPr>
              <w:t xml:space="preserve"> en productos y derivados lácteos por PCR</w:t>
            </w:r>
          </w:p>
        </w:tc>
        <w:tc>
          <w:tcPr>
            <w:tcW w:w="1135" w:type="dxa"/>
            <w:shd w:val="clear" w:color="auto" w:fill="auto"/>
          </w:tcPr>
          <w:p w14:paraId="4DB998FE" w14:textId="77777777" w:rsidR="00D3344B" w:rsidRDefault="00143C25">
            <w:pPr>
              <w:spacing w:after="0" w:line="259" w:lineRule="auto"/>
              <w:ind w:right="56"/>
              <w:jc w:val="right"/>
              <w:rPr>
                <w:rFonts w:ascii="Arial" w:hAnsi="Arial" w:cs="Arial"/>
              </w:rPr>
            </w:pPr>
            <w:r>
              <w:t>191</w:t>
            </w:r>
          </w:p>
        </w:tc>
      </w:tr>
      <w:tr w:rsidR="00D3344B" w14:paraId="00D5017E" w14:textId="77777777">
        <w:trPr>
          <w:trHeight w:val="474"/>
        </w:trPr>
        <w:tc>
          <w:tcPr>
            <w:tcW w:w="872" w:type="dxa"/>
            <w:shd w:val="clear" w:color="auto" w:fill="auto"/>
          </w:tcPr>
          <w:p w14:paraId="00985490" w14:textId="77777777" w:rsidR="00D3344B" w:rsidRDefault="00143C25">
            <w:pPr>
              <w:spacing w:after="0" w:line="259" w:lineRule="auto"/>
              <w:ind w:left="108"/>
              <w:rPr>
                <w:rFonts w:ascii="Arial" w:hAnsi="Arial" w:cs="Arial"/>
              </w:rPr>
            </w:pPr>
            <w:r>
              <w:rPr>
                <w:rFonts w:ascii="Arial" w:hAnsi="Arial" w:cs="Arial"/>
              </w:rPr>
              <w:t>21.</w:t>
            </w:r>
          </w:p>
        </w:tc>
        <w:tc>
          <w:tcPr>
            <w:tcW w:w="5564" w:type="dxa"/>
            <w:shd w:val="clear" w:color="auto" w:fill="auto"/>
          </w:tcPr>
          <w:p w14:paraId="6EF0CB69" w14:textId="77777777" w:rsidR="00D3344B" w:rsidRDefault="00143C25">
            <w:pPr>
              <w:pStyle w:val="Estilo"/>
              <w:rPr>
                <w:rFonts w:cs="Arial"/>
              </w:rPr>
            </w:pPr>
            <w:r>
              <w:rPr>
                <w:rFonts w:cs="Arial"/>
                <w:i/>
                <w:sz w:val="16"/>
              </w:rPr>
              <w:t>(ADICIONADO, P.O. 29 DE NOVIEMBRE DE 2023)</w:t>
            </w:r>
          </w:p>
          <w:p w14:paraId="26B876B4" w14:textId="77777777" w:rsidR="00D3344B" w:rsidRDefault="00143C25">
            <w:pPr>
              <w:pStyle w:val="Estilo"/>
              <w:rPr>
                <w:rFonts w:cs="Arial"/>
                <w:i/>
                <w:sz w:val="16"/>
              </w:rPr>
            </w:pPr>
            <w:r>
              <w:rPr>
                <w:rFonts w:cs="Arial"/>
                <w:i/>
                <w:sz w:val="16"/>
              </w:rPr>
              <w:t xml:space="preserve">Identificación E. </w:t>
            </w:r>
            <w:proofErr w:type="spellStart"/>
            <w:r>
              <w:rPr>
                <w:rFonts w:cs="Arial"/>
                <w:i/>
                <w:sz w:val="16"/>
              </w:rPr>
              <w:t>coli</w:t>
            </w:r>
            <w:proofErr w:type="spellEnd"/>
            <w:r>
              <w:rPr>
                <w:rFonts w:cs="Arial"/>
                <w:i/>
                <w:sz w:val="16"/>
              </w:rPr>
              <w:t xml:space="preserve"> (NMP)</w:t>
            </w:r>
          </w:p>
        </w:tc>
        <w:tc>
          <w:tcPr>
            <w:tcW w:w="1135" w:type="dxa"/>
            <w:shd w:val="clear" w:color="auto" w:fill="auto"/>
          </w:tcPr>
          <w:p w14:paraId="0DAEAAA4" w14:textId="77777777" w:rsidR="00D3344B" w:rsidRDefault="00143C25">
            <w:pPr>
              <w:spacing w:after="0" w:line="259" w:lineRule="auto"/>
              <w:ind w:right="56"/>
              <w:jc w:val="right"/>
              <w:rPr>
                <w:rFonts w:ascii="Arial" w:hAnsi="Arial" w:cs="Arial"/>
              </w:rPr>
            </w:pPr>
            <w:r>
              <w:t>10</w:t>
            </w:r>
          </w:p>
        </w:tc>
      </w:tr>
      <w:tr w:rsidR="00D3344B" w14:paraId="52BC36F9" w14:textId="77777777">
        <w:trPr>
          <w:trHeight w:val="474"/>
        </w:trPr>
        <w:tc>
          <w:tcPr>
            <w:tcW w:w="872" w:type="dxa"/>
            <w:shd w:val="clear" w:color="auto" w:fill="auto"/>
          </w:tcPr>
          <w:p w14:paraId="06A6DCD3" w14:textId="77777777" w:rsidR="00D3344B" w:rsidRDefault="00143C25">
            <w:pPr>
              <w:spacing w:after="0" w:line="259" w:lineRule="auto"/>
              <w:ind w:left="108"/>
              <w:rPr>
                <w:rFonts w:ascii="Arial" w:hAnsi="Arial" w:cs="Arial"/>
              </w:rPr>
            </w:pPr>
            <w:r>
              <w:rPr>
                <w:rFonts w:ascii="Arial" w:hAnsi="Arial" w:cs="Arial"/>
              </w:rPr>
              <w:t>22.</w:t>
            </w:r>
          </w:p>
        </w:tc>
        <w:tc>
          <w:tcPr>
            <w:tcW w:w="5564" w:type="dxa"/>
            <w:shd w:val="clear" w:color="auto" w:fill="auto"/>
          </w:tcPr>
          <w:p w14:paraId="4A7237E9" w14:textId="77777777" w:rsidR="00D3344B" w:rsidRDefault="00143C25">
            <w:pPr>
              <w:pStyle w:val="Estilo"/>
              <w:rPr>
                <w:rFonts w:cs="Arial"/>
              </w:rPr>
            </w:pPr>
            <w:r>
              <w:rPr>
                <w:rFonts w:cs="Arial"/>
                <w:i/>
                <w:sz w:val="16"/>
              </w:rPr>
              <w:t>(ADICIONADO, P.O. 29 DE NOVIEMBRE DE 2023)</w:t>
            </w:r>
          </w:p>
          <w:p w14:paraId="1AD7BFE5" w14:textId="77777777" w:rsidR="00D3344B" w:rsidRDefault="00143C25">
            <w:pPr>
              <w:pStyle w:val="Estilo"/>
              <w:rPr>
                <w:rFonts w:cs="Arial"/>
                <w:i/>
                <w:sz w:val="16"/>
              </w:rPr>
            </w:pPr>
            <w:r>
              <w:rPr>
                <w:w w:val="110"/>
                <w:sz w:val="22"/>
              </w:rPr>
              <w:t>Superficies</w:t>
            </w:r>
            <w:r>
              <w:rPr>
                <w:spacing w:val="23"/>
                <w:w w:val="115"/>
                <w:sz w:val="22"/>
              </w:rPr>
              <w:t xml:space="preserve"> </w:t>
            </w:r>
            <w:r>
              <w:rPr>
                <w:spacing w:val="-2"/>
                <w:w w:val="115"/>
                <w:sz w:val="22"/>
              </w:rPr>
              <w:t>Vivas</w:t>
            </w:r>
          </w:p>
        </w:tc>
        <w:tc>
          <w:tcPr>
            <w:tcW w:w="1135" w:type="dxa"/>
            <w:shd w:val="clear" w:color="auto" w:fill="auto"/>
          </w:tcPr>
          <w:p w14:paraId="61E96B0A" w14:textId="77777777" w:rsidR="00D3344B" w:rsidRDefault="00143C25">
            <w:pPr>
              <w:spacing w:after="0" w:line="259" w:lineRule="auto"/>
              <w:ind w:right="56"/>
              <w:jc w:val="right"/>
              <w:rPr>
                <w:rFonts w:ascii="Arial" w:hAnsi="Arial" w:cs="Arial"/>
              </w:rPr>
            </w:pPr>
            <w:r>
              <w:t>9</w:t>
            </w:r>
          </w:p>
        </w:tc>
      </w:tr>
      <w:tr w:rsidR="00D3344B" w14:paraId="2255DEF9" w14:textId="77777777">
        <w:trPr>
          <w:trHeight w:val="474"/>
        </w:trPr>
        <w:tc>
          <w:tcPr>
            <w:tcW w:w="872" w:type="dxa"/>
            <w:shd w:val="clear" w:color="auto" w:fill="auto"/>
          </w:tcPr>
          <w:p w14:paraId="1995CE38" w14:textId="77777777" w:rsidR="00D3344B" w:rsidRDefault="00143C25">
            <w:pPr>
              <w:spacing w:after="0" w:line="259" w:lineRule="auto"/>
              <w:ind w:left="108"/>
              <w:rPr>
                <w:rFonts w:ascii="Arial" w:hAnsi="Arial" w:cs="Arial"/>
              </w:rPr>
            </w:pPr>
            <w:r>
              <w:rPr>
                <w:rFonts w:ascii="Arial" w:hAnsi="Arial" w:cs="Arial"/>
              </w:rPr>
              <w:t>23.</w:t>
            </w:r>
          </w:p>
        </w:tc>
        <w:tc>
          <w:tcPr>
            <w:tcW w:w="5564" w:type="dxa"/>
            <w:shd w:val="clear" w:color="auto" w:fill="auto"/>
          </w:tcPr>
          <w:p w14:paraId="2314F311" w14:textId="77777777" w:rsidR="00D3344B" w:rsidRDefault="00143C25">
            <w:pPr>
              <w:pStyle w:val="Estilo"/>
              <w:rPr>
                <w:rFonts w:cs="Arial"/>
              </w:rPr>
            </w:pPr>
            <w:r>
              <w:rPr>
                <w:rFonts w:cs="Arial"/>
                <w:i/>
                <w:sz w:val="16"/>
              </w:rPr>
              <w:t>(ADICIONADO, P.O. 29 DE NOVIEMBRE DE 2023)</w:t>
            </w:r>
          </w:p>
          <w:p w14:paraId="75BD99E8" w14:textId="77777777" w:rsidR="00D3344B" w:rsidRDefault="00143C25">
            <w:pPr>
              <w:pStyle w:val="Estilo"/>
              <w:rPr>
                <w:rFonts w:cs="Arial"/>
                <w:i/>
                <w:sz w:val="16"/>
              </w:rPr>
            </w:pPr>
            <w:r>
              <w:rPr>
                <w:w w:val="110"/>
                <w:sz w:val="22"/>
              </w:rPr>
              <w:t>Superficies</w:t>
            </w:r>
            <w:r>
              <w:rPr>
                <w:spacing w:val="23"/>
                <w:w w:val="110"/>
                <w:sz w:val="22"/>
              </w:rPr>
              <w:t xml:space="preserve"> </w:t>
            </w:r>
            <w:r>
              <w:rPr>
                <w:spacing w:val="-2"/>
                <w:w w:val="110"/>
                <w:sz w:val="22"/>
              </w:rPr>
              <w:t>inertes</w:t>
            </w:r>
          </w:p>
        </w:tc>
        <w:tc>
          <w:tcPr>
            <w:tcW w:w="1135" w:type="dxa"/>
            <w:shd w:val="clear" w:color="auto" w:fill="auto"/>
          </w:tcPr>
          <w:p w14:paraId="05C6451B" w14:textId="77777777" w:rsidR="00D3344B" w:rsidRDefault="00143C25">
            <w:pPr>
              <w:spacing w:after="0" w:line="259" w:lineRule="auto"/>
              <w:ind w:right="56"/>
              <w:jc w:val="right"/>
              <w:rPr>
                <w:rFonts w:ascii="Arial" w:hAnsi="Arial" w:cs="Arial"/>
              </w:rPr>
            </w:pPr>
            <w:r>
              <w:t>9</w:t>
            </w:r>
          </w:p>
        </w:tc>
      </w:tr>
      <w:tr w:rsidR="00D3344B" w14:paraId="34AC9E40" w14:textId="77777777">
        <w:trPr>
          <w:trHeight w:val="474"/>
        </w:trPr>
        <w:tc>
          <w:tcPr>
            <w:tcW w:w="872" w:type="dxa"/>
            <w:shd w:val="clear" w:color="auto" w:fill="auto"/>
          </w:tcPr>
          <w:p w14:paraId="5357B8D8" w14:textId="77777777" w:rsidR="00D3344B" w:rsidRDefault="00143C25">
            <w:pPr>
              <w:spacing w:after="0" w:line="259" w:lineRule="auto"/>
              <w:ind w:left="108"/>
              <w:rPr>
                <w:rFonts w:ascii="Arial" w:hAnsi="Arial" w:cs="Arial"/>
              </w:rPr>
            </w:pPr>
            <w:r>
              <w:rPr>
                <w:rFonts w:ascii="Arial" w:hAnsi="Arial" w:cs="Arial"/>
              </w:rPr>
              <w:t>24.</w:t>
            </w:r>
          </w:p>
        </w:tc>
        <w:tc>
          <w:tcPr>
            <w:tcW w:w="5564" w:type="dxa"/>
            <w:shd w:val="clear" w:color="auto" w:fill="auto"/>
          </w:tcPr>
          <w:p w14:paraId="675B0DC2" w14:textId="77777777" w:rsidR="00D3344B" w:rsidRDefault="00143C25">
            <w:pPr>
              <w:pStyle w:val="Estilo"/>
              <w:rPr>
                <w:rFonts w:cs="Arial"/>
              </w:rPr>
            </w:pPr>
            <w:r>
              <w:rPr>
                <w:rFonts w:cs="Arial"/>
                <w:i/>
                <w:sz w:val="16"/>
              </w:rPr>
              <w:t>(ADICIONADO, P.O. 29 DE NOVIEMBRE DE 2023)</w:t>
            </w:r>
          </w:p>
          <w:p w14:paraId="2B2BBCC5" w14:textId="77777777" w:rsidR="00D3344B" w:rsidRDefault="00143C25">
            <w:pPr>
              <w:pStyle w:val="Estilo"/>
              <w:rPr>
                <w:rFonts w:cs="Arial"/>
                <w:i/>
                <w:sz w:val="16"/>
              </w:rPr>
            </w:pPr>
            <w:r>
              <w:rPr>
                <w:w w:val="110"/>
                <w:sz w:val="22"/>
              </w:rPr>
              <w:t>UFC</w:t>
            </w:r>
            <w:r>
              <w:rPr>
                <w:spacing w:val="31"/>
                <w:w w:val="110"/>
                <w:sz w:val="22"/>
              </w:rPr>
              <w:t xml:space="preserve"> </w:t>
            </w:r>
            <w:r>
              <w:rPr>
                <w:w w:val="110"/>
                <w:sz w:val="22"/>
              </w:rPr>
              <w:t>en</w:t>
            </w:r>
            <w:r>
              <w:rPr>
                <w:spacing w:val="30"/>
                <w:w w:val="110"/>
                <w:sz w:val="22"/>
              </w:rPr>
              <w:t xml:space="preserve"> </w:t>
            </w:r>
            <w:r>
              <w:rPr>
                <w:w w:val="110"/>
                <w:sz w:val="22"/>
              </w:rPr>
              <w:t>placas</w:t>
            </w:r>
            <w:r>
              <w:rPr>
                <w:spacing w:val="35"/>
                <w:w w:val="110"/>
                <w:sz w:val="22"/>
              </w:rPr>
              <w:t xml:space="preserve"> </w:t>
            </w:r>
            <w:r>
              <w:rPr>
                <w:spacing w:val="-4"/>
                <w:w w:val="110"/>
                <w:sz w:val="22"/>
              </w:rPr>
              <w:t>agar</w:t>
            </w:r>
          </w:p>
        </w:tc>
        <w:tc>
          <w:tcPr>
            <w:tcW w:w="1135" w:type="dxa"/>
            <w:shd w:val="clear" w:color="auto" w:fill="auto"/>
          </w:tcPr>
          <w:p w14:paraId="47F59D9E" w14:textId="77777777" w:rsidR="00D3344B" w:rsidRDefault="00143C25">
            <w:pPr>
              <w:spacing w:after="0" w:line="259" w:lineRule="auto"/>
              <w:ind w:right="56"/>
              <w:jc w:val="right"/>
              <w:rPr>
                <w:rFonts w:ascii="Arial" w:hAnsi="Arial" w:cs="Arial"/>
              </w:rPr>
            </w:pPr>
            <w:r>
              <w:t>9</w:t>
            </w:r>
          </w:p>
        </w:tc>
      </w:tr>
      <w:tr w:rsidR="00D3344B" w14:paraId="443608DA" w14:textId="77777777">
        <w:trPr>
          <w:trHeight w:val="474"/>
        </w:trPr>
        <w:tc>
          <w:tcPr>
            <w:tcW w:w="872" w:type="dxa"/>
            <w:shd w:val="clear" w:color="auto" w:fill="auto"/>
          </w:tcPr>
          <w:p w14:paraId="5D3FCDA6" w14:textId="77777777" w:rsidR="00D3344B" w:rsidRDefault="00143C25">
            <w:pPr>
              <w:spacing w:after="0" w:line="259" w:lineRule="auto"/>
              <w:ind w:left="108"/>
              <w:rPr>
                <w:rFonts w:ascii="Arial" w:hAnsi="Arial" w:cs="Arial"/>
              </w:rPr>
            </w:pPr>
            <w:r>
              <w:rPr>
                <w:rFonts w:ascii="Arial" w:hAnsi="Arial" w:cs="Arial"/>
              </w:rPr>
              <w:t>25.</w:t>
            </w:r>
          </w:p>
        </w:tc>
        <w:tc>
          <w:tcPr>
            <w:tcW w:w="5564" w:type="dxa"/>
            <w:shd w:val="clear" w:color="auto" w:fill="auto"/>
          </w:tcPr>
          <w:p w14:paraId="73C12F52" w14:textId="77777777" w:rsidR="00D3344B" w:rsidRDefault="00143C25">
            <w:pPr>
              <w:pStyle w:val="Estilo"/>
              <w:rPr>
                <w:rFonts w:cs="Arial"/>
              </w:rPr>
            </w:pPr>
            <w:r>
              <w:rPr>
                <w:rFonts w:cs="Arial"/>
                <w:i/>
                <w:sz w:val="16"/>
              </w:rPr>
              <w:t>(ADICIONADO, P.O. 29 DE NOVIEMBRE DE 2023)</w:t>
            </w:r>
          </w:p>
          <w:p w14:paraId="55414AB5" w14:textId="77777777" w:rsidR="00D3344B" w:rsidRDefault="00143C25">
            <w:pPr>
              <w:pStyle w:val="Estilo"/>
              <w:rPr>
                <w:rFonts w:cs="Arial"/>
                <w:i/>
                <w:sz w:val="16"/>
              </w:rPr>
            </w:pPr>
            <w:r>
              <w:rPr>
                <w:w w:val="110"/>
                <w:sz w:val="22"/>
              </w:rPr>
              <w:t>Colera</w:t>
            </w:r>
            <w:r>
              <w:rPr>
                <w:spacing w:val="6"/>
                <w:w w:val="110"/>
                <w:sz w:val="22"/>
              </w:rPr>
              <w:t xml:space="preserve"> </w:t>
            </w:r>
            <w:r>
              <w:rPr>
                <w:w w:val="110"/>
                <w:sz w:val="22"/>
              </w:rPr>
              <w:t>ambiental</w:t>
            </w:r>
            <w:r>
              <w:rPr>
                <w:spacing w:val="7"/>
                <w:w w:val="110"/>
                <w:sz w:val="22"/>
              </w:rPr>
              <w:t xml:space="preserve"> </w:t>
            </w:r>
            <w:r>
              <w:rPr>
                <w:w w:val="110"/>
                <w:sz w:val="22"/>
              </w:rPr>
              <w:t>(Hisopos</w:t>
            </w:r>
            <w:r>
              <w:rPr>
                <w:spacing w:val="11"/>
                <w:w w:val="110"/>
                <w:sz w:val="22"/>
              </w:rPr>
              <w:t xml:space="preserve"> </w:t>
            </w:r>
            <w:r>
              <w:rPr>
                <w:w w:val="110"/>
                <w:sz w:val="22"/>
              </w:rPr>
              <w:t>de</w:t>
            </w:r>
            <w:r>
              <w:rPr>
                <w:spacing w:val="8"/>
                <w:w w:val="110"/>
                <w:sz w:val="22"/>
              </w:rPr>
              <w:t xml:space="preserve"> </w:t>
            </w:r>
            <w:r>
              <w:rPr>
                <w:spacing w:val="-2"/>
                <w:w w:val="110"/>
                <w:sz w:val="22"/>
              </w:rPr>
              <w:t>Moore)</w:t>
            </w:r>
          </w:p>
        </w:tc>
        <w:tc>
          <w:tcPr>
            <w:tcW w:w="1135" w:type="dxa"/>
            <w:shd w:val="clear" w:color="auto" w:fill="auto"/>
          </w:tcPr>
          <w:p w14:paraId="44DBED93" w14:textId="77777777" w:rsidR="00D3344B" w:rsidRDefault="00143C25">
            <w:pPr>
              <w:spacing w:after="0" w:line="259" w:lineRule="auto"/>
              <w:ind w:right="56"/>
              <w:jc w:val="right"/>
              <w:rPr>
                <w:rFonts w:ascii="Arial" w:hAnsi="Arial" w:cs="Arial"/>
              </w:rPr>
            </w:pPr>
            <w:r>
              <w:t>11</w:t>
            </w:r>
          </w:p>
        </w:tc>
      </w:tr>
      <w:tr w:rsidR="00D3344B" w14:paraId="21231F2A" w14:textId="77777777">
        <w:trPr>
          <w:trHeight w:val="474"/>
        </w:trPr>
        <w:tc>
          <w:tcPr>
            <w:tcW w:w="872" w:type="dxa"/>
            <w:shd w:val="clear" w:color="auto" w:fill="auto"/>
          </w:tcPr>
          <w:p w14:paraId="67FE74FA" w14:textId="77777777" w:rsidR="00D3344B" w:rsidRDefault="00143C25">
            <w:pPr>
              <w:spacing w:after="0" w:line="259" w:lineRule="auto"/>
              <w:ind w:left="108"/>
              <w:rPr>
                <w:rFonts w:ascii="Arial" w:hAnsi="Arial" w:cs="Arial"/>
              </w:rPr>
            </w:pPr>
            <w:r>
              <w:rPr>
                <w:rFonts w:ascii="Arial" w:hAnsi="Arial" w:cs="Arial"/>
              </w:rPr>
              <w:t>26.</w:t>
            </w:r>
          </w:p>
        </w:tc>
        <w:tc>
          <w:tcPr>
            <w:tcW w:w="5564" w:type="dxa"/>
            <w:shd w:val="clear" w:color="auto" w:fill="auto"/>
          </w:tcPr>
          <w:p w14:paraId="27DA763C" w14:textId="77777777" w:rsidR="00D3344B" w:rsidRDefault="00143C25">
            <w:pPr>
              <w:pStyle w:val="Estilo"/>
              <w:rPr>
                <w:rFonts w:cs="Arial"/>
              </w:rPr>
            </w:pPr>
            <w:r>
              <w:rPr>
                <w:rFonts w:cs="Arial"/>
                <w:i/>
                <w:sz w:val="16"/>
              </w:rPr>
              <w:t>(ADICIONADO, P.O. 29 DE NOVIEMBRE DE 2023)</w:t>
            </w:r>
          </w:p>
          <w:p w14:paraId="02F6A65B" w14:textId="77777777" w:rsidR="00D3344B" w:rsidRDefault="00143C25">
            <w:pPr>
              <w:pStyle w:val="Estilo"/>
              <w:rPr>
                <w:rFonts w:cs="Arial"/>
                <w:i/>
                <w:sz w:val="16"/>
              </w:rPr>
            </w:pPr>
            <w:r>
              <w:rPr>
                <w:w w:val="110"/>
                <w:sz w:val="22"/>
              </w:rPr>
              <w:t>Toxina</w:t>
            </w:r>
            <w:r>
              <w:rPr>
                <w:spacing w:val="16"/>
                <w:w w:val="110"/>
                <w:sz w:val="22"/>
              </w:rPr>
              <w:t xml:space="preserve"> </w:t>
            </w:r>
            <w:proofErr w:type="spellStart"/>
            <w:r>
              <w:rPr>
                <w:spacing w:val="-2"/>
                <w:w w:val="110"/>
                <w:sz w:val="22"/>
              </w:rPr>
              <w:t>Estaphilococcica</w:t>
            </w:r>
            <w:proofErr w:type="spellEnd"/>
          </w:p>
        </w:tc>
        <w:tc>
          <w:tcPr>
            <w:tcW w:w="1135" w:type="dxa"/>
            <w:shd w:val="clear" w:color="auto" w:fill="auto"/>
          </w:tcPr>
          <w:p w14:paraId="4B589A45" w14:textId="77777777" w:rsidR="00D3344B" w:rsidRDefault="00143C25">
            <w:pPr>
              <w:spacing w:after="0" w:line="259" w:lineRule="auto"/>
              <w:ind w:right="56"/>
              <w:jc w:val="right"/>
              <w:rPr>
                <w:rFonts w:ascii="Arial" w:hAnsi="Arial" w:cs="Arial"/>
              </w:rPr>
            </w:pPr>
            <w:r>
              <w:t>19</w:t>
            </w:r>
          </w:p>
        </w:tc>
      </w:tr>
      <w:tr w:rsidR="00D3344B" w14:paraId="491EDABF" w14:textId="77777777">
        <w:trPr>
          <w:trHeight w:val="474"/>
        </w:trPr>
        <w:tc>
          <w:tcPr>
            <w:tcW w:w="872" w:type="dxa"/>
            <w:shd w:val="clear" w:color="auto" w:fill="auto"/>
          </w:tcPr>
          <w:p w14:paraId="5B6F4D6C" w14:textId="77777777" w:rsidR="00D3344B" w:rsidRDefault="00143C25">
            <w:pPr>
              <w:spacing w:after="0" w:line="259" w:lineRule="auto"/>
              <w:ind w:left="108"/>
              <w:rPr>
                <w:rFonts w:ascii="Arial" w:hAnsi="Arial" w:cs="Arial"/>
              </w:rPr>
            </w:pPr>
            <w:r>
              <w:rPr>
                <w:rFonts w:ascii="Arial" w:hAnsi="Arial" w:cs="Arial"/>
              </w:rPr>
              <w:t>27.</w:t>
            </w:r>
          </w:p>
        </w:tc>
        <w:tc>
          <w:tcPr>
            <w:tcW w:w="5564" w:type="dxa"/>
            <w:shd w:val="clear" w:color="auto" w:fill="auto"/>
          </w:tcPr>
          <w:p w14:paraId="57FA06CB" w14:textId="77777777" w:rsidR="00D3344B" w:rsidRDefault="00143C25">
            <w:pPr>
              <w:pStyle w:val="Estilo"/>
              <w:rPr>
                <w:rFonts w:cs="Arial"/>
              </w:rPr>
            </w:pPr>
            <w:r>
              <w:rPr>
                <w:rFonts w:cs="Arial"/>
                <w:i/>
                <w:sz w:val="16"/>
              </w:rPr>
              <w:t>(ADICIONADO, P.O. 29 DE NOVIEMBRE DE 2023)</w:t>
            </w:r>
          </w:p>
          <w:p w14:paraId="2DE37C6E" w14:textId="77777777" w:rsidR="00D3344B" w:rsidRDefault="00143C25">
            <w:pPr>
              <w:pStyle w:val="Estilo"/>
              <w:rPr>
                <w:rFonts w:cs="Arial"/>
                <w:i/>
                <w:sz w:val="16"/>
              </w:rPr>
            </w:pPr>
            <w:r>
              <w:rPr>
                <w:w w:val="110"/>
                <w:sz w:val="22"/>
              </w:rPr>
              <w:t>Determinación</w:t>
            </w:r>
            <w:r>
              <w:rPr>
                <w:spacing w:val="21"/>
                <w:w w:val="110"/>
                <w:sz w:val="22"/>
              </w:rPr>
              <w:t xml:space="preserve"> </w:t>
            </w:r>
            <w:r>
              <w:rPr>
                <w:w w:val="110"/>
                <w:sz w:val="22"/>
              </w:rPr>
              <w:t>de</w:t>
            </w:r>
            <w:r>
              <w:rPr>
                <w:spacing w:val="17"/>
                <w:w w:val="110"/>
                <w:sz w:val="22"/>
              </w:rPr>
              <w:t xml:space="preserve"> </w:t>
            </w:r>
            <w:r>
              <w:rPr>
                <w:w w:val="110"/>
                <w:sz w:val="22"/>
              </w:rPr>
              <w:t>dureza</w:t>
            </w:r>
            <w:r>
              <w:rPr>
                <w:spacing w:val="17"/>
                <w:w w:val="110"/>
                <w:sz w:val="22"/>
              </w:rPr>
              <w:t xml:space="preserve"> </w:t>
            </w:r>
            <w:r>
              <w:rPr>
                <w:w w:val="110"/>
                <w:sz w:val="22"/>
              </w:rPr>
              <w:t>total</w:t>
            </w:r>
            <w:r>
              <w:rPr>
                <w:spacing w:val="18"/>
                <w:w w:val="110"/>
                <w:sz w:val="22"/>
              </w:rPr>
              <w:t xml:space="preserve"> </w:t>
            </w:r>
            <w:r>
              <w:rPr>
                <w:w w:val="110"/>
                <w:sz w:val="22"/>
              </w:rPr>
              <w:t>en</w:t>
            </w:r>
            <w:r>
              <w:rPr>
                <w:spacing w:val="20"/>
                <w:w w:val="110"/>
                <w:sz w:val="22"/>
              </w:rPr>
              <w:t xml:space="preserve"> </w:t>
            </w:r>
            <w:r>
              <w:rPr>
                <w:spacing w:val="-2"/>
                <w:w w:val="110"/>
                <w:sz w:val="22"/>
              </w:rPr>
              <w:t>agua.</w:t>
            </w:r>
          </w:p>
        </w:tc>
        <w:tc>
          <w:tcPr>
            <w:tcW w:w="1135" w:type="dxa"/>
            <w:shd w:val="clear" w:color="auto" w:fill="auto"/>
          </w:tcPr>
          <w:p w14:paraId="0B2943E8" w14:textId="77777777" w:rsidR="00D3344B" w:rsidRDefault="00143C25">
            <w:pPr>
              <w:spacing w:after="0" w:line="259" w:lineRule="auto"/>
              <w:ind w:right="56"/>
              <w:jc w:val="right"/>
              <w:rPr>
                <w:rFonts w:ascii="Arial" w:hAnsi="Arial" w:cs="Arial"/>
              </w:rPr>
            </w:pPr>
            <w:r>
              <w:t>9</w:t>
            </w:r>
          </w:p>
        </w:tc>
      </w:tr>
      <w:tr w:rsidR="00D3344B" w14:paraId="387DA7A3" w14:textId="77777777">
        <w:trPr>
          <w:trHeight w:val="474"/>
        </w:trPr>
        <w:tc>
          <w:tcPr>
            <w:tcW w:w="872" w:type="dxa"/>
            <w:shd w:val="clear" w:color="auto" w:fill="auto"/>
          </w:tcPr>
          <w:p w14:paraId="3FBAA575" w14:textId="77777777" w:rsidR="00D3344B" w:rsidRDefault="00143C25">
            <w:pPr>
              <w:spacing w:after="0" w:line="259" w:lineRule="auto"/>
              <w:ind w:left="108"/>
              <w:rPr>
                <w:rFonts w:ascii="Arial" w:hAnsi="Arial" w:cs="Arial"/>
              </w:rPr>
            </w:pPr>
            <w:r>
              <w:rPr>
                <w:rFonts w:ascii="Arial" w:hAnsi="Arial" w:cs="Arial"/>
              </w:rPr>
              <w:t>28.</w:t>
            </w:r>
          </w:p>
        </w:tc>
        <w:tc>
          <w:tcPr>
            <w:tcW w:w="5564" w:type="dxa"/>
            <w:shd w:val="clear" w:color="auto" w:fill="auto"/>
          </w:tcPr>
          <w:p w14:paraId="766A4BB2" w14:textId="77777777" w:rsidR="00D3344B" w:rsidRDefault="00143C25">
            <w:pPr>
              <w:pStyle w:val="Estilo"/>
              <w:rPr>
                <w:rFonts w:cs="Arial"/>
                <w:i/>
                <w:sz w:val="16"/>
              </w:rPr>
            </w:pPr>
            <w:r>
              <w:rPr>
                <w:rFonts w:cs="Arial"/>
                <w:i/>
                <w:sz w:val="16"/>
              </w:rPr>
              <w:t>(ADICIONADO, P.O. 29 DE NOVIEMBRE DE 2023)</w:t>
            </w:r>
          </w:p>
          <w:p w14:paraId="66E6F5D4" w14:textId="77777777" w:rsidR="00D3344B" w:rsidRDefault="00143C25">
            <w:pPr>
              <w:pStyle w:val="Estilo"/>
              <w:rPr>
                <w:rFonts w:cs="Arial"/>
                <w:i/>
                <w:sz w:val="16"/>
              </w:rPr>
            </w:pPr>
            <w:r>
              <w:rPr>
                <w:spacing w:val="-2"/>
                <w:w w:val="115"/>
                <w:sz w:val="22"/>
              </w:rPr>
              <w:t>Yodatos</w:t>
            </w:r>
          </w:p>
        </w:tc>
        <w:tc>
          <w:tcPr>
            <w:tcW w:w="1135" w:type="dxa"/>
            <w:shd w:val="clear" w:color="auto" w:fill="auto"/>
          </w:tcPr>
          <w:p w14:paraId="4571C41F" w14:textId="77777777" w:rsidR="00D3344B" w:rsidRDefault="00143C25">
            <w:pPr>
              <w:spacing w:after="0" w:line="259" w:lineRule="auto"/>
              <w:ind w:right="56"/>
              <w:jc w:val="right"/>
              <w:rPr>
                <w:rFonts w:ascii="Arial" w:hAnsi="Arial" w:cs="Arial"/>
              </w:rPr>
            </w:pPr>
            <w:r>
              <w:t>11</w:t>
            </w:r>
          </w:p>
        </w:tc>
      </w:tr>
      <w:tr w:rsidR="00D3344B" w14:paraId="09CFDF65" w14:textId="77777777">
        <w:trPr>
          <w:trHeight w:val="474"/>
        </w:trPr>
        <w:tc>
          <w:tcPr>
            <w:tcW w:w="872" w:type="dxa"/>
            <w:shd w:val="clear" w:color="auto" w:fill="auto"/>
          </w:tcPr>
          <w:p w14:paraId="4794F1E7" w14:textId="77777777" w:rsidR="00D3344B" w:rsidRDefault="00143C25">
            <w:pPr>
              <w:spacing w:after="0" w:line="259" w:lineRule="auto"/>
              <w:ind w:left="108"/>
              <w:rPr>
                <w:rFonts w:ascii="Arial" w:hAnsi="Arial" w:cs="Arial"/>
              </w:rPr>
            </w:pPr>
            <w:r>
              <w:rPr>
                <w:rFonts w:ascii="Arial" w:hAnsi="Arial" w:cs="Arial"/>
              </w:rPr>
              <w:t>29.</w:t>
            </w:r>
          </w:p>
        </w:tc>
        <w:tc>
          <w:tcPr>
            <w:tcW w:w="5564" w:type="dxa"/>
            <w:shd w:val="clear" w:color="auto" w:fill="auto"/>
          </w:tcPr>
          <w:p w14:paraId="38111504" w14:textId="77777777" w:rsidR="00D3344B" w:rsidRDefault="00143C25">
            <w:pPr>
              <w:pStyle w:val="Estilo"/>
              <w:rPr>
                <w:rFonts w:cs="Arial"/>
                <w:i/>
                <w:sz w:val="16"/>
              </w:rPr>
            </w:pPr>
            <w:r>
              <w:rPr>
                <w:rFonts w:cs="Arial"/>
                <w:i/>
                <w:sz w:val="16"/>
              </w:rPr>
              <w:t>(ADICIONADO, P.O. 29 DE NOVIEMBRE DE 2023)</w:t>
            </w:r>
          </w:p>
          <w:p w14:paraId="02601C17" w14:textId="77777777" w:rsidR="00D3344B" w:rsidRDefault="00143C25">
            <w:pPr>
              <w:pStyle w:val="Estilo"/>
              <w:rPr>
                <w:rFonts w:cs="Arial"/>
                <w:i/>
                <w:sz w:val="16"/>
              </w:rPr>
            </w:pPr>
            <w:r>
              <w:rPr>
                <w:w w:val="110"/>
                <w:sz w:val="22"/>
              </w:rPr>
              <w:t>Determinación</w:t>
            </w:r>
            <w:r>
              <w:rPr>
                <w:spacing w:val="19"/>
                <w:w w:val="110"/>
                <w:sz w:val="22"/>
              </w:rPr>
              <w:t xml:space="preserve"> </w:t>
            </w:r>
            <w:r>
              <w:rPr>
                <w:w w:val="110"/>
                <w:sz w:val="22"/>
              </w:rPr>
              <w:t>de</w:t>
            </w:r>
            <w:r>
              <w:rPr>
                <w:spacing w:val="15"/>
                <w:w w:val="110"/>
                <w:sz w:val="22"/>
              </w:rPr>
              <w:t xml:space="preserve"> </w:t>
            </w:r>
            <w:r>
              <w:rPr>
                <w:w w:val="110"/>
                <w:sz w:val="22"/>
              </w:rPr>
              <w:t>flúor</w:t>
            </w:r>
            <w:r>
              <w:rPr>
                <w:spacing w:val="17"/>
                <w:w w:val="110"/>
                <w:sz w:val="22"/>
              </w:rPr>
              <w:t xml:space="preserve"> </w:t>
            </w:r>
            <w:r>
              <w:rPr>
                <w:w w:val="110"/>
                <w:sz w:val="22"/>
              </w:rPr>
              <w:t>en</w:t>
            </w:r>
            <w:r>
              <w:rPr>
                <w:spacing w:val="20"/>
                <w:w w:val="110"/>
                <w:sz w:val="22"/>
              </w:rPr>
              <w:t xml:space="preserve"> </w:t>
            </w:r>
            <w:r>
              <w:rPr>
                <w:w w:val="110"/>
                <w:sz w:val="22"/>
              </w:rPr>
              <w:t>agua</w:t>
            </w:r>
            <w:r>
              <w:rPr>
                <w:spacing w:val="15"/>
                <w:w w:val="110"/>
                <w:sz w:val="22"/>
              </w:rPr>
              <w:t xml:space="preserve"> </w:t>
            </w:r>
            <w:r>
              <w:rPr>
                <w:w w:val="110"/>
                <w:sz w:val="22"/>
              </w:rPr>
              <w:t>y</w:t>
            </w:r>
            <w:r>
              <w:rPr>
                <w:spacing w:val="17"/>
                <w:w w:val="110"/>
                <w:sz w:val="22"/>
              </w:rPr>
              <w:t xml:space="preserve"> </w:t>
            </w:r>
            <w:r>
              <w:rPr>
                <w:spacing w:val="-5"/>
                <w:w w:val="110"/>
                <w:sz w:val="22"/>
              </w:rPr>
              <w:t>sal</w:t>
            </w:r>
          </w:p>
        </w:tc>
        <w:tc>
          <w:tcPr>
            <w:tcW w:w="1135" w:type="dxa"/>
            <w:shd w:val="clear" w:color="auto" w:fill="auto"/>
          </w:tcPr>
          <w:p w14:paraId="3C224578" w14:textId="77777777" w:rsidR="00D3344B" w:rsidRDefault="00143C25">
            <w:pPr>
              <w:spacing w:after="0" w:line="259" w:lineRule="auto"/>
              <w:ind w:right="56"/>
              <w:jc w:val="right"/>
              <w:rPr>
                <w:rFonts w:ascii="Arial" w:hAnsi="Arial" w:cs="Arial"/>
              </w:rPr>
            </w:pPr>
            <w:r>
              <w:t>12</w:t>
            </w:r>
          </w:p>
        </w:tc>
      </w:tr>
      <w:tr w:rsidR="00D3344B" w14:paraId="4BD582D8" w14:textId="77777777">
        <w:trPr>
          <w:trHeight w:val="474"/>
        </w:trPr>
        <w:tc>
          <w:tcPr>
            <w:tcW w:w="872" w:type="dxa"/>
            <w:shd w:val="clear" w:color="auto" w:fill="auto"/>
          </w:tcPr>
          <w:p w14:paraId="06B9E529" w14:textId="77777777" w:rsidR="00D3344B" w:rsidRDefault="00143C25">
            <w:pPr>
              <w:spacing w:after="0" w:line="259" w:lineRule="auto"/>
              <w:ind w:left="108"/>
              <w:rPr>
                <w:rFonts w:ascii="Arial" w:hAnsi="Arial" w:cs="Arial"/>
              </w:rPr>
            </w:pPr>
            <w:r>
              <w:rPr>
                <w:rFonts w:ascii="Arial" w:hAnsi="Arial" w:cs="Arial"/>
              </w:rPr>
              <w:t>30.</w:t>
            </w:r>
          </w:p>
        </w:tc>
        <w:tc>
          <w:tcPr>
            <w:tcW w:w="5564" w:type="dxa"/>
            <w:shd w:val="clear" w:color="auto" w:fill="auto"/>
          </w:tcPr>
          <w:p w14:paraId="2499039A" w14:textId="77777777" w:rsidR="00D3344B" w:rsidRDefault="00143C25">
            <w:pPr>
              <w:pStyle w:val="Estilo"/>
              <w:rPr>
                <w:rFonts w:cs="Arial"/>
                <w:i/>
                <w:sz w:val="16"/>
              </w:rPr>
            </w:pPr>
            <w:r>
              <w:rPr>
                <w:rFonts w:cs="Arial"/>
                <w:i/>
                <w:sz w:val="16"/>
              </w:rPr>
              <w:t>(ADICIONADO, P.O. 29 DE NOVIEMBRE DE 2023)</w:t>
            </w:r>
          </w:p>
          <w:p w14:paraId="1D2BFD25" w14:textId="77777777" w:rsidR="00D3344B" w:rsidRDefault="00143C25">
            <w:pPr>
              <w:pStyle w:val="Estilo"/>
              <w:rPr>
                <w:rFonts w:cs="Arial"/>
                <w:i/>
                <w:sz w:val="16"/>
              </w:rPr>
            </w:pPr>
            <w:r>
              <w:rPr>
                <w:w w:val="110"/>
                <w:sz w:val="22"/>
              </w:rPr>
              <w:t>Grado</w:t>
            </w:r>
            <w:r>
              <w:rPr>
                <w:spacing w:val="9"/>
                <w:w w:val="110"/>
                <w:sz w:val="22"/>
              </w:rPr>
              <w:t xml:space="preserve"> </w:t>
            </w:r>
            <w:r>
              <w:rPr>
                <w:spacing w:val="-2"/>
                <w:w w:val="110"/>
                <w:sz w:val="22"/>
              </w:rPr>
              <w:t>alcohólico</w:t>
            </w:r>
          </w:p>
        </w:tc>
        <w:tc>
          <w:tcPr>
            <w:tcW w:w="1135" w:type="dxa"/>
            <w:shd w:val="clear" w:color="auto" w:fill="auto"/>
          </w:tcPr>
          <w:p w14:paraId="3B9B31E2" w14:textId="77777777" w:rsidR="00D3344B" w:rsidRDefault="00143C25">
            <w:pPr>
              <w:spacing w:after="0" w:line="259" w:lineRule="auto"/>
              <w:ind w:right="56"/>
              <w:jc w:val="right"/>
              <w:rPr>
                <w:rFonts w:ascii="Arial" w:hAnsi="Arial" w:cs="Arial"/>
              </w:rPr>
            </w:pPr>
            <w:r>
              <w:t>11</w:t>
            </w:r>
          </w:p>
        </w:tc>
      </w:tr>
      <w:tr w:rsidR="00D3344B" w14:paraId="0147B2BE" w14:textId="77777777">
        <w:trPr>
          <w:trHeight w:val="474"/>
        </w:trPr>
        <w:tc>
          <w:tcPr>
            <w:tcW w:w="872" w:type="dxa"/>
            <w:shd w:val="clear" w:color="auto" w:fill="auto"/>
          </w:tcPr>
          <w:p w14:paraId="590966D8" w14:textId="77777777" w:rsidR="00D3344B" w:rsidRDefault="00143C25">
            <w:pPr>
              <w:spacing w:after="0" w:line="259" w:lineRule="auto"/>
              <w:ind w:left="108"/>
              <w:rPr>
                <w:rFonts w:ascii="Arial" w:hAnsi="Arial" w:cs="Arial"/>
              </w:rPr>
            </w:pPr>
            <w:r>
              <w:rPr>
                <w:rFonts w:ascii="Arial" w:hAnsi="Arial" w:cs="Arial"/>
              </w:rPr>
              <w:t>31.</w:t>
            </w:r>
          </w:p>
        </w:tc>
        <w:tc>
          <w:tcPr>
            <w:tcW w:w="5564" w:type="dxa"/>
            <w:shd w:val="clear" w:color="auto" w:fill="auto"/>
          </w:tcPr>
          <w:p w14:paraId="58BB4628" w14:textId="77777777" w:rsidR="00D3344B" w:rsidRDefault="00143C25">
            <w:pPr>
              <w:pStyle w:val="Estilo"/>
              <w:rPr>
                <w:rFonts w:cs="Arial"/>
                <w:i/>
                <w:sz w:val="16"/>
              </w:rPr>
            </w:pPr>
            <w:r>
              <w:rPr>
                <w:rFonts w:cs="Arial"/>
                <w:i/>
                <w:sz w:val="16"/>
              </w:rPr>
              <w:t>(ADICIONADO, P.O. 29 DE NOVIEMBRE DE 2023)</w:t>
            </w:r>
          </w:p>
          <w:p w14:paraId="237F56A2" w14:textId="77777777" w:rsidR="00D3344B" w:rsidRDefault="00143C25">
            <w:pPr>
              <w:pStyle w:val="Estilo"/>
              <w:rPr>
                <w:rFonts w:cs="Arial"/>
                <w:i/>
                <w:sz w:val="16"/>
              </w:rPr>
            </w:pPr>
            <w:r>
              <w:rPr>
                <w:spacing w:val="-2"/>
                <w:w w:val="110"/>
                <w:sz w:val="22"/>
              </w:rPr>
              <w:t>Determinación</w:t>
            </w:r>
            <w:r>
              <w:rPr>
                <w:sz w:val="22"/>
              </w:rPr>
              <w:tab/>
            </w:r>
            <w:r>
              <w:rPr>
                <w:spacing w:val="-6"/>
                <w:w w:val="110"/>
                <w:sz w:val="22"/>
              </w:rPr>
              <w:t>de</w:t>
            </w:r>
            <w:r>
              <w:rPr>
                <w:sz w:val="22"/>
              </w:rPr>
              <w:tab/>
            </w:r>
            <w:r>
              <w:rPr>
                <w:spacing w:val="-2"/>
                <w:w w:val="110"/>
                <w:sz w:val="22"/>
              </w:rPr>
              <w:t>hidrocarburos</w:t>
            </w:r>
            <w:r>
              <w:rPr>
                <w:sz w:val="22"/>
              </w:rPr>
              <w:tab/>
            </w:r>
            <w:r>
              <w:rPr>
                <w:spacing w:val="-6"/>
                <w:w w:val="110"/>
                <w:sz w:val="22"/>
              </w:rPr>
              <w:t>en</w:t>
            </w:r>
            <w:r>
              <w:rPr>
                <w:sz w:val="22"/>
              </w:rPr>
              <w:t xml:space="preserve"> </w:t>
            </w:r>
            <w:r>
              <w:rPr>
                <w:spacing w:val="-4"/>
                <w:w w:val="110"/>
                <w:sz w:val="22"/>
              </w:rPr>
              <w:t>agua</w:t>
            </w:r>
            <w:r>
              <w:rPr>
                <w:sz w:val="22"/>
              </w:rPr>
              <w:tab/>
            </w:r>
            <w:r>
              <w:rPr>
                <w:spacing w:val="-4"/>
                <w:w w:val="110"/>
                <w:sz w:val="22"/>
              </w:rPr>
              <w:t xml:space="preserve">BETEX </w:t>
            </w:r>
            <w:r>
              <w:rPr>
                <w:w w:val="110"/>
                <w:sz w:val="22"/>
              </w:rPr>
              <w:t xml:space="preserve">(Benceno, </w:t>
            </w:r>
            <w:proofErr w:type="spellStart"/>
            <w:r>
              <w:rPr>
                <w:w w:val="110"/>
                <w:sz w:val="22"/>
              </w:rPr>
              <w:t>Toulueno</w:t>
            </w:r>
            <w:proofErr w:type="spellEnd"/>
            <w:r>
              <w:rPr>
                <w:w w:val="110"/>
                <w:sz w:val="22"/>
              </w:rPr>
              <w:t xml:space="preserve"> y Xileno)</w:t>
            </w:r>
          </w:p>
        </w:tc>
        <w:tc>
          <w:tcPr>
            <w:tcW w:w="1135" w:type="dxa"/>
            <w:shd w:val="clear" w:color="auto" w:fill="auto"/>
          </w:tcPr>
          <w:p w14:paraId="672B401E" w14:textId="77777777" w:rsidR="00D3344B" w:rsidRDefault="00143C25">
            <w:pPr>
              <w:spacing w:after="0" w:line="259" w:lineRule="auto"/>
              <w:ind w:right="56"/>
              <w:jc w:val="right"/>
              <w:rPr>
                <w:rFonts w:ascii="Arial" w:hAnsi="Arial" w:cs="Arial"/>
              </w:rPr>
            </w:pPr>
            <w:r>
              <w:t>67</w:t>
            </w:r>
          </w:p>
        </w:tc>
      </w:tr>
    </w:tbl>
    <w:p w14:paraId="36A0CF75" w14:textId="77777777" w:rsidR="00D3344B" w:rsidRDefault="00D3344B">
      <w:pPr>
        <w:pStyle w:val="Estilo"/>
        <w:rPr>
          <w:rFonts w:cs="Arial"/>
        </w:rPr>
      </w:pPr>
    </w:p>
    <w:p w14:paraId="52438A54" w14:textId="77777777" w:rsidR="00D3344B" w:rsidRDefault="00D3344B">
      <w:pPr>
        <w:pStyle w:val="Estilo"/>
        <w:rPr>
          <w:rFonts w:cs="Arial"/>
        </w:rPr>
      </w:pPr>
    </w:p>
    <w:p w14:paraId="041EA11F" w14:textId="77777777" w:rsidR="00D3344B" w:rsidRDefault="00143C25">
      <w:pPr>
        <w:pStyle w:val="Estilo"/>
        <w:rPr>
          <w:rFonts w:cs="Arial"/>
        </w:rPr>
      </w:pPr>
      <w:r>
        <w:rPr>
          <w:rFonts w:cs="Arial"/>
        </w:rPr>
        <w:t>Por la expedición de copias certificadas de documentos, 1 UMA, por las primeras diez fojas y por cada una de las hojas adicionales, 0.25 UMA.</w:t>
      </w:r>
    </w:p>
    <w:p w14:paraId="2617C541" w14:textId="77777777" w:rsidR="00D3344B" w:rsidRDefault="00D3344B">
      <w:pPr>
        <w:pStyle w:val="Estilo"/>
        <w:rPr>
          <w:rFonts w:cs="Arial"/>
        </w:rPr>
      </w:pPr>
    </w:p>
    <w:p w14:paraId="78F721C8" w14:textId="77777777" w:rsidR="00D3344B" w:rsidRDefault="00D3344B">
      <w:pPr>
        <w:pStyle w:val="Estilo"/>
        <w:rPr>
          <w:rFonts w:cs="Arial"/>
        </w:rPr>
      </w:pPr>
    </w:p>
    <w:p w14:paraId="3BD7E753" w14:textId="77777777" w:rsidR="00D3344B" w:rsidRDefault="00143C25">
      <w:pPr>
        <w:pStyle w:val="Estilo"/>
        <w:rPr>
          <w:rFonts w:cs="Arial"/>
        </w:rPr>
      </w:pPr>
      <w:r>
        <w:rPr>
          <w:rFonts w:cs="Arial"/>
          <w:i/>
          <w:sz w:val="16"/>
        </w:rPr>
        <w:t>(REFORMADO, P.O. 30 DE DICIEMBRE DE 2006)</w:t>
      </w:r>
    </w:p>
    <w:p w14:paraId="64D223C2" w14:textId="77777777" w:rsidR="00D3344B" w:rsidRDefault="00143C25">
      <w:pPr>
        <w:pStyle w:val="Estilo"/>
        <w:rPr>
          <w:rFonts w:cs="Arial"/>
        </w:rPr>
      </w:pPr>
      <w:r>
        <w:rPr>
          <w:rFonts w:cs="Arial"/>
          <w:b/>
        </w:rPr>
        <w:t>Artículo 162-F.</w:t>
      </w:r>
      <w:r>
        <w:rPr>
          <w:rFonts w:cs="Arial"/>
        </w:rPr>
        <w:t xml:space="preserve"> Por las infracciones a las disposiciones sanitarias señaladas en este Código, la Secretaría de Salud a través de su Organismo Desconcentrado Comisión Estatal para la Protección Contra Riesgos Sanitarios, impondrá las sanciones administrativas que determine la Ley General de Salud o la Ley de Salud del Estado de Tlaxcala vigentes y serán recaudadas a través de la Secretaría.</w:t>
      </w:r>
    </w:p>
    <w:p w14:paraId="6CB2A3B0" w14:textId="77777777" w:rsidR="00D3344B" w:rsidRDefault="00D3344B">
      <w:pPr>
        <w:pStyle w:val="Estilo"/>
        <w:rPr>
          <w:rFonts w:cs="Arial"/>
        </w:rPr>
      </w:pPr>
    </w:p>
    <w:p w14:paraId="1C3E8B74" w14:textId="77777777" w:rsidR="00D3344B" w:rsidRDefault="00D3344B">
      <w:pPr>
        <w:pStyle w:val="Estilo"/>
        <w:rPr>
          <w:rFonts w:cs="Arial"/>
        </w:rPr>
      </w:pPr>
    </w:p>
    <w:p w14:paraId="2678A600" w14:textId="77777777" w:rsidR="00D3344B" w:rsidRDefault="00143C25">
      <w:pPr>
        <w:pStyle w:val="Estilo"/>
        <w:rPr>
          <w:rFonts w:cs="Arial"/>
          <w:i/>
          <w:sz w:val="16"/>
          <w:szCs w:val="16"/>
        </w:rPr>
      </w:pPr>
      <w:r>
        <w:rPr>
          <w:rFonts w:cs="Arial"/>
          <w:i/>
          <w:sz w:val="16"/>
          <w:szCs w:val="16"/>
        </w:rPr>
        <w:t>N. DE E. EN RELACIÓN CON LA ENTRADA EN VIGOR DE LA PRESENTE SUBSECCIÓN, VÉASE ARTÍCULO ÚNICO TRANSITORIO DEL DECRETO QUE MODIFICA EL CÓDIGO.</w:t>
      </w:r>
    </w:p>
    <w:p w14:paraId="7D852510" w14:textId="77777777" w:rsidR="00D3344B" w:rsidRDefault="00143C25">
      <w:pPr>
        <w:pStyle w:val="Estilo"/>
        <w:rPr>
          <w:rFonts w:cs="Arial"/>
          <w:i/>
          <w:sz w:val="16"/>
          <w:szCs w:val="16"/>
        </w:rPr>
      </w:pPr>
      <w:r>
        <w:rPr>
          <w:rFonts w:cs="Arial"/>
          <w:i/>
          <w:sz w:val="16"/>
          <w:szCs w:val="16"/>
        </w:rPr>
        <w:t>(ADICIONADA CON EL ARTÍCULO QUE LA INTEGRA, P.O. 23 DE DICIEMBRE DE 2008)</w:t>
      </w:r>
    </w:p>
    <w:p w14:paraId="77EBD98F" w14:textId="77777777" w:rsidR="00D3344B" w:rsidRDefault="00143C25">
      <w:pPr>
        <w:pStyle w:val="Estilo"/>
        <w:jc w:val="center"/>
        <w:rPr>
          <w:rFonts w:cs="Arial"/>
          <w:b/>
        </w:rPr>
      </w:pPr>
      <w:r>
        <w:rPr>
          <w:rFonts w:cs="Arial"/>
          <w:b/>
        </w:rPr>
        <w:t>Subsección Décima</w:t>
      </w:r>
    </w:p>
    <w:p w14:paraId="2E0641CE" w14:textId="77777777" w:rsidR="00D3344B" w:rsidRDefault="00143C25">
      <w:pPr>
        <w:pStyle w:val="Estilo"/>
        <w:jc w:val="center"/>
        <w:rPr>
          <w:rFonts w:cs="Arial"/>
          <w:b/>
        </w:rPr>
      </w:pPr>
      <w:r>
        <w:rPr>
          <w:rFonts w:cs="Arial"/>
          <w:b/>
        </w:rPr>
        <w:t>Derechos por los Servicios Prestados por el Instituto de Catastro</w:t>
      </w:r>
    </w:p>
    <w:p w14:paraId="4117433E" w14:textId="77777777" w:rsidR="00D3344B" w:rsidRDefault="00D3344B">
      <w:pPr>
        <w:pStyle w:val="Estilo"/>
        <w:rPr>
          <w:rFonts w:cs="Arial"/>
        </w:rPr>
      </w:pPr>
    </w:p>
    <w:p w14:paraId="347B7F56" w14:textId="77777777" w:rsidR="00D3344B" w:rsidRDefault="00143C25">
      <w:pPr>
        <w:pStyle w:val="Estilo"/>
        <w:rPr>
          <w:rFonts w:cs="Arial"/>
        </w:rPr>
      </w:pPr>
      <w:r>
        <w:rPr>
          <w:rFonts w:cs="Arial"/>
          <w:i/>
          <w:sz w:val="16"/>
        </w:rPr>
        <w:lastRenderedPageBreak/>
        <w:t>N. DE E. EN RELACIÓN CON LA ENTRADA EN VIGOR DEL PRESENTE ARTÍCULO, VÉASE ARTÍCULO ÚNICO TRANSITORIO DEL DECRETO QUE MODIFICA EL CÓDIGO.</w:t>
      </w:r>
    </w:p>
    <w:p w14:paraId="00D0C99B" w14:textId="77777777" w:rsidR="00D3344B" w:rsidRDefault="00143C25">
      <w:pPr>
        <w:pStyle w:val="Estilo"/>
        <w:rPr>
          <w:rFonts w:cs="Arial"/>
        </w:rPr>
      </w:pPr>
      <w:r>
        <w:rPr>
          <w:rFonts w:cs="Arial"/>
          <w:i/>
          <w:sz w:val="16"/>
        </w:rPr>
        <w:t>(ADICIONADO, P.O. 23 DE DICIEMBRE DE 2008)</w:t>
      </w:r>
    </w:p>
    <w:p w14:paraId="64D2FE19" w14:textId="77777777" w:rsidR="00D3344B" w:rsidRDefault="00143C25">
      <w:pPr>
        <w:pStyle w:val="Estilo"/>
        <w:rPr>
          <w:rFonts w:cs="Arial"/>
        </w:rPr>
      </w:pPr>
      <w:r>
        <w:rPr>
          <w:rFonts w:cs="Arial"/>
          <w:b/>
        </w:rPr>
        <w:t>Artículo 162-G.</w:t>
      </w:r>
      <w:r>
        <w:rPr>
          <w:rFonts w:cs="Arial"/>
        </w:rPr>
        <w:t xml:space="preserve"> Los servicios prestados por el Instituto de Catastro del Estado, causarán los derechos siguientes:</w:t>
      </w:r>
    </w:p>
    <w:p w14:paraId="0D6AE72B" w14:textId="77777777" w:rsidR="00D3344B" w:rsidRDefault="00D3344B">
      <w:pPr>
        <w:pStyle w:val="Estilo"/>
        <w:rPr>
          <w:rFonts w:cs="Arial"/>
        </w:rPr>
      </w:pPr>
    </w:p>
    <w:p w14:paraId="593312A5" w14:textId="77777777" w:rsidR="00D3344B" w:rsidRDefault="00143C25">
      <w:pPr>
        <w:pStyle w:val="Estilo"/>
        <w:rPr>
          <w:rFonts w:cs="Arial"/>
        </w:rPr>
      </w:pPr>
      <w:r>
        <w:rPr>
          <w:rFonts w:cs="Arial"/>
          <w:i/>
          <w:sz w:val="16"/>
        </w:rPr>
        <w:t xml:space="preserve">(REFORMADA, P.O. </w:t>
      </w:r>
      <w:r>
        <w:rPr>
          <w:rFonts w:cs="Arial"/>
          <w:i/>
          <w:sz w:val="16"/>
          <w:szCs w:val="16"/>
        </w:rPr>
        <w:t>21 DE JUNIO DE 2021</w:t>
      </w:r>
      <w:r>
        <w:rPr>
          <w:rFonts w:cs="Arial"/>
          <w:i/>
          <w:sz w:val="16"/>
        </w:rPr>
        <w:t>)</w:t>
      </w:r>
    </w:p>
    <w:p w14:paraId="175F1C5C" w14:textId="77777777" w:rsidR="00D3344B" w:rsidRDefault="00143C25">
      <w:pPr>
        <w:pStyle w:val="Estilo"/>
        <w:ind w:left="567" w:hanging="567"/>
        <w:rPr>
          <w:rFonts w:cs="Arial"/>
        </w:rPr>
      </w:pPr>
      <w:r>
        <w:rPr>
          <w:rFonts w:cs="Arial"/>
        </w:rPr>
        <w:t>I.  Por deslindes, rectificación o aclaración de medidas de predios urbanos:</w:t>
      </w:r>
    </w:p>
    <w:p w14:paraId="36CFB5C9" w14:textId="77777777" w:rsidR="00D3344B" w:rsidRDefault="00D3344B">
      <w:pPr>
        <w:pStyle w:val="Estilo"/>
        <w:rPr>
          <w:rFonts w:cs="Arial"/>
        </w:rPr>
      </w:pPr>
    </w:p>
    <w:tbl>
      <w:tblPr>
        <w:tblStyle w:val="TableGrid"/>
        <w:tblW w:w="8917" w:type="dxa"/>
        <w:tblInd w:w="70" w:type="dxa"/>
        <w:tblLayout w:type="fixed"/>
        <w:tblLook w:val="04A0" w:firstRow="1" w:lastRow="0" w:firstColumn="1" w:lastColumn="0" w:noHBand="0" w:noVBand="1"/>
      </w:tblPr>
      <w:tblGrid>
        <w:gridCol w:w="6876"/>
        <w:gridCol w:w="2041"/>
      </w:tblGrid>
      <w:tr w:rsidR="00D3344B" w14:paraId="59071AF8" w14:textId="77777777">
        <w:trPr>
          <w:trHeight w:val="526"/>
        </w:trPr>
        <w:tc>
          <w:tcPr>
            <w:tcW w:w="6875" w:type="dxa"/>
          </w:tcPr>
          <w:p w14:paraId="597DBAFB" w14:textId="77777777" w:rsidR="00D3344B" w:rsidRDefault="00143C25">
            <w:pPr>
              <w:spacing w:after="0" w:line="259" w:lineRule="auto"/>
              <w:rPr>
                <w:rFonts w:ascii="Arial" w:hAnsi="Arial" w:cs="Arial"/>
              </w:rPr>
            </w:pPr>
            <w:r>
              <w:rPr>
                <w:rFonts w:ascii="Arial" w:hAnsi="Arial" w:cs="Arial"/>
              </w:rPr>
              <w:t>CONCEPTO</w:t>
            </w:r>
          </w:p>
        </w:tc>
        <w:tc>
          <w:tcPr>
            <w:tcW w:w="2041" w:type="dxa"/>
          </w:tcPr>
          <w:p w14:paraId="477B1CA7" w14:textId="77777777" w:rsidR="00D3344B" w:rsidRDefault="00143C25">
            <w:pPr>
              <w:spacing w:after="0" w:line="259" w:lineRule="auto"/>
              <w:rPr>
                <w:rFonts w:ascii="Arial" w:hAnsi="Arial" w:cs="Arial"/>
              </w:rPr>
            </w:pPr>
            <w:r>
              <w:rPr>
                <w:rFonts w:ascii="Arial" w:hAnsi="Arial" w:cs="Arial"/>
              </w:rPr>
              <w:t>DERECHOS CAUSADOS</w:t>
            </w:r>
          </w:p>
        </w:tc>
      </w:tr>
      <w:tr w:rsidR="00D3344B" w14:paraId="78C48145" w14:textId="77777777">
        <w:trPr>
          <w:trHeight w:val="526"/>
        </w:trPr>
        <w:tc>
          <w:tcPr>
            <w:tcW w:w="6875" w:type="dxa"/>
          </w:tcPr>
          <w:p w14:paraId="00A26FF1" w14:textId="77777777" w:rsidR="00D3344B" w:rsidRDefault="00143C25">
            <w:pPr>
              <w:spacing w:after="0" w:line="259" w:lineRule="auto"/>
              <w:rPr>
                <w:rFonts w:ascii="Arial" w:hAnsi="Arial" w:cs="Arial"/>
              </w:rPr>
            </w:pPr>
            <w:r>
              <w:rPr>
                <w:rFonts w:ascii="Arial" w:hAnsi="Arial" w:cs="Arial"/>
              </w:rPr>
              <w:t xml:space="preserve">a) De 0.01 hasta 250.00 metros cuadrados. </w:t>
            </w:r>
          </w:p>
        </w:tc>
        <w:tc>
          <w:tcPr>
            <w:tcW w:w="2041" w:type="dxa"/>
          </w:tcPr>
          <w:p w14:paraId="72AD2DD7" w14:textId="77777777" w:rsidR="00D3344B" w:rsidRDefault="00143C25">
            <w:pPr>
              <w:spacing w:after="0" w:line="259" w:lineRule="auto"/>
              <w:rPr>
                <w:rFonts w:ascii="Arial" w:hAnsi="Arial" w:cs="Arial"/>
              </w:rPr>
            </w:pPr>
            <w:r>
              <w:rPr>
                <w:rFonts w:ascii="Arial" w:hAnsi="Arial" w:cs="Arial"/>
              </w:rPr>
              <w:t xml:space="preserve">13 UMA </w:t>
            </w:r>
          </w:p>
        </w:tc>
      </w:tr>
      <w:tr w:rsidR="00D3344B" w14:paraId="3E80BBAD" w14:textId="77777777">
        <w:trPr>
          <w:trHeight w:val="639"/>
        </w:trPr>
        <w:tc>
          <w:tcPr>
            <w:tcW w:w="6875" w:type="dxa"/>
            <w:vAlign w:val="center"/>
          </w:tcPr>
          <w:p w14:paraId="25A03CAA" w14:textId="77777777" w:rsidR="00D3344B" w:rsidRDefault="00143C25">
            <w:pPr>
              <w:spacing w:after="0" w:line="259" w:lineRule="auto"/>
              <w:rPr>
                <w:rFonts w:ascii="Arial" w:hAnsi="Arial" w:cs="Arial"/>
              </w:rPr>
            </w:pPr>
            <w:r>
              <w:rPr>
                <w:rFonts w:ascii="Arial" w:hAnsi="Arial" w:cs="Arial"/>
              </w:rPr>
              <w:t xml:space="preserve">b) De 250.01 a 500.00 metros cuadrados. </w:t>
            </w:r>
          </w:p>
        </w:tc>
        <w:tc>
          <w:tcPr>
            <w:tcW w:w="2041" w:type="dxa"/>
            <w:vAlign w:val="bottom"/>
          </w:tcPr>
          <w:p w14:paraId="0F43FE55" w14:textId="77777777" w:rsidR="00D3344B" w:rsidRDefault="00143C25">
            <w:pPr>
              <w:spacing w:after="0" w:line="259" w:lineRule="auto"/>
              <w:rPr>
                <w:rFonts w:ascii="Arial" w:hAnsi="Arial" w:cs="Arial"/>
              </w:rPr>
            </w:pPr>
            <w:r>
              <w:rPr>
                <w:rFonts w:ascii="Arial" w:hAnsi="Arial" w:cs="Arial"/>
              </w:rPr>
              <w:t xml:space="preserve">15 UMA </w:t>
            </w:r>
          </w:p>
        </w:tc>
      </w:tr>
      <w:tr w:rsidR="00D3344B" w14:paraId="185321C7" w14:textId="77777777">
        <w:trPr>
          <w:trHeight w:val="587"/>
        </w:trPr>
        <w:tc>
          <w:tcPr>
            <w:tcW w:w="6875" w:type="dxa"/>
            <w:vAlign w:val="center"/>
          </w:tcPr>
          <w:p w14:paraId="6BACA98C" w14:textId="77777777" w:rsidR="00D3344B" w:rsidRDefault="00143C25">
            <w:pPr>
              <w:spacing w:after="0" w:line="259" w:lineRule="auto"/>
              <w:rPr>
                <w:rFonts w:ascii="Arial" w:hAnsi="Arial" w:cs="Arial"/>
              </w:rPr>
            </w:pPr>
            <w:r>
              <w:rPr>
                <w:rFonts w:ascii="Arial" w:hAnsi="Arial" w:cs="Arial"/>
              </w:rPr>
              <w:t xml:space="preserve">c) De 500.01 a 1000.00 metros cuadrados. </w:t>
            </w:r>
          </w:p>
        </w:tc>
        <w:tc>
          <w:tcPr>
            <w:tcW w:w="2041" w:type="dxa"/>
            <w:vAlign w:val="center"/>
          </w:tcPr>
          <w:p w14:paraId="59F1478F" w14:textId="77777777" w:rsidR="00D3344B" w:rsidRDefault="00143C25">
            <w:pPr>
              <w:spacing w:after="0" w:line="259" w:lineRule="auto"/>
              <w:rPr>
                <w:rFonts w:ascii="Arial" w:hAnsi="Arial" w:cs="Arial"/>
              </w:rPr>
            </w:pPr>
            <w:r>
              <w:rPr>
                <w:rFonts w:ascii="Arial" w:hAnsi="Arial" w:cs="Arial"/>
              </w:rPr>
              <w:t xml:space="preserve">17 UMA </w:t>
            </w:r>
          </w:p>
        </w:tc>
      </w:tr>
      <w:tr w:rsidR="00D3344B" w14:paraId="3E971219" w14:textId="77777777">
        <w:trPr>
          <w:trHeight w:val="686"/>
        </w:trPr>
        <w:tc>
          <w:tcPr>
            <w:tcW w:w="6875" w:type="dxa"/>
            <w:vAlign w:val="center"/>
          </w:tcPr>
          <w:p w14:paraId="48438730" w14:textId="77777777" w:rsidR="00D3344B" w:rsidRDefault="00143C25">
            <w:pPr>
              <w:spacing w:after="0" w:line="259" w:lineRule="auto"/>
              <w:rPr>
                <w:rFonts w:ascii="Arial" w:hAnsi="Arial" w:cs="Arial"/>
              </w:rPr>
            </w:pPr>
            <w:r>
              <w:rPr>
                <w:rFonts w:ascii="Arial" w:hAnsi="Arial" w:cs="Arial"/>
              </w:rPr>
              <w:t xml:space="preserve">d) De 1000.01 a 1500.00 metros cuadrados. </w:t>
            </w:r>
          </w:p>
        </w:tc>
        <w:tc>
          <w:tcPr>
            <w:tcW w:w="2041" w:type="dxa"/>
            <w:vAlign w:val="center"/>
          </w:tcPr>
          <w:p w14:paraId="61A6299B" w14:textId="77777777" w:rsidR="00D3344B" w:rsidRDefault="00143C25">
            <w:pPr>
              <w:spacing w:after="0" w:line="259" w:lineRule="auto"/>
              <w:rPr>
                <w:rFonts w:ascii="Arial" w:hAnsi="Arial" w:cs="Arial"/>
              </w:rPr>
            </w:pPr>
            <w:r>
              <w:rPr>
                <w:rFonts w:ascii="Arial" w:hAnsi="Arial" w:cs="Arial"/>
              </w:rPr>
              <w:t xml:space="preserve">21 UMA </w:t>
            </w:r>
          </w:p>
        </w:tc>
      </w:tr>
      <w:tr w:rsidR="00D3344B" w14:paraId="5ECC2699" w14:textId="77777777">
        <w:trPr>
          <w:trHeight w:val="465"/>
        </w:trPr>
        <w:tc>
          <w:tcPr>
            <w:tcW w:w="6875" w:type="dxa"/>
            <w:vAlign w:val="bottom"/>
          </w:tcPr>
          <w:p w14:paraId="449E2D69" w14:textId="77777777" w:rsidR="00D3344B" w:rsidRDefault="00143C25">
            <w:pPr>
              <w:spacing w:after="0" w:line="259" w:lineRule="auto"/>
              <w:rPr>
                <w:rFonts w:ascii="Arial" w:hAnsi="Arial" w:cs="Arial"/>
              </w:rPr>
            </w:pPr>
            <w:r>
              <w:rPr>
                <w:rFonts w:ascii="Arial" w:hAnsi="Arial" w:cs="Arial"/>
              </w:rPr>
              <w:t xml:space="preserve"> e) De 1500.01 metros cuadrados en adelante, además de lo preceptuado en el rango inmediato anterior.</w:t>
            </w:r>
          </w:p>
        </w:tc>
        <w:tc>
          <w:tcPr>
            <w:tcW w:w="2041" w:type="dxa"/>
            <w:vAlign w:val="bottom"/>
          </w:tcPr>
          <w:p w14:paraId="0340F74E" w14:textId="77777777" w:rsidR="00D3344B" w:rsidRDefault="00143C25">
            <w:pPr>
              <w:spacing w:after="0" w:line="259" w:lineRule="auto"/>
              <w:rPr>
                <w:rFonts w:ascii="Arial" w:hAnsi="Arial" w:cs="Arial"/>
              </w:rPr>
            </w:pPr>
            <w:r>
              <w:rPr>
                <w:rFonts w:ascii="Arial" w:hAnsi="Arial" w:cs="Arial"/>
              </w:rPr>
              <w:t xml:space="preserve"> 0.02 UMA por cada </w:t>
            </w:r>
          </w:p>
          <w:p w14:paraId="6E5C1CDC" w14:textId="77777777" w:rsidR="00D3344B" w:rsidRDefault="00143C25">
            <w:pPr>
              <w:spacing w:after="0" w:line="259" w:lineRule="auto"/>
              <w:rPr>
                <w:rFonts w:ascii="Arial" w:hAnsi="Arial" w:cs="Arial"/>
              </w:rPr>
            </w:pPr>
            <w:r>
              <w:rPr>
                <w:rFonts w:ascii="Arial" w:hAnsi="Arial" w:cs="Arial"/>
              </w:rPr>
              <w:t>metro cuadrado o fracción que exceda.</w:t>
            </w:r>
          </w:p>
        </w:tc>
      </w:tr>
    </w:tbl>
    <w:p w14:paraId="58F1A41B" w14:textId="77777777" w:rsidR="00D3344B" w:rsidRDefault="00D3344B">
      <w:pPr>
        <w:pStyle w:val="Estilo"/>
        <w:rPr>
          <w:rFonts w:cs="Arial"/>
        </w:rPr>
      </w:pPr>
    </w:p>
    <w:p w14:paraId="4931888F" w14:textId="77777777" w:rsidR="00D3344B" w:rsidRDefault="00143C25">
      <w:pPr>
        <w:pStyle w:val="Estilo"/>
        <w:rPr>
          <w:rFonts w:cs="Arial"/>
        </w:rPr>
      </w:pPr>
      <w:r>
        <w:rPr>
          <w:rFonts w:cs="Arial"/>
          <w:i/>
          <w:sz w:val="16"/>
        </w:rPr>
        <w:t xml:space="preserve">(REFORMADA, P.O. </w:t>
      </w:r>
      <w:r>
        <w:rPr>
          <w:rFonts w:cs="Arial"/>
          <w:i/>
          <w:sz w:val="16"/>
          <w:szCs w:val="16"/>
        </w:rPr>
        <w:t>21 DE JUNIO DE 2021</w:t>
      </w:r>
      <w:r>
        <w:rPr>
          <w:rFonts w:cs="Arial"/>
          <w:i/>
          <w:sz w:val="16"/>
        </w:rPr>
        <w:t>)</w:t>
      </w:r>
    </w:p>
    <w:p w14:paraId="0C50AD3F" w14:textId="77777777" w:rsidR="00D3344B" w:rsidRDefault="00143C25">
      <w:pPr>
        <w:pStyle w:val="Estilo"/>
        <w:rPr>
          <w:rFonts w:cs="Arial"/>
        </w:rPr>
      </w:pPr>
      <w:r>
        <w:rPr>
          <w:rFonts w:cs="Arial"/>
        </w:rPr>
        <w:t>II. Por deslindes, rectificación o aclaración de medidas de predios rústicos:</w:t>
      </w:r>
    </w:p>
    <w:p w14:paraId="0E12EE75" w14:textId="77777777" w:rsidR="00D3344B" w:rsidRDefault="00D3344B">
      <w:pPr>
        <w:pStyle w:val="Estilo"/>
        <w:rPr>
          <w:rFonts w:cs="Arial"/>
        </w:rPr>
      </w:pPr>
    </w:p>
    <w:tbl>
      <w:tblPr>
        <w:tblStyle w:val="TableGrid4"/>
        <w:tblW w:w="8917" w:type="dxa"/>
        <w:tblInd w:w="70" w:type="dxa"/>
        <w:tblLayout w:type="fixed"/>
        <w:tblLook w:val="04A0" w:firstRow="1" w:lastRow="0" w:firstColumn="1" w:lastColumn="0" w:noHBand="0" w:noVBand="1"/>
      </w:tblPr>
      <w:tblGrid>
        <w:gridCol w:w="6941"/>
        <w:gridCol w:w="1976"/>
      </w:tblGrid>
      <w:tr w:rsidR="00D3344B" w14:paraId="11D17E12" w14:textId="77777777">
        <w:trPr>
          <w:trHeight w:val="328"/>
        </w:trPr>
        <w:tc>
          <w:tcPr>
            <w:tcW w:w="6940" w:type="dxa"/>
          </w:tcPr>
          <w:p w14:paraId="0752A432" w14:textId="77777777" w:rsidR="00D3344B" w:rsidRDefault="00143C25">
            <w:pPr>
              <w:tabs>
                <w:tab w:val="center" w:pos="6733"/>
              </w:tabs>
              <w:spacing w:after="0" w:line="259" w:lineRule="auto"/>
              <w:rPr>
                <w:rFonts w:ascii="Arial" w:hAnsi="Arial" w:cs="Arial"/>
                <w:color w:val="000000"/>
              </w:rPr>
            </w:pPr>
            <w:r>
              <w:rPr>
                <w:rFonts w:ascii="Arial" w:eastAsia="Times New Roman" w:hAnsi="Arial" w:cs="Arial"/>
              </w:rPr>
              <w:t>a) De 0.01 hectáreas hasta 1.00 hectárea</w:t>
            </w:r>
          </w:p>
        </w:tc>
        <w:tc>
          <w:tcPr>
            <w:tcW w:w="1976" w:type="dxa"/>
          </w:tcPr>
          <w:p w14:paraId="0871D3A8" w14:textId="77777777" w:rsidR="00D3344B" w:rsidRDefault="00143C25">
            <w:pPr>
              <w:spacing w:after="0" w:line="259" w:lineRule="auto"/>
              <w:rPr>
                <w:rFonts w:ascii="Arial" w:hAnsi="Arial" w:cs="Arial"/>
                <w:color w:val="000000"/>
              </w:rPr>
            </w:pPr>
            <w:r>
              <w:rPr>
                <w:rFonts w:ascii="Arial" w:eastAsia="Times New Roman" w:hAnsi="Arial" w:cs="Arial"/>
                <w:color w:val="000000"/>
              </w:rPr>
              <w:t>10.5 UMA</w:t>
            </w:r>
          </w:p>
        </w:tc>
      </w:tr>
      <w:tr w:rsidR="00D3344B" w14:paraId="09B8F798" w14:textId="77777777">
        <w:trPr>
          <w:trHeight w:val="328"/>
        </w:trPr>
        <w:tc>
          <w:tcPr>
            <w:tcW w:w="6940" w:type="dxa"/>
          </w:tcPr>
          <w:p w14:paraId="2CDE2832" w14:textId="77777777" w:rsidR="00D3344B" w:rsidRDefault="00143C25">
            <w:pPr>
              <w:tabs>
                <w:tab w:val="center" w:pos="6733"/>
              </w:tabs>
              <w:spacing w:after="0" w:line="259" w:lineRule="auto"/>
              <w:rPr>
                <w:rFonts w:ascii="Arial" w:hAnsi="Arial" w:cs="Arial"/>
                <w:color w:val="000000"/>
              </w:rPr>
            </w:pPr>
            <w:r>
              <w:rPr>
                <w:rFonts w:ascii="Arial" w:eastAsia="Times New Roman" w:hAnsi="Arial" w:cs="Arial"/>
                <w:color w:val="000000"/>
              </w:rPr>
              <w:t xml:space="preserve">b) De 1.01 hectáreas hasta 2.00 hectáreas </w:t>
            </w:r>
            <w:r>
              <w:rPr>
                <w:rFonts w:ascii="Arial" w:eastAsia="Times New Roman" w:hAnsi="Arial" w:cs="Arial"/>
                <w:color w:val="000000"/>
              </w:rPr>
              <w:tab/>
              <w:t xml:space="preserve"> </w:t>
            </w:r>
          </w:p>
        </w:tc>
        <w:tc>
          <w:tcPr>
            <w:tcW w:w="1976" w:type="dxa"/>
          </w:tcPr>
          <w:p w14:paraId="61B8CDB8" w14:textId="77777777" w:rsidR="00D3344B" w:rsidRDefault="00143C25">
            <w:pPr>
              <w:spacing w:after="0" w:line="259" w:lineRule="auto"/>
              <w:rPr>
                <w:rFonts w:ascii="Arial" w:hAnsi="Arial" w:cs="Arial"/>
                <w:color w:val="000000"/>
              </w:rPr>
            </w:pPr>
            <w:r>
              <w:rPr>
                <w:rFonts w:ascii="Arial" w:eastAsia="Times New Roman" w:hAnsi="Arial" w:cs="Arial"/>
                <w:color w:val="000000"/>
              </w:rPr>
              <w:t xml:space="preserve">  21 UMA </w:t>
            </w:r>
          </w:p>
        </w:tc>
      </w:tr>
      <w:tr w:rsidR="00D3344B" w14:paraId="11B6507C" w14:textId="77777777">
        <w:trPr>
          <w:trHeight w:val="328"/>
        </w:trPr>
        <w:tc>
          <w:tcPr>
            <w:tcW w:w="6940" w:type="dxa"/>
          </w:tcPr>
          <w:p w14:paraId="17FF3D57" w14:textId="77777777" w:rsidR="00D3344B" w:rsidRDefault="00143C25">
            <w:pPr>
              <w:tabs>
                <w:tab w:val="center" w:pos="6733"/>
              </w:tabs>
              <w:spacing w:after="0" w:line="259" w:lineRule="auto"/>
              <w:rPr>
                <w:rFonts w:ascii="Arial" w:hAnsi="Arial" w:cs="Arial"/>
                <w:color w:val="000000"/>
              </w:rPr>
            </w:pPr>
            <w:r>
              <w:rPr>
                <w:rFonts w:ascii="Arial" w:eastAsia="Times New Roman" w:hAnsi="Arial" w:cs="Arial"/>
                <w:color w:val="000000"/>
              </w:rPr>
              <w:t xml:space="preserve">c) De 2.01 hectáreas hasta 3.00 hectáreas. </w:t>
            </w:r>
            <w:r>
              <w:rPr>
                <w:rFonts w:ascii="Arial" w:eastAsia="Times New Roman" w:hAnsi="Arial" w:cs="Arial"/>
                <w:color w:val="000000"/>
              </w:rPr>
              <w:tab/>
            </w:r>
          </w:p>
        </w:tc>
        <w:tc>
          <w:tcPr>
            <w:tcW w:w="1976" w:type="dxa"/>
          </w:tcPr>
          <w:p w14:paraId="35E0F225" w14:textId="77777777" w:rsidR="00D3344B" w:rsidRDefault="00143C25">
            <w:pPr>
              <w:spacing w:after="0" w:line="259" w:lineRule="auto"/>
              <w:rPr>
                <w:rFonts w:ascii="Arial" w:hAnsi="Arial" w:cs="Arial"/>
                <w:color w:val="000000"/>
              </w:rPr>
            </w:pPr>
            <w:r>
              <w:rPr>
                <w:rFonts w:ascii="Arial" w:eastAsia="Times New Roman" w:hAnsi="Arial" w:cs="Arial"/>
                <w:color w:val="000000"/>
              </w:rPr>
              <w:t xml:space="preserve">32 UMA   </w:t>
            </w:r>
          </w:p>
        </w:tc>
      </w:tr>
      <w:tr w:rsidR="00D3344B" w14:paraId="09CA0B41" w14:textId="77777777">
        <w:trPr>
          <w:trHeight w:val="748"/>
        </w:trPr>
        <w:tc>
          <w:tcPr>
            <w:tcW w:w="6940" w:type="dxa"/>
          </w:tcPr>
          <w:p w14:paraId="1A3A4CC3" w14:textId="77777777" w:rsidR="00D3344B" w:rsidRDefault="00143C25">
            <w:pPr>
              <w:spacing w:after="5" w:line="259" w:lineRule="auto"/>
              <w:jc w:val="both"/>
              <w:rPr>
                <w:rFonts w:ascii="Arial" w:hAnsi="Arial" w:cs="Arial"/>
                <w:color w:val="000000"/>
              </w:rPr>
            </w:pPr>
            <w:r>
              <w:rPr>
                <w:rFonts w:ascii="Arial" w:eastAsia="Times New Roman" w:hAnsi="Arial" w:cs="Arial"/>
                <w:color w:val="000000"/>
              </w:rPr>
              <w:t>d) De 3.01 hectáreas en adelante, además de lo preceptuado en el rango inmediato anterior.</w:t>
            </w:r>
          </w:p>
        </w:tc>
        <w:tc>
          <w:tcPr>
            <w:tcW w:w="1976" w:type="dxa"/>
          </w:tcPr>
          <w:p w14:paraId="499F92A8" w14:textId="77777777" w:rsidR="00D3344B" w:rsidRDefault="00143C25">
            <w:pPr>
              <w:spacing w:after="0" w:line="259" w:lineRule="auto"/>
              <w:ind w:left="77"/>
              <w:rPr>
                <w:rFonts w:ascii="Arial" w:hAnsi="Arial" w:cs="Arial"/>
                <w:color w:val="000000"/>
              </w:rPr>
            </w:pPr>
            <w:r>
              <w:rPr>
                <w:rFonts w:ascii="Arial" w:eastAsia="Times New Roman" w:hAnsi="Arial" w:cs="Arial"/>
                <w:color w:val="000000"/>
              </w:rPr>
              <w:t>10.5 UMA por cada hectárea o fracción que exceda.</w:t>
            </w:r>
          </w:p>
        </w:tc>
      </w:tr>
    </w:tbl>
    <w:p w14:paraId="271E7663" w14:textId="77777777" w:rsidR="00D3344B" w:rsidRDefault="00D3344B">
      <w:pPr>
        <w:pStyle w:val="Estilo"/>
        <w:rPr>
          <w:rFonts w:cs="Arial"/>
        </w:rPr>
      </w:pPr>
    </w:p>
    <w:p w14:paraId="56B0692A" w14:textId="77777777" w:rsidR="00D3344B" w:rsidRDefault="00143C25">
      <w:pPr>
        <w:pStyle w:val="Estilo"/>
        <w:rPr>
          <w:rFonts w:cs="Arial"/>
        </w:rPr>
      </w:pPr>
      <w:r>
        <w:rPr>
          <w:rFonts w:cs="Arial"/>
          <w:i/>
          <w:sz w:val="16"/>
        </w:rPr>
        <w:t xml:space="preserve">(REFORMADA, P.O. </w:t>
      </w:r>
      <w:r>
        <w:rPr>
          <w:rFonts w:cs="Arial"/>
          <w:i/>
          <w:sz w:val="16"/>
          <w:szCs w:val="16"/>
        </w:rPr>
        <w:t>21 DE JUNIO DE 2021</w:t>
      </w:r>
      <w:r>
        <w:rPr>
          <w:rFonts w:cs="Arial"/>
          <w:i/>
          <w:sz w:val="16"/>
        </w:rPr>
        <w:t>)</w:t>
      </w:r>
    </w:p>
    <w:p w14:paraId="48BF48BF" w14:textId="77777777" w:rsidR="00D3344B" w:rsidRDefault="00143C25">
      <w:pPr>
        <w:pStyle w:val="Estilo"/>
        <w:rPr>
          <w:rFonts w:cs="Arial"/>
        </w:rPr>
      </w:pPr>
      <w:r>
        <w:rPr>
          <w:rFonts w:cs="Arial"/>
        </w:rPr>
        <w:t>III. Por levantamiento de construcción existente en los predios en general.</w:t>
      </w:r>
    </w:p>
    <w:p w14:paraId="6D56B514" w14:textId="77777777" w:rsidR="00D3344B" w:rsidRDefault="00D3344B">
      <w:pPr>
        <w:pStyle w:val="Estilo"/>
        <w:rPr>
          <w:rFonts w:cs="Arial"/>
        </w:rPr>
      </w:pPr>
    </w:p>
    <w:tbl>
      <w:tblPr>
        <w:tblStyle w:val="TableGrid5"/>
        <w:tblW w:w="8861" w:type="dxa"/>
        <w:tblInd w:w="70" w:type="dxa"/>
        <w:tblLayout w:type="fixed"/>
        <w:tblLook w:val="04A0" w:firstRow="1" w:lastRow="0" w:firstColumn="1" w:lastColumn="0" w:noHBand="0" w:noVBand="1"/>
      </w:tblPr>
      <w:tblGrid>
        <w:gridCol w:w="6940"/>
        <w:gridCol w:w="1921"/>
      </w:tblGrid>
      <w:tr w:rsidR="00D3344B" w14:paraId="7989621B" w14:textId="77777777">
        <w:trPr>
          <w:trHeight w:val="826"/>
        </w:trPr>
        <w:tc>
          <w:tcPr>
            <w:tcW w:w="6939" w:type="dxa"/>
          </w:tcPr>
          <w:p w14:paraId="326DBD79" w14:textId="77777777" w:rsidR="00D3344B" w:rsidRDefault="00143C25">
            <w:pPr>
              <w:spacing w:after="0" w:line="259" w:lineRule="auto"/>
              <w:rPr>
                <w:rFonts w:ascii="Arial" w:hAnsi="Arial" w:cs="Arial"/>
                <w:color w:val="000000"/>
              </w:rPr>
            </w:pPr>
            <w:r>
              <w:rPr>
                <w:rFonts w:ascii="Arial" w:eastAsia="Times New Roman" w:hAnsi="Arial" w:cs="Arial"/>
                <w:color w:val="000000"/>
              </w:rPr>
              <w:t xml:space="preserve">a) De 0.01 a 250.00 metros cuadrados. </w:t>
            </w:r>
          </w:p>
          <w:p w14:paraId="370A9284" w14:textId="77777777" w:rsidR="00D3344B" w:rsidRDefault="00143C25">
            <w:pPr>
              <w:spacing w:after="0" w:line="259" w:lineRule="auto"/>
              <w:ind w:right="152"/>
              <w:jc w:val="right"/>
              <w:rPr>
                <w:rFonts w:ascii="Arial" w:hAnsi="Arial" w:cs="Arial"/>
                <w:color w:val="000000"/>
              </w:rPr>
            </w:pPr>
            <w:r>
              <w:rPr>
                <w:rFonts w:ascii="Arial" w:eastAsia="Times New Roman" w:hAnsi="Arial" w:cs="Arial"/>
                <w:color w:val="000000"/>
              </w:rPr>
              <w:t xml:space="preserve"> </w:t>
            </w:r>
          </w:p>
        </w:tc>
        <w:tc>
          <w:tcPr>
            <w:tcW w:w="1921" w:type="dxa"/>
          </w:tcPr>
          <w:p w14:paraId="2BA39757" w14:textId="77777777" w:rsidR="00D3344B" w:rsidRDefault="00143C25">
            <w:pPr>
              <w:spacing w:after="139" w:line="259" w:lineRule="auto"/>
              <w:ind w:left="77"/>
              <w:rPr>
                <w:rFonts w:ascii="Arial" w:hAnsi="Arial" w:cs="Arial"/>
                <w:color w:val="000000"/>
              </w:rPr>
            </w:pPr>
            <w:r>
              <w:rPr>
                <w:rFonts w:ascii="Arial" w:eastAsia="Times New Roman" w:hAnsi="Arial" w:cs="Arial"/>
                <w:color w:val="000000"/>
              </w:rPr>
              <w:t xml:space="preserve">6.5 UMA </w:t>
            </w:r>
          </w:p>
          <w:p w14:paraId="3DF19FB9" w14:textId="77777777" w:rsidR="00D3344B" w:rsidRDefault="00143C25">
            <w:pPr>
              <w:spacing w:after="0" w:line="259" w:lineRule="auto"/>
              <w:ind w:left="77"/>
              <w:rPr>
                <w:rFonts w:ascii="Arial" w:hAnsi="Arial" w:cs="Arial"/>
                <w:color w:val="000000"/>
              </w:rPr>
            </w:pPr>
            <w:r>
              <w:rPr>
                <w:rFonts w:ascii="Arial" w:eastAsia="Times New Roman" w:hAnsi="Arial" w:cs="Arial"/>
                <w:color w:val="000000"/>
              </w:rPr>
              <w:t xml:space="preserve"> </w:t>
            </w:r>
          </w:p>
        </w:tc>
      </w:tr>
      <w:tr w:rsidR="00D3344B" w14:paraId="0FFA9A5B" w14:textId="77777777">
        <w:trPr>
          <w:trHeight w:val="968"/>
        </w:trPr>
        <w:tc>
          <w:tcPr>
            <w:tcW w:w="6939" w:type="dxa"/>
          </w:tcPr>
          <w:p w14:paraId="2685A736" w14:textId="77777777" w:rsidR="00D3344B" w:rsidRDefault="00143C25">
            <w:pPr>
              <w:spacing w:after="0" w:line="259" w:lineRule="auto"/>
              <w:rPr>
                <w:rFonts w:ascii="Arial" w:hAnsi="Arial" w:cs="Arial"/>
                <w:color w:val="000000"/>
              </w:rPr>
            </w:pPr>
            <w:r>
              <w:rPr>
                <w:rFonts w:ascii="Arial" w:eastAsia="Times New Roman" w:hAnsi="Arial" w:cs="Arial"/>
                <w:color w:val="000000"/>
              </w:rPr>
              <w:t xml:space="preserve">b) De 250.01 metros cuadrados en adelante además de lo preceptuado anteriormente. </w:t>
            </w:r>
            <w:r>
              <w:rPr>
                <w:rFonts w:ascii="Arial" w:eastAsia="Times New Roman" w:hAnsi="Arial" w:cs="Arial"/>
                <w:color w:val="000000"/>
              </w:rPr>
              <w:tab/>
              <w:t xml:space="preserve"> </w:t>
            </w:r>
          </w:p>
        </w:tc>
        <w:tc>
          <w:tcPr>
            <w:tcW w:w="1921" w:type="dxa"/>
            <w:vAlign w:val="center"/>
          </w:tcPr>
          <w:p w14:paraId="706C90C4" w14:textId="77777777" w:rsidR="00D3344B" w:rsidRDefault="00143C25">
            <w:pPr>
              <w:spacing w:after="0" w:line="259" w:lineRule="auto"/>
              <w:ind w:left="77" w:right="54"/>
              <w:jc w:val="both"/>
              <w:rPr>
                <w:rFonts w:ascii="Arial" w:hAnsi="Arial" w:cs="Arial"/>
                <w:color w:val="000000"/>
              </w:rPr>
            </w:pPr>
            <w:r>
              <w:rPr>
                <w:rFonts w:ascii="Arial" w:eastAsia="Times New Roman" w:hAnsi="Arial" w:cs="Arial"/>
                <w:color w:val="000000"/>
              </w:rPr>
              <w:t xml:space="preserve">0.18 UMA por cada metro cuadrado o fracción que exceda. </w:t>
            </w:r>
          </w:p>
        </w:tc>
      </w:tr>
    </w:tbl>
    <w:p w14:paraId="1C003EF2" w14:textId="77777777" w:rsidR="00D3344B" w:rsidRDefault="00D3344B">
      <w:pPr>
        <w:pStyle w:val="Estilo"/>
        <w:rPr>
          <w:rFonts w:cs="Arial"/>
          <w:i/>
          <w:sz w:val="16"/>
        </w:rPr>
      </w:pPr>
    </w:p>
    <w:p w14:paraId="507B91FF" w14:textId="77777777" w:rsidR="00D3344B" w:rsidRDefault="00143C25">
      <w:pPr>
        <w:pStyle w:val="Estilo"/>
        <w:rPr>
          <w:rFonts w:cs="Arial"/>
          <w:i/>
          <w:sz w:val="16"/>
        </w:rPr>
      </w:pPr>
      <w:r>
        <w:rPr>
          <w:rFonts w:cs="Arial"/>
          <w:i/>
          <w:sz w:val="16"/>
        </w:rPr>
        <w:t xml:space="preserve">(REFORMADA, P.O. </w:t>
      </w:r>
      <w:r>
        <w:rPr>
          <w:rFonts w:cs="Arial"/>
          <w:i/>
          <w:sz w:val="16"/>
          <w:szCs w:val="16"/>
        </w:rPr>
        <w:t>26 DE DICIEMBRE DE 2022</w:t>
      </w:r>
      <w:r>
        <w:rPr>
          <w:rFonts w:cs="Arial"/>
          <w:i/>
          <w:sz w:val="16"/>
        </w:rPr>
        <w:t>)</w:t>
      </w:r>
    </w:p>
    <w:tbl>
      <w:tblPr>
        <w:tblStyle w:val="TableNormal"/>
        <w:tblW w:w="8815" w:type="dxa"/>
        <w:tblInd w:w="116" w:type="dxa"/>
        <w:tblLayout w:type="fixed"/>
        <w:tblLook w:val="01E0" w:firstRow="1" w:lastRow="1" w:firstColumn="1" w:lastColumn="1" w:noHBand="0" w:noVBand="0"/>
      </w:tblPr>
      <w:tblGrid>
        <w:gridCol w:w="6830"/>
        <w:gridCol w:w="1985"/>
      </w:tblGrid>
      <w:tr w:rsidR="00D3344B" w14:paraId="76F2F650" w14:textId="77777777">
        <w:trPr>
          <w:trHeight w:val="498"/>
        </w:trPr>
        <w:tc>
          <w:tcPr>
            <w:tcW w:w="6829" w:type="dxa"/>
          </w:tcPr>
          <w:p w14:paraId="2F9CB370" w14:textId="77777777" w:rsidR="00D3344B" w:rsidRDefault="00143C25">
            <w:pPr>
              <w:pStyle w:val="TableParagraph"/>
              <w:spacing w:line="244" w:lineRule="exact"/>
              <w:ind w:left="50"/>
            </w:pPr>
            <w:r>
              <w:rPr>
                <w:bCs/>
              </w:rPr>
              <w:t>IV.</w:t>
            </w:r>
            <w:r>
              <w:rPr>
                <w:b/>
                <w:spacing w:val="24"/>
              </w:rPr>
              <w:t xml:space="preserve"> </w:t>
            </w:r>
            <w:r>
              <w:t>Por</w:t>
            </w:r>
            <w:r>
              <w:rPr>
                <w:spacing w:val="26"/>
              </w:rPr>
              <w:t xml:space="preserve"> </w:t>
            </w:r>
            <w:r>
              <w:t>certificación</w:t>
            </w:r>
            <w:r>
              <w:rPr>
                <w:spacing w:val="24"/>
              </w:rPr>
              <w:t xml:space="preserve"> </w:t>
            </w:r>
            <w:r>
              <w:t>de</w:t>
            </w:r>
            <w:r>
              <w:rPr>
                <w:spacing w:val="28"/>
              </w:rPr>
              <w:t xml:space="preserve"> </w:t>
            </w:r>
            <w:r>
              <w:t>documentos</w:t>
            </w:r>
            <w:r>
              <w:rPr>
                <w:spacing w:val="28"/>
              </w:rPr>
              <w:t xml:space="preserve"> </w:t>
            </w:r>
            <w:r>
              <w:t>y/o</w:t>
            </w:r>
            <w:r>
              <w:rPr>
                <w:spacing w:val="27"/>
              </w:rPr>
              <w:t xml:space="preserve"> </w:t>
            </w:r>
            <w:r>
              <w:t>planos</w:t>
            </w:r>
            <w:r>
              <w:rPr>
                <w:spacing w:val="28"/>
              </w:rPr>
              <w:t xml:space="preserve"> </w:t>
            </w:r>
            <w:r>
              <w:t>catastrales</w:t>
            </w:r>
            <w:r>
              <w:rPr>
                <w:spacing w:val="27"/>
              </w:rPr>
              <w:t xml:space="preserve"> </w:t>
            </w:r>
            <w:r>
              <w:t>expedidos</w:t>
            </w:r>
            <w:r>
              <w:rPr>
                <w:spacing w:val="26"/>
              </w:rPr>
              <w:t xml:space="preserve"> </w:t>
            </w:r>
            <w:r>
              <w:t>por</w:t>
            </w:r>
            <w:r>
              <w:rPr>
                <w:spacing w:val="26"/>
              </w:rPr>
              <w:t xml:space="preserve"> </w:t>
            </w:r>
            <w:r>
              <w:rPr>
                <w:spacing w:val="-5"/>
              </w:rPr>
              <w:t xml:space="preserve">el </w:t>
            </w:r>
            <w:r>
              <w:t>Instituto</w:t>
            </w:r>
            <w:r>
              <w:rPr>
                <w:spacing w:val="-6"/>
              </w:rPr>
              <w:t xml:space="preserve"> </w:t>
            </w:r>
            <w:r>
              <w:t>de</w:t>
            </w:r>
            <w:r>
              <w:rPr>
                <w:spacing w:val="-2"/>
              </w:rPr>
              <w:t xml:space="preserve"> </w:t>
            </w:r>
            <w:r>
              <w:t>Catastro</w:t>
            </w:r>
            <w:r>
              <w:rPr>
                <w:spacing w:val="-2"/>
              </w:rPr>
              <w:t xml:space="preserve"> </w:t>
            </w:r>
            <w:r>
              <w:t>o</w:t>
            </w:r>
            <w:r>
              <w:rPr>
                <w:spacing w:val="-2"/>
              </w:rPr>
              <w:t xml:space="preserve"> </w:t>
            </w:r>
            <w:r>
              <w:t>que</w:t>
            </w:r>
            <w:r>
              <w:rPr>
                <w:spacing w:val="-4"/>
              </w:rPr>
              <w:t xml:space="preserve"> </w:t>
            </w:r>
            <w:r>
              <w:t>obre</w:t>
            </w:r>
            <w:r>
              <w:rPr>
                <w:spacing w:val="-4"/>
              </w:rPr>
              <w:t xml:space="preserve"> </w:t>
            </w:r>
            <w:r>
              <w:t>en</w:t>
            </w:r>
            <w:r>
              <w:rPr>
                <w:spacing w:val="-2"/>
              </w:rPr>
              <w:t xml:space="preserve"> </w:t>
            </w:r>
            <w:r>
              <w:t>sus</w:t>
            </w:r>
            <w:r>
              <w:rPr>
                <w:spacing w:val="-2"/>
              </w:rPr>
              <w:t xml:space="preserve"> </w:t>
            </w:r>
            <w:r>
              <w:t>archivos,</w:t>
            </w:r>
            <w:r>
              <w:rPr>
                <w:spacing w:val="-2"/>
              </w:rPr>
              <w:t xml:space="preserve"> </w:t>
            </w:r>
            <w:r>
              <w:t>por</w:t>
            </w:r>
            <w:r>
              <w:rPr>
                <w:spacing w:val="-4"/>
              </w:rPr>
              <w:t xml:space="preserve"> </w:t>
            </w:r>
            <w:r>
              <w:rPr>
                <w:spacing w:val="-2"/>
              </w:rPr>
              <w:t>foja.</w:t>
            </w:r>
          </w:p>
        </w:tc>
        <w:tc>
          <w:tcPr>
            <w:tcW w:w="1985" w:type="dxa"/>
          </w:tcPr>
          <w:p w14:paraId="299C9453" w14:textId="77777777" w:rsidR="00D3344B" w:rsidRDefault="00143C25">
            <w:pPr>
              <w:pStyle w:val="TableParagraph"/>
              <w:spacing w:line="244" w:lineRule="exact"/>
              <w:ind w:left="534"/>
            </w:pPr>
            <w:r>
              <w:t xml:space="preserve">2 </w:t>
            </w:r>
            <w:r>
              <w:rPr>
                <w:spacing w:val="-5"/>
              </w:rPr>
              <w:t>UMA</w:t>
            </w:r>
          </w:p>
        </w:tc>
      </w:tr>
    </w:tbl>
    <w:p w14:paraId="61E043CF" w14:textId="77777777" w:rsidR="00D3344B" w:rsidRDefault="00D3344B">
      <w:pPr>
        <w:pStyle w:val="Estilo"/>
        <w:rPr>
          <w:rFonts w:cs="Arial"/>
        </w:rPr>
      </w:pPr>
    </w:p>
    <w:tbl>
      <w:tblPr>
        <w:tblStyle w:val="TableGrid6"/>
        <w:tblW w:w="8917" w:type="dxa"/>
        <w:tblInd w:w="70" w:type="dxa"/>
        <w:tblLayout w:type="fixed"/>
        <w:tblLook w:val="04A0" w:firstRow="1" w:lastRow="0" w:firstColumn="1" w:lastColumn="0" w:noHBand="0" w:noVBand="1"/>
      </w:tblPr>
      <w:tblGrid>
        <w:gridCol w:w="6941"/>
        <w:gridCol w:w="1976"/>
      </w:tblGrid>
      <w:tr w:rsidR="00D3344B" w14:paraId="4426E865" w14:textId="77777777">
        <w:trPr>
          <w:trHeight w:val="406"/>
        </w:trPr>
        <w:tc>
          <w:tcPr>
            <w:tcW w:w="6940" w:type="dxa"/>
            <w:vAlign w:val="bottom"/>
          </w:tcPr>
          <w:p w14:paraId="73965A00"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6A07B13A" w14:textId="77777777" w:rsidR="00D3344B" w:rsidRDefault="00D3344B">
            <w:pPr>
              <w:spacing w:after="158" w:line="240" w:lineRule="auto"/>
              <w:ind w:left="77"/>
              <w:rPr>
                <w:rFonts w:ascii="Arial" w:hAnsi="Arial" w:cs="Arial"/>
                <w:color w:val="000000"/>
              </w:rPr>
            </w:pPr>
          </w:p>
        </w:tc>
      </w:tr>
      <w:tr w:rsidR="00D3344B" w14:paraId="60C26819" w14:textId="77777777">
        <w:trPr>
          <w:trHeight w:val="838"/>
        </w:trPr>
        <w:tc>
          <w:tcPr>
            <w:tcW w:w="6940" w:type="dxa"/>
          </w:tcPr>
          <w:p w14:paraId="23AE3ADE" w14:textId="77777777" w:rsidR="00D3344B" w:rsidRDefault="00143C25">
            <w:pPr>
              <w:spacing w:after="25" w:line="264" w:lineRule="auto"/>
              <w:ind w:left="2"/>
              <w:jc w:val="both"/>
              <w:rPr>
                <w:rFonts w:ascii="Arial" w:hAnsi="Arial" w:cs="Arial"/>
                <w:color w:val="000000"/>
              </w:rPr>
            </w:pPr>
            <w:r>
              <w:rPr>
                <w:rFonts w:ascii="Arial" w:eastAsia="Times New Roman" w:hAnsi="Arial" w:cs="Arial"/>
                <w:color w:val="000000"/>
              </w:rPr>
              <w:t>V. Por la expedición de copia heliográfica de planos catastrales de población de 90x60 centímetros.</w:t>
            </w:r>
          </w:p>
        </w:tc>
        <w:tc>
          <w:tcPr>
            <w:tcW w:w="1976" w:type="dxa"/>
          </w:tcPr>
          <w:p w14:paraId="6E1517C2"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2 UMA </w:t>
            </w:r>
          </w:p>
          <w:p w14:paraId="3A3D67C3" w14:textId="77777777" w:rsidR="00D3344B" w:rsidRDefault="00D3344B">
            <w:pPr>
              <w:spacing w:after="158" w:line="240" w:lineRule="auto"/>
              <w:ind w:left="77"/>
              <w:rPr>
                <w:rFonts w:ascii="Arial" w:hAnsi="Arial" w:cs="Arial"/>
                <w:color w:val="000000"/>
              </w:rPr>
            </w:pPr>
          </w:p>
        </w:tc>
      </w:tr>
      <w:tr w:rsidR="00D3344B" w14:paraId="34B9659A" w14:textId="77777777">
        <w:trPr>
          <w:trHeight w:val="457"/>
        </w:trPr>
        <w:tc>
          <w:tcPr>
            <w:tcW w:w="6940" w:type="dxa"/>
            <w:vAlign w:val="bottom"/>
          </w:tcPr>
          <w:p w14:paraId="1D207322"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00ED8FFC" w14:textId="77777777" w:rsidR="00D3344B" w:rsidRDefault="00D3344B">
            <w:pPr>
              <w:spacing w:after="138" w:line="259" w:lineRule="auto"/>
              <w:ind w:left="77"/>
              <w:rPr>
                <w:rFonts w:ascii="Arial" w:hAnsi="Arial" w:cs="Arial"/>
                <w:color w:val="000000"/>
              </w:rPr>
            </w:pPr>
          </w:p>
        </w:tc>
      </w:tr>
      <w:tr w:rsidR="00D3344B" w14:paraId="3141B31C" w14:textId="77777777">
        <w:trPr>
          <w:trHeight w:val="1327"/>
        </w:trPr>
        <w:tc>
          <w:tcPr>
            <w:tcW w:w="6940" w:type="dxa"/>
          </w:tcPr>
          <w:p w14:paraId="477BA17C" w14:textId="77777777" w:rsidR="00D3344B" w:rsidRDefault="00143C25">
            <w:pPr>
              <w:spacing w:after="5" w:line="259" w:lineRule="auto"/>
              <w:jc w:val="both"/>
              <w:rPr>
                <w:rFonts w:ascii="Arial" w:hAnsi="Arial" w:cs="Arial"/>
                <w:color w:val="000000"/>
              </w:rPr>
            </w:pPr>
            <w:r>
              <w:rPr>
                <w:rFonts w:ascii="Arial" w:eastAsia="Times New Roman" w:hAnsi="Arial" w:cs="Arial"/>
                <w:color w:val="000000"/>
              </w:rPr>
              <w:t>VI. Por la expedición de copia heliográfica de planos catastrales de 90x50 centímetros, de manzana, predios, construcciones, banquetas, nomenclatura o cotas fotogramétricas.</w:t>
            </w:r>
          </w:p>
        </w:tc>
        <w:tc>
          <w:tcPr>
            <w:tcW w:w="1976" w:type="dxa"/>
          </w:tcPr>
          <w:p w14:paraId="6CEEDD89"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10.5 UMA </w:t>
            </w:r>
          </w:p>
          <w:p w14:paraId="22B5BDDE" w14:textId="77777777" w:rsidR="00D3344B" w:rsidRDefault="00D3344B">
            <w:pPr>
              <w:spacing w:after="0" w:line="259" w:lineRule="auto"/>
              <w:ind w:left="77"/>
              <w:rPr>
                <w:rFonts w:ascii="Arial" w:hAnsi="Arial" w:cs="Arial"/>
                <w:color w:val="000000"/>
              </w:rPr>
            </w:pPr>
          </w:p>
        </w:tc>
      </w:tr>
      <w:tr w:rsidR="00D3344B" w14:paraId="774191E3" w14:textId="77777777">
        <w:trPr>
          <w:trHeight w:val="457"/>
        </w:trPr>
        <w:tc>
          <w:tcPr>
            <w:tcW w:w="6940" w:type="dxa"/>
            <w:vAlign w:val="bottom"/>
          </w:tcPr>
          <w:p w14:paraId="4080FB42"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26 DE DICIEMBRE DE 2022</w:t>
            </w:r>
            <w:r>
              <w:rPr>
                <w:rFonts w:eastAsia="Times New Roman" w:cs="Arial"/>
                <w:i/>
                <w:sz w:val="16"/>
              </w:rPr>
              <w:t>)</w:t>
            </w:r>
          </w:p>
        </w:tc>
        <w:tc>
          <w:tcPr>
            <w:tcW w:w="1976" w:type="dxa"/>
          </w:tcPr>
          <w:p w14:paraId="2F33F4C2" w14:textId="77777777" w:rsidR="00D3344B" w:rsidRDefault="00D3344B">
            <w:pPr>
              <w:spacing w:after="138" w:line="259" w:lineRule="auto"/>
              <w:ind w:left="77"/>
              <w:rPr>
                <w:rFonts w:ascii="Arial" w:hAnsi="Arial" w:cs="Arial"/>
                <w:color w:val="000000"/>
              </w:rPr>
            </w:pPr>
          </w:p>
        </w:tc>
      </w:tr>
      <w:tr w:rsidR="00D3344B" w14:paraId="673CC94F" w14:textId="77777777">
        <w:trPr>
          <w:trHeight w:val="457"/>
        </w:trPr>
        <w:tc>
          <w:tcPr>
            <w:tcW w:w="6940" w:type="dxa"/>
          </w:tcPr>
          <w:p w14:paraId="2986A262" w14:textId="77777777" w:rsidR="00D3344B" w:rsidRDefault="00143C25">
            <w:pPr>
              <w:pStyle w:val="Estilo"/>
              <w:jc w:val="left"/>
              <w:rPr>
                <w:rFonts w:eastAsia="Times New Roman" w:cs="Arial"/>
                <w:i/>
                <w:sz w:val="22"/>
              </w:rPr>
            </w:pPr>
            <w:r>
              <w:rPr>
                <w:rFonts w:eastAsia="Times New Roman" w:cs="Arial"/>
                <w:i/>
                <w:sz w:val="22"/>
              </w:rPr>
              <w:t>VII. Por avalúos catastrales de predios urbanos y rústicos.</w:t>
            </w:r>
          </w:p>
        </w:tc>
        <w:tc>
          <w:tcPr>
            <w:tcW w:w="1976" w:type="dxa"/>
          </w:tcPr>
          <w:p w14:paraId="2D105940" w14:textId="77777777" w:rsidR="00D3344B" w:rsidRDefault="00143C25">
            <w:pPr>
              <w:spacing w:after="138" w:line="259" w:lineRule="auto"/>
              <w:ind w:left="77"/>
              <w:rPr>
                <w:rFonts w:ascii="Arial" w:hAnsi="Arial" w:cs="Arial"/>
                <w:color w:val="000000"/>
              </w:rPr>
            </w:pPr>
            <w:r>
              <w:rPr>
                <w:rFonts w:eastAsia="Times New Roman" w:cs="Arial"/>
                <w:i/>
              </w:rPr>
              <w:t>3 UMA</w:t>
            </w:r>
          </w:p>
        </w:tc>
      </w:tr>
      <w:tr w:rsidR="00D3344B" w14:paraId="3BE58AC5" w14:textId="77777777">
        <w:trPr>
          <w:trHeight w:val="457"/>
        </w:trPr>
        <w:tc>
          <w:tcPr>
            <w:tcW w:w="6940" w:type="dxa"/>
            <w:vAlign w:val="bottom"/>
          </w:tcPr>
          <w:p w14:paraId="2203CC78"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06C7D93C" w14:textId="77777777" w:rsidR="00D3344B" w:rsidRDefault="00D3344B">
            <w:pPr>
              <w:spacing w:after="138" w:line="259" w:lineRule="auto"/>
              <w:ind w:left="77"/>
              <w:rPr>
                <w:rFonts w:ascii="Arial" w:hAnsi="Arial" w:cs="Arial"/>
                <w:color w:val="000000"/>
              </w:rPr>
            </w:pPr>
          </w:p>
        </w:tc>
      </w:tr>
      <w:tr w:rsidR="00D3344B" w14:paraId="4F46C416" w14:textId="77777777">
        <w:trPr>
          <w:trHeight w:val="1079"/>
        </w:trPr>
        <w:tc>
          <w:tcPr>
            <w:tcW w:w="6940" w:type="dxa"/>
          </w:tcPr>
          <w:p w14:paraId="70097557" w14:textId="77777777" w:rsidR="00D3344B" w:rsidRDefault="00143C25">
            <w:pPr>
              <w:spacing w:after="194" w:line="259" w:lineRule="auto"/>
              <w:ind w:right="89"/>
              <w:jc w:val="both"/>
              <w:rPr>
                <w:rFonts w:ascii="Arial" w:hAnsi="Arial" w:cs="Arial"/>
                <w:color w:val="000000"/>
              </w:rPr>
            </w:pPr>
            <w:r>
              <w:rPr>
                <w:rFonts w:ascii="Arial" w:eastAsia="Times New Roman" w:hAnsi="Arial" w:cs="Arial"/>
                <w:color w:val="000000"/>
              </w:rPr>
              <w:t xml:space="preserve">VIII. Por expedición de constancias de registro o inscripciones de predios en el padrón catastral. </w:t>
            </w:r>
            <w:r>
              <w:rPr>
                <w:rFonts w:ascii="Arial" w:eastAsia="Times New Roman" w:hAnsi="Arial" w:cs="Arial"/>
                <w:color w:val="000000"/>
              </w:rPr>
              <w:tab/>
              <w:t xml:space="preserve"> </w:t>
            </w:r>
          </w:p>
          <w:p w14:paraId="35E77947" w14:textId="77777777" w:rsidR="00D3344B" w:rsidRDefault="00143C25">
            <w:pPr>
              <w:spacing w:after="0" w:line="259" w:lineRule="auto"/>
              <w:rPr>
                <w:rFonts w:ascii="Arial" w:hAnsi="Arial" w:cs="Arial"/>
                <w:color w:val="000000"/>
              </w:rPr>
            </w:pPr>
            <w:r>
              <w:rPr>
                <w:rFonts w:ascii="Arial" w:eastAsia="Times New Roman" w:hAnsi="Arial" w:cs="Arial"/>
                <w:color w:val="000000"/>
              </w:rPr>
              <w:t xml:space="preserve"> </w:t>
            </w:r>
          </w:p>
        </w:tc>
        <w:tc>
          <w:tcPr>
            <w:tcW w:w="1976" w:type="dxa"/>
          </w:tcPr>
          <w:p w14:paraId="0C245736"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2.12 UMA </w:t>
            </w:r>
          </w:p>
          <w:p w14:paraId="693271DB" w14:textId="77777777" w:rsidR="00D3344B" w:rsidRDefault="00D3344B">
            <w:pPr>
              <w:spacing w:after="0" w:line="259" w:lineRule="auto"/>
              <w:ind w:left="77"/>
              <w:rPr>
                <w:rFonts w:ascii="Arial" w:hAnsi="Arial" w:cs="Arial"/>
                <w:color w:val="000000"/>
              </w:rPr>
            </w:pPr>
          </w:p>
        </w:tc>
      </w:tr>
      <w:tr w:rsidR="00D3344B" w14:paraId="69316539" w14:textId="77777777">
        <w:trPr>
          <w:trHeight w:val="457"/>
        </w:trPr>
        <w:tc>
          <w:tcPr>
            <w:tcW w:w="6940" w:type="dxa"/>
            <w:vAlign w:val="bottom"/>
          </w:tcPr>
          <w:p w14:paraId="68DD5E8D"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26 DE DICIEMBRE DE 2022</w:t>
            </w:r>
            <w:r>
              <w:rPr>
                <w:rFonts w:eastAsia="Times New Roman" w:cs="Arial"/>
                <w:i/>
                <w:sz w:val="16"/>
              </w:rPr>
              <w:t>)</w:t>
            </w:r>
          </w:p>
        </w:tc>
        <w:tc>
          <w:tcPr>
            <w:tcW w:w="1976" w:type="dxa"/>
          </w:tcPr>
          <w:p w14:paraId="0F8129E8" w14:textId="77777777" w:rsidR="00D3344B" w:rsidRDefault="00D3344B">
            <w:pPr>
              <w:spacing w:after="138" w:line="259" w:lineRule="auto"/>
              <w:ind w:left="77"/>
              <w:rPr>
                <w:rFonts w:ascii="Arial" w:hAnsi="Arial" w:cs="Arial"/>
                <w:color w:val="000000"/>
              </w:rPr>
            </w:pPr>
          </w:p>
        </w:tc>
      </w:tr>
      <w:tr w:rsidR="00D3344B" w14:paraId="7531024D" w14:textId="77777777">
        <w:trPr>
          <w:trHeight w:val="1079"/>
        </w:trPr>
        <w:tc>
          <w:tcPr>
            <w:tcW w:w="6940" w:type="dxa"/>
          </w:tcPr>
          <w:p w14:paraId="27052189" w14:textId="77777777" w:rsidR="00D3344B" w:rsidRDefault="00143C25">
            <w:pPr>
              <w:pStyle w:val="Estilo"/>
              <w:rPr>
                <w:rFonts w:cs="Arial"/>
                <w:color w:val="000000"/>
              </w:rPr>
            </w:pPr>
            <w:r>
              <w:rPr>
                <w:rFonts w:eastAsia="Times New Roman" w:cs="Arial"/>
              </w:rPr>
              <w:t>XIX. Por la expedición de propuesta de planos sectorizados catastrales a solicitud de los municipios.</w:t>
            </w:r>
          </w:p>
        </w:tc>
        <w:tc>
          <w:tcPr>
            <w:tcW w:w="1976" w:type="dxa"/>
          </w:tcPr>
          <w:p w14:paraId="0AE458D8" w14:textId="77777777" w:rsidR="00D3344B" w:rsidRDefault="00143C25">
            <w:pPr>
              <w:spacing w:after="138" w:line="259" w:lineRule="auto"/>
              <w:ind w:left="77"/>
              <w:rPr>
                <w:rFonts w:ascii="Arial" w:hAnsi="Arial" w:cs="Arial"/>
                <w:color w:val="000000"/>
              </w:rPr>
            </w:pPr>
            <w:r>
              <w:rPr>
                <w:rFonts w:eastAsia="Times New Roman" w:cs="Arial"/>
              </w:rPr>
              <w:t>3 UMA</w:t>
            </w:r>
          </w:p>
        </w:tc>
      </w:tr>
      <w:tr w:rsidR="00D3344B" w14:paraId="29F588B9" w14:textId="77777777">
        <w:trPr>
          <w:trHeight w:val="457"/>
        </w:trPr>
        <w:tc>
          <w:tcPr>
            <w:tcW w:w="6940" w:type="dxa"/>
            <w:vAlign w:val="bottom"/>
          </w:tcPr>
          <w:p w14:paraId="743227C6"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432CD509" w14:textId="77777777" w:rsidR="00D3344B" w:rsidRDefault="00D3344B">
            <w:pPr>
              <w:spacing w:after="138" w:line="259" w:lineRule="auto"/>
              <w:ind w:left="77"/>
              <w:rPr>
                <w:rFonts w:ascii="Arial" w:hAnsi="Arial" w:cs="Arial"/>
                <w:color w:val="000000"/>
              </w:rPr>
            </w:pPr>
          </w:p>
        </w:tc>
      </w:tr>
      <w:tr w:rsidR="00D3344B" w14:paraId="58CAE939" w14:textId="77777777">
        <w:trPr>
          <w:trHeight w:val="1079"/>
        </w:trPr>
        <w:tc>
          <w:tcPr>
            <w:tcW w:w="6940" w:type="dxa"/>
          </w:tcPr>
          <w:p w14:paraId="4B8ADB80"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 xml:space="preserve">X. Por copia de contacto en papel fotográfico blanco y negro en formato 23x23 centímetros, escala 1:4,500. </w:t>
            </w:r>
          </w:p>
          <w:p w14:paraId="2913A37B" w14:textId="77777777" w:rsidR="00D3344B" w:rsidRDefault="00D3344B">
            <w:pPr>
              <w:pStyle w:val="Estilo"/>
              <w:rPr>
                <w:rFonts w:cs="Arial"/>
              </w:rPr>
            </w:pPr>
          </w:p>
        </w:tc>
        <w:tc>
          <w:tcPr>
            <w:tcW w:w="1976" w:type="dxa"/>
          </w:tcPr>
          <w:p w14:paraId="71736153"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6.5 UMA </w:t>
            </w:r>
          </w:p>
          <w:p w14:paraId="72699D78" w14:textId="77777777" w:rsidR="00D3344B" w:rsidRDefault="00D3344B">
            <w:pPr>
              <w:spacing w:after="138" w:line="259" w:lineRule="auto"/>
              <w:ind w:left="77"/>
              <w:rPr>
                <w:rFonts w:ascii="Arial" w:hAnsi="Arial" w:cs="Arial"/>
              </w:rPr>
            </w:pPr>
          </w:p>
        </w:tc>
      </w:tr>
      <w:tr w:rsidR="00D3344B" w14:paraId="629AD301" w14:textId="77777777">
        <w:trPr>
          <w:trHeight w:val="457"/>
        </w:trPr>
        <w:tc>
          <w:tcPr>
            <w:tcW w:w="6940" w:type="dxa"/>
            <w:vAlign w:val="bottom"/>
          </w:tcPr>
          <w:p w14:paraId="7B620772"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7AC49526" w14:textId="77777777" w:rsidR="00D3344B" w:rsidRDefault="00D3344B">
            <w:pPr>
              <w:spacing w:after="138" w:line="259" w:lineRule="auto"/>
              <w:ind w:left="77"/>
              <w:rPr>
                <w:rFonts w:ascii="Arial" w:hAnsi="Arial" w:cs="Arial"/>
                <w:color w:val="000000"/>
              </w:rPr>
            </w:pPr>
          </w:p>
        </w:tc>
      </w:tr>
      <w:tr w:rsidR="00D3344B" w14:paraId="28F95488" w14:textId="77777777">
        <w:trPr>
          <w:trHeight w:val="1079"/>
        </w:trPr>
        <w:tc>
          <w:tcPr>
            <w:tcW w:w="6940" w:type="dxa"/>
          </w:tcPr>
          <w:p w14:paraId="689DC579"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XI. Por cada diapositiva blanco y negro en formato 23 x 23 centímetros escala 1:4,500.</w:t>
            </w:r>
          </w:p>
        </w:tc>
        <w:tc>
          <w:tcPr>
            <w:tcW w:w="1976" w:type="dxa"/>
          </w:tcPr>
          <w:p w14:paraId="07AD9352"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8.5 UMA</w:t>
            </w:r>
          </w:p>
        </w:tc>
      </w:tr>
      <w:tr w:rsidR="00D3344B" w14:paraId="18D3865A" w14:textId="77777777">
        <w:trPr>
          <w:trHeight w:val="457"/>
        </w:trPr>
        <w:tc>
          <w:tcPr>
            <w:tcW w:w="6940" w:type="dxa"/>
            <w:vAlign w:val="bottom"/>
          </w:tcPr>
          <w:p w14:paraId="002CB18A"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4DA39D3A" w14:textId="77777777" w:rsidR="00D3344B" w:rsidRDefault="00D3344B">
            <w:pPr>
              <w:spacing w:after="138" w:line="259" w:lineRule="auto"/>
              <w:ind w:left="77"/>
              <w:rPr>
                <w:rFonts w:ascii="Arial" w:hAnsi="Arial" w:cs="Arial"/>
                <w:color w:val="000000"/>
              </w:rPr>
            </w:pPr>
          </w:p>
        </w:tc>
      </w:tr>
      <w:tr w:rsidR="00D3344B" w14:paraId="52C2DD75" w14:textId="77777777">
        <w:trPr>
          <w:trHeight w:val="1079"/>
        </w:trPr>
        <w:tc>
          <w:tcPr>
            <w:tcW w:w="6940" w:type="dxa"/>
          </w:tcPr>
          <w:p w14:paraId="05D5E91D"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XII. Por copia fotostática de cada fotografía de contacto en formato 2</w:t>
            </w:r>
            <w:r>
              <w:rPr>
                <w:rFonts w:ascii="Arial" w:eastAsia="Times New Roman" w:hAnsi="Arial" w:cs="Arial"/>
              </w:rPr>
              <w:t xml:space="preserve"> </w:t>
            </w:r>
            <w:r>
              <w:rPr>
                <w:rFonts w:ascii="Arial" w:eastAsia="Times New Roman" w:hAnsi="Arial" w:cs="Arial"/>
                <w:color w:val="000000"/>
              </w:rPr>
              <w:t xml:space="preserve">centímetros, escala 1:4,500. 3x23 </w:t>
            </w:r>
          </w:p>
        </w:tc>
        <w:tc>
          <w:tcPr>
            <w:tcW w:w="1976" w:type="dxa"/>
          </w:tcPr>
          <w:p w14:paraId="7A5CBCC5"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 UMA</w:t>
            </w:r>
          </w:p>
        </w:tc>
      </w:tr>
      <w:tr w:rsidR="00D3344B" w14:paraId="3A0385F9" w14:textId="77777777">
        <w:trPr>
          <w:trHeight w:val="457"/>
        </w:trPr>
        <w:tc>
          <w:tcPr>
            <w:tcW w:w="6940" w:type="dxa"/>
            <w:vAlign w:val="bottom"/>
          </w:tcPr>
          <w:p w14:paraId="18B6B024"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3390185D" w14:textId="77777777" w:rsidR="00D3344B" w:rsidRDefault="00D3344B">
            <w:pPr>
              <w:spacing w:after="138" w:line="259" w:lineRule="auto"/>
              <w:ind w:left="77"/>
              <w:rPr>
                <w:rFonts w:ascii="Arial" w:hAnsi="Arial" w:cs="Arial"/>
                <w:color w:val="000000"/>
              </w:rPr>
            </w:pPr>
          </w:p>
        </w:tc>
      </w:tr>
      <w:tr w:rsidR="00D3344B" w14:paraId="4BADEF7C" w14:textId="77777777">
        <w:trPr>
          <w:trHeight w:val="1079"/>
        </w:trPr>
        <w:tc>
          <w:tcPr>
            <w:tcW w:w="6940" w:type="dxa"/>
          </w:tcPr>
          <w:p w14:paraId="3437614C"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lastRenderedPageBreak/>
              <w:t>XIII.</w:t>
            </w:r>
            <w:r>
              <w:rPr>
                <w:rFonts w:ascii="Arial" w:eastAsia="Times New Roman" w:hAnsi="Arial" w:cs="Arial"/>
                <w:color w:val="000000"/>
              </w:rPr>
              <w:tab/>
              <w:t>Por vértices geodésicos de apoyo directo, incluyendo fotografía de contacto con ubicación, listado de coordenadas Universal Transversal de Mercator y geográficas, así como un croquis.</w:t>
            </w:r>
          </w:p>
        </w:tc>
        <w:tc>
          <w:tcPr>
            <w:tcW w:w="1976" w:type="dxa"/>
          </w:tcPr>
          <w:p w14:paraId="4B9C7128"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69 UMA</w:t>
            </w:r>
          </w:p>
        </w:tc>
      </w:tr>
      <w:tr w:rsidR="00D3344B" w14:paraId="6A5039D4" w14:textId="77777777">
        <w:trPr>
          <w:trHeight w:val="457"/>
        </w:trPr>
        <w:tc>
          <w:tcPr>
            <w:tcW w:w="6940" w:type="dxa"/>
            <w:vAlign w:val="bottom"/>
          </w:tcPr>
          <w:p w14:paraId="6AC94DB9"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47B79EB4" w14:textId="77777777" w:rsidR="00D3344B" w:rsidRDefault="00D3344B">
            <w:pPr>
              <w:spacing w:after="138" w:line="259" w:lineRule="auto"/>
              <w:ind w:left="77"/>
              <w:rPr>
                <w:rFonts w:ascii="Arial" w:hAnsi="Arial" w:cs="Arial"/>
                <w:color w:val="000000"/>
              </w:rPr>
            </w:pPr>
          </w:p>
        </w:tc>
      </w:tr>
      <w:tr w:rsidR="00D3344B" w14:paraId="2077F360" w14:textId="77777777">
        <w:trPr>
          <w:trHeight w:val="1079"/>
        </w:trPr>
        <w:tc>
          <w:tcPr>
            <w:tcW w:w="6940" w:type="dxa"/>
          </w:tcPr>
          <w:p w14:paraId="22C75D13"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XIV.</w:t>
            </w:r>
            <w:r>
              <w:rPr>
                <w:rFonts w:ascii="Arial" w:eastAsia="Times New Roman" w:hAnsi="Arial" w:cs="Arial"/>
                <w:color w:val="000000"/>
              </w:rPr>
              <w:tab/>
              <w:t xml:space="preserve">Por banco de nivel incluyendo fotografía de contacto con ubicación, listado de coordenadas Universal Transversal de Mercator y </w:t>
            </w:r>
            <w:proofErr w:type="gramStart"/>
            <w:r>
              <w:rPr>
                <w:rFonts w:ascii="Arial" w:eastAsia="Times New Roman" w:hAnsi="Arial" w:cs="Arial"/>
                <w:color w:val="000000"/>
              </w:rPr>
              <w:t>geográficas,  así</w:t>
            </w:r>
            <w:proofErr w:type="gramEnd"/>
            <w:r>
              <w:rPr>
                <w:rFonts w:ascii="Arial" w:eastAsia="Times New Roman" w:hAnsi="Arial" w:cs="Arial"/>
                <w:color w:val="000000"/>
              </w:rPr>
              <w:t xml:space="preserve"> como un croquis.</w:t>
            </w:r>
          </w:p>
        </w:tc>
        <w:tc>
          <w:tcPr>
            <w:tcW w:w="1976" w:type="dxa"/>
          </w:tcPr>
          <w:p w14:paraId="554A5A53"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69 UMA</w:t>
            </w:r>
          </w:p>
        </w:tc>
      </w:tr>
      <w:tr w:rsidR="00D3344B" w14:paraId="5475903E" w14:textId="77777777">
        <w:trPr>
          <w:trHeight w:val="457"/>
        </w:trPr>
        <w:tc>
          <w:tcPr>
            <w:tcW w:w="6940" w:type="dxa"/>
            <w:vAlign w:val="bottom"/>
          </w:tcPr>
          <w:p w14:paraId="34C07FD2"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57F45BE0" w14:textId="77777777" w:rsidR="00D3344B" w:rsidRDefault="00D3344B">
            <w:pPr>
              <w:spacing w:after="138" w:line="259" w:lineRule="auto"/>
              <w:ind w:left="77"/>
              <w:rPr>
                <w:rFonts w:ascii="Arial" w:hAnsi="Arial" w:cs="Arial"/>
                <w:color w:val="000000"/>
              </w:rPr>
            </w:pPr>
          </w:p>
        </w:tc>
      </w:tr>
      <w:tr w:rsidR="00D3344B" w14:paraId="5CECB249" w14:textId="77777777">
        <w:trPr>
          <w:trHeight w:val="1079"/>
        </w:trPr>
        <w:tc>
          <w:tcPr>
            <w:tcW w:w="6940" w:type="dxa"/>
          </w:tcPr>
          <w:p w14:paraId="3D2B7BA2"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XV. Original Impreso de cartografía a escala 1:1,000 en formato 18x25 pulgadas, 0.4 kilómetro cuadrado aproximado:</w:t>
            </w:r>
          </w:p>
        </w:tc>
        <w:tc>
          <w:tcPr>
            <w:tcW w:w="1976" w:type="dxa"/>
          </w:tcPr>
          <w:p w14:paraId="4832B8EA" w14:textId="77777777" w:rsidR="00D3344B" w:rsidRDefault="00D3344B">
            <w:pPr>
              <w:spacing w:after="138" w:line="259" w:lineRule="auto"/>
              <w:ind w:left="77"/>
              <w:rPr>
                <w:rFonts w:ascii="Arial" w:hAnsi="Arial" w:cs="Arial"/>
                <w:color w:val="000000"/>
              </w:rPr>
            </w:pPr>
          </w:p>
        </w:tc>
      </w:tr>
      <w:tr w:rsidR="00D3344B" w14:paraId="0B005508" w14:textId="77777777">
        <w:trPr>
          <w:trHeight w:val="1079"/>
        </w:trPr>
        <w:tc>
          <w:tcPr>
            <w:tcW w:w="6940" w:type="dxa"/>
          </w:tcPr>
          <w:p w14:paraId="7F808D15" w14:textId="77777777" w:rsidR="00D3344B" w:rsidRDefault="00143C25">
            <w:pPr>
              <w:spacing w:after="0" w:line="240" w:lineRule="auto"/>
              <w:ind w:left="497"/>
              <w:jc w:val="both"/>
              <w:rPr>
                <w:rFonts w:ascii="Arial" w:hAnsi="Arial" w:cs="Arial"/>
                <w:color w:val="000000"/>
              </w:rPr>
            </w:pPr>
            <w:r>
              <w:rPr>
                <w:rFonts w:ascii="Arial" w:eastAsia="Times New Roman" w:hAnsi="Arial" w:cs="Arial"/>
                <w:color w:val="000000"/>
              </w:rPr>
              <w:t>a) Manzanas, banquetas, nomenclatura en coordenadas Universal Transversal de Mercator.</w:t>
            </w:r>
          </w:p>
        </w:tc>
        <w:tc>
          <w:tcPr>
            <w:tcW w:w="1976" w:type="dxa"/>
          </w:tcPr>
          <w:p w14:paraId="01B1546C"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21 UMA</w:t>
            </w:r>
          </w:p>
        </w:tc>
      </w:tr>
      <w:tr w:rsidR="00D3344B" w14:paraId="068799A1" w14:textId="77777777">
        <w:trPr>
          <w:trHeight w:val="1079"/>
        </w:trPr>
        <w:tc>
          <w:tcPr>
            <w:tcW w:w="6940" w:type="dxa"/>
          </w:tcPr>
          <w:p w14:paraId="26CAC450" w14:textId="77777777" w:rsidR="00D3344B" w:rsidRDefault="00143C25">
            <w:pPr>
              <w:spacing w:after="0" w:line="240" w:lineRule="auto"/>
              <w:ind w:left="497"/>
              <w:jc w:val="both"/>
              <w:rPr>
                <w:rFonts w:ascii="Arial" w:hAnsi="Arial" w:cs="Arial"/>
                <w:color w:val="000000"/>
              </w:rPr>
            </w:pPr>
            <w:r>
              <w:rPr>
                <w:rFonts w:ascii="Arial" w:eastAsia="Times New Roman" w:hAnsi="Arial" w:cs="Arial"/>
                <w:color w:val="000000"/>
              </w:rPr>
              <w:t>b) Manzanas, banquetas, nomenclatura, cotas fotogramétricas, altimetría en coordenadas Universal Transversal de Mercator.</w:t>
            </w:r>
          </w:p>
        </w:tc>
        <w:tc>
          <w:tcPr>
            <w:tcW w:w="1976" w:type="dxa"/>
          </w:tcPr>
          <w:p w14:paraId="4BDA0892"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51 UMA</w:t>
            </w:r>
          </w:p>
        </w:tc>
      </w:tr>
      <w:tr w:rsidR="00D3344B" w14:paraId="2B124C02" w14:textId="77777777">
        <w:trPr>
          <w:trHeight w:val="1079"/>
        </w:trPr>
        <w:tc>
          <w:tcPr>
            <w:tcW w:w="6940" w:type="dxa"/>
          </w:tcPr>
          <w:p w14:paraId="1B1D6359" w14:textId="77777777" w:rsidR="00D3344B" w:rsidRDefault="00143C25">
            <w:pPr>
              <w:spacing w:after="0" w:line="240" w:lineRule="auto"/>
              <w:ind w:left="497"/>
              <w:jc w:val="both"/>
              <w:rPr>
                <w:rFonts w:ascii="Arial" w:hAnsi="Arial" w:cs="Arial"/>
                <w:color w:val="000000"/>
              </w:rPr>
            </w:pPr>
            <w:r>
              <w:rPr>
                <w:rFonts w:ascii="Arial" w:eastAsia="Times New Roman" w:hAnsi="Arial" w:cs="Arial"/>
                <w:color w:val="000000"/>
              </w:rPr>
              <w:t>c) Manzanas, predios, construcciones, banquetas, nomenclatura, cotas fotogramétricas en coordenadas Universal Transversal de Mercator.</w:t>
            </w:r>
          </w:p>
        </w:tc>
        <w:tc>
          <w:tcPr>
            <w:tcW w:w="1976" w:type="dxa"/>
          </w:tcPr>
          <w:p w14:paraId="5179071A"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51 UMA</w:t>
            </w:r>
          </w:p>
        </w:tc>
      </w:tr>
      <w:tr w:rsidR="00D3344B" w14:paraId="6997EBB0" w14:textId="77777777">
        <w:trPr>
          <w:trHeight w:val="457"/>
        </w:trPr>
        <w:tc>
          <w:tcPr>
            <w:tcW w:w="6940" w:type="dxa"/>
            <w:vAlign w:val="bottom"/>
          </w:tcPr>
          <w:p w14:paraId="77FAC137"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69D348AC" w14:textId="77777777" w:rsidR="00D3344B" w:rsidRDefault="00D3344B">
            <w:pPr>
              <w:spacing w:after="138" w:line="259" w:lineRule="auto"/>
              <w:ind w:left="77"/>
              <w:rPr>
                <w:rFonts w:ascii="Arial" w:hAnsi="Arial" w:cs="Arial"/>
                <w:color w:val="000000"/>
              </w:rPr>
            </w:pPr>
          </w:p>
        </w:tc>
      </w:tr>
      <w:tr w:rsidR="00D3344B" w14:paraId="0FC1DCEE" w14:textId="77777777">
        <w:trPr>
          <w:trHeight w:val="892"/>
        </w:trPr>
        <w:tc>
          <w:tcPr>
            <w:tcW w:w="6940" w:type="dxa"/>
          </w:tcPr>
          <w:p w14:paraId="0439ACC9"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XVI. Formato digital de cartografía a escala 1:1,000 en formato 18x25 pulgadas, 0.4 kilómetro cuadrado aproximado:</w:t>
            </w:r>
          </w:p>
        </w:tc>
        <w:tc>
          <w:tcPr>
            <w:tcW w:w="1976" w:type="dxa"/>
          </w:tcPr>
          <w:p w14:paraId="33A65970" w14:textId="77777777" w:rsidR="00D3344B" w:rsidRDefault="00D3344B">
            <w:pPr>
              <w:spacing w:after="138" w:line="259" w:lineRule="auto"/>
              <w:ind w:left="77"/>
              <w:rPr>
                <w:rFonts w:ascii="Arial" w:hAnsi="Arial" w:cs="Arial"/>
                <w:color w:val="000000"/>
              </w:rPr>
            </w:pPr>
          </w:p>
        </w:tc>
      </w:tr>
      <w:tr w:rsidR="00D3344B" w14:paraId="73CA5140" w14:textId="77777777">
        <w:trPr>
          <w:trHeight w:val="666"/>
        </w:trPr>
        <w:tc>
          <w:tcPr>
            <w:tcW w:w="6940" w:type="dxa"/>
          </w:tcPr>
          <w:p w14:paraId="1B4555A1" w14:textId="77777777" w:rsidR="00D3344B" w:rsidRDefault="00143C25">
            <w:pPr>
              <w:spacing w:after="0" w:line="240" w:lineRule="auto"/>
              <w:ind w:left="497"/>
              <w:jc w:val="both"/>
              <w:rPr>
                <w:rFonts w:ascii="Arial" w:hAnsi="Arial" w:cs="Arial"/>
                <w:color w:val="000000"/>
              </w:rPr>
            </w:pPr>
            <w:r>
              <w:rPr>
                <w:rFonts w:ascii="Arial" w:eastAsia="Times New Roman" w:hAnsi="Arial" w:cs="Arial"/>
                <w:color w:val="000000"/>
              </w:rPr>
              <w:t>a) Archivos DWG de manzanas, predios, nomenclaturas.</w:t>
            </w:r>
          </w:p>
        </w:tc>
        <w:tc>
          <w:tcPr>
            <w:tcW w:w="1976" w:type="dxa"/>
          </w:tcPr>
          <w:p w14:paraId="4DF2B9AF"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67 UMA</w:t>
            </w:r>
          </w:p>
        </w:tc>
      </w:tr>
      <w:tr w:rsidR="00D3344B" w14:paraId="4E3E6D99" w14:textId="77777777">
        <w:trPr>
          <w:trHeight w:val="900"/>
        </w:trPr>
        <w:tc>
          <w:tcPr>
            <w:tcW w:w="6940" w:type="dxa"/>
          </w:tcPr>
          <w:p w14:paraId="339C0CEC" w14:textId="77777777" w:rsidR="00D3344B" w:rsidRDefault="00143C25">
            <w:pPr>
              <w:spacing w:after="0" w:line="240" w:lineRule="auto"/>
              <w:ind w:left="497"/>
              <w:jc w:val="both"/>
              <w:rPr>
                <w:rFonts w:ascii="Arial" w:hAnsi="Arial" w:cs="Arial"/>
                <w:color w:val="000000"/>
              </w:rPr>
            </w:pPr>
            <w:r>
              <w:rPr>
                <w:rFonts w:ascii="Arial" w:eastAsia="Times New Roman" w:hAnsi="Arial" w:cs="Arial"/>
                <w:color w:val="000000"/>
              </w:rPr>
              <w:t xml:space="preserve">b) Archivos DWG de manzanas, predios, construcciones, nomenclatura, cotas fotogramétricas, altimetría en coordenadas Universal Transversal </w:t>
            </w:r>
            <w:proofErr w:type="gramStart"/>
            <w:r>
              <w:rPr>
                <w:rFonts w:ascii="Arial" w:eastAsia="Times New Roman" w:hAnsi="Arial" w:cs="Arial"/>
                <w:color w:val="000000"/>
              </w:rPr>
              <w:t>de  Mercator</w:t>
            </w:r>
            <w:proofErr w:type="gramEnd"/>
            <w:r>
              <w:rPr>
                <w:rFonts w:ascii="Arial" w:eastAsia="Times New Roman" w:hAnsi="Arial" w:cs="Arial"/>
                <w:color w:val="000000"/>
              </w:rPr>
              <w:t>.</w:t>
            </w:r>
          </w:p>
        </w:tc>
        <w:tc>
          <w:tcPr>
            <w:tcW w:w="1976" w:type="dxa"/>
          </w:tcPr>
          <w:p w14:paraId="04A87934"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131 UMA</w:t>
            </w:r>
          </w:p>
        </w:tc>
      </w:tr>
      <w:tr w:rsidR="00D3344B" w14:paraId="280CCCD3" w14:textId="77777777">
        <w:trPr>
          <w:trHeight w:val="457"/>
        </w:trPr>
        <w:tc>
          <w:tcPr>
            <w:tcW w:w="6940" w:type="dxa"/>
            <w:vAlign w:val="bottom"/>
          </w:tcPr>
          <w:p w14:paraId="4BFF58C7"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1DFDAE1A" w14:textId="77777777" w:rsidR="00D3344B" w:rsidRDefault="00D3344B">
            <w:pPr>
              <w:spacing w:after="138" w:line="259" w:lineRule="auto"/>
              <w:ind w:left="77"/>
              <w:rPr>
                <w:rFonts w:ascii="Arial" w:hAnsi="Arial" w:cs="Arial"/>
                <w:color w:val="000000"/>
              </w:rPr>
            </w:pPr>
          </w:p>
        </w:tc>
      </w:tr>
      <w:tr w:rsidR="00D3344B" w14:paraId="6040E088" w14:textId="77777777">
        <w:trPr>
          <w:trHeight w:val="900"/>
        </w:trPr>
        <w:tc>
          <w:tcPr>
            <w:tcW w:w="6940" w:type="dxa"/>
          </w:tcPr>
          <w:p w14:paraId="0E1A8908"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XVII. Por la consulta del producto del vuelo aerofotográfico, a los archivos catastrales y planos.</w:t>
            </w:r>
          </w:p>
        </w:tc>
        <w:tc>
          <w:tcPr>
            <w:tcW w:w="1976" w:type="dxa"/>
          </w:tcPr>
          <w:p w14:paraId="2B07AB3C"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0.5 UMA</w:t>
            </w:r>
          </w:p>
        </w:tc>
      </w:tr>
      <w:tr w:rsidR="00D3344B" w14:paraId="1789F8F8" w14:textId="77777777">
        <w:trPr>
          <w:trHeight w:val="457"/>
        </w:trPr>
        <w:tc>
          <w:tcPr>
            <w:tcW w:w="6940" w:type="dxa"/>
            <w:vAlign w:val="bottom"/>
          </w:tcPr>
          <w:p w14:paraId="33F2A30A"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26 DE DICIEMBRE DE 2022</w:t>
            </w:r>
            <w:r>
              <w:rPr>
                <w:rFonts w:eastAsia="Times New Roman" w:cs="Arial"/>
                <w:i/>
                <w:sz w:val="16"/>
              </w:rPr>
              <w:t>)</w:t>
            </w:r>
          </w:p>
        </w:tc>
        <w:tc>
          <w:tcPr>
            <w:tcW w:w="1976" w:type="dxa"/>
          </w:tcPr>
          <w:p w14:paraId="7E65841B" w14:textId="77777777" w:rsidR="00D3344B" w:rsidRDefault="00D3344B">
            <w:pPr>
              <w:spacing w:after="138" w:line="259" w:lineRule="auto"/>
              <w:ind w:left="77"/>
              <w:rPr>
                <w:rFonts w:ascii="Arial" w:hAnsi="Arial" w:cs="Arial"/>
                <w:color w:val="000000"/>
              </w:rPr>
            </w:pPr>
          </w:p>
        </w:tc>
      </w:tr>
      <w:tr w:rsidR="00D3344B" w14:paraId="7A9B8A7C" w14:textId="77777777">
        <w:trPr>
          <w:trHeight w:val="900"/>
        </w:trPr>
        <w:tc>
          <w:tcPr>
            <w:tcW w:w="6940" w:type="dxa"/>
          </w:tcPr>
          <w:p w14:paraId="232110FF"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lastRenderedPageBreak/>
              <w:t>XXVIII. Por la elaboración de propuesta de tablas de valores catastrales de terrenos y/o construcciones.</w:t>
            </w:r>
            <w:r>
              <w:rPr>
                <w:rFonts w:ascii="Arial" w:eastAsia="Times New Roman" w:hAnsi="Arial" w:cs="Arial"/>
                <w:color w:val="000000"/>
              </w:rPr>
              <w:tab/>
            </w:r>
          </w:p>
        </w:tc>
        <w:tc>
          <w:tcPr>
            <w:tcW w:w="1976" w:type="dxa"/>
          </w:tcPr>
          <w:p w14:paraId="4695C461"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5 a 10 UMA</w:t>
            </w:r>
          </w:p>
        </w:tc>
      </w:tr>
      <w:tr w:rsidR="00D3344B" w14:paraId="14ABECAC" w14:textId="77777777">
        <w:trPr>
          <w:trHeight w:val="457"/>
        </w:trPr>
        <w:tc>
          <w:tcPr>
            <w:tcW w:w="6940" w:type="dxa"/>
            <w:vAlign w:val="bottom"/>
          </w:tcPr>
          <w:p w14:paraId="3C1CC1AA" w14:textId="77777777" w:rsidR="00D3344B" w:rsidRDefault="00D3344B">
            <w:pPr>
              <w:pStyle w:val="Estilo"/>
              <w:jc w:val="left"/>
              <w:rPr>
                <w:rFonts w:cs="Arial"/>
              </w:rPr>
            </w:pPr>
          </w:p>
        </w:tc>
        <w:tc>
          <w:tcPr>
            <w:tcW w:w="1976" w:type="dxa"/>
          </w:tcPr>
          <w:p w14:paraId="363E7219" w14:textId="77777777" w:rsidR="00D3344B" w:rsidRDefault="00D3344B">
            <w:pPr>
              <w:spacing w:after="138" w:line="259" w:lineRule="auto"/>
              <w:ind w:left="77"/>
              <w:rPr>
                <w:rFonts w:ascii="Arial" w:hAnsi="Arial" w:cs="Arial"/>
                <w:color w:val="000000"/>
              </w:rPr>
            </w:pPr>
          </w:p>
        </w:tc>
      </w:tr>
      <w:tr w:rsidR="00D3344B" w14:paraId="44CC9DFD" w14:textId="77777777">
        <w:trPr>
          <w:trHeight w:val="900"/>
        </w:trPr>
        <w:tc>
          <w:tcPr>
            <w:tcW w:w="6940" w:type="dxa"/>
          </w:tcPr>
          <w:p w14:paraId="22A32FD1"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 xml:space="preserve">XIX. </w:t>
            </w:r>
            <w:r>
              <w:rPr>
                <w:rFonts w:eastAsia="Times New Roman" w:cs="Arial"/>
                <w:i/>
                <w:sz w:val="16"/>
              </w:rPr>
              <w:t xml:space="preserve">(DEROGADA, P.O. </w:t>
            </w:r>
            <w:r>
              <w:rPr>
                <w:rFonts w:eastAsia="Times New Roman" w:cs="Arial"/>
                <w:i/>
                <w:sz w:val="16"/>
                <w:szCs w:val="16"/>
              </w:rPr>
              <w:t>26 DE DICIEMBRE DE 2022</w:t>
            </w:r>
            <w:r>
              <w:rPr>
                <w:rFonts w:eastAsia="Times New Roman" w:cs="Arial"/>
                <w:i/>
                <w:sz w:val="16"/>
              </w:rPr>
              <w:t>)</w:t>
            </w:r>
          </w:p>
        </w:tc>
        <w:tc>
          <w:tcPr>
            <w:tcW w:w="1976" w:type="dxa"/>
          </w:tcPr>
          <w:p w14:paraId="696E3AA4" w14:textId="77777777" w:rsidR="00D3344B" w:rsidRDefault="00D3344B">
            <w:pPr>
              <w:spacing w:after="138" w:line="259" w:lineRule="auto"/>
              <w:ind w:left="77"/>
              <w:rPr>
                <w:rFonts w:ascii="Arial" w:hAnsi="Arial" w:cs="Arial"/>
                <w:color w:val="000000"/>
              </w:rPr>
            </w:pPr>
          </w:p>
        </w:tc>
      </w:tr>
      <w:tr w:rsidR="00D3344B" w14:paraId="3C88237F" w14:textId="77777777">
        <w:trPr>
          <w:trHeight w:val="457"/>
        </w:trPr>
        <w:tc>
          <w:tcPr>
            <w:tcW w:w="6940" w:type="dxa"/>
            <w:vAlign w:val="bottom"/>
          </w:tcPr>
          <w:p w14:paraId="78D5C8C6"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3C845A47" w14:textId="77777777" w:rsidR="00D3344B" w:rsidRDefault="00D3344B">
            <w:pPr>
              <w:spacing w:after="138" w:line="259" w:lineRule="auto"/>
              <w:ind w:left="77"/>
              <w:rPr>
                <w:rFonts w:ascii="Arial" w:hAnsi="Arial" w:cs="Arial"/>
                <w:color w:val="000000"/>
              </w:rPr>
            </w:pPr>
          </w:p>
        </w:tc>
      </w:tr>
      <w:tr w:rsidR="00D3344B" w14:paraId="2E47F8EB" w14:textId="77777777">
        <w:trPr>
          <w:trHeight w:val="900"/>
        </w:trPr>
        <w:tc>
          <w:tcPr>
            <w:tcW w:w="6940" w:type="dxa"/>
          </w:tcPr>
          <w:p w14:paraId="4DC68079"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 Por la expedición de una cédula catastral.</w:t>
            </w:r>
          </w:p>
        </w:tc>
        <w:tc>
          <w:tcPr>
            <w:tcW w:w="1976" w:type="dxa"/>
          </w:tcPr>
          <w:p w14:paraId="533B8AC8"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 UMA</w:t>
            </w:r>
          </w:p>
        </w:tc>
      </w:tr>
      <w:tr w:rsidR="00D3344B" w14:paraId="2FDBB60C" w14:textId="77777777">
        <w:trPr>
          <w:trHeight w:val="457"/>
        </w:trPr>
        <w:tc>
          <w:tcPr>
            <w:tcW w:w="6940" w:type="dxa"/>
            <w:vAlign w:val="bottom"/>
          </w:tcPr>
          <w:p w14:paraId="1A25162E"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1BD0AF24" w14:textId="77777777" w:rsidR="00D3344B" w:rsidRDefault="00D3344B">
            <w:pPr>
              <w:spacing w:after="138" w:line="259" w:lineRule="auto"/>
              <w:ind w:left="77"/>
              <w:rPr>
                <w:rFonts w:ascii="Arial" w:hAnsi="Arial" w:cs="Arial"/>
                <w:color w:val="000000"/>
              </w:rPr>
            </w:pPr>
          </w:p>
        </w:tc>
      </w:tr>
      <w:tr w:rsidR="00D3344B" w14:paraId="3F4461C3" w14:textId="77777777">
        <w:trPr>
          <w:trHeight w:val="900"/>
        </w:trPr>
        <w:tc>
          <w:tcPr>
            <w:tcW w:w="6940" w:type="dxa"/>
          </w:tcPr>
          <w:p w14:paraId="1AE3A628"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XXI. Por la expedición de un certificado de valor catastral o catastral provisional.</w:t>
            </w:r>
          </w:p>
        </w:tc>
        <w:tc>
          <w:tcPr>
            <w:tcW w:w="1976" w:type="dxa"/>
          </w:tcPr>
          <w:p w14:paraId="2A69FE0F"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8.5 UMA</w:t>
            </w:r>
          </w:p>
        </w:tc>
      </w:tr>
      <w:tr w:rsidR="00D3344B" w14:paraId="6BC93EBC" w14:textId="77777777">
        <w:trPr>
          <w:trHeight w:val="457"/>
        </w:trPr>
        <w:tc>
          <w:tcPr>
            <w:tcW w:w="6940" w:type="dxa"/>
            <w:vAlign w:val="bottom"/>
          </w:tcPr>
          <w:p w14:paraId="3D67474A"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3E26A65E" w14:textId="77777777" w:rsidR="00D3344B" w:rsidRDefault="00D3344B">
            <w:pPr>
              <w:spacing w:after="138" w:line="259" w:lineRule="auto"/>
              <w:ind w:left="77"/>
              <w:rPr>
                <w:rFonts w:ascii="Arial" w:hAnsi="Arial" w:cs="Arial"/>
                <w:color w:val="000000"/>
              </w:rPr>
            </w:pPr>
          </w:p>
        </w:tc>
      </w:tr>
      <w:tr w:rsidR="00D3344B" w14:paraId="3E0B3B92" w14:textId="77777777">
        <w:trPr>
          <w:trHeight w:val="900"/>
        </w:trPr>
        <w:tc>
          <w:tcPr>
            <w:tcW w:w="6940" w:type="dxa"/>
          </w:tcPr>
          <w:p w14:paraId="2278A34A"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XXII. Por copias de plano de región catastral, sin escala, con nomenclatura de valores catastrales del suelo urbano, por plano.</w:t>
            </w:r>
          </w:p>
        </w:tc>
        <w:tc>
          <w:tcPr>
            <w:tcW w:w="1976" w:type="dxa"/>
          </w:tcPr>
          <w:p w14:paraId="091D246E"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3 UMA</w:t>
            </w:r>
          </w:p>
        </w:tc>
      </w:tr>
      <w:tr w:rsidR="00D3344B" w14:paraId="5418277F" w14:textId="77777777">
        <w:trPr>
          <w:trHeight w:val="457"/>
        </w:trPr>
        <w:tc>
          <w:tcPr>
            <w:tcW w:w="6940" w:type="dxa"/>
            <w:vAlign w:val="bottom"/>
          </w:tcPr>
          <w:p w14:paraId="4FF91EF0"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2324C14B" w14:textId="77777777" w:rsidR="00D3344B" w:rsidRDefault="00D3344B">
            <w:pPr>
              <w:spacing w:after="138" w:line="259" w:lineRule="auto"/>
              <w:ind w:left="77"/>
              <w:rPr>
                <w:rFonts w:ascii="Arial" w:hAnsi="Arial" w:cs="Arial"/>
                <w:color w:val="000000"/>
              </w:rPr>
            </w:pPr>
          </w:p>
        </w:tc>
      </w:tr>
      <w:tr w:rsidR="00D3344B" w14:paraId="2F64CDF7" w14:textId="77777777">
        <w:trPr>
          <w:trHeight w:val="900"/>
        </w:trPr>
        <w:tc>
          <w:tcPr>
            <w:tcW w:w="6940" w:type="dxa"/>
          </w:tcPr>
          <w:p w14:paraId="3DB01764"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XXIII. Por copias del plano perimetral tamaño carta de un predio registrado en la cartografía catastral urbana, escala 1:1,500, por plano.</w:t>
            </w:r>
          </w:p>
        </w:tc>
        <w:tc>
          <w:tcPr>
            <w:tcW w:w="1976" w:type="dxa"/>
          </w:tcPr>
          <w:p w14:paraId="277E3285"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3 UMA</w:t>
            </w:r>
          </w:p>
        </w:tc>
      </w:tr>
      <w:tr w:rsidR="00D3344B" w14:paraId="5E51E472" w14:textId="77777777">
        <w:trPr>
          <w:trHeight w:val="457"/>
        </w:trPr>
        <w:tc>
          <w:tcPr>
            <w:tcW w:w="6940" w:type="dxa"/>
            <w:vAlign w:val="bottom"/>
          </w:tcPr>
          <w:p w14:paraId="493E58AB"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77DC6D16" w14:textId="77777777" w:rsidR="00D3344B" w:rsidRDefault="00D3344B">
            <w:pPr>
              <w:spacing w:after="138" w:line="259" w:lineRule="auto"/>
              <w:ind w:left="77"/>
              <w:rPr>
                <w:rFonts w:ascii="Arial" w:hAnsi="Arial" w:cs="Arial"/>
                <w:color w:val="000000"/>
              </w:rPr>
            </w:pPr>
          </w:p>
        </w:tc>
      </w:tr>
      <w:tr w:rsidR="00D3344B" w14:paraId="36570D71" w14:textId="77777777">
        <w:trPr>
          <w:trHeight w:val="900"/>
        </w:trPr>
        <w:tc>
          <w:tcPr>
            <w:tcW w:w="6940" w:type="dxa"/>
          </w:tcPr>
          <w:p w14:paraId="06B5C235"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XXIV. Por la expedición de cartografía digital escala 1:1,000 en formatos DXF, DWG, y ARC/INFO, por km²:</w:t>
            </w:r>
          </w:p>
        </w:tc>
        <w:tc>
          <w:tcPr>
            <w:tcW w:w="1976" w:type="dxa"/>
          </w:tcPr>
          <w:p w14:paraId="05E82819" w14:textId="77777777" w:rsidR="00D3344B" w:rsidRDefault="00D3344B">
            <w:pPr>
              <w:spacing w:after="138" w:line="259" w:lineRule="auto"/>
              <w:ind w:left="77"/>
              <w:rPr>
                <w:rFonts w:ascii="Arial" w:hAnsi="Arial" w:cs="Arial"/>
                <w:color w:val="000000"/>
              </w:rPr>
            </w:pPr>
          </w:p>
        </w:tc>
      </w:tr>
      <w:tr w:rsidR="00D3344B" w14:paraId="509BCB7D" w14:textId="77777777">
        <w:trPr>
          <w:trHeight w:val="510"/>
        </w:trPr>
        <w:tc>
          <w:tcPr>
            <w:tcW w:w="6940" w:type="dxa"/>
          </w:tcPr>
          <w:p w14:paraId="44AB7108"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a) Cobertura de manzanas.</w:t>
            </w:r>
          </w:p>
        </w:tc>
        <w:tc>
          <w:tcPr>
            <w:tcW w:w="1976" w:type="dxa"/>
          </w:tcPr>
          <w:p w14:paraId="001C169A"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23 UMA </w:t>
            </w:r>
          </w:p>
        </w:tc>
      </w:tr>
      <w:tr w:rsidR="00D3344B" w14:paraId="70C5BE4D" w14:textId="77777777">
        <w:trPr>
          <w:trHeight w:val="291"/>
        </w:trPr>
        <w:tc>
          <w:tcPr>
            <w:tcW w:w="6940" w:type="dxa"/>
          </w:tcPr>
          <w:p w14:paraId="03DA6770"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b) Cobertura de predios.</w:t>
            </w:r>
          </w:p>
        </w:tc>
        <w:tc>
          <w:tcPr>
            <w:tcW w:w="1976" w:type="dxa"/>
          </w:tcPr>
          <w:p w14:paraId="6CBEDA33"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66 UMA </w:t>
            </w:r>
          </w:p>
        </w:tc>
      </w:tr>
      <w:tr w:rsidR="00D3344B" w14:paraId="1508ACFD" w14:textId="77777777">
        <w:trPr>
          <w:trHeight w:val="439"/>
        </w:trPr>
        <w:tc>
          <w:tcPr>
            <w:tcW w:w="6940" w:type="dxa"/>
          </w:tcPr>
          <w:p w14:paraId="6D227FD7"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c) Cobertura de construcciones.</w:t>
            </w:r>
          </w:p>
        </w:tc>
        <w:tc>
          <w:tcPr>
            <w:tcW w:w="1976" w:type="dxa"/>
          </w:tcPr>
          <w:p w14:paraId="5F8F3C49"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66 UMA</w:t>
            </w:r>
          </w:p>
        </w:tc>
      </w:tr>
      <w:tr w:rsidR="00D3344B" w14:paraId="16AAA8A3" w14:textId="77777777">
        <w:trPr>
          <w:trHeight w:val="430"/>
        </w:trPr>
        <w:tc>
          <w:tcPr>
            <w:tcW w:w="6940" w:type="dxa"/>
          </w:tcPr>
          <w:p w14:paraId="08E1320A"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d) Cobertura de curvas de nivel a cada metro.</w:t>
            </w:r>
          </w:p>
        </w:tc>
        <w:tc>
          <w:tcPr>
            <w:tcW w:w="1976" w:type="dxa"/>
          </w:tcPr>
          <w:p w14:paraId="42497217"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10.5 UMA</w:t>
            </w:r>
          </w:p>
        </w:tc>
      </w:tr>
      <w:tr w:rsidR="00D3344B" w14:paraId="541B25E0" w14:textId="77777777">
        <w:trPr>
          <w:trHeight w:val="457"/>
        </w:trPr>
        <w:tc>
          <w:tcPr>
            <w:tcW w:w="6940" w:type="dxa"/>
            <w:vAlign w:val="bottom"/>
          </w:tcPr>
          <w:p w14:paraId="2C14253F"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1BE5A5ED" w14:textId="77777777" w:rsidR="00D3344B" w:rsidRDefault="00D3344B">
            <w:pPr>
              <w:spacing w:after="138" w:line="259" w:lineRule="auto"/>
              <w:ind w:left="77"/>
              <w:rPr>
                <w:rFonts w:ascii="Arial" w:hAnsi="Arial" w:cs="Arial"/>
                <w:color w:val="000000"/>
              </w:rPr>
            </w:pPr>
          </w:p>
        </w:tc>
      </w:tr>
      <w:tr w:rsidR="00D3344B" w14:paraId="10D5972D" w14:textId="77777777">
        <w:trPr>
          <w:trHeight w:val="430"/>
        </w:trPr>
        <w:tc>
          <w:tcPr>
            <w:tcW w:w="6940" w:type="dxa"/>
          </w:tcPr>
          <w:p w14:paraId="3088E5BB" w14:textId="77777777" w:rsidR="00D3344B" w:rsidRDefault="00143C25">
            <w:pPr>
              <w:spacing w:after="0" w:line="240" w:lineRule="auto"/>
              <w:ind w:left="72"/>
              <w:jc w:val="both"/>
              <w:rPr>
                <w:rFonts w:ascii="Arial" w:hAnsi="Arial" w:cs="Arial"/>
                <w:color w:val="000000"/>
              </w:rPr>
            </w:pPr>
            <w:r>
              <w:rPr>
                <w:rFonts w:ascii="Arial" w:eastAsia="Times New Roman" w:hAnsi="Arial" w:cs="Arial"/>
                <w:color w:val="000000"/>
              </w:rPr>
              <w:t>XXV. Por la consulta vía Internet de información catastral:</w:t>
            </w:r>
          </w:p>
        </w:tc>
        <w:tc>
          <w:tcPr>
            <w:tcW w:w="1976" w:type="dxa"/>
          </w:tcPr>
          <w:p w14:paraId="0EE20B3B" w14:textId="77777777" w:rsidR="00D3344B" w:rsidRDefault="00D3344B">
            <w:pPr>
              <w:spacing w:after="138" w:line="259" w:lineRule="auto"/>
              <w:ind w:left="77"/>
              <w:rPr>
                <w:rFonts w:ascii="Arial" w:hAnsi="Arial" w:cs="Arial"/>
                <w:color w:val="000000"/>
              </w:rPr>
            </w:pPr>
          </w:p>
        </w:tc>
      </w:tr>
      <w:tr w:rsidR="00D3344B" w14:paraId="5CE56930" w14:textId="77777777">
        <w:trPr>
          <w:trHeight w:val="430"/>
        </w:trPr>
        <w:tc>
          <w:tcPr>
            <w:tcW w:w="6940" w:type="dxa"/>
          </w:tcPr>
          <w:p w14:paraId="6D154A6C"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a) Cobertura de manzanas.</w:t>
            </w:r>
          </w:p>
        </w:tc>
        <w:tc>
          <w:tcPr>
            <w:tcW w:w="1976" w:type="dxa"/>
          </w:tcPr>
          <w:p w14:paraId="64D51076"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23 UMA </w:t>
            </w:r>
          </w:p>
        </w:tc>
      </w:tr>
      <w:tr w:rsidR="00D3344B" w14:paraId="42B94BBE" w14:textId="77777777">
        <w:trPr>
          <w:trHeight w:val="430"/>
        </w:trPr>
        <w:tc>
          <w:tcPr>
            <w:tcW w:w="6940" w:type="dxa"/>
          </w:tcPr>
          <w:p w14:paraId="68014CF9"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b) Cobertura de predios.</w:t>
            </w:r>
          </w:p>
        </w:tc>
        <w:tc>
          <w:tcPr>
            <w:tcW w:w="1976" w:type="dxa"/>
          </w:tcPr>
          <w:p w14:paraId="14F2D3F0"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 xml:space="preserve">66 UMA </w:t>
            </w:r>
          </w:p>
        </w:tc>
      </w:tr>
      <w:tr w:rsidR="00D3344B" w14:paraId="2E29E3E7" w14:textId="77777777">
        <w:trPr>
          <w:trHeight w:val="430"/>
        </w:trPr>
        <w:tc>
          <w:tcPr>
            <w:tcW w:w="6940" w:type="dxa"/>
          </w:tcPr>
          <w:p w14:paraId="599BA2A5"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lastRenderedPageBreak/>
              <w:t>c) Cobertura de construcciones.</w:t>
            </w:r>
          </w:p>
        </w:tc>
        <w:tc>
          <w:tcPr>
            <w:tcW w:w="1976" w:type="dxa"/>
          </w:tcPr>
          <w:p w14:paraId="42BB7FFD"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66 UMA</w:t>
            </w:r>
          </w:p>
        </w:tc>
      </w:tr>
      <w:tr w:rsidR="00D3344B" w14:paraId="2C30D5A6" w14:textId="77777777">
        <w:trPr>
          <w:trHeight w:val="430"/>
        </w:trPr>
        <w:tc>
          <w:tcPr>
            <w:tcW w:w="6940" w:type="dxa"/>
          </w:tcPr>
          <w:p w14:paraId="1818EA57" w14:textId="77777777" w:rsidR="00D3344B" w:rsidRDefault="00143C25">
            <w:pPr>
              <w:spacing w:after="0" w:line="240" w:lineRule="auto"/>
              <w:ind w:left="639"/>
              <w:jc w:val="both"/>
              <w:rPr>
                <w:rFonts w:ascii="Arial" w:hAnsi="Arial" w:cs="Arial"/>
                <w:color w:val="000000"/>
              </w:rPr>
            </w:pPr>
            <w:r>
              <w:rPr>
                <w:rFonts w:ascii="Arial" w:eastAsia="Times New Roman" w:hAnsi="Arial" w:cs="Arial"/>
                <w:color w:val="000000"/>
              </w:rPr>
              <w:t>d) Cobertura de curvas de nivel a cada metro.</w:t>
            </w:r>
          </w:p>
        </w:tc>
        <w:tc>
          <w:tcPr>
            <w:tcW w:w="1976" w:type="dxa"/>
          </w:tcPr>
          <w:p w14:paraId="0EE2C1C8"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10.5 UMA</w:t>
            </w:r>
          </w:p>
        </w:tc>
      </w:tr>
      <w:tr w:rsidR="00D3344B" w14:paraId="56120B20" w14:textId="77777777">
        <w:trPr>
          <w:trHeight w:val="457"/>
        </w:trPr>
        <w:tc>
          <w:tcPr>
            <w:tcW w:w="6940" w:type="dxa"/>
            <w:vAlign w:val="bottom"/>
          </w:tcPr>
          <w:p w14:paraId="6880F96D"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36EDA650" w14:textId="77777777" w:rsidR="00D3344B" w:rsidRDefault="00D3344B">
            <w:pPr>
              <w:spacing w:after="138" w:line="259" w:lineRule="auto"/>
              <w:ind w:left="77"/>
              <w:rPr>
                <w:rFonts w:ascii="Arial" w:hAnsi="Arial" w:cs="Arial"/>
                <w:color w:val="000000"/>
              </w:rPr>
            </w:pPr>
          </w:p>
        </w:tc>
      </w:tr>
      <w:tr w:rsidR="00D3344B" w14:paraId="0135A65D" w14:textId="77777777">
        <w:trPr>
          <w:trHeight w:val="430"/>
        </w:trPr>
        <w:tc>
          <w:tcPr>
            <w:tcW w:w="6940" w:type="dxa"/>
          </w:tcPr>
          <w:p w14:paraId="0D41B015"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XXVI. Por la inspección ocular de predio urbano o rústico, con fines de levantamiento cartográfico, por predio.</w:t>
            </w:r>
          </w:p>
        </w:tc>
        <w:tc>
          <w:tcPr>
            <w:tcW w:w="1976" w:type="dxa"/>
          </w:tcPr>
          <w:p w14:paraId="2C0CC6DC"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4 UMA</w:t>
            </w:r>
          </w:p>
        </w:tc>
      </w:tr>
      <w:tr w:rsidR="00D3344B" w14:paraId="2DB5292C" w14:textId="77777777">
        <w:trPr>
          <w:trHeight w:val="457"/>
        </w:trPr>
        <w:tc>
          <w:tcPr>
            <w:tcW w:w="6940" w:type="dxa"/>
            <w:vAlign w:val="bottom"/>
          </w:tcPr>
          <w:p w14:paraId="023BF95B"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51D9DB0B" w14:textId="77777777" w:rsidR="00D3344B" w:rsidRDefault="00D3344B">
            <w:pPr>
              <w:spacing w:after="138" w:line="259" w:lineRule="auto"/>
              <w:ind w:left="77"/>
              <w:rPr>
                <w:rFonts w:ascii="Arial" w:hAnsi="Arial" w:cs="Arial"/>
                <w:color w:val="000000"/>
              </w:rPr>
            </w:pPr>
          </w:p>
        </w:tc>
      </w:tr>
      <w:tr w:rsidR="00D3344B" w14:paraId="30AA0D91" w14:textId="77777777">
        <w:trPr>
          <w:trHeight w:val="430"/>
        </w:trPr>
        <w:tc>
          <w:tcPr>
            <w:tcW w:w="6940" w:type="dxa"/>
          </w:tcPr>
          <w:p w14:paraId="19F944FE"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XXVII. Por consultoría aplicada a Sistemas de Información Geográfica (SIG), por hora.</w:t>
            </w:r>
          </w:p>
        </w:tc>
        <w:tc>
          <w:tcPr>
            <w:tcW w:w="1976" w:type="dxa"/>
          </w:tcPr>
          <w:p w14:paraId="0AD88D1B"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10.5 UMA</w:t>
            </w:r>
          </w:p>
        </w:tc>
      </w:tr>
      <w:tr w:rsidR="00D3344B" w14:paraId="4C4C169C" w14:textId="77777777">
        <w:trPr>
          <w:trHeight w:val="457"/>
        </w:trPr>
        <w:tc>
          <w:tcPr>
            <w:tcW w:w="6940" w:type="dxa"/>
            <w:vAlign w:val="bottom"/>
          </w:tcPr>
          <w:p w14:paraId="06D73577"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092ADC24" w14:textId="77777777" w:rsidR="00D3344B" w:rsidRDefault="00D3344B">
            <w:pPr>
              <w:spacing w:after="138" w:line="259" w:lineRule="auto"/>
              <w:ind w:left="77"/>
              <w:rPr>
                <w:rFonts w:ascii="Arial" w:hAnsi="Arial" w:cs="Arial"/>
                <w:color w:val="000000"/>
              </w:rPr>
            </w:pPr>
          </w:p>
        </w:tc>
      </w:tr>
      <w:tr w:rsidR="00D3344B" w14:paraId="3B19C33E" w14:textId="77777777">
        <w:trPr>
          <w:trHeight w:val="430"/>
        </w:trPr>
        <w:tc>
          <w:tcPr>
            <w:tcW w:w="6940" w:type="dxa"/>
          </w:tcPr>
          <w:p w14:paraId="1E0C4E18"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XXVIII. Por elaboración de propuesta de zonificación y tabla de valores catastrales de terrenos y/o construcciones.</w:t>
            </w:r>
          </w:p>
        </w:tc>
        <w:tc>
          <w:tcPr>
            <w:tcW w:w="1976" w:type="dxa"/>
          </w:tcPr>
          <w:p w14:paraId="591CA604"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10.5 UMA</w:t>
            </w:r>
          </w:p>
        </w:tc>
      </w:tr>
      <w:tr w:rsidR="00D3344B" w14:paraId="4741BF56" w14:textId="77777777">
        <w:trPr>
          <w:trHeight w:val="457"/>
        </w:trPr>
        <w:tc>
          <w:tcPr>
            <w:tcW w:w="6940" w:type="dxa"/>
            <w:vAlign w:val="bottom"/>
          </w:tcPr>
          <w:p w14:paraId="6663E88E"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21DD70EC" w14:textId="77777777" w:rsidR="00D3344B" w:rsidRDefault="00D3344B">
            <w:pPr>
              <w:spacing w:after="138" w:line="259" w:lineRule="auto"/>
              <w:ind w:left="77"/>
              <w:rPr>
                <w:rFonts w:ascii="Arial" w:hAnsi="Arial" w:cs="Arial"/>
                <w:color w:val="000000"/>
              </w:rPr>
            </w:pPr>
          </w:p>
        </w:tc>
      </w:tr>
      <w:tr w:rsidR="00D3344B" w14:paraId="0E765C97" w14:textId="77777777">
        <w:trPr>
          <w:trHeight w:val="430"/>
        </w:trPr>
        <w:tc>
          <w:tcPr>
            <w:tcW w:w="6940" w:type="dxa"/>
          </w:tcPr>
          <w:p w14:paraId="40562986"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XXIX. Por la inscripción en el catastro o registro de modificaciones.</w:t>
            </w:r>
          </w:p>
        </w:tc>
        <w:tc>
          <w:tcPr>
            <w:tcW w:w="1976" w:type="dxa"/>
          </w:tcPr>
          <w:p w14:paraId="4483C701"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2 UMA</w:t>
            </w:r>
          </w:p>
        </w:tc>
      </w:tr>
      <w:tr w:rsidR="00D3344B" w14:paraId="724202BB" w14:textId="77777777">
        <w:trPr>
          <w:trHeight w:val="457"/>
        </w:trPr>
        <w:tc>
          <w:tcPr>
            <w:tcW w:w="6940" w:type="dxa"/>
            <w:vAlign w:val="bottom"/>
          </w:tcPr>
          <w:p w14:paraId="6DCABD8E" w14:textId="77777777" w:rsidR="00D3344B" w:rsidRDefault="00143C25">
            <w:pPr>
              <w:pStyle w:val="Estilo"/>
              <w:jc w:val="left"/>
              <w:rPr>
                <w:rFonts w:cs="Arial"/>
              </w:rPr>
            </w:pPr>
            <w:r>
              <w:rPr>
                <w:rFonts w:eastAsia="Times New Roman" w:cs="Arial"/>
                <w:i/>
                <w:sz w:val="16"/>
              </w:rPr>
              <w:t xml:space="preserve">(REFORMADA, P.O. </w:t>
            </w:r>
            <w:r>
              <w:rPr>
                <w:rFonts w:eastAsia="Times New Roman" w:cs="Arial"/>
                <w:i/>
                <w:sz w:val="16"/>
                <w:szCs w:val="16"/>
              </w:rPr>
              <w:t>21 DE JUNIO DE 2021</w:t>
            </w:r>
            <w:r>
              <w:rPr>
                <w:rFonts w:eastAsia="Times New Roman" w:cs="Arial"/>
                <w:i/>
                <w:sz w:val="16"/>
              </w:rPr>
              <w:t>)</w:t>
            </w:r>
          </w:p>
        </w:tc>
        <w:tc>
          <w:tcPr>
            <w:tcW w:w="1976" w:type="dxa"/>
          </w:tcPr>
          <w:p w14:paraId="15D6F357" w14:textId="77777777" w:rsidR="00D3344B" w:rsidRDefault="00D3344B">
            <w:pPr>
              <w:spacing w:after="138" w:line="259" w:lineRule="auto"/>
              <w:ind w:left="77"/>
              <w:rPr>
                <w:rFonts w:ascii="Arial" w:hAnsi="Arial" w:cs="Arial"/>
                <w:color w:val="000000"/>
              </w:rPr>
            </w:pPr>
          </w:p>
        </w:tc>
      </w:tr>
      <w:tr w:rsidR="00D3344B" w14:paraId="4299145C" w14:textId="77777777">
        <w:trPr>
          <w:trHeight w:val="430"/>
        </w:trPr>
        <w:tc>
          <w:tcPr>
            <w:tcW w:w="6940" w:type="dxa"/>
          </w:tcPr>
          <w:p w14:paraId="696FADA0" w14:textId="77777777" w:rsidR="00D3344B" w:rsidRDefault="00143C25">
            <w:pPr>
              <w:spacing w:after="0" w:line="240" w:lineRule="auto"/>
              <w:jc w:val="both"/>
              <w:rPr>
                <w:rFonts w:ascii="Arial" w:hAnsi="Arial" w:cs="Arial"/>
                <w:color w:val="000000"/>
              </w:rPr>
            </w:pPr>
            <w:r>
              <w:rPr>
                <w:rFonts w:ascii="Arial" w:eastAsia="Times New Roman" w:hAnsi="Arial" w:cs="Arial"/>
                <w:color w:val="000000"/>
              </w:rPr>
              <w:t>XXX. Por la publicación de edictos en los estrados del Instituto.</w:t>
            </w:r>
          </w:p>
        </w:tc>
        <w:tc>
          <w:tcPr>
            <w:tcW w:w="1976" w:type="dxa"/>
          </w:tcPr>
          <w:p w14:paraId="7C64D054" w14:textId="77777777" w:rsidR="00D3344B" w:rsidRDefault="00143C25">
            <w:pPr>
              <w:spacing w:after="138" w:line="259" w:lineRule="auto"/>
              <w:ind w:left="77"/>
              <w:rPr>
                <w:rFonts w:ascii="Arial" w:hAnsi="Arial" w:cs="Arial"/>
                <w:color w:val="000000"/>
              </w:rPr>
            </w:pPr>
            <w:r>
              <w:rPr>
                <w:rFonts w:ascii="Arial" w:eastAsia="Times New Roman" w:hAnsi="Arial" w:cs="Arial"/>
                <w:color w:val="000000"/>
              </w:rPr>
              <w:t>2 UMA</w:t>
            </w:r>
          </w:p>
        </w:tc>
      </w:tr>
    </w:tbl>
    <w:p w14:paraId="05AEF25B" w14:textId="77777777" w:rsidR="00D3344B" w:rsidRDefault="00D3344B">
      <w:pPr>
        <w:pStyle w:val="Estilo"/>
        <w:rPr>
          <w:rFonts w:cs="Arial"/>
        </w:rPr>
      </w:pPr>
    </w:p>
    <w:p w14:paraId="239433E0" w14:textId="77777777" w:rsidR="00D3344B" w:rsidRDefault="00D3344B">
      <w:pPr>
        <w:pStyle w:val="Estilo"/>
        <w:rPr>
          <w:rFonts w:cs="Arial"/>
        </w:rPr>
      </w:pPr>
    </w:p>
    <w:p w14:paraId="0796CF4D" w14:textId="77777777" w:rsidR="00D3344B" w:rsidRDefault="00143C25">
      <w:pPr>
        <w:pStyle w:val="Estilo"/>
        <w:rPr>
          <w:rFonts w:cs="Arial"/>
          <w:i/>
          <w:sz w:val="16"/>
          <w:szCs w:val="16"/>
        </w:rPr>
      </w:pPr>
      <w:r>
        <w:rPr>
          <w:rFonts w:cs="Arial"/>
          <w:i/>
          <w:sz w:val="16"/>
          <w:szCs w:val="16"/>
        </w:rPr>
        <w:t>(REFORMADA SU DENOMINACIÓN, P.O. 24 DE DICIEMBRE DE 2014)</w:t>
      </w:r>
    </w:p>
    <w:p w14:paraId="3F9B75EB" w14:textId="77777777" w:rsidR="00D3344B" w:rsidRDefault="00143C25">
      <w:pPr>
        <w:pStyle w:val="Estilo"/>
        <w:jc w:val="center"/>
        <w:rPr>
          <w:rFonts w:cs="Arial"/>
          <w:b/>
        </w:rPr>
      </w:pPr>
      <w:r>
        <w:rPr>
          <w:rFonts w:cs="Arial"/>
          <w:b/>
        </w:rPr>
        <w:t>Subsección Undécima</w:t>
      </w:r>
    </w:p>
    <w:p w14:paraId="4A079402" w14:textId="77777777" w:rsidR="00D3344B" w:rsidRDefault="00143C25">
      <w:pPr>
        <w:pStyle w:val="Estilo"/>
        <w:jc w:val="center"/>
        <w:rPr>
          <w:rFonts w:cs="Arial"/>
          <w:b/>
        </w:rPr>
      </w:pPr>
      <w:r>
        <w:rPr>
          <w:rFonts w:cs="Arial"/>
          <w:b/>
        </w:rPr>
        <w:t>Derechos por los Servicios Prestados por la Secretaría de Gobierno en materia de Seguridad Publica.</w:t>
      </w:r>
    </w:p>
    <w:p w14:paraId="1FC5F030" w14:textId="77777777" w:rsidR="00D3344B" w:rsidRDefault="00D3344B">
      <w:pPr>
        <w:pStyle w:val="Estilo"/>
        <w:rPr>
          <w:rFonts w:cs="Arial"/>
        </w:rPr>
      </w:pPr>
    </w:p>
    <w:p w14:paraId="079C24A7" w14:textId="77777777" w:rsidR="00D3344B" w:rsidRDefault="00143C25">
      <w:pPr>
        <w:pStyle w:val="Estilo"/>
        <w:rPr>
          <w:rFonts w:cs="Arial"/>
          <w:i/>
          <w:sz w:val="16"/>
          <w:szCs w:val="16"/>
        </w:rPr>
      </w:pPr>
      <w:r>
        <w:rPr>
          <w:rFonts w:cs="Arial"/>
          <w:i/>
          <w:sz w:val="16"/>
          <w:szCs w:val="16"/>
        </w:rPr>
        <w:t>(REFORMADO PRIMER PÁRRAFO, P.O. 29 DE NOVIEMBRE DE 2023)</w:t>
      </w:r>
    </w:p>
    <w:p w14:paraId="0C36CB86" w14:textId="77777777" w:rsidR="00D3344B" w:rsidRDefault="00143C25">
      <w:pPr>
        <w:pStyle w:val="Estilo"/>
        <w:rPr>
          <w:rFonts w:cs="Arial"/>
        </w:rPr>
      </w:pPr>
      <w:r>
        <w:rPr>
          <w:rFonts w:cs="Arial"/>
          <w:b/>
        </w:rPr>
        <w:t>Artículo 162 - H.</w:t>
      </w:r>
      <w:r>
        <w:rPr>
          <w:rFonts w:cs="Arial"/>
        </w:rPr>
        <w:t xml:space="preserve"> Los servicios prestados por la Secretaría de Seguridad Ciudadana causarán los derechos siguientes:</w:t>
      </w:r>
    </w:p>
    <w:p w14:paraId="2D2A97A4" w14:textId="77777777" w:rsidR="00D3344B" w:rsidRDefault="00D3344B">
      <w:pPr>
        <w:pStyle w:val="Estilo"/>
        <w:rPr>
          <w:rFonts w:cs="Arial"/>
        </w:rPr>
      </w:pPr>
    </w:p>
    <w:p w14:paraId="56083EC0"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6973"/>
        <w:gridCol w:w="1922"/>
      </w:tblGrid>
      <w:tr w:rsidR="00D3344B" w14:paraId="0067DD23" w14:textId="77777777">
        <w:trPr>
          <w:trHeight w:val="563"/>
        </w:trPr>
        <w:tc>
          <w:tcPr>
            <w:tcW w:w="6972" w:type="dxa"/>
          </w:tcPr>
          <w:p w14:paraId="155C333B" w14:textId="77777777" w:rsidR="00D3344B" w:rsidRDefault="00D3344B">
            <w:pPr>
              <w:spacing w:after="59" w:line="259" w:lineRule="auto"/>
              <w:ind w:right="184"/>
              <w:jc w:val="right"/>
              <w:rPr>
                <w:rFonts w:ascii="Arial" w:hAnsi="Arial" w:cs="Arial"/>
              </w:rPr>
            </w:pPr>
          </w:p>
          <w:p w14:paraId="0D260BFE" w14:textId="77777777" w:rsidR="00D3344B" w:rsidRDefault="00143C25">
            <w:pPr>
              <w:spacing w:after="0" w:line="259" w:lineRule="auto"/>
              <w:ind w:right="381"/>
              <w:jc w:val="center"/>
              <w:rPr>
                <w:rFonts w:ascii="Arial" w:hAnsi="Arial" w:cs="Arial"/>
              </w:rPr>
            </w:pPr>
            <w:r>
              <w:rPr>
                <w:rFonts w:ascii="Arial" w:hAnsi="Arial" w:cs="Arial"/>
                <w:b/>
              </w:rPr>
              <w:t xml:space="preserve">CONCEPTO </w:t>
            </w:r>
          </w:p>
        </w:tc>
        <w:tc>
          <w:tcPr>
            <w:tcW w:w="1922" w:type="dxa"/>
          </w:tcPr>
          <w:p w14:paraId="07A6D389" w14:textId="77777777" w:rsidR="00D3344B" w:rsidRDefault="00143C25">
            <w:pPr>
              <w:spacing w:after="0" w:line="259" w:lineRule="auto"/>
              <w:ind w:right="12"/>
              <w:jc w:val="center"/>
              <w:rPr>
                <w:rFonts w:ascii="Arial" w:hAnsi="Arial" w:cs="Arial"/>
              </w:rPr>
            </w:pPr>
            <w:r>
              <w:rPr>
                <w:rFonts w:ascii="Arial" w:hAnsi="Arial" w:cs="Arial"/>
                <w:b/>
              </w:rPr>
              <w:t xml:space="preserve">DERECHOS </w:t>
            </w:r>
          </w:p>
          <w:p w14:paraId="260DF474" w14:textId="77777777" w:rsidR="00D3344B" w:rsidRDefault="00143C25">
            <w:pPr>
              <w:spacing w:after="0" w:line="259" w:lineRule="auto"/>
              <w:ind w:right="10"/>
              <w:jc w:val="center"/>
              <w:rPr>
                <w:rFonts w:ascii="Arial" w:hAnsi="Arial" w:cs="Arial"/>
              </w:rPr>
            </w:pPr>
            <w:r>
              <w:rPr>
                <w:rFonts w:ascii="Arial" w:hAnsi="Arial" w:cs="Arial"/>
                <w:b/>
              </w:rPr>
              <w:t xml:space="preserve">CAUSADOS </w:t>
            </w:r>
          </w:p>
        </w:tc>
      </w:tr>
      <w:tr w:rsidR="00D3344B" w14:paraId="7343E0AD" w14:textId="77777777">
        <w:trPr>
          <w:trHeight w:val="1585"/>
        </w:trPr>
        <w:tc>
          <w:tcPr>
            <w:tcW w:w="6972" w:type="dxa"/>
          </w:tcPr>
          <w:p w14:paraId="2B9B36C5" w14:textId="77777777" w:rsidR="00D3344B" w:rsidRDefault="00143C25">
            <w:pPr>
              <w:spacing w:after="159" w:line="235" w:lineRule="auto"/>
              <w:ind w:right="383"/>
              <w:rPr>
                <w:rFonts w:ascii="Arial" w:hAnsi="Arial" w:cs="Arial"/>
              </w:rPr>
            </w:pPr>
            <w:r>
              <w:rPr>
                <w:rFonts w:ascii="Arial" w:hAnsi="Arial" w:cs="Arial"/>
                <w:b/>
              </w:rPr>
              <w:t>I.</w:t>
            </w:r>
            <w:r>
              <w:rPr>
                <w:rFonts w:ascii="Arial" w:hAnsi="Arial" w:cs="Arial"/>
              </w:rPr>
              <w:t xml:space="preserve"> Expedición del certificado médico a las personas aseguradas, </w:t>
            </w:r>
            <w:proofErr w:type="gramStart"/>
            <w:r>
              <w:rPr>
                <w:rFonts w:ascii="Arial" w:hAnsi="Arial" w:cs="Arial"/>
              </w:rPr>
              <w:t>detenidas,  puestas</w:t>
            </w:r>
            <w:proofErr w:type="gramEnd"/>
            <w:r>
              <w:rPr>
                <w:rFonts w:ascii="Arial" w:hAnsi="Arial" w:cs="Arial"/>
              </w:rPr>
              <w:t xml:space="preserve"> a disposición o en custodia de esta dependencia, que tengan a partir de segundo grado de intoxicación etílica, así como le sean valoradas lesiones y se le den curaciones. </w:t>
            </w:r>
          </w:p>
          <w:p w14:paraId="7C91001A" w14:textId="77777777" w:rsidR="00D3344B" w:rsidRDefault="00143C25">
            <w:pPr>
              <w:spacing w:after="0" w:line="259" w:lineRule="auto"/>
              <w:rPr>
                <w:rFonts w:ascii="Arial" w:hAnsi="Arial" w:cs="Arial"/>
              </w:rPr>
            </w:pPr>
            <w:r>
              <w:rPr>
                <w:rFonts w:ascii="Arial" w:hAnsi="Arial" w:cs="Arial"/>
              </w:rPr>
              <w:t xml:space="preserve"> </w:t>
            </w:r>
          </w:p>
        </w:tc>
        <w:tc>
          <w:tcPr>
            <w:tcW w:w="1922" w:type="dxa"/>
          </w:tcPr>
          <w:p w14:paraId="61BDDA2F" w14:textId="77777777" w:rsidR="00D3344B" w:rsidRDefault="00143C25">
            <w:pPr>
              <w:spacing w:after="138" w:line="259" w:lineRule="auto"/>
              <w:rPr>
                <w:rFonts w:ascii="Arial" w:hAnsi="Arial" w:cs="Arial"/>
              </w:rPr>
            </w:pPr>
            <w:r>
              <w:rPr>
                <w:rFonts w:ascii="Arial" w:hAnsi="Arial" w:cs="Arial"/>
                <w:b/>
              </w:rPr>
              <w:t xml:space="preserve">       20 UMA </w:t>
            </w:r>
          </w:p>
          <w:p w14:paraId="4B6816EA" w14:textId="77777777" w:rsidR="00D3344B" w:rsidRDefault="00143C25">
            <w:pPr>
              <w:spacing w:after="0" w:line="259" w:lineRule="auto"/>
              <w:ind w:left="44"/>
              <w:rPr>
                <w:rFonts w:ascii="Arial" w:hAnsi="Arial" w:cs="Arial"/>
              </w:rPr>
            </w:pPr>
            <w:r>
              <w:rPr>
                <w:rFonts w:ascii="Arial" w:hAnsi="Arial" w:cs="Arial"/>
                <w:b/>
              </w:rPr>
              <w:t xml:space="preserve"> </w:t>
            </w:r>
          </w:p>
        </w:tc>
      </w:tr>
      <w:tr w:rsidR="00D3344B" w14:paraId="08DF6D88" w14:textId="77777777">
        <w:trPr>
          <w:trHeight w:val="826"/>
        </w:trPr>
        <w:tc>
          <w:tcPr>
            <w:tcW w:w="6972" w:type="dxa"/>
          </w:tcPr>
          <w:p w14:paraId="0E0F4C9B" w14:textId="77777777" w:rsidR="00D3344B" w:rsidRDefault="00143C25">
            <w:pPr>
              <w:tabs>
                <w:tab w:val="center" w:pos="6734"/>
              </w:tabs>
              <w:spacing w:after="144" w:line="259" w:lineRule="auto"/>
              <w:rPr>
                <w:rFonts w:ascii="Arial" w:hAnsi="Arial" w:cs="Arial"/>
              </w:rPr>
            </w:pPr>
            <w:r>
              <w:rPr>
                <w:rFonts w:ascii="Arial" w:hAnsi="Arial" w:cs="Arial"/>
                <w:b/>
              </w:rPr>
              <w:t>II</w:t>
            </w:r>
            <w:r>
              <w:rPr>
                <w:rFonts w:ascii="Arial" w:hAnsi="Arial" w:cs="Arial"/>
              </w:rPr>
              <w:t xml:space="preserve">. Expedición de Constancia de Legalidad de Vehículos. </w:t>
            </w:r>
            <w:r>
              <w:rPr>
                <w:rFonts w:ascii="Arial" w:hAnsi="Arial" w:cs="Arial"/>
              </w:rPr>
              <w:tab/>
              <w:t xml:space="preserve"> </w:t>
            </w:r>
          </w:p>
          <w:p w14:paraId="7BFA7E3E" w14:textId="77777777" w:rsidR="00D3344B" w:rsidRDefault="00143C25">
            <w:pPr>
              <w:spacing w:after="0" w:line="259" w:lineRule="auto"/>
              <w:rPr>
                <w:rFonts w:ascii="Arial" w:hAnsi="Arial" w:cs="Arial"/>
              </w:rPr>
            </w:pPr>
            <w:r>
              <w:rPr>
                <w:rFonts w:ascii="Arial" w:hAnsi="Arial" w:cs="Arial"/>
              </w:rPr>
              <w:t xml:space="preserve"> </w:t>
            </w:r>
          </w:p>
        </w:tc>
        <w:tc>
          <w:tcPr>
            <w:tcW w:w="1922" w:type="dxa"/>
          </w:tcPr>
          <w:p w14:paraId="53CA099B" w14:textId="77777777" w:rsidR="00D3344B" w:rsidRDefault="00143C25">
            <w:pPr>
              <w:spacing w:after="0" w:line="259" w:lineRule="auto"/>
              <w:ind w:left="44"/>
              <w:rPr>
                <w:rFonts w:ascii="Arial" w:hAnsi="Arial" w:cs="Arial"/>
              </w:rPr>
            </w:pPr>
            <w:r>
              <w:rPr>
                <w:rFonts w:ascii="Arial" w:hAnsi="Arial" w:cs="Arial"/>
                <w:b/>
              </w:rPr>
              <w:t xml:space="preserve">       4 UMA </w:t>
            </w:r>
          </w:p>
        </w:tc>
      </w:tr>
    </w:tbl>
    <w:p w14:paraId="7E79B54C" w14:textId="77777777" w:rsidR="00D3344B" w:rsidRDefault="00D3344B">
      <w:pPr>
        <w:pStyle w:val="Estilo"/>
        <w:rPr>
          <w:rFonts w:cs="Arial"/>
        </w:rPr>
      </w:pPr>
    </w:p>
    <w:p w14:paraId="1E2D1BF9" w14:textId="77777777" w:rsidR="00D3344B" w:rsidRDefault="00143C25">
      <w:pPr>
        <w:pStyle w:val="Estilo"/>
        <w:rPr>
          <w:rFonts w:cs="Arial"/>
        </w:rPr>
      </w:pPr>
      <w:r>
        <w:rPr>
          <w:rFonts w:cs="Arial"/>
          <w:i/>
          <w:sz w:val="16"/>
        </w:rPr>
        <w:t>(ADICIONADO, P.O. 7 DE DICIEMBRE DE 2009)</w:t>
      </w:r>
    </w:p>
    <w:p w14:paraId="4396E092" w14:textId="77777777" w:rsidR="00D3344B" w:rsidRDefault="00143C25">
      <w:pPr>
        <w:pStyle w:val="Estilo"/>
        <w:rPr>
          <w:rFonts w:cs="Arial"/>
        </w:rPr>
      </w:pPr>
      <w:r>
        <w:rPr>
          <w:rFonts w:cs="Arial"/>
          <w:b/>
          <w:bCs/>
        </w:rPr>
        <w:t>III.</w:t>
      </w:r>
      <w:r>
        <w:rPr>
          <w:rFonts w:cs="Arial"/>
        </w:rPr>
        <w:t xml:space="preserve"> Los servicios prestados a través del Departamento de vialidad administrativa, causarán los derechos siguientes:</w:t>
      </w:r>
    </w:p>
    <w:p w14:paraId="0E3214F6" w14:textId="77777777" w:rsidR="00D3344B" w:rsidRDefault="00D3344B">
      <w:pPr>
        <w:pStyle w:val="Estilo"/>
        <w:rPr>
          <w:rFonts w:cs="Arial"/>
        </w:rPr>
      </w:pPr>
    </w:p>
    <w:p w14:paraId="325AE5A1" w14:textId="77777777" w:rsidR="00D3344B" w:rsidRDefault="00143C25">
      <w:pPr>
        <w:pStyle w:val="Estilo"/>
        <w:rPr>
          <w:rFonts w:cs="Arial"/>
          <w:i/>
          <w:iCs/>
          <w:sz w:val="16"/>
          <w:szCs w:val="16"/>
        </w:rPr>
      </w:pPr>
      <w:r>
        <w:rPr>
          <w:rFonts w:cs="Arial"/>
          <w:i/>
          <w:iCs/>
          <w:sz w:val="16"/>
          <w:szCs w:val="16"/>
        </w:rPr>
        <w:t>(REFORMADO, P.O. 22 DE DICIEMBRE DE 2021)</w:t>
      </w:r>
    </w:p>
    <w:p w14:paraId="6428172B" w14:textId="77777777" w:rsidR="00D3344B" w:rsidRDefault="00143C25">
      <w:pPr>
        <w:pStyle w:val="Estilo"/>
        <w:rPr>
          <w:rFonts w:cs="Arial"/>
        </w:rPr>
      </w:pPr>
      <w:r>
        <w:rPr>
          <w:rFonts w:cs="Arial"/>
        </w:rPr>
        <w:t xml:space="preserve">a). Salvamento y arrastre efectuado por grúas de la </w:t>
      </w:r>
      <w:proofErr w:type="gramStart"/>
      <w:r>
        <w:rPr>
          <w:rFonts w:cs="Arial"/>
        </w:rPr>
        <w:t>Secretaria</w:t>
      </w:r>
      <w:proofErr w:type="gramEnd"/>
      <w:r>
        <w:rPr>
          <w:rFonts w:cs="Arial"/>
        </w:rPr>
        <w:t xml:space="preserve"> de Seguridad Ciudadana a los corralones autorizados por la Secretaría de Movilidad y Transporte:</w:t>
      </w:r>
    </w:p>
    <w:p w14:paraId="710DC9F9" w14:textId="77777777" w:rsidR="00D3344B" w:rsidRDefault="00D3344B">
      <w:pPr>
        <w:pStyle w:val="Estilo"/>
        <w:rPr>
          <w:rFonts w:cs="Arial"/>
        </w:rPr>
      </w:pPr>
    </w:p>
    <w:p w14:paraId="390A513D" w14:textId="77777777" w:rsidR="00D3344B" w:rsidRDefault="00143C25">
      <w:pPr>
        <w:pStyle w:val="Estilo"/>
        <w:rPr>
          <w:rFonts w:cs="Arial"/>
          <w:i/>
          <w:iCs/>
          <w:sz w:val="16"/>
          <w:szCs w:val="16"/>
        </w:rPr>
      </w:pPr>
      <w:r>
        <w:rPr>
          <w:rFonts w:cs="Arial"/>
          <w:i/>
          <w:iCs/>
          <w:sz w:val="16"/>
          <w:szCs w:val="16"/>
        </w:rPr>
        <w:t>(REFORMADO, P.O. 22 DE DICIEMBRE DE 2021)</w:t>
      </w:r>
    </w:p>
    <w:tbl>
      <w:tblPr>
        <w:tblStyle w:val="TableGrid"/>
        <w:tblW w:w="8895" w:type="dxa"/>
        <w:tblInd w:w="70" w:type="dxa"/>
        <w:tblLayout w:type="fixed"/>
        <w:tblLook w:val="04A0" w:firstRow="1" w:lastRow="0" w:firstColumn="1" w:lastColumn="0" w:noHBand="0" w:noVBand="1"/>
      </w:tblPr>
      <w:tblGrid>
        <w:gridCol w:w="7019"/>
        <w:gridCol w:w="1876"/>
      </w:tblGrid>
      <w:tr w:rsidR="00D3344B" w14:paraId="4A0173F0" w14:textId="77777777">
        <w:trPr>
          <w:trHeight w:val="371"/>
        </w:trPr>
        <w:tc>
          <w:tcPr>
            <w:tcW w:w="7018" w:type="dxa"/>
          </w:tcPr>
          <w:p w14:paraId="5BDB6DB2" w14:textId="77777777" w:rsidR="00D3344B" w:rsidRDefault="00143C25">
            <w:pPr>
              <w:tabs>
                <w:tab w:val="center" w:pos="6734"/>
              </w:tabs>
              <w:spacing w:after="144" w:line="259" w:lineRule="auto"/>
              <w:rPr>
                <w:rFonts w:ascii="Arial" w:hAnsi="Arial" w:cs="Arial"/>
              </w:rPr>
            </w:pPr>
            <w:r>
              <w:rPr>
                <w:rFonts w:ascii="Arial" w:hAnsi="Arial" w:cs="Arial"/>
                <w:b/>
              </w:rPr>
              <w:t>1.</w:t>
            </w:r>
            <w:r>
              <w:rPr>
                <w:rFonts w:ascii="Arial" w:hAnsi="Arial" w:cs="Arial"/>
              </w:rPr>
              <w:t xml:space="preserve"> Banderazo, </w:t>
            </w:r>
            <w:r>
              <w:rPr>
                <w:rFonts w:ascii="Arial" w:hAnsi="Arial" w:cs="Arial"/>
              </w:rPr>
              <w:tab/>
              <w:t xml:space="preserve"> </w:t>
            </w:r>
          </w:p>
        </w:tc>
        <w:tc>
          <w:tcPr>
            <w:tcW w:w="1876" w:type="dxa"/>
          </w:tcPr>
          <w:p w14:paraId="0C0C2C05" w14:textId="77777777" w:rsidR="00D3344B" w:rsidRDefault="00143C25">
            <w:pPr>
              <w:spacing w:after="0" w:line="259" w:lineRule="auto"/>
              <w:rPr>
                <w:rFonts w:ascii="Arial" w:hAnsi="Arial" w:cs="Arial"/>
              </w:rPr>
            </w:pPr>
            <w:r>
              <w:rPr>
                <w:rFonts w:ascii="Arial" w:hAnsi="Arial" w:cs="Arial"/>
                <w:b/>
              </w:rPr>
              <w:t xml:space="preserve">3    UMA </w:t>
            </w:r>
          </w:p>
        </w:tc>
      </w:tr>
      <w:tr w:rsidR="00D3344B" w14:paraId="272945B7" w14:textId="77777777">
        <w:trPr>
          <w:trHeight w:val="396"/>
        </w:trPr>
        <w:tc>
          <w:tcPr>
            <w:tcW w:w="7018" w:type="dxa"/>
          </w:tcPr>
          <w:p w14:paraId="34C999E7" w14:textId="77777777" w:rsidR="00D3344B" w:rsidRDefault="00143C25">
            <w:pPr>
              <w:pStyle w:val="Estilo"/>
              <w:rPr>
                <w:rFonts w:cs="Arial"/>
                <w:i/>
                <w:iCs/>
                <w:sz w:val="16"/>
                <w:szCs w:val="16"/>
              </w:rPr>
            </w:pPr>
            <w:r>
              <w:rPr>
                <w:rFonts w:cs="Arial"/>
                <w:i/>
                <w:iCs/>
                <w:sz w:val="16"/>
                <w:szCs w:val="16"/>
              </w:rPr>
              <w:t>(REFORMADO, P.O. 22 DE DICIEMBRE DE 2021)</w:t>
            </w:r>
          </w:p>
          <w:p w14:paraId="3521F2FC" w14:textId="77777777" w:rsidR="00D3344B" w:rsidRDefault="00143C25">
            <w:pPr>
              <w:tabs>
                <w:tab w:val="center" w:pos="6734"/>
              </w:tabs>
              <w:spacing w:after="146" w:line="259" w:lineRule="auto"/>
              <w:rPr>
                <w:rFonts w:ascii="Arial" w:hAnsi="Arial" w:cs="Arial"/>
              </w:rPr>
            </w:pPr>
            <w:r>
              <w:rPr>
                <w:rFonts w:ascii="Arial" w:hAnsi="Arial" w:cs="Arial"/>
                <w:b/>
              </w:rPr>
              <w:t>2.</w:t>
            </w:r>
            <w:r>
              <w:rPr>
                <w:rFonts w:ascii="Arial" w:hAnsi="Arial" w:cs="Arial"/>
              </w:rPr>
              <w:t xml:space="preserve"> Por cada kilómetro recorrido o fracción del mismo, </w:t>
            </w:r>
            <w:r>
              <w:rPr>
                <w:rFonts w:ascii="Arial" w:hAnsi="Arial" w:cs="Arial"/>
              </w:rPr>
              <w:tab/>
              <w:t xml:space="preserve"> </w:t>
            </w:r>
          </w:p>
        </w:tc>
        <w:tc>
          <w:tcPr>
            <w:tcW w:w="1876" w:type="dxa"/>
          </w:tcPr>
          <w:p w14:paraId="72736CA2" w14:textId="77777777" w:rsidR="00D3344B" w:rsidRDefault="00D3344B">
            <w:pPr>
              <w:tabs>
                <w:tab w:val="center" w:pos="459"/>
                <w:tab w:val="center" w:pos="1027"/>
              </w:tabs>
              <w:spacing w:after="0" w:line="259" w:lineRule="auto"/>
              <w:rPr>
                <w:rFonts w:ascii="Arial" w:eastAsia="Calibri" w:hAnsi="Arial" w:cs="Arial"/>
                <w:b/>
                <w:bCs/>
              </w:rPr>
            </w:pPr>
          </w:p>
          <w:p w14:paraId="511B80CE" w14:textId="77777777" w:rsidR="00D3344B" w:rsidRDefault="00143C25">
            <w:pPr>
              <w:tabs>
                <w:tab w:val="center" w:pos="459"/>
                <w:tab w:val="center" w:pos="1027"/>
              </w:tabs>
              <w:spacing w:after="0" w:line="259" w:lineRule="auto"/>
              <w:rPr>
                <w:rFonts w:ascii="Arial" w:hAnsi="Arial" w:cs="Arial"/>
              </w:rPr>
            </w:pPr>
            <w:r>
              <w:rPr>
                <w:rFonts w:ascii="Arial" w:eastAsia="Calibri" w:hAnsi="Arial" w:cs="Arial"/>
                <w:b/>
                <w:bCs/>
              </w:rPr>
              <w:t>0.25</w:t>
            </w:r>
            <w:r>
              <w:rPr>
                <w:rFonts w:ascii="Arial" w:eastAsia="Arial" w:hAnsi="Arial" w:cs="Arial"/>
                <w:b/>
              </w:rPr>
              <w:t xml:space="preserve"> </w:t>
            </w:r>
            <w:r>
              <w:rPr>
                <w:rFonts w:ascii="Arial" w:eastAsia="Arial" w:hAnsi="Arial" w:cs="Arial"/>
                <w:b/>
              </w:rPr>
              <w:tab/>
            </w:r>
            <w:r>
              <w:rPr>
                <w:rFonts w:ascii="Arial" w:hAnsi="Arial" w:cs="Arial"/>
                <w:b/>
              </w:rPr>
              <w:t xml:space="preserve">UMA </w:t>
            </w:r>
          </w:p>
        </w:tc>
      </w:tr>
      <w:tr w:rsidR="00D3344B" w14:paraId="7A825CC6" w14:textId="77777777">
        <w:trPr>
          <w:trHeight w:val="396"/>
        </w:trPr>
        <w:tc>
          <w:tcPr>
            <w:tcW w:w="7018" w:type="dxa"/>
          </w:tcPr>
          <w:p w14:paraId="75644004" w14:textId="77777777" w:rsidR="00D3344B" w:rsidRDefault="00143C25">
            <w:pPr>
              <w:pStyle w:val="Estilo"/>
              <w:rPr>
                <w:rFonts w:cs="Arial"/>
                <w:i/>
                <w:iCs/>
                <w:sz w:val="16"/>
                <w:szCs w:val="16"/>
              </w:rPr>
            </w:pPr>
            <w:r>
              <w:rPr>
                <w:rFonts w:cs="Arial"/>
                <w:i/>
                <w:iCs/>
                <w:sz w:val="16"/>
                <w:szCs w:val="16"/>
              </w:rPr>
              <w:t>(ADICIONADO, P.O. 22 DE DICIEMBRE DE 2021)</w:t>
            </w:r>
          </w:p>
          <w:p w14:paraId="21F8BEAF" w14:textId="77777777" w:rsidR="00D3344B" w:rsidRDefault="00143C25">
            <w:pPr>
              <w:tabs>
                <w:tab w:val="center" w:pos="6734"/>
              </w:tabs>
              <w:spacing w:after="146" w:line="259" w:lineRule="auto"/>
              <w:rPr>
                <w:rFonts w:ascii="Arial" w:hAnsi="Arial" w:cs="Arial"/>
                <w:b/>
              </w:rPr>
            </w:pPr>
            <w:r>
              <w:rPr>
                <w:rFonts w:ascii="Arial" w:hAnsi="Arial" w:cs="Arial"/>
                <w:b/>
              </w:rPr>
              <w:t xml:space="preserve">3. </w:t>
            </w:r>
            <w:r>
              <w:rPr>
                <w:rFonts w:ascii="Arial" w:hAnsi="Arial" w:cs="Arial"/>
                <w:bCs/>
              </w:rPr>
              <w:t>Abanderamiento por hora,</w:t>
            </w:r>
          </w:p>
        </w:tc>
        <w:tc>
          <w:tcPr>
            <w:tcW w:w="1876" w:type="dxa"/>
          </w:tcPr>
          <w:p w14:paraId="5EB80255" w14:textId="77777777" w:rsidR="00D3344B" w:rsidRDefault="00D3344B">
            <w:pPr>
              <w:tabs>
                <w:tab w:val="center" w:pos="459"/>
                <w:tab w:val="center" w:pos="1027"/>
              </w:tabs>
              <w:spacing w:after="0" w:line="259" w:lineRule="auto"/>
              <w:rPr>
                <w:rFonts w:ascii="Arial" w:eastAsia="Calibri" w:hAnsi="Arial" w:cs="Arial"/>
                <w:b/>
                <w:bCs/>
              </w:rPr>
            </w:pPr>
          </w:p>
          <w:p w14:paraId="543E7103" w14:textId="77777777" w:rsidR="00D3344B" w:rsidRDefault="00143C25">
            <w:pPr>
              <w:tabs>
                <w:tab w:val="center" w:pos="459"/>
                <w:tab w:val="center" w:pos="1027"/>
              </w:tabs>
              <w:spacing w:after="0" w:line="259" w:lineRule="auto"/>
              <w:rPr>
                <w:rFonts w:ascii="Arial" w:eastAsia="Calibri" w:hAnsi="Arial" w:cs="Arial"/>
              </w:rPr>
            </w:pPr>
            <w:r>
              <w:rPr>
                <w:rFonts w:ascii="Arial" w:eastAsia="Calibri" w:hAnsi="Arial" w:cs="Arial"/>
                <w:b/>
                <w:bCs/>
              </w:rPr>
              <w:t>0.25</w:t>
            </w:r>
            <w:r>
              <w:rPr>
                <w:rFonts w:ascii="Arial" w:eastAsia="Arial" w:hAnsi="Arial" w:cs="Arial"/>
                <w:b/>
              </w:rPr>
              <w:t xml:space="preserve"> </w:t>
            </w:r>
            <w:r>
              <w:rPr>
                <w:rFonts w:ascii="Arial" w:eastAsia="Arial" w:hAnsi="Arial" w:cs="Arial"/>
                <w:b/>
              </w:rPr>
              <w:tab/>
            </w:r>
            <w:r>
              <w:rPr>
                <w:rFonts w:ascii="Arial" w:hAnsi="Arial" w:cs="Arial"/>
                <w:b/>
              </w:rPr>
              <w:t>UMA</w:t>
            </w:r>
          </w:p>
        </w:tc>
      </w:tr>
      <w:tr w:rsidR="00D3344B" w14:paraId="3D4C56AD" w14:textId="77777777">
        <w:trPr>
          <w:trHeight w:val="396"/>
        </w:trPr>
        <w:tc>
          <w:tcPr>
            <w:tcW w:w="7018" w:type="dxa"/>
          </w:tcPr>
          <w:p w14:paraId="762E0C37" w14:textId="77777777" w:rsidR="00D3344B" w:rsidRDefault="00143C25">
            <w:pPr>
              <w:pStyle w:val="Estilo"/>
              <w:rPr>
                <w:rFonts w:cs="Arial"/>
                <w:i/>
                <w:iCs/>
                <w:sz w:val="16"/>
                <w:szCs w:val="16"/>
              </w:rPr>
            </w:pPr>
            <w:r>
              <w:rPr>
                <w:rFonts w:cs="Arial"/>
                <w:i/>
                <w:iCs/>
                <w:sz w:val="16"/>
                <w:szCs w:val="16"/>
              </w:rPr>
              <w:t>(ADICIONADO, P.O. 22 DE DICIEMBRE DE 2021)</w:t>
            </w:r>
          </w:p>
          <w:p w14:paraId="5F979696" w14:textId="77777777" w:rsidR="00D3344B" w:rsidRDefault="00143C25">
            <w:pPr>
              <w:tabs>
                <w:tab w:val="center" w:pos="6734"/>
              </w:tabs>
              <w:spacing w:after="146" w:line="259" w:lineRule="auto"/>
              <w:rPr>
                <w:rFonts w:ascii="Arial" w:hAnsi="Arial" w:cs="Arial"/>
                <w:b/>
              </w:rPr>
            </w:pPr>
            <w:r>
              <w:rPr>
                <w:rFonts w:ascii="Arial" w:hAnsi="Arial" w:cs="Arial"/>
                <w:b/>
              </w:rPr>
              <w:t xml:space="preserve">4. </w:t>
            </w:r>
            <w:r>
              <w:rPr>
                <w:rFonts w:ascii="Arial" w:hAnsi="Arial" w:cs="Arial"/>
                <w:bCs/>
              </w:rPr>
              <w:t>Maniobras de salvamento por hora,</w:t>
            </w:r>
          </w:p>
        </w:tc>
        <w:tc>
          <w:tcPr>
            <w:tcW w:w="1876" w:type="dxa"/>
          </w:tcPr>
          <w:p w14:paraId="5578D507" w14:textId="77777777" w:rsidR="00D3344B" w:rsidRDefault="00D3344B">
            <w:pPr>
              <w:tabs>
                <w:tab w:val="center" w:pos="459"/>
                <w:tab w:val="center" w:pos="1027"/>
              </w:tabs>
              <w:spacing w:after="0" w:line="259" w:lineRule="auto"/>
              <w:rPr>
                <w:rFonts w:ascii="Arial" w:eastAsia="Calibri" w:hAnsi="Arial" w:cs="Arial"/>
                <w:b/>
                <w:bCs/>
              </w:rPr>
            </w:pPr>
          </w:p>
          <w:p w14:paraId="179153E6" w14:textId="77777777" w:rsidR="00D3344B" w:rsidRDefault="00143C25">
            <w:pPr>
              <w:tabs>
                <w:tab w:val="center" w:pos="459"/>
                <w:tab w:val="center" w:pos="1027"/>
              </w:tabs>
              <w:spacing w:after="0" w:line="259" w:lineRule="auto"/>
              <w:rPr>
                <w:rFonts w:ascii="Arial" w:eastAsia="Calibri" w:hAnsi="Arial" w:cs="Arial"/>
              </w:rPr>
            </w:pPr>
            <w:r>
              <w:rPr>
                <w:rFonts w:ascii="Arial" w:eastAsia="Calibri" w:hAnsi="Arial" w:cs="Arial"/>
                <w:b/>
                <w:bCs/>
              </w:rPr>
              <w:t>0.25</w:t>
            </w:r>
            <w:r>
              <w:rPr>
                <w:rFonts w:ascii="Arial" w:eastAsia="Arial" w:hAnsi="Arial" w:cs="Arial"/>
                <w:b/>
              </w:rPr>
              <w:t xml:space="preserve"> </w:t>
            </w:r>
            <w:r>
              <w:rPr>
                <w:rFonts w:ascii="Arial" w:eastAsia="Arial" w:hAnsi="Arial" w:cs="Arial"/>
                <w:b/>
              </w:rPr>
              <w:tab/>
            </w:r>
            <w:r>
              <w:rPr>
                <w:rFonts w:ascii="Arial" w:hAnsi="Arial" w:cs="Arial"/>
                <w:b/>
              </w:rPr>
              <w:t>UMA</w:t>
            </w:r>
          </w:p>
        </w:tc>
      </w:tr>
    </w:tbl>
    <w:p w14:paraId="34A60690" w14:textId="77777777" w:rsidR="00D3344B" w:rsidRDefault="00D3344B">
      <w:pPr>
        <w:pStyle w:val="Estilo"/>
        <w:rPr>
          <w:rFonts w:cs="Arial"/>
        </w:rPr>
      </w:pPr>
    </w:p>
    <w:p w14:paraId="60568260" w14:textId="77777777" w:rsidR="00D3344B" w:rsidRDefault="00143C25">
      <w:pPr>
        <w:pStyle w:val="Estilo"/>
        <w:rPr>
          <w:rFonts w:cs="Arial"/>
          <w:i/>
          <w:iCs/>
          <w:sz w:val="16"/>
          <w:szCs w:val="16"/>
        </w:rPr>
      </w:pPr>
      <w:r>
        <w:rPr>
          <w:rFonts w:cs="Arial"/>
          <w:i/>
          <w:iCs/>
          <w:sz w:val="16"/>
          <w:szCs w:val="16"/>
        </w:rPr>
        <w:t>(REFORMADO, P.O. 22 DE DICIEMBRE DE 2021)</w:t>
      </w:r>
    </w:p>
    <w:p w14:paraId="71D48253" w14:textId="77777777" w:rsidR="00D3344B" w:rsidRDefault="00143C25">
      <w:pPr>
        <w:pStyle w:val="Estilo"/>
        <w:rPr>
          <w:rFonts w:cs="Arial"/>
        </w:rPr>
      </w:pPr>
      <w:r>
        <w:rPr>
          <w:rFonts w:cs="Arial"/>
        </w:rPr>
        <w:t>b) Derecho de piso por tiempo que permanezca un vehículo en el corralón autorizado por la Secretaría de Movilidad y Transporte, de acuerdo a la clasificación siguiente:</w:t>
      </w:r>
    </w:p>
    <w:p w14:paraId="0098A81C"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6973"/>
        <w:gridCol w:w="46"/>
        <w:gridCol w:w="1876"/>
      </w:tblGrid>
      <w:tr w:rsidR="00D3344B" w14:paraId="488FBF48" w14:textId="77777777">
        <w:trPr>
          <w:trHeight w:val="1708"/>
        </w:trPr>
        <w:tc>
          <w:tcPr>
            <w:tcW w:w="6972" w:type="dxa"/>
          </w:tcPr>
          <w:p w14:paraId="7B75FAAF" w14:textId="77777777" w:rsidR="00D3344B" w:rsidRDefault="00143C25">
            <w:pPr>
              <w:spacing w:after="0" w:line="254" w:lineRule="auto"/>
              <w:ind w:left="642" w:right="383" w:hanging="282"/>
              <w:rPr>
                <w:rFonts w:ascii="Arial" w:hAnsi="Arial" w:cs="Arial"/>
              </w:rPr>
            </w:pPr>
            <w:r>
              <w:rPr>
                <w:rFonts w:ascii="Arial" w:hAnsi="Arial" w:cs="Arial"/>
              </w:rPr>
              <w:t xml:space="preserve">1. Autobuses, microbús, minibús, tractocamiones, vehículos </w:t>
            </w:r>
            <w:proofErr w:type="gramStart"/>
            <w:r>
              <w:rPr>
                <w:rFonts w:ascii="Arial" w:hAnsi="Arial" w:cs="Arial"/>
              </w:rPr>
              <w:t>agrícolas,  camiones</w:t>
            </w:r>
            <w:proofErr w:type="gramEnd"/>
            <w:r>
              <w:rPr>
                <w:rFonts w:ascii="Arial" w:hAnsi="Arial" w:cs="Arial"/>
              </w:rPr>
              <w:t xml:space="preserve"> (de dos ejes o más, de tanque, volteo, de caja, de caseta, de celdillas, de plataforma, de refrigerador, </w:t>
            </w:r>
            <w:proofErr w:type="spellStart"/>
            <w:r>
              <w:rPr>
                <w:rFonts w:ascii="Arial" w:hAnsi="Arial" w:cs="Arial"/>
              </w:rPr>
              <w:t>vannette</w:t>
            </w:r>
            <w:proofErr w:type="spellEnd"/>
            <w:r>
              <w:rPr>
                <w:rFonts w:ascii="Arial" w:hAnsi="Arial" w:cs="Arial"/>
              </w:rPr>
              <w:t xml:space="preserve"> y otros similares), camionetas (cuyo peso vehicular sea de más de 3.5 toneladas). </w:t>
            </w:r>
          </w:p>
          <w:p w14:paraId="781EF479" w14:textId="77777777" w:rsidR="00D3344B" w:rsidRDefault="00143C25">
            <w:pPr>
              <w:spacing w:after="0" w:line="259" w:lineRule="auto"/>
              <w:ind w:left="360"/>
              <w:rPr>
                <w:rFonts w:ascii="Arial" w:hAnsi="Arial" w:cs="Arial"/>
              </w:rPr>
            </w:pPr>
            <w:r>
              <w:rPr>
                <w:rFonts w:ascii="Arial" w:hAnsi="Arial" w:cs="Arial"/>
              </w:rPr>
              <w:t xml:space="preserve"> </w:t>
            </w:r>
          </w:p>
        </w:tc>
        <w:tc>
          <w:tcPr>
            <w:tcW w:w="1922" w:type="dxa"/>
            <w:gridSpan w:val="2"/>
          </w:tcPr>
          <w:p w14:paraId="5695B6B9" w14:textId="77777777" w:rsidR="00D3344B" w:rsidRDefault="00143C25">
            <w:pPr>
              <w:spacing w:after="0" w:line="259" w:lineRule="auto"/>
              <w:ind w:left="44"/>
              <w:rPr>
                <w:rFonts w:ascii="Arial" w:hAnsi="Arial" w:cs="Arial"/>
              </w:rPr>
            </w:pPr>
            <w:r>
              <w:rPr>
                <w:rFonts w:ascii="Arial" w:hAnsi="Arial" w:cs="Arial"/>
                <w:b/>
              </w:rPr>
              <w:t xml:space="preserve">3 UMA por cada día. </w:t>
            </w:r>
          </w:p>
        </w:tc>
      </w:tr>
      <w:tr w:rsidR="00D3344B" w14:paraId="60BF859A" w14:textId="77777777">
        <w:trPr>
          <w:trHeight w:val="819"/>
        </w:trPr>
        <w:tc>
          <w:tcPr>
            <w:tcW w:w="6972" w:type="dxa"/>
          </w:tcPr>
          <w:p w14:paraId="4DAA1275" w14:textId="77777777" w:rsidR="00D3344B" w:rsidRDefault="00143C25">
            <w:pPr>
              <w:spacing w:after="0" w:line="259" w:lineRule="auto"/>
              <w:ind w:left="642" w:hanging="282"/>
              <w:rPr>
                <w:rFonts w:ascii="Arial" w:hAnsi="Arial" w:cs="Arial"/>
              </w:rPr>
            </w:pPr>
            <w:r>
              <w:rPr>
                <w:rFonts w:ascii="Arial" w:hAnsi="Arial" w:cs="Arial"/>
              </w:rPr>
              <w:t xml:space="preserve">2. Plataformas, remolques, </w:t>
            </w:r>
            <w:proofErr w:type="spellStart"/>
            <w:r>
              <w:rPr>
                <w:rFonts w:ascii="Arial" w:hAnsi="Arial" w:cs="Arial"/>
              </w:rPr>
              <w:t>semi-remolques</w:t>
            </w:r>
            <w:proofErr w:type="spellEnd"/>
            <w:r>
              <w:rPr>
                <w:rFonts w:ascii="Arial" w:hAnsi="Arial" w:cs="Arial"/>
              </w:rPr>
              <w:t xml:space="preserve"> y otros similares (con </w:t>
            </w:r>
            <w:r>
              <w:rPr>
                <w:rFonts w:ascii="Arial" w:hAnsi="Arial" w:cs="Arial"/>
              </w:rPr>
              <w:tab/>
              <w:t xml:space="preserve"> capacidad de carga mayor a 3.5 toneladas). </w:t>
            </w:r>
          </w:p>
          <w:p w14:paraId="10930286" w14:textId="77777777" w:rsidR="00D3344B" w:rsidRDefault="00143C25">
            <w:pPr>
              <w:spacing w:after="0" w:line="259" w:lineRule="auto"/>
              <w:ind w:left="360"/>
              <w:rPr>
                <w:rFonts w:ascii="Arial" w:hAnsi="Arial" w:cs="Arial"/>
              </w:rPr>
            </w:pPr>
            <w:r>
              <w:rPr>
                <w:rFonts w:ascii="Arial" w:hAnsi="Arial" w:cs="Arial"/>
              </w:rPr>
              <w:t xml:space="preserve"> </w:t>
            </w:r>
          </w:p>
        </w:tc>
        <w:tc>
          <w:tcPr>
            <w:tcW w:w="1922" w:type="dxa"/>
            <w:gridSpan w:val="2"/>
          </w:tcPr>
          <w:p w14:paraId="72D4975B" w14:textId="77777777" w:rsidR="00D3344B" w:rsidRDefault="00143C25">
            <w:pPr>
              <w:spacing w:after="0" w:line="259" w:lineRule="auto"/>
              <w:ind w:left="44"/>
              <w:rPr>
                <w:rFonts w:ascii="Arial" w:hAnsi="Arial" w:cs="Arial"/>
              </w:rPr>
            </w:pPr>
            <w:r>
              <w:rPr>
                <w:rFonts w:ascii="Arial" w:hAnsi="Arial" w:cs="Arial"/>
                <w:b/>
              </w:rPr>
              <w:t xml:space="preserve">5 UMA por cada día. </w:t>
            </w:r>
          </w:p>
        </w:tc>
      </w:tr>
      <w:tr w:rsidR="00D3344B" w14:paraId="67361AC2" w14:textId="77777777">
        <w:trPr>
          <w:trHeight w:val="819"/>
        </w:trPr>
        <w:tc>
          <w:tcPr>
            <w:tcW w:w="6972" w:type="dxa"/>
          </w:tcPr>
          <w:p w14:paraId="2E75556A" w14:textId="77777777" w:rsidR="00D3344B" w:rsidRDefault="00143C25">
            <w:pPr>
              <w:spacing w:after="0" w:line="259" w:lineRule="auto"/>
              <w:ind w:left="642" w:hanging="282"/>
              <w:rPr>
                <w:rFonts w:ascii="Arial" w:hAnsi="Arial" w:cs="Arial"/>
              </w:rPr>
            </w:pPr>
            <w:r>
              <w:rPr>
                <w:rFonts w:ascii="Arial" w:hAnsi="Arial" w:cs="Arial"/>
              </w:rPr>
              <w:t xml:space="preserve">3. Automóviles, camionetas, remolques, </w:t>
            </w:r>
            <w:proofErr w:type="spellStart"/>
            <w:r>
              <w:rPr>
                <w:rFonts w:ascii="Arial" w:hAnsi="Arial" w:cs="Arial"/>
              </w:rPr>
              <w:t>semi-remolques</w:t>
            </w:r>
            <w:proofErr w:type="spellEnd"/>
            <w:r>
              <w:rPr>
                <w:rFonts w:ascii="Arial" w:hAnsi="Arial" w:cs="Arial"/>
              </w:rPr>
              <w:t xml:space="preserve"> y otros </w:t>
            </w:r>
            <w:r>
              <w:rPr>
                <w:rFonts w:ascii="Arial" w:hAnsi="Arial" w:cs="Arial"/>
              </w:rPr>
              <w:tab/>
              <w:t xml:space="preserve"> similares (con capacidad de carga de hasta 3.5 toneladas). </w:t>
            </w:r>
          </w:p>
          <w:p w14:paraId="665A8FA2" w14:textId="77777777" w:rsidR="00D3344B" w:rsidRDefault="00143C25">
            <w:pPr>
              <w:spacing w:after="0" w:line="259" w:lineRule="auto"/>
              <w:ind w:left="360"/>
              <w:rPr>
                <w:rFonts w:ascii="Arial" w:hAnsi="Arial" w:cs="Arial"/>
              </w:rPr>
            </w:pPr>
            <w:r>
              <w:rPr>
                <w:rFonts w:ascii="Arial" w:hAnsi="Arial" w:cs="Arial"/>
              </w:rPr>
              <w:t xml:space="preserve"> </w:t>
            </w:r>
          </w:p>
        </w:tc>
        <w:tc>
          <w:tcPr>
            <w:tcW w:w="1922" w:type="dxa"/>
            <w:gridSpan w:val="2"/>
          </w:tcPr>
          <w:p w14:paraId="3B4528AC" w14:textId="77777777" w:rsidR="00D3344B" w:rsidRDefault="00143C25">
            <w:pPr>
              <w:spacing w:after="0" w:line="259" w:lineRule="auto"/>
              <w:ind w:left="44"/>
              <w:rPr>
                <w:rFonts w:ascii="Arial" w:hAnsi="Arial" w:cs="Arial"/>
              </w:rPr>
            </w:pPr>
            <w:r>
              <w:rPr>
                <w:rFonts w:ascii="Arial" w:hAnsi="Arial" w:cs="Arial"/>
                <w:b/>
              </w:rPr>
              <w:t xml:space="preserve">1 UMA por cada día. </w:t>
            </w:r>
          </w:p>
        </w:tc>
      </w:tr>
      <w:tr w:rsidR="00D3344B" w14:paraId="79EC59AB" w14:textId="77777777">
        <w:trPr>
          <w:trHeight w:val="531"/>
        </w:trPr>
        <w:tc>
          <w:tcPr>
            <w:tcW w:w="6972" w:type="dxa"/>
          </w:tcPr>
          <w:p w14:paraId="21AD813C" w14:textId="77777777" w:rsidR="00D3344B" w:rsidRDefault="00143C25">
            <w:pPr>
              <w:tabs>
                <w:tab w:val="center" w:pos="3054"/>
                <w:tab w:val="center" w:pos="6734"/>
              </w:tabs>
              <w:spacing w:after="4" w:line="259" w:lineRule="auto"/>
              <w:ind w:left="634" w:hanging="283"/>
              <w:rPr>
                <w:rFonts w:ascii="Arial" w:hAnsi="Arial" w:cs="Arial"/>
              </w:rPr>
            </w:pPr>
            <w:r>
              <w:rPr>
                <w:rFonts w:ascii="Arial" w:hAnsi="Arial" w:cs="Arial"/>
              </w:rPr>
              <w:t xml:space="preserve">4. Motocicletas, motonetas, bicimotos, </w:t>
            </w:r>
            <w:proofErr w:type="spellStart"/>
            <w:r>
              <w:rPr>
                <w:rFonts w:ascii="Arial" w:hAnsi="Arial" w:cs="Arial"/>
              </w:rPr>
              <w:t>trimotos</w:t>
            </w:r>
            <w:proofErr w:type="spellEnd"/>
            <w:r>
              <w:rPr>
                <w:rFonts w:ascii="Arial" w:hAnsi="Arial" w:cs="Arial"/>
              </w:rPr>
              <w:t xml:space="preserve"> y </w:t>
            </w:r>
            <w:proofErr w:type="spellStart"/>
            <w:r>
              <w:rPr>
                <w:rFonts w:ascii="Arial" w:hAnsi="Arial" w:cs="Arial"/>
              </w:rPr>
              <w:t>tetramotos</w:t>
            </w:r>
            <w:proofErr w:type="spellEnd"/>
            <w:r>
              <w:rPr>
                <w:rFonts w:ascii="Arial" w:hAnsi="Arial" w:cs="Arial"/>
              </w:rPr>
              <w:t xml:space="preserve">. </w:t>
            </w:r>
            <w:r>
              <w:rPr>
                <w:rFonts w:ascii="Arial" w:hAnsi="Arial" w:cs="Arial"/>
              </w:rPr>
              <w:tab/>
              <w:t xml:space="preserve"> </w:t>
            </w:r>
          </w:p>
          <w:p w14:paraId="18439ED6" w14:textId="77777777" w:rsidR="00D3344B" w:rsidRDefault="00143C25">
            <w:pPr>
              <w:spacing w:after="0" w:line="259" w:lineRule="auto"/>
              <w:ind w:left="360"/>
              <w:rPr>
                <w:rFonts w:ascii="Arial" w:hAnsi="Arial" w:cs="Arial"/>
              </w:rPr>
            </w:pPr>
            <w:r>
              <w:rPr>
                <w:rFonts w:ascii="Arial" w:hAnsi="Arial" w:cs="Arial"/>
              </w:rPr>
              <w:t xml:space="preserve"> </w:t>
            </w:r>
          </w:p>
        </w:tc>
        <w:tc>
          <w:tcPr>
            <w:tcW w:w="1922" w:type="dxa"/>
            <w:gridSpan w:val="2"/>
          </w:tcPr>
          <w:p w14:paraId="75312885" w14:textId="77777777" w:rsidR="00D3344B" w:rsidRDefault="00143C25">
            <w:pPr>
              <w:spacing w:after="0" w:line="259" w:lineRule="auto"/>
              <w:ind w:left="44"/>
              <w:rPr>
                <w:rFonts w:ascii="Arial" w:hAnsi="Arial" w:cs="Arial"/>
              </w:rPr>
            </w:pPr>
            <w:r>
              <w:rPr>
                <w:rFonts w:ascii="Arial" w:hAnsi="Arial" w:cs="Arial"/>
                <w:b/>
              </w:rPr>
              <w:t xml:space="preserve">0.5 UMA por cada día. </w:t>
            </w:r>
          </w:p>
        </w:tc>
      </w:tr>
      <w:tr w:rsidR="00D3344B" w14:paraId="562E9962" w14:textId="77777777">
        <w:trPr>
          <w:trHeight w:val="458"/>
        </w:trPr>
        <w:tc>
          <w:tcPr>
            <w:tcW w:w="7018" w:type="dxa"/>
            <w:gridSpan w:val="2"/>
          </w:tcPr>
          <w:p w14:paraId="7B38EFED" w14:textId="77777777" w:rsidR="00D3344B" w:rsidRDefault="00143C25">
            <w:pPr>
              <w:spacing w:after="0" w:line="259" w:lineRule="auto"/>
              <w:ind w:left="360"/>
              <w:rPr>
                <w:rFonts w:ascii="Arial" w:hAnsi="Arial" w:cs="Arial"/>
              </w:rPr>
            </w:pPr>
            <w:r>
              <w:rPr>
                <w:rFonts w:ascii="Arial" w:hAnsi="Arial" w:cs="Arial"/>
              </w:rPr>
              <w:t xml:space="preserve">5. Bicicletas. </w:t>
            </w:r>
          </w:p>
          <w:p w14:paraId="52594C36" w14:textId="77777777" w:rsidR="00D3344B" w:rsidRDefault="00143C25">
            <w:pPr>
              <w:spacing w:after="0" w:line="259" w:lineRule="auto"/>
              <w:rPr>
                <w:rFonts w:ascii="Arial" w:hAnsi="Arial" w:cs="Arial"/>
              </w:rPr>
            </w:pPr>
            <w:r>
              <w:rPr>
                <w:rFonts w:ascii="Arial" w:hAnsi="Arial" w:cs="Arial"/>
                <w:sz w:val="16"/>
              </w:rPr>
              <w:t xml:space="preserve"> </w:t>
            </w:r>
          </w:p>
        </w:tc>
        <w:tc>
          <w:tcPr>
            <w:tcW w:w="1876" w:type="dxa"/>
          </w:tcPr>
          <w:p w14:paraId="46CD89DC" w14:textId="77777777" w:rsidR="00D3344B" w:rsidRDefault="00143C25">
            <w:pPr>
              <w:spacing w:after="0" w:line="259" w:lineRule="auto"/>
              <w:rPr>
                <w:rFonts w:ascii="Arial" w:hAnsi="Arial" w:cs="Arial"/>
              </w:rPr>
            </w:pPr>
            <w:r>
              <w:rPr>
                <w:rFonts w:ascii="Arial" w:hAnsi="Arial" w:cs="Arial"/>
                <w:b/>
              </w:rPr>
              <w:t xml:space="preserve">0.25 UMA </w:t>
            </w:r>
          </w:p>
        </w:tc>
      </w:tr>
      <w:tr w:rsidR="00D3344B" w14:paraId="45067C81" w14:textId="77777777">
        <w:trPr>
          <w:trHeight w:val="999"/>
        </w:trPr>
        <w:tc>
          <w:tcPr>
            <w:tcW w:w="7018" w:type="dxa"/>
            <w:gridSpan w:val="2"/>
          </w:tcPr>
          <w:p w14:paraId="54BF23FC" w14:textId="77777777" w:rsidR="00D3344B" w:rsidRDefault="00143C25">
            <w:pPr>
              <w:spacing w:after="0" w:line="259" w:lineRule="auto"/>
              <w:ind w:left="642" w:hanging="282"/>
              <w:rPr>
                <w:rFonts w:ascii="Arial" w:hAnsi="Arial" w:cs="Arial"/>
              </w:rPr>
            </w:pPr>
            <w:r>
              <w:rPr>
                <w:rFonts w:ascii="Arial" w:hAnsi="Arial" w:cs="Arial"/>
              </w:rPr>
              <w:t xml:space="preserve">6. Los no previstos en los numerales anteriores; tomando en </w:t>
            </w:r>
            <w:r>
              <w:rPr>
                <w:rFonts w:ascii="Arial" w:hAnsi="Arial" w:cs="Arial"/>
              </w:rPr>
              <w:tab/>
              <w:t xml:space="preserve"> consideración, antecedentes, tipo, motivo de ingreso y situaciones especiales.</w:t>
            </w:r>
          </w:p>
        </w:tc>
        <w:tc>
          <w:tcPr>
            <w:tcW w:w="1876" w:type="dxa"/>
          </w:tcPr>
          <w:p w14:paraId="43D45D27" w14:textId="77777777" w:rsidR="00D3344B" w:rsidRDefault="00143C25">
            <w:pPr>
              <w:spacing w:after="0" w:line="259" w:lineRule="auto"/>
              <w:rPr>
                <w:rFonts w:ascii="Arial" w:hAnsi="Arial" w:cs="Arial"/>
              </w:rPr>
            </w:pPr>
            <w:r>
              <w:rPr>
                <w:rFonts w:ascii="Arial" w:hAnsi="Arial" w:cs="Arial"/>
                <w:b/>
              </w:rPr>
              <w:t xml:space="preserve">De 1 a 3 UMA por cada día. </w:t>
            </w:r>
          </w:p>
        </w:tc>
      </w:tr>
    </w:tbl>
    <w:p w14:paraId="24E34AD0" w14:textId="77777777" w:rsidR="00D3344B" w:rsidRDefault="00D3344B">
      <w:pPr>
        <w:pStyle w:val="Estilo"/>
        <w:rPr>
          <w:rFonts w:cs="Arial"/>
        </w:rPr>
      </w:pPr>
    </w:p>
    <w:p w14:paraId="3EB9E142" w14:textId="77777777" w:rsidR="00D3344B" w:rsidRDefault="00D3344B">
      <w:pPr>
        <w:pStyle w:val="Estilo"/>
        <w:rPr>
          <w:rFonts w:cs="Arial"/>
        </w:rPr>
      </w:pPr>
    </w:p>
    <w:p w14:paraId="7C0376B1" w14:textId="77777777" w:rsidR="00D3344B" w:rsidRDefault="00143C25">
      <w:pPr>
        <w:pStyle w:val="Estilo"/>
        <w:rPr>
          <w:rFonts w:cs="Arial"/>
          <w:i/>
          <w:iCs/>
          <w:sz w:val="16"/>
          <w:szCs w:val="16"/>
        </w:rPr>
      </w:pPr>
      <w:r>
        <w:rPr>
          <w:rFonts w:cs="Arial"/>
          <w:i/>
          <w:iCs/>
          <w:sz w:val="16"/>
          <w:szCs w:val="16"/>
        </w:rPr>
        <w:t>(REFORMADO, P.O. 22 DE DICIEMBRE DE 2021)</w:t>
      </w:r>
    </w:p>
    <w:p w14:paraId="2BED5CB6" w14:textId="77777777" w:rsidR="00D3344B" w:rsidRDefault="00143C25">
      <w:pPr>
        <w:pStyle w:val="Estilo"/>
        <w:rPr>
          <w:rFonts w:cs="Arial"/>
        </w:rPr>
      </w:pPr>
      <w:r>
        <w:rPr>
          <w:rFonts w:cs="Arial"/>
        </w:rPr>
        <w:t>Quedan exceptuados del pago de los derechos establecidos en esta fracción los propietarios de los vehículos que se encuentren en litigio, que tengan acreditado el carácter de victima u ofendido o aquellos declarados inocentes por la autoridad competente mediante resolución firme.</w:t>
      </w:r>
    </w:p>
    <w:p w14:paraId="4C0A880F" w14:textId="77777777" w:rsidR="00D3344B" w:rsidRDefault="00D3344B">
      <w:pPr>
        <w:pStyle w:val="Estilo"/>
        <w:rPr>
          <w:rFonts w:cs="Arial"/>
        </w:rPr>
      </w:pPr>
    </w:p>
    <w:p w14:paraId="4B128E66" w14:textId="77777777" w:rsidR="00D3344B" w:rsidRDefault="00143C25">
      <w:pPr>
        <w:pStyle w:val="Estilo"/>
        <w:rPr>
          <w:rFonts w:cs="Arial"/>
        </w:rPr>
      </w:pPr>
      <w:r>
        <w:rPr>
          <w:rFonts w:cs="Arial"/>
          <w:i/>
          <w:sz w:val="16"/>
        </w:rPr>
        <w:lastRenderedPageBreak/>
        <w:t>(ADICIONADO, P.O. 7 DE DICIEMBRE DE 2009)</w:t>
      </w:r>
    </w:p>
    <w:p w14:paraId="21EDCEED" w14:textId="77777777" w:rsidR="00D3344B" w:rsidRDefault="00143C25">
      <w:pPr>
        <w:pStyle w:val="Estilo"/>
        <w:rPr>
          <w:rFonts w:cs="Arial"/>
        </w:rPr>
      </w:pPr>
      <w:r>
        <w:rPr>
          <w:rFonts w:cs="Arial"/>
        </w:rPr>
        <w:t>IV. Los servicios prestados a través del departamento de seguridad privada, causarán los derechos siguientes:</w:t>
      </w:r>
    </w:p>
    <w:p w14:paraId="3B2814D8" w14:textId="77777777" w:rsidR="00D3344B" w:rsidRDefault="00D3344B">
      <w:pPr>
        <w:pStyle w:val="Estilo"/>
        <w:rPr>
          <w:rFonts w:cs="Arial"/>
        </w:rPr>
      </w:pPr>
    </w:p>
    <w:p w14:paraId="0BB46588" w14:textId="77777777" w:rsidR="00D3344B" w:rsidRDefault="00143C25">
      <w:pPr>
        <w:pStyle w:val="Estilo"/>
        <w:rPr>
          <w:rFonts w:cs="Arial"/>
        </w:rPr>
      </w:pPr>
      <w:r>
        <w:rPr>
          <w:rFonts w:cs="Arial"/>
        </w:rPr>
        <w:t>a) Expedición de autorización de funcionamiento para prestar servicios de seguridad privada en el Estado, de acuerdo a las siguientes modalidades:</w:t>
      </w:r>
    </w:p>
    <w:p w14:paraId="22A7DBB0"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7019"/>
        <w:gridCol w:w="1876"/>
      </w:tblGrid>
      <w:tr w:rsidR="00D3344B" w14:paraId="0711D406" w14:textId="77777777">
        <w:trPr>
          <w:trHeight w:val="667"/>
        </w:trPr>
        <w:tc>
          <w:tcPr>
            <w:tcW w:w="7018" w:type="dxa"/>
          </w:tcPr>
          <w:p w14:paraId="1CA3BB24" w14:textId="77777777" w:rsidR="00D3344B" w:rsidRDefault="00143C25">
            <w:pPr>
              <w:spacing w:after="0" w:line="259" w:lineRule="auto"/>
              <w:rPr>
                <w:rFonts w:ascii="Arial" w:hAnsi="Arial" w:cs="Arial"/>
              </w:rPr>
            </w:pPr>
            <w:r>
              <w:rPr>
                <w:rFonts w:ascii="Arial" w:hAnsi="Arial" w:cs="Arial"/>
              </w:rPr>
              <w:t xml:space="preserve">1. Protección, custodia y vigilancia de personas o bienes muebles </w:t>
            </w:r>
            <w:proofErr w:type="gramStart"/>
            <w:r>
              <w:rPr>
                <w:rFonts w:ascii="Arial" w:hAnsi="Arial" w:cs="Arial"/>
              </w:rPr>
              <w:t>e  inmuebles</w:t>
            </w:r>
            <w:proofErr w:type="gramEnd"/>
            <w:r>
              <w:rPr>
                <w:rFonts w:ascii="Arial" w:hAnsi="Arial" w:cs="Arial"/>
              </w:rPr>
              <w:t xml:space="preserve">. </w:t>
            </w:r>
          </w:p>
        </w:tc>
        <w:tc>
          <w:tcPr>
            <w:tcW w:w="1876" w:type="dxa"/>
          </w:tcPr>
          <w:p w14:paraId="504F2380" w14:textId="77777777" w:rsidR="00D3344B" w:rsidRDefault="00143C25">
            <w:pPr>
              <w:spacing w:after="0" w:line="259" w:lineRule="auto"/>
              <w:rPr>
                <w:rFonts w:ascii="Arial" w:hAnsi="Arial" w:cs="Arial"/>
              </w:rPr>
            </w:pPr>
            <w:r>
              <w:rPr>
                <w:rFonts w:ascii="Arial" w:hAnsi="Arial" w:cs="Arial"/>
              </w:rPr>
              <w:t xml:space="preserve">280 UMA </w:t>
            </w:r>
          </w:p>
        </w:tc>
      </w:tr>
      <w:tr w:rsidR="00D3344B" w14:paraId="2DFD6844" w14:textId="77777777">
        <w:trPr>
          <w:trHeight w:val="412"/>
        </w:trPr>
        <w:tc>
          <w:tcPr>
            <w:tcW w:w="7018" w:type="dxa"/>
          </w:tcPr>
          <w:p w14:paraId="51FF9A95" w14:textId="77777777" w:rsidR="00D3344B" w:rsidRDefault="00143C25">
            <w:pPr>
              <w:tabs>
                <w:tab w:val="center" w:pos="6734"/>
              </w:tabs>
              <w:spacing w:after="0" w:line="259" w:lineRule="auto"/>
              <w:rPr>
                <w:rFonts w:ascii="Arial" w:hAnsi="Arial" w:cs="Arial"/>
              </w:rPr>
            </w:pPr>
            <w:r>
              <w:rPr>
                <w:rFonts w:ascii="Arial" w:hAnsi="Arial" w:cs="Arial"/>
              </w:rPr>
              <w:t xml:space="preserve">2. Instalación, mantenimiento y monitoreo de sistemas de alarmas. </w:t>
            </w:r>
            <w:r>
              <w:rPr>
                <w:rFonts w:ascii="Arial" w:hAnsi="Arial" w:cs="Arial"/>
              </w:rPr>
              <w:tab/>
              <w:t xml:space="preserve"> </w:t>
            </w:r>
          </w:p>
        </w:tc>
        <w:tc>
          <w:tcPr>
            <w:tcW w:w="1876" w:type="dxa"/>
          </w:tcPr>
          <w:p w14:paraId="55DA2D01" w14:textId="77777777" w:rsidR="00D3344B" w:rsidRDefault="00143C25">
            <w:pPr>
              <w:spacing w:after="0" w:line="259" w:lineRule="auto"/>
              <w:rPr>
                <w:rFonts w:ascii="Arial" w:hAnsi="Arial" w:cs="Arial"/>
              </w:rPr>
            </w:pPr>
            <w:r>
              <w:rPr>
                <w:rFonts w:ascii="Arial" w:hAnsi="Arial" w:cs="Arial"/>
              </w:rPr>
              <w:t xml:space="preserve">300 UMA </w:t>
            </w:r>
          </w:p>
        </w:tc>
      </w:tr>
      <w:tr w:rsidR="00D3344B" w14:paraId="6FDCE70F" w14:textId="77777777">
        <w:trPr>
          <w:trHeight w:val="516"/>
        </w:trPr>
        <w:tc>
          <w:tcPr>
            <w:tcW w:w="7018" w:type="dxa"/>
          </w:tcPr>
          <w:p w14:paraId="6D95B791" w14:textId="77777777" w:rsidR="00D3344B" w:rsidRDefault="00143C25">
            <w:pPr>
              <w:tabs>
                <w:tab w:val="center" w:pos="6734"/>
              </w:tabs>
              <w:spacing w:after="0" w:line="259" w:lineRule="auto"/>
              <w:rPr>
                <w:rFonts w:ascii="Arial" w:hAnsi="Arial" w:cs="Arial"/>
              </w:rPr>
            </w:pPr>
            <w:r>
              <w:rPr>
                <w:rFonts w:ascii="Arial" w:hAnsi="Arial" w:cs="Arial"/>
              </w:rPr>
              <w:t xml:space="preserve">3. Traslado y custodia de fondos y valores. </w:t>
            </w:r>
            <w:r>
              <w:rPr>
                <w:rFonts w:ascii="Arial" w:hAnsi="Arial" w:cs="Arial"/>
              </w:rPr>
              <w:tab/>
              <w:t xml:space="preserve"> </w:t>
            </w:r>
          </w:p>
          <w:p w14:paraId="23B01EBA" w14:textId="77777777" w:rsidR="00D3344B" w:rsidRDefault="00143C25">
            <w:pPr>
              <w:spacing w:after="0" w:line="259" w:lineRule="auto"/>
              <w:rPr>
                <w:rFonts w:ascii="Arial" w:hAnsi="Arial" w:cs="Arial"/>
              </w:rPr>
            </w:pPr>
            <w:r>
              <w:rPr>
                <w:rFonts w:ascii="Arial" w:hAnsi="Arial" w:cs="Arial"/>
                <w:sz w:val="16"/>
              </w:rPr>
              <w:t xml:space="preserve"> </w:t>
            </w:r>
          </w:p>
        </w:tc>
        <w:tc>
          <w:tcPr>
            <w:tcW w:w="1876" w:type="dxa"/>
          </w:tcPr>
          <w:p w14:paraId="36979286" w14:textId="77777777" w:rsidR="00D3344B" w:rsidRDefault="00143C25">
            <w:pPr>
              <w:spacing w:after="0" w:line="259" w:lineRule="auto"/>
              <w:rPr>
                <w:rFonts w:ascii="Arial" w:hAnsi="Arial" w:cs="Arial"/>
              </w:rPr>
            </w:pPr>
            <w:r>
              <w:rPr>
                <w:rFonts w:ascii="Arial" w:hAnsi="Arial" w:cs="Arial"/>
              </w:rPr>
              <w:t xml:space="preserve">320 UMA </w:t>
            </w:r>
          </w:p>
        </w:tc>
      </w:tr>
    </w:tbl>
    <w:p w14:paraId="08991620" w14:textId="77777777" w:rsidR="00D3344B" w:rsidRDefault="00D3344B">
      <w:pPr>
        <w:pStyle w:val="Estilo"/>
        <w:rPr>
          <w:rFonts w:cs="Arial"/>
        </w:rPr>
      </w:pPr>
    </w:p>
    <w:p w14:paraId="73F27DD9" w14:textId="77777777" w:rsidR="00D3344B" w:rsidRDefault="00143C25">
      <w:pPr>
        <w:pStyle w:val="Estilo"/>
        <w:rPr>
          <w:rFonts w:cs="Arial"/>
        </w:rPr>
      </w:pPr>
      <w:r>
        <w:rPr>
          <w:rFonts w:cs="Arial"/>
        </w:rPr>
        <w:t>b) Si la autorización de funcionamiento para prestar servicios de seguridad privada en el Estado, incluye dos o más modalidades causará los derechos siguientes:</w:t>
      </w:r>
    </w:p>
    <w:p w14:paraId="38D2DED3"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7019"/>
        <w:gridCol w:w="1876"/>
      </w:tblGrid>
      <w:tr w:rsidR="00D3344B" w14:paraId="3E637B24" w14:textId="77777777">
        <w:trPr>
          <w:trHeight w:val="943"/>
        </w:trPr>
        <w:tc>
          <w:tcPr>
            <w:tcW w:w="7018" w:type="dxa"/>
          </w:tcPr>
          <w:p w14:paraId="0CBB1B33" w14:textId="77777777" w:rsidR="00D3344B" w:rsidRDefault="00143C25">
            <w:pPr>
              <w:spacing w:after="0" w:line="235" w:lineRule="auto"/>
              <w:ind w:right="430"/>
              <w:rPr>
                <w:rFonts w:ascii="Arial" w:hAnsi="Arial" w:cs="Arial"/>
              </w:rPr>
            </w:pPr>
            <w:r>
              <w:rPr>
                <w:rFonts w:ascii="Arial" w:hAnsi="Arial" w:cs="Arial"/>
              </w:rPr>
              <w:t xml:space="preserve">1. Protección, custodia y vigilancia de personas o bienes muebles </w:t>
            </w:r>
            <w:proofErr w:type="gramStart"/>
            <w:r>
              <w:rPr>
                <w:rFonts w:ascii="Arial" w:hAnsi="Arial" w:cs="Arial"/>
              </w:rPr>
              <w:t>e  inmuebles</w:t>
            </w:r>
            <w:proofErr w:type="gramEnd"/>
            <w:r>
              <w:rPr>
                <w:rFonts w:ascii="Arial" w:hAnsi="Arial" w:cs="Arial"/>
              </w:rPr>
              <w:t xml:space="preserve"> e instalación, mantenimiento y monitoreo de sistemas de alarmas. </w:t>
            </w:r>
          </w:p>
          <w:p w14:paraId="010F1F24" w14:textId="77777777" w:rsidR="00D3344B" w:rsidRDefault="00143C25">
            <w:pPr>
              <w:spacing w:after="0" w:line="259" w:lineRule="auto"/>
              <w:rPr>
                <w:rFonts w:ascii="Arial" w:hAnsi="Arial" w:cs="Arial"/>
              </w:rPr>
            </w:pPr>
            <w:r>
              <w:rPr>
                <w:rFonts w:ascii="Arial" w:hAnsi="Arial" w:cs="Arial"/>
                <w:sz w:val="16"/>
              </w:rPr>
              <w:t xml:space="preserve"> </w:t>
            </w:r>
          </w:p>
        </w:tc>
        <w:tc>
          <w:tcPr>
            <w:tcW w:w="1876" w:type="dxa"/>
          </w:tcPr>
          <w:p w14:paraId="3C2A509D" w14:textId="77777777" w:rsidR="00D3344B" w:rsidRDefault="00143C25">
            <w:pPr>
              <w:spacing w:after="0" w:line="259" w:lineRule="auto"/>
              <w:rPr>
                <w:rFonts w:ascii="Arial" w:hAnsi="Arial" w:cs="Arial"/>
              </w:rPr>
            </w:pPr>
            <w:r>
              <w:rPr>
                <w:rFonts w:ascii="Arial" w:hAnsi="Arial" w:cs="Arial"/>
              </w:rPr>
              <w:t xml:space="preserve">300 UMA </w:t>
            </w:r>
          </w:p>
        </w:tc>
      </w:tr>
      <w:tr w:rsidR="00D3344B" w14:paraId="72D9A506" w14:textId="77777777">
        <w:trPr>
          <w:trHeight w:val="587"/>
        </w:trPr>
        <w:tc>
          <w:tcPr>
            <w:tcW w:w="7018" w:type="dxa"/>
          </w:tcPr>
          <w:p w14:paraId="0977ECCC" w14:textId="77777777" w:rsidR="00D3344B" w:rsidRDefault="00143C25">
            <w:pPr>
              <w:spacing w:after="0" w:line="259" w:lineRule="auto"/>
              <w:rPr>
                <w:rFonts w:ascii="Arial" w:hAnsi="Arial" w:cs="Arial"/>
              </w:rPr>
            </w:pPr>
            <w:r>
              <w:rPr>
                <w:rFonts w:ascii="Arial" w:hAnsi="Arial" w:cs="Arial"/>
              </w:rPr>
              <w:t xml:space="preserve">2. Protección, custodia y vigilancia de personas o bienes muebles </w:t>
            </w:r>
            <w:proofErr w:type="gramStart"/>
            <w:r>
              <w:rPr>
                <w:rFonts w:ascii="Arial" w:hAnsi="Arial" w:cs="Arial"/>
              </w:rPr>
              <w:t>e  inmuebles</w:t>
            </w:r>
            <w:proofErr w:type="gramEnd"/>
            <w:r>
              <w:rPr>
                <w:rFonts w:ascii="Arial" w:hAnsi="Arial" w:cs="Arial"/>
              </w:rPr>
              <w:t xml:space="preserve"> y traslado y custodia de fondos y valores. </w:t>
            </w:r>
          </w:p>
        </w:tc>
        <w:tc>
          <w:tcPr>
            <w:tcW w:w="1876" w:type="dxa"/>
          </w:tcPr>
          <w:p w14:paraId="58C403FB" w14:textId="77777777" w:rsidR="00D3344B" w:rsidRDefault="00143C25">
            <w:pPr>
              <w:spacing w:after="0" w:line="259" w:lineRule="auto"/>
              <w:rPr>
                <w:rFonts w:ascii="Arial" w:hAnsi="Arial" w:cs="Arial"/>
              </w:rPr>
            </w:pPr>
            <w:r>
              <w:rPr>
                <w:rFonts w:ascii="Arial" w:hAnsi="Arial" w:cs="Arial"/>
              </w:rPr>
              <w:t xml:space="preserve">315 UMA </w:t>
            </w:r>
          </w:p>
        </w:tc>
      </w:tr>
      <w:tr w:rsidR="00D3344B" w14:paraId="56DABFD6" w14:textId="77777777">
        <w:trPr>
          <w:trHeight w:val="666"/>
        </w:trPr>
        <w:tc>
          <w:tcPr>
            <w:tcW w:w="7018" w:type="dxa"/>
          </w:tcPr>
          <w:p w14:paraId="229CC627" w14:textId="77777777" w:rsidR="00D3344B" w:rsidRDefault="00143C25">
            <w:pPr>
              <w:spacing w:after="0" w:line="259" w:lineRule="auto"/>
              <w:ind w:right="118"/>
              <w:rPr>
                <w:rFonts w:ascii="Arial" w:hAnsi="Arial" w:cs="Arial"/>
              </w:rPr>
            </w:pPr>
            <w:r>
              <w:rPr>
                <w:rFonts w:ascii="Arial" w:hAnsi="Arial" w:cs="Arial"/>
              </w:rPr>
              <w:t xml:space="preserve">3. Instalación, mantenimiento y monitoreo de sistemas de alarmas y </w:t>
            </w:r>
            <w:proofErr w:type="gramStart"/>
            <w:r>
              <w:rPr>
                <w:rFonts w:ascii="Arial" w:hAnsi="Arial" w:cs="Arial"/>
              </w:rPr>
              <w:t>traslado  y</w:t>
            </w:r>
            <w:proofErr w:type="gramEnd"/>
            <w:r>
              <w:rPr>
                <w:rFonts w:ascii="Arial" w:hAnsi="Arial" w:cs="Arial"/>
              </w:rPr>
              <w:t xml:space="preserve"> custodia de fondos y valores. </w:t>
            </w:r>
          </w:p>
        </w:tc>
        <w:tc>
          <w:tcPr>
            <w:tcW w:w="1876" w:type="dxa"/>
          </w:tcPr>
          <w:p w14:paraId="736A7A17" w14:textId="77777777" w:rsidR="00D3344B" w:rsidRDefault="00143C25">
            <w:pPr>
              <w:spacing w:after="0" w:line="259" w:lineRule="auto"/>
              <w:rPr>
                <w:rFonts w:ascii="Arial" w:hAnsi="Arial" w:cs="Arial"/>
              </w:rPr>
            </w:pPr>
            <w:r>
              <w:rPr>
                <w:rFonts w:ascii="Arial" w:hAnsi="Arial" w:cs="Arial"/>
              </w:rPr>
              <w:t xml:space="preserve">325 UMA </w:t>
            </w:r>
          </w:p>
        </w:tc>
      </w:tr>
      <w:tr w:rsidR="00D3344B" w14:paraId="2DCF5033" w14:textId="77777777">
        <w:trPr>
          <w:trHeight w:val="1022"/>
        </w:trPr>
        <w:tc>
          <w:tcPr>
            <w:tcW w:w="7018" w:type="dxa"/>
          </w:tcPr>
          <w:p w14:paraId="20FE5BC5" w14:textId="77777777" w:rsidR="00D3344B" w:rsidRDefault="00143C25">
            <w:pPr>
              <w:spacing w:after="0" w:line="235" w:lineRule="auto"/>
              <w:ind w:right="430"/>
              <w:rPr>
                <w:rFonts w:ascii="Arial" w:hAnsi="Arial" w:cs="Arial"/>
              </w:rPr>
            </w:pPr>
            <w:r>
              <w:rPr>
                <w:rFonts w:ascii="Arial" w:hAnsi="Arial" w:cs="Arial"/>
              </w:rPr>
              <w:t xml:space="preserve">4. Protección, custodia y vigilancia de personas o bienes muebles </w:t>
            </w:r>
            <w:proofErr w:type="gramStart"/>
            <w:r>
              <w:rPr>
                <w:rFonts w:ascii="Arial" w:hAnsi="Arial" w:cs="Arial"/>
              </w:rPr>
              <w:t>e  inmuebles</w:t>
            </w:r>
            <w:proofErr w:type="gramEnd"/>
            <w:r>
              <w:rPr>
                <w:rFonts w:ascii="Arial" w:hAnsi="Arial" w:cs="Arial"/>
              </w:rPr>
              <w:t xml:space="preserve">; instalación, mantenimiento y monitoreo de sistemas de alarmas y traslado y custodia de fondos y valores. </w:t>
            </w:r>
          </w:p>
          <w:p w14:paraId="5913650A" w14:textId="77777777" w:rsidR="00D3344B" w:rsidRDefault="00143C25">
            <w:pPr>
              <w:spacing w:after="0" w:line="259" w:lineRule="auto"/>
              <w:rPr>
                <w:rFonts w:ascii="Arial" w:hAnsi="Arial" w:cs="Arial"/>
              </w:rPr>
            </w:pPr>
            <w:r>
              <w:rPr>
                <w:rFonts w:ascii="Arial" w:hAnsi="Arial" w:cs="Arial"/>
                <w:sz w:val="16"/>
              </w:rPr>
              <w:t xml:space="preserve"> </w:t>
            </w:r>
          </w:p>
        </w:tc>
        <w:tc>
          <w:tcPr>
            <w:tcW w:w="1876" w:type="dxa"/>
          </w:tcPr>
          <w:p w14:paraId="58180D9E" w14:textId="77777777" w:rsidR="00D3344B" w:rsidRDefault="00143C25">
            <w:pPr>
              <w:spacing w:after="0" w:line="259" w:lineRule="auto"/>
              <w:rPr>
                <w:rFonts w:ascii="Arial" w:hAnsi="Arial" w:cs="Arial"/>
              </w:rPr>
            </w:pPr>
            <w:r>
              <w:rPr>
                <w:rFonts w:ascii="Arial" w:hAnsi="Arial" w:cs="Arial"/>
              </w:rPr>
              <w:t xml:space="preserve">335 UMA </w:t>
            </w:r>
          </w:p>
        </w:tc>
      </w:tr>
      <w:tr w:rsidR="00D3344B" w14:paraId="4B537D18" w14:textId="77777777">
        <w:trPr>
          <w:trHeight w:val="943"/>
        </w:trPr>
        <w:tc>
          <w:tcPr>
            <w:tcW w:w="7018" w:type="dxa"/>
          </w:tcPr>
          <w:p w14:paraId="05447A4A" w14:textId="77777777" w:rsidR="00D3344B" w:rsidRDefault="00143C25">
            <w:pPr>
              <w:spacing w:after="0" w:line="235" w:lineRule="auto"/>
              <w:rPr>
                <w:rFonts w:ascii="Arial" w:hAnsi="Arial" w:cs="Arial"/>
              </w:rPr>
            </w:pPr>
            <w:r>
              <w:rPr>
                <w:rFonts w:ascii="Arial" w:hAnsi="Arial" w:cs="Arial"/>
              </w:rPr>
              <w:t xml:space="preserve">c) Por la autorización de ampliación o modificación de la </w:t>
            </w:r>
            <w:proofErr w:type="gramStart"/>
            <w:r>
              <w:rPr>
                <w:rFonts w:ascii="Arial" w:hAnsi="Arial" w:cs="Arial"/>
              </w:rPr>
              <w:t>modalidad  autorizada</w:t>
            </w:r>
            <w:proofErr w:type="gramEnd"/>
            <w:r>
              <w:rPr>
                <w:rFonts w:ascii="Arial" w:hAnsi="Arial" w:cs="Arial"/>
              </w:rPr>
              <w:t xml:space="preserve">, para la prestación de servicios de seguridad privada en el Estado. </w:t>
            </w:r>
          </w:p>
          <w:p w14:paraId="2F14207B" w14:textId="77777777" w:rsidR="00D3344B" w:rsidRDefault="00143C25">
            <w:pPr>
              <w:spacing w:after="0" w:line="259" w:lineRule="auto"/>
              <w:rPr>
                <w:rFonts w:ascii="Arial" w:hAnsi="Arial" w:cs="Arial"/>
              </w:rPr>
            </w:pPr>
            <w:r>
              <w:rPr>
                <w:rFonts w:ascii="Arial" w:hAnsi="Arial" w:cs="Arial"/>
                <w:sz w:val="16"/>
              </w:rPr>
              <w:t xml:space="preserve"> </w:t>
            </w:r>
          </w:p>
        </w:tc>
        <w:tc>
          <w:tcPr>
            <w:tcW w:w="1876" w:type="dxa"/>
          </w:tcPr>
          <w:p w14:paraId="322EDFFB" w14:textId="77777777" w:rsidR="00D3344B" w:rsidRDefault="00143C25">
            <w:pPr>
              <w:spacing w:after="0" w:line="259" w:lineRule="auto"/>
              <w:rPr>
                <w:rFonts w:ascii="Arial" w:hAnsi="Arial" w:cs="Arial"/>
              </w:rPr>
            </w:pPr>
            <w:r>
              <w:rPr>
                <w:rFonts w:ascii="Arial" w:hAnsi="Arial" w:cs="Arial"/>
              </w:rPr>
              <w:t xml:space="preserve">50 UMA </w:t>
            </w:r>
          </w:p>
        </w:tc>
      </w:tr>
    </w:tbl>
    <w:p w14:paraId="5CF2E48C" w14:textId="77777777" w:rsidR="00D3344B" w:rsidRDefault="00D3344B">
      <w:pPr>
        <w:pStyle w:val="Estilo"/>
        <w:rPr>
          <w:rFonts w:cs="Arial"/>
        </w:rPr>
      </w:pPr>
    </w:p>
    <w:p w14:paraId="6D36BF19" w14:textId="77777777" w:rsidR="00D3344B" w:rsidRDefault="00143C25">
      <w:pPr>
        <w:pStyle w:val="Estilo"/>
        <w:rPr>
          <w:rFonts w:cs="Arial"/>
        </w:rPr>
      </w:pPr>
      <w:r>
        <w:rPr>
          <w:rFonts w:cs="Arial"/>
        </w:rPr>
        <w:t>d) Expedición del refrendo anual de autorización de funcionamiento para prestar servicios de seguridad privada en el Estado, causará los derechos siguientes de acuerdo a las siguientes modalidades:</w:t>
      </w:r>
    </w:p>
    <w:p w14:paraId="684E2607"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7019"/>
        <w:gridCol w:w="1876"/>
      </w:tblGrid>
      <w:tr w:rsidR="00D3344B" w14:paraId="4C400C06" w14:textId="77777777">
        <w:trPr>
          <w:trHeight w:val="759"/>
        </w:trPr>
        <w:tc>
          <w:tcPr>
            <w:tcW w:w="7018" w:type="dxa"/>
          </w:tcPr>
          <w:p w14:paraId="1915D5CD" w14:textId="77777777" w:rsidR="00D3344B" w:rsidRDefault="00143C25">
            <w:pPr>
              <w:spacing w:after="0" w:line="240" w:lineRule="auto"/>
              <w:rPr>
                <w:rFonts w:ascii="Arial" w:hAnsi="Arial" w:cs="Arial"/>
              </w:rPr>
            </w:pPr>
            <w:r>
              <w:rPr>
                <w:rFonts w:ascii="Arial" w:hAnsi="Arial" w:cs="Arial"/>
              </w:rPr>
              <w:t xml:space="preserve">1. Protección, custodia y vigilancia de personas o bienes muebles </w:t>
            </w:r>
            <w:proofErr w:type="gramStart"/>
            <w:r>
              <w:rPr>
                <w:rFonts w:ascii="Arial" w:hAnsi="Arial" w:cs="Arial"/>
              </w:rPr>
              <w:t>e  inmuebles</w:t>
            </w:r>
            <w:proofErr w:type="gramEnd"/>
            <w:r>
              <w:rPr>
                <w:rFonts w:ascii="Arial" w:hAnsi="Arial" w:cs="Arial"/>
              </w:rPr>
              <w:t xml:space="preserve">. </w:t>
            </w:r>
          </w:p>
          <w:p w14:paraId="75B7EB97" w14:textId="77777777" w:rsidR="00D3344B" w:rsidRDefault="00143C25">
            <w:pPr>
              <w:spacing w:after="0" w:line="259" w:lineRule="auto"/>
              <w:rPr>
                <w:rFonts w:ascii="Arial" w:hAnsi="Arial" w:cs="Arial"/>
              </w:rPr>
            </w:pPr>
            <w:r>
              <w:rPr>
                <w:rFonts w:ascii="Arial" w:hAnsi="Arial" w:cs="Arial"/>
              </w:rPr>
              <w:t xml:space="preserve"> </w:t>
            </w:r>
          </w:p>
        </w:tc>
        <w:tc>
          <w:tcPr>
            <w:tcW w:w="1876" w:type="dxa"/>
          </w:tcPr>
          <w:p w14:paraId="2BD6030E" w14:textId="77777777" w:rsidR="00D3344B" w:rsidRDefault="00143C25">
            <w:pPr>
              <w:spacing w:after="0" w:line="259" w:lineRule="auto"/>
              <w:rPr>
                <w:rFonts w:ascii="Arial" w:hAnsi="Arial" w:cs="Arial"/>
              </w:rPr>
            </w:pPr>
            <w:r>
              <w:rPr>
                <w:rFonts w:ascii="Arial" w:hAnsi="Arial" w:cs="Arial"/>
              </w:rPr>
              <w:t xml:space="preserve">230 UMA </w:t>
            </w:r>
          </w:p>
        </w:tc>
      </w:tr>
      <w:tr w:rsidR="00D3344B" w14:paraId="01DE5AE9" w14:textId="77777777">
        <w:trPr>
          <w:trHeight w:val="334"/>
        </w:trPr>
        <w:tc>
          <w:tcPr>
            <w:tcW w:w="7018" w:type="dxa"/>
          </w:tcPr>
          <w:p w14:paraId="501A1726" w14:textId="77777777" w:rsidR="00D3344B" w:rsidRDefault="00143C25">
            <w:pPr>
              <w:tabs>
                <w:tab w:val="center" w:pos="6734"/>
              </w:tabs>
              <w:spacing w:after="0" w:line="259" w:lineRule="auto"/>
              <w:rPr>
                <w:rFonts w:ascii="Arial" w:hAnsi="Arial" w:cs="Arial"/>
              </w:rPr>
            </w:pPr>
            <w:r>
              <w:rPr>
                <w:rFonts w:ascii="Arial" w:hAnsi="Arial" w:cs="Arial"/>
              </w:rPr>
              <w:t xml:space="preserve">2. Instalación, mantenimiento y monitoreo de sistemas de alarmas. </w:t>
            </w:r>
            <w:r>
              <w:rPr>
                <w:rFonts w:ascii="Arial" w:hAnsi="Arial" w:cs="Arial"/>
              </w:rPr>
              <w:tab/>
              <w:t xml:space="preserve"> </w:t>
            </w:r>
          </w:p>
        </w:tc>
        <w:tc>
          <w:tcPr>
            <w:tcW w:w="1876" w:type="dxa"/>
          </w:tcPr>
          <w:p w14:paraId="13F6E5E6" w14:textId="77777777" w:rsidR="00D3344B" w:rsidRDefault="00143C25">
            <w:pPr>
              <w:spacing w:after="0" w:line="259" w:lineRule="auto"/>
              <w:rPr>
                <w:rFonts w:ascii="Arial" w:hAnsi="Arial" w:cs="Arial"/>
              </w:rPr>
            </w:pPr>
            <w:r>
              <w:rPr>
                <w:rFonts w:ascii="Arial" w:hAnsi="Arial" w:cs="Arial"/>
              </w:rPr>
              <w:t xml:space="preserve">250 UMA </w:t>
            </w:r>
          </w:p>
        </w:tc>
      </w:tr>
      <w:tr w:rsidR="00D3344B" w14:paraId="02EA82FF" w14:textId="77777777">
        <w:trPr>
          <w:trHeight w:val="586"/>
        </w:trPr>
        <w:tc>
          <w:tcPr>
            <w:tcW w:w="7018" w:type="dxa"/>
          </w:tcPr>
          <w:p w14:paraId="4A525285" w14:textId="77777777" w:rsidR="00D3344B" w:rsidRDefault="00143C25">
            <w:pPr>
              <w:tabs>
                <w:tab w:val="center" w:pos="6734"/>
              </w:tabs>
              <w:spacing w:after="0" w:line="259" w:lineRule="auto"/>
              <w:rPr>
                <w:rFonts w:ascii="Arial" w:hAnsi="Arial" w:cs="Arial"/>
              </w:rPr>
            </w:pPr>
            <w:r>
              <w:rPr>
                <w:rFonts w:ascii="Arial" w:hAnsi="Arial" w:cs="Arial"/>
              </w:rPr>
              <w:t xml:space="preserve">3. Traslado y custodia de fondos y valores. </w:t>
            </w:r>
            <w:r>
              <w:rPr>
                <w:rFonts w:ascii="Arial" w:hAnsi="Arial" w:cs="Arial"/>
              </w:rPr>
              <w:tab/>
              <w:t xml:space="preserve"> </w:t>
            </w:r>
          </w:p>
          <w:p w14:paraId="533482CC" w14:textId="77777777" w:rsidR="00D3344B" w:rsidRDefault="00143C25">
            <w:pPr>
              <w:spacing w:after="0" w:line="259" w:lineRule="auto"/>
              <w:rPr>
                <w:rFonts w:ascii="Arial" w:hAnsi="Arial" w:cs="Arial"/>
              </w:rPr>
            </w:pPr>
            <w:r>
              <w:rPr>
                <w:rFonts w:ascii="Arial" w:hAnsi="Arial" w:cs="Arial"/>
              </w:rPr>
              <w:t xml:space="preserve"> </w:t>
            </w:r>
          </w:p>
        </w:tc>
        <w:tc>
          <w:tcPr>
            <w:tcW w:w="1876" w:type="dxa"/>
          </w:tcPr>
          <w:p w14:paraId="208AABB8" w14:textId="77777777" w:rsidR="00D3344B" w:rsidRDefault="00143C25">
            <w:pPr>
              <w:spacing w:after="0" w:line="259" w:lineRule="auto"/>
              <w:rPr>
                <w:rFonts w:ascii="Arial" w:hAnsi="Arial" w:cs="Arial"/>
              </w:rPr>
            </w:pPr>
            <w:r>
              <w:rPr>
                <w:rFonts w:ascii="Arial" w:hAnsi="Arial" w:cs="Arial"/>
              </w:rPr>
              <w:t xml:space="preserve">270 UMA </w:t>
            </w:r>
          </w:p>
        </w:tc>
      </w:tr>
    </w:tbl>
    <w:p w14:paraId="79B0193F" w14:textId="77777777" w:rsidR="00D3344B" w:rsidRDefault="00D3344B">
      <w:pPr>
        <w:pStyle w:val="Estilo"/>
        <w:rPr>
          <w:rFonts w:cs="Arial"/>
        </w:rPr>
      </w:pPr>
    </w:p>
    <w:p w14:paraId="73C570F5" w14:textId="77777777" w:rsidR="00D3344B" w:rsidRDefault="00143C25">
      <w:pPr>
        <w:pStyle w:val="Estilo"/>
        <w:rPr>
          <w:rFonts w:cs="Arial"/>
        </w:rPr>
      </w:pPr>
      <w:r>
        <w:rPr>
          <w:rFonts w:cs="Arial"/>
        </w:rPr>
        <w:lastRenderedPageBreak/>
        <w:t>e) Cuando el refrendo anual de autorización de funcionamiento para prestar servicios de seguridad privada en el Estado; incluye dos o más modalidades causará los derechos siguientes:</w:t>
      </w:r>
    </w:p>
    <w:p w14:paraId="788B6D7F"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7019"/>
        <w:gridCol w:w="1876"/>
      </w:tblGrid>
      <w:tr w:rsidR="00D3344B" w14:paraId="298A426E" w14:textId="77777777">
        <w:trPr>
          <w:trHeight w:val="755"/>
        </w:trPr>
        <w:tc>
          <w:tcPr>
            <w:tcW w:w="7018" w:type="dxa"/>
          </w:tcPr>
          <w:p w14:paraId="17F4A324" w14:textId="77777777" w:rsidR="00D3344B" w:rsidRDefault="00143C25">
            <w:pPr>
              <w:spacing w:after="0" w:line="259" w:lineRule="auto"/>
              <w:ind w:right="430"/>
              <w:rPr>
                <w:rFonts w:ascii="Arial" w:hAnsi="Arial" w:cs="Arial"/>
              </w:rPr>
            </w:pPr>
            <w:r>
              <w:rPr>
                <w:rFonts w:ascii="Arial" w:hAnsi="Arial" w:cs="Arial"/>
              </w:rPr>
              <w:t xml:space="preserve">1. Protección, custodia y vigilancia de personas o bienes muebles </w:t>
            </w:r>
            <w:proofErr w:type="gramStart"/>
            <w:r>
              <w:rPr>
                <w:rFonts w:ascii="Arial" w:hAnsi="Arial" w:cs="Arial"/>
              </w:rPr>
              <w:t>e  inmuebles</w:t>
            </w:r>
            <w:proofErr w:type="gramEnd"/>
            <w:r>
              <w:rPr>
                <w:rFonts w:ascii="Arial" w:hAnsi="Arial" w:cs="Arial"/>
              </w:rPr>
              <w:t xml:space="preserve"> e instalación, mantenimiento y monitoreo de sistemas de alarmas. </w:t>
            </w:r>
          </w:p>
        </w:tc>
        <w:tc>
          <w:tcPr>
            <w:tcW w:w="1876" w:type="dxa"/>
          </w:tcPr>
          <w:p w14:paraId="1F235540" w14:textId="77777777" w:rsidR="00D3344B" w:rsidRDefault="00143C25">
            <w:pPr>
              <w:spacing w:after="0" w:line="259" w:lineRule="auto"/>
              <w:rPr>
                <w:rFonts w:ascii="Arial" w:hAnsi="Arial" w:cs="Arial"/>
              </w:rPr>
            </w:pPr>
            <w:r>
              <w:rPr>
                <w:rFonts w:ascii="Arial" w:hAnsi="Arial" w:cs="Arial"/>
              </w:rPr>
              <w:t xml:space="preserve">240 UMA </w:t>
            </w:r>
          </w:p>
        </w:tc>
      </w:tr>
      <w:tr w:rsidR="00D3344B" w14:paraId="41AA53AC" w14:textId="77777777">
        <w:trPr>
          <w:trHeight w:val="581"/>
        </w:trPr>
        <w:tc>
          <w:tcPr>
            <w:tcW w:w="7018" w:type="dxa"/>
          </w:tcPr>
          <w:p w14:paraId="3823490F" w14:textId="77777777" w:rsidR="00D3344B" w:rsidRDefault="00143C25">
            <w:pPr>
              <w:spacing w:after="0" w:line="259" w:lineRule="auto"/>
              <w:rPr>
                <w:rFonts w:ascii="Arial" w:hAnsi="Arial" w:cs="Arial"/>
              </w:rPr>
            </w:pPr>
            <w:r>
              <w:rPr>
                <w:rFonts w:ascii="Arial" w:hAnsi="Arial" w:cs="Arial"/>
              </w:rPr>
              <w:t xml:space="preserve">2. Protección custodia y vigilancia de personas o bienes muebles e inmuebles y traslado y custodia de fondos y valores. </w:t>
            </w:r>
          </w:p>
        </w:tc>
        <w:tc>
          <w:tcPr>
            <w:tcW w:w="1876" w:type="dxa"/>
          </w:tcPr>
          <w:p w14:paraId="3CB688C9" w14:textId="77777777" w:rsidR="00D3344B" w:rsidRDefault="00143C25">
            <w:pPr>
              <w:spacing w:after="0" w:line="259" w:lineRule="auto"/>
              <w:rPr>
                <w:rFonts w:ascii="Arial" w:hAnsi="Arial" w:cs="Arial"/>
              </w:rPr>
            </w:pPr>
            <w:r>
              <w:rPr>
                <w:rFonts w:ascii="Arial" w:hAnsi="Arial" w:cs="Arial"/>
              </w:rPr>
              <w:t xml:space="preserve">270 UMA </w:t>
            </w:r>
          </w:p>
        </w:tc>
      </w:tr>
      <w:tr w:rsidR="00D3344B" w14:paraId="1B09DC36" w14:textId="77777777">
        <w:trPr>
          <w:trHeight w:val="666"/>
        </w:trPr>
        <w:tc>
          <w:tcPr>
            <w:tcW w:w="7018" w:type="dxa"/>
          </w:tcPr>
          <w:p w14:paraId="3E58C05B" w14:textId="77777777" w:rsidR="00D3344B" w:rsidRDefault="00143C25">
            <w:pPr>
              <w:spacing w:after="0" w:line="259" w:lineRule="auto"/>
              <w:ind w:right="118"/>
              <w:rPr>
                <w:rFonts w:ascii="Arial" w:hAnsi="Arial" w:cs="Arial"/>
              </w:rPr>
            </w:pPr>
            <w:r>
              <w:rPr>
                <w:rFonts w:ascii="Arial" w:hAnsi="Arial" w:cs="Arial"/>
              </w:rPr>
              <w:t xml:space="preserve">3. Instalación, mantenimiento y monitoreo de sistemas de alarmas y </w:t>
            </w:r>
            <w:proofErr w:type="gramStart"/>
            <w:r>
              <w:rPr>
                <w:rFonts w:ascii="Arial" w:hAnsi="Arial" w:cs="Arial"/>
              </w:rPr>
              <w:t>traslado  y</w:t>
            </w:r>
            <w:proofErr w:type="gramEnd"/>
            <w:r>
              <w:rPr>
                <w:rFonts w:ascii="Arial" w:hAnsi="Arial" w:cs="Arial"/>
              </w:rPr>
              <w:t xml:space="preserve"> custodia de fondos y valores. </w:t>
            </w:r>
          </w:p>
        </w:tc>
        <w:tc>
          <w:tcPr>
            <w:tcW w:w="1876" w:type="dxa"/>
          </w:tcPr>
          <w:p w14:paraId="6DD838D9" w14:textId="77777777" w:rsidR="00D3344B" w:rsidRDefault="00143C25">
            <w:pPr>
              <w:spacing w:after="0" w:line="259" w:lineRule="auto"/>
              <w:rPr>
                <w:rFonts w:ascii="Arial" w:hAnsi="Arial" w:cs="Arial"/>
              </w:rPr>
            </w:pPr>
            <w:r>
              <w:rPr>
                <w:rFonts w:ascii="Arial" w:hAnsi="Arial" w:cs="Arial"/>
              </w:rPr>
              <w:t xml:space="preserve">280 UMA </w:t>
            </w:r>
          </w:p>
        </w:tc>
      </w:tr>
      <w:tr w:rsidR="00D3344B" w14:paraId="600720FC" w14:textId="77777777">
        <w:trPr>
          <w:trHeight w:val="1092"/>
        </w:trPr>
        <w:tc>
          <w:tcPr>
            <w:tcW w:w="7018" w:type="dxa"/>
          </w:tcPr>
          <w:p w14:paraId="6451D55D" w14:textId="77777777" w:rsidR="00D3344B" w:rsidRDefault="00143C25">
            <w:pPr>
              <w:spacing w:after="0" w:line="235" w:lineRule="auto"/>
              <w:ind w:right="428"/>
              <w:rPr>
                <w:rFonts w:ascii="Arial" w:hAnsi="Arial" w:cs="Arial"/>
              </w:rPr>
            </w:pPr>
            <w:r>
              <w:rPr>
                <w:rFonts w:ascii="Arial" w:hAnsi="Arial" w:cs="Arial"/>
              </w:rPr>
              <w:t xml:space="preserve">4. Protección, custodia y vigilancia de personas o bienes muebles </w:t>
            </w:r>
            <w:proofErr w:type="gramStart"/>
            <w:r>
              <w:rPr>
                <w:rFonts w:ascii="Arial" w:hAnsi="Arial" w:cs="Arial"/>
              </w:rPr>
              <w:t>e  inmuebles</w:t>
            </w:r>
            <w:proofErr w:type="gramEnd"/>
            <w:r>
              <w:rPr>
                <w:rFonts w:ascii="Arial" w:hAnsi="Arial" w:cs="Arial"/>
              </w:rPr>
              <w:t xml:space="preserve">, instalación mantenimiento y monitoreo de sistemas de alarmas y traslado y custodia de fondos y valores. </w:t>
            </w:r>
          </w:p>
          <w:p w14:paraId="32733125" w14:textId="77777777" w:rsidR="00D3344B" w:rsidRDefault="00143C25">
            <w:pPr>
              <w:spacing w:after="0" w:line="259" w:lineRule="auto"/>
              <w:rPr>
                <w:rFonts w:ascii="Arial" w:hAnsi="Arial" w:cs="Arial"/>
              </w:rPr>
            </w:pPr>
            <w:r>
              <w:rPr>
                <w:rFonts w:ascii="Arial" w:hAnsi="Arial" w:cs="Arial"/>
              </w:rPr>
              <w:t xml:space="preserve"> </w:t>
            </w:r>
          </w:p>
        </w:tc>
        <w:tc>
          <w:tcPr>
            <w:tcW w:w="1876" w:type="dxa"/>
          </w:tcPr>
          <w:p w14:paraId="0831228D" w14:textId="77777777" w:rsidR="00D3344B" w:rsidRDefault="00143C25">
            <w:pPr>
              <w:spacing w:after="0" w:line="259" w:lineRule="auto"/>
              <w:rPr>
                <w:rFonts w:ascii="Arial" w:hAnsi="Arial" w:cs="Arial"/>
              </w:rPr>
            </w:pPr>
            <w:r>
              <w:rPr>
                <w:rFonts w:ascii="Arial" w:hAnsi="Arial" w:cs="Arial"/>
              </w:rPr>
              <w:t xml:space="preserve">295 UMA </w:t>
            </w:r>
          </w:p>
        </w:tc>
      </w:tr>
      <w:tr w:rsidR="00D3344B" w14:paraId="24E17F4F" w14:textId="77777777">
        <w:trPr>
          <w:trHeight w:val="1012"/>
        </w:trPr>
        <w:tc>
          <w:tcPr>
            <w:tcW w:w="7018" w:type="dxa"/>
          </w:tcPr>
          <w:p w14:paraId="0C89525F" w14:textId="77777777" w:rsidR="00D3344B" w:rsidRDefault="00143C25">
            <w:pPr>
              <w:spacing w:after="0" w:line="235" w:lineRule="auto"/>
              <w:ind w:right="429"/>
              <w:rPr>
                <w:rFonts w:ascii="Arial" w:hAnsi="Arial" w:cs="Arial"/>
              </w:rPr>
            </w:pPr>
            <w:r>
              <w:rPr>
                <w:rFonts w:ascii="Arial" w:hAnsi="Arial" w:cs="Arial"/>
              </w:rPr>
              <w:t xml:space="preserve">f) Por la consulta de antecedentes policiales en el Registro Nacional </w:t>
            </w:r>
            <w:proofErr w:type="gramStart"/>
            <w:r>
              <w:rPr>
                <w:rFonts w:ascii="Arial" w:hAnsi="Arial" w:cs="Arial"/>
              </w:rPr>
              <w:t>del  Personal</w:t>
            </w:r>
            <w:proofErr w:type="gramEnd"/>
            <w:r>
              <w:rPr>
                <w:rFonts w:ascii="Arial" w:hAnsi="Arial" w:cs="Arial"/>
              </w:rPr>
              <w:t xml:space="preserve"> de Seguridad Pública, respecto del personal con que cuenta las instituciones que presten los servicios de seguridad privada. </w:t>
            </w:r>
          </w:p>
          <w:p w14:paraId="0B29AC6E" w14:textId="77777777" w:rsidR="00D3344B" w:rsidRDefault="00143C25">
            <w:pPr>
              <w:spacing w:after="0" w:line="259" w:lineRule="auto"/>
              <w:rPr>
                <w:rFonts w:ascii="Arial" w:hAnsi="Arial" w:cs="Arial"/>
              </w:rPr>
            </w:pPr>
            <w:r>
              <w:rPr>
                <w:rFonts w:ascii="Arial" w:hAnsi="Arial" w:cs="Arial"/>
              </w:rPr>
              <w:t xml:space="preserve"> </w:t>
            </w:r>
          </w:p>
        </w:tc>
        <w:tc>
          <w:tcPr>
            <w:tcW w:w="1876" w:type="dxa"/>
          </w:tcPr>
          <w:p w14:paraId="58C8A7FD" w14:textId="77777777" w:rsidR="00D3344B" w:rsidRDefault="00143C25">
            <w:pPr>
              <w:spacing w:after="0" w:line="259" w:lineRule="auto"/>
              <w:rPr>
                <w:rFonts w:ascii="Arial" w:hAnsi="Arial" w:cs="Arial"/>
              </w:rPr>
            </w:pPr>
            <w:r>
              <w:rPr>
                <w:rFonts w:ascii="Arial" w:hAnsi="Arial" w:cs="Arial"/>
              </w:rPr>
              <w:t xml:space="preserve">0.5 UMA por cada integrante. </w:t>
            </w:r>
          </w:p>
        </w:tc>
      </w:tr>
      <w:tr w:rsidR="00D3344B" w14:paraId="60CEA5BC" w14:textId="77777777">
        <w:trPr>
          <w:trHeight w:val="587"/>
        </w:trPr>
        <w:tc>
          <w:tcPr>
            <w:tcW w:w="7018" w:type="dxa"/>
          </w:tcPr>
          <w:p w14:paraId="79DDD0D6" w14:textId="77777777" w:rsidR="00D3344B" w:rsidRDefault="00143C25">
            <w:pPr>
              <w:tabs>
                <w:tab w:val="center" w:pos="6734"/>
              </w:tabs>
              <w:spacing w:after="0" w:line="259" w:lineRule="auto"/>
              <w:rPr>
                <w:rFonts w:ascii="Arial" w:hAnsi="Arial" w:cs="Arial"/>
              </w:rPr>
            </w:pPr>
            <w:r>
              <w:rPr>
                <w:rFonts w:ascii="Arial" w:hAnsi="Arial" w:cs="Arial"/>
              </w:rPr>
              <w:t xml:space="preserve">g) Por la expedición de cada Clave Única de Identificación Personal. </w:t>
            </w:r>
            <w:r>
              <w:rPr>
                <w:rFonts w:ascii="Arial" w:hAnsi="Arial" w:cs="Arial"/>
              </w:rPr>
              <w:tab/>
              <w:t xml:space="preserve"> </w:t>
            </w:r>
          </w:p>
          <w:p w14:paraId="4DA1AB76" w14:textId="77777777" w:rsidR="00D3344B" w:rsidRDefault="00143C25">
            <w:pPr>
              <w:spacing w:after="0" w:line="259" w:lineRule="auto"/>
              <w:rPr>
                <w:rFonts w:ascii="Arial" w:hAnsi="Arial" w:cs="Arial"/>
              </w:rPr>
            </w:pPr>
            <w:r>
              <w:rPr>
                <w:rFonts w:ascii="Arial" w:hAnsi="Arial" w:cs="Arial"/>
              </w:rPr>
              <w:t xml:space="preserve"> </w:t>
            </w:r>
          </w:p>
        </w:tc>
        <w:tc>
          <w:tcPr>
            <w:tcW w:w="1876" w:type="dxa"/>
          </w:tcPr>
          <w:p w14:paraId="4E3BA250" w14:textId="77777777" w:rsidR="00D3344B" w:rsidRDefault="00143C25">
            <w:pPr>
              <w:spacing w:after="0" w:line="259" w:lineRule="auto"/>
              <w:rPr>
                <w:rFonts w:ascii="Arial" w:hAnsi="Arial" w:cs="Arial"/>
              </w:rPr>
            </w:pPr>
            <w:r>
              <w:rPr>
                <w:rFonts w:ascii="Arial" w:hAnsi="Arial" w:cs="Arial"/>
              </w:rPr>
              <w:t xml:space="preserve">0.75 UMA por cada integrante. </w:t>
            </w:r>
          </w:p>
        </w:tc>
      </w:tr>
    </w:tbl>
    <w:p w14:paraId="72B912DB" w14:textId="77777777" w:rsidR="00D3344B" w:rsidRDefault="00D3344B">
      <w:pPr>
        <w:pStyle w:val="Estilo"/>
        <w:rPr>
          <w:rFonts w:cs="Arial"/>
        </w:rPr>
      </w:pPr>
    </w:p>
    <w:p w14:paraId="41155B89" w14:textId="77777777" w:rsidR="00D3344B" w:rsidRDefault="00143C25">
      <w:pPr>
        <w:pStyle w:val="Estilo"/>
        <w:rPr>
          <w:rFonts w:cs="Arial"/>
          <w:i/>
          <w:sz w:val="16"/>
          <w:szCs w:val="16"/>
        </w:rPr>
      </w:pPr>
      <w:r>
        <w:rPr>
          <w:rFonts w:cs="Arial"/>
          <w:i/>
          <w:sz w:val="16"/>
          <w:szCs w:val="16"/>
        </w:rPr>
        <w:t>(REFORMADA, P.O. 29 DE NOVIEMBRE DE 2023)</w:t>
      </w:r>
    </w:p>
    <w:p w14:paraId="6B6579E6" w14:textId="77777777" w:rsidR="00D3344B" w:rsidRDefault="00143C25">
      <w:pPr>
        <w:pStyle w:val="Estilo"/>
        <w:rPr>
          <w:rFonts w:cs="Arial"/>
        </w:rPr>
      </w:pPr>
      <w:r>
        <w:rPr>
          <w:rFonts w:cs="Arial"/>
        </w:rPr>
        <w:t>V. Los servicios prestados a través de la Policía Industrial y Bancaria de guarda custodia o vigilancia de industrias, comercios o establecimientos de cualquier naturaleza, causará los derechos siguientes:</w:t>
      </w:r>
    </w:p>
    <w:p w14:paraId="2F02524F" w14:textId="77777777" w:rsidR="00D3344B" w:rsidRDefault="00D3344B">
      <w:pPr>
        <w:pStyle w:val="Estilo"/>
        <w:rPr>
          <w:rFonts w:cs="Arial"/>
        </w:rPr>
      </w:pPr>
    </w:p>
    <w:tbl>
      <w:tblPr>
        <w:tblStyle w:val="TableGrid"/>
        <w:tblW w:w="8895" w:type="dxa"/>
        <w:tblInd w:w="70" w:type="dxa"/>
        <w:tblLayout w:type="fixed"/>
        <w:tblLook w:val="04A0" w:firstRow="1" w:lastRow="0" w:firstColumn="1" w:lastColumn="0" w:noHBand="0" w:noVBand="1"/>
      </w:tblPr>
      <w:tblGrid>
        <w:gridCol w:w="7019"/>
        <w:gridCol w:w="1876"/>
      </w:tblGrid>
      <w:tr w:rsidR="00D3344B" w14:paraId="32692798" w14:textId="77777777">
        <w:trPr>
          <w:trHeight w:val="667"/>
        </w:trPr>
        <w:tc>
          <w:tcPr>
            <w:tcW w:w="7018" w:type="dxa"/>
          </w:tcPr>
          <w:p w14:paraId="071C6DF4" w14:textId="77777777" w:rsidR="00D3344B" w:rsidRDefault="00143C25">
            <w:pPr>
              <w:tabs>
                <w:tab w:val="center" w:pos="6734"/>
              </w:tabs>
              <w:spacing w:after="0" w:line="259" w:lineRule="auto"/>
              <w:rPr>
                <w:rFonts w:ascii="Arial" w:hAnsi="Arial" w:cs="Arial"/>
              </w:rPr>
            </w:pPr>
            <w:r>
              <w:rPr>
                <w:rFonts w:ascii="Arial" w:hAnsi="Arial" w:cs="Arial"/>
              </w:rPr>
              <w:t xml:space="preserve">a) Jornada Laboral. </w:t>
            </w:r>
            <w:r>
              <w:rPr>
                <w:rFonts w:ascii="Arial" w:hAnsi="Arial" w:cs="Arial"/>
              </w:rPr>
              <w:tab/>
              <w:t xml:space="preserve"> </w:t>
            </w:r>
          </w:p>
        </w:tc>
        <w:tc>
          <w:tcPr>
            <w:tcW w:w="1876" w:type="dxa"/>
          </w:tcPr>
          <w:p w14:paraId="68B2E787" w14:textId="77777777" w:rsidR="00D3344B" w:rsidRDefault="00143C25">
            <w:pPr>
              <w:spacing w:after="0" w:line="259" w:lineRule="auto"/>
              <w:rPr>
                <w:rFonts w:ascii="Arial" w:hAnsi="Arial" w:cs="Arial"/>
              </w:rPr>
            </w:pPr>
            <w:r>
              <w:rPr>
                <w:rFonts w:ascii="Arial" w:hAnsi="Arial" w:cs="Arial"/>
              </w:rPr>
              <w:t xml:space="preserve">Importe mensual por elemento, en UMA. </w:t>
            </w:r>
          </w:p>
        </w:tc>
      </w:tr>
      <w:tr w:rsidR="00D3344B" w14:paraId="5D3F05C6" w14:textId="77777777">
        <w:trPr>
          <w:trHeight w:val="513"/>
        </w:trPr>
        <w:tc>
          <w:tcPr>
            <w:tcW w:w="7018" w:type="dxa"/>
          </w:tcPr>
          <w:p w14:paraId="0720CE3C" w14:textId="77777777" w:rsidR="00D3344B" w:rsidRDefault="00143C25">
            <w:pPr>
              <w:pStyle w:val="Estilo"/>
              <w:rPr>
                <w:rFonts w:cs="Arial"/>
                <w:i/>
                <w:sz w:val="16"/>
                <w:szCs w:val="16"/>
              </w:rPr>
            </w:pPr>
            <w:r>
              <w:rPr>
                <w:rFonts w:cs="Arial"/>
                <w:i/>
                <w:sz w:val="16"/>
                <w:szCs w:val="16"/>
              </w:rPr>
              <w:t>(REFORMADO, P.O. 29 DE NOVIEMBRE DE 2023)</w:t>
            </w:r>
          </w:p>
          <w:p w14:paraId="10948960" w14:textId="77777777" w:rsidR="00D3344B" w:rsidRDefault="00143C25">
            <w:pPr>
              <w:pStyle w:val="TableParagraph"/>
              <w:spacing w:before="121"/>
              <w:ind w:left="50"/>
            </w:pPr>
            <w:r>
              <w:t>1)</w:t>
            </w:r>
            <w:r>
              <w:rPr>
                <w:spacing w:val="-1"/>
              </w:rPr>
              <w:t xml:space="preserve"> </w:t>
            </w:r>
            <w:r>
              <w:t>48</w:t>
            </w:r>
            <w:r>
              <w:rPr>
                <w:spacing w:val="-2"/>
              </w:rPr>
              <w:t xml:space="preserve"> </w:t>
            </w:r>
            <w:r>
              <w:t>horas,</w:t>
            </w:r>
            <w:r>
              <w:rPr>
                <w:spacing w:val="-2"/>
              </w:rPr>
              <w:t xml:space="preserve"> </w:t>
            </w:r>
            <w:r>
              <w:t>(8</w:t>
            </w:r>
            <w:r>
              <w:rPr>
                <w:spacing w:val="-4"/>
              </w:rPr>
              <w:t xml:space="preserve"> </w:t>
            </w:r>
            <w:r>
              <w:t>horas</w:t>
            </w:r>
            <w:r>
              <w:rPr>
                <w:spacing w:val="-2"/>
              </w:rPr>
              <w:t xml:space="preserve"> </w:t>
            </w:r>
            <w:r>
              <w:t>diarias</w:t>
            </w:r>
            <w:r>
              <w:rPr>
                <w:spacing w:val="-4"/>
              </w:rPr>
              <w:t xml:space="preserve"> </w:t>
            </w:r>
            <w:r>
              <w:t>de</w:t>
            </w:r>
            <w:r>
              <w:rPr>
                <w:spacing w:val="-2"/>
              </w:rPr>
              <w:t xml:space="preserve"> </w:t>
            </w:r>
            <w:r>
              <w:t>lunes</w:t>
            </w:r>
            <w:r>
              <w:rPr>
                <w:spacing w:val="-3"/>
              </w:rPr>
              <w:t xml:space="preserve"> </w:t>
            </w:r>
            <w:r>
              <w:t>a</w:t>
            </w:r>
            <w:r>
              <w:rPr>
                <w:spacing w:val="-2"/>
              </w:rPr>
              <w:t xml:space="preserve"> </w:t>
            </w:r>
            <w:r>
              <w:t>sábado)</w:t>
            </w:r>
            <w:r>
              <w:rPr>
                <w:spacing w:val="-2"/>
              </w:rPr>
              <w:t xml:space="preserve"> </w:t>
            </w:r>
            <w:r>
              <w:t>por</w:t>
            </w:r>
            <w:r>
              <w:rPr>
                <w:spacing w:val="-3"/>
              </w:rPr>
              <w:t xml:space="preserve"> </w:t>
            </w:r>
            <w:r>
              <w:rPr>
                <w:spacing w:val="-2"/>
              </w:rPr>
              <w:t>elemento;</w:t>
            </w:r>
          </w:p>
        </w:tc>
        <w:tc>
          <w:tcPr>
            <w:tcW w:w="1876" w:type="dxa"/>
          </w:tcPr>
          <w:p w14:paraId="2D66D67B" w14:textId="77777777" w:rsidR="00D3344B" w:rsidRDefault="00143C25">
            <w:pPr>
              <w:pStyle w:val="TableParagraph"/>
              <w:spacing w:before="121"/>
              <w:ind w:right="112"/>
              <w:jc w:val="right"/>
              <w:rPr>
                <w:b/>
              </w:rPr>
            </w:pPr>
            <w:r>
              <w:rPr>
                <w:rFonts w:cs="Arial"/>
              </w:rPr>
              <w:t>96</w:t>
            </w:r>
          </w:p>
        </w:tc>
      </w:tr>
      <w:tr w:rsidR="00D3344B" w14:paraId="7DE02267" w14:textId="77777777">
        <w:trPr>
          <w:trHeight w:val="513"/>
        </w:trPr>
        <w:tc>
          <w:tcPr>
            <w:tcW w:w="7018" w:type="dxa"/>
          </w:tcPr>
          <w:p w14:paraId="55CD55A5" w14:textId="77777777" w:rsidR="00D3344B" w:rsidRDefault="00143C25">
            <w:pPr>
              <w:pStyle w:val="Estilo"/>
              <w:rPr>
                <w:rFonts w:cs="Arial"/>
                <w:i/>
                <w:sz w:val="16"/>
                <w:szCs w:val="16"/>
              </w:rPr>
            </w:pPr>
            <w:r>
              <w:rPr>
                <w:rFonts w:cs="Arial"/>
                <w:i/>
                <w:sz w:val="16"/>
                <w:szCs w:val="16"/>
              </w:rPr>
              <w:t>(REFORMADO, P.O. 29 DE NOVIEMBRE DE 2023)</w:t>
            </w:r>
          </w:p>
          <w:p w14:paraId="415B772E" w14:textId="77777777" w:rsidR="00D3344B" w:rsidRDefault="00143C25">
            <w:pPr>
              <w:pStyle w:val="TableParagraph"/>
              <w:spacing w:before="130"/>
              <w:ind w:left="50"/>
            </w:pPr>
            <w:r>
              <w:t>2)</w:t>
            </w:r>
            <w:r>
              <w:rPr>
                <w:spacing w:val="-3"/>
              </w:rPr>
              <w:t xml:space="preserve"> </w:t>
            </w:r>
            <w:r>
              <w:t>60</w:t>
            </w:r>
            <w:r>
              <w:rPr>
                <w:spacing w:val="-3"/>
              </w:rPr>
              <w:t xml:space="preserve"> </w:t>
            </w:r>
            <w:r>
              <w:t>horas,</w:t>
            </w:r>
            <w:r>
              <w:rPr>
                <w:spacing w:val="-2"/>
              </w:rPr>
              <w:t xml:space="preserve"> </w:t>
            </w:r>
            <w:r>
              <w:t>(12</w:t>
            </w:r>
            <w:r>
              <w:rPr>
                <w:spacing w:val="-3"/>
              </w:rPr>
              <w:t xml:space="preserve"> </w:t>
            </w:r>
            <w:r>
              <w:t>horas</w:t>
            </w:r>
            <w:r>
              <w:rPr>
                <w:spacing w:val="-2"/>
              </w:rPr>
              <w:t xml:space="preserve"> </w:t>
            </w:r>
            <w:r>
              <w:t>diarias</w:t>
            </w:r>
            <w:r>
              <w:rPr>
                <w:spacing w:val="-3"/>
              </w:rPr>
              <w:t xml:space="preserve"> </w:t>
            </w:r>
            <w:r>
              <w:t>de</w:t>
            </w:r>
            <w:r>
              <w:rPr>
                <w:spacing w:val="-4"/>
              </w:rPr>
              <w:t xml:space="preserve"> </w:t>
            </w:r>
            <w:r>
              <w:t>lunes</w:t>
            </w:r>
            <w:r>
              <w:rPr>
                <w:spacing w:val="-3"/>
              </w:rPr>
              <w:t xml:space="preserve"> </w:t>
            </w:r>
            <w:r>
              <w:t>a</w:t>
            </w:r>
            <w:r>
              <w:rPr>
                <w:spacing w:val="-2"/>
              </w:rPr>
              <w:t xml:space="preserve"> </w:t>
            </w:r>
            <w:r>
              <w:t>viernes)</w:t>
            </w:r>
            <w:r>
              <w:rPr>
                <w:spacing w:val="-2"/>
              </w:rPr>
              <w:t xml:space="preserve"> </w:t>
            </w:r>
            <w:r>
              <w:t>por</w:t>
            </w:r>
            <w:r>
              <w:rPr>
                <w:spacing w:val="-2"/>
              </w:rPr>
              <w:t xml:space="preserve"> elemento;</w:t>
            </w:r>
          </w:p>
        </w:tc>
        <w:tc>
          <w:tcPr>
            <w:tcW w:w="1876" w:type="dxa"/>
          </w:tcPr>
          <w:p w14:paraId="6CF7EA30" w14:textId="77777777" w:rsidR="00D3344B" w:rsidRDefault="00143C25">
            <w:pPr>
              <w:pStyle w:val="TableParagraph"/>
              <w:spacing w:before="130"/>
              <w:ind w:right="112"/>
              <w:jc w:val="right"/>
              <w:rPr>
                <w:b/>
              </w:rPr>
            </w:pPr>
            <w:r>
              <w:rPr>
                <w:rFonts w:cs="Arial"/>
              </w:rPr>
              <w:t>108</w:t>
            </w:r>
          </w:p>
        </w:tc>
      </w:tr>
      <w:tr w:rsidR="00D3344B" w14:paraId="3CB6AED0" w14:textId="77777777">
        <w:trPr>
          <w:trHeight w:val="505"/>
        </w:trPr>
        <w:tc>
          <w:tcPr>
            <w:tcW w:w="7018" w:type="dxa"/>
          </w:tcPr>
          <w:p w14:paraId="1A94CA13" w14:textId="77777777" w:rsidR="00D3344B" w:rsidRDefault="00143C25">
            <w:pPr>
              <w:pStyle w:val="Estilo"/>
              <w:rPr>
                <w:rFonts w:cs="Arial"/>
                <w:i/>
                <w:sz w:val="16"/>
                <w:szCs w:val="16"/>
              </w:rPr>
            </w:pPr>
            <w:r>
              <w:rPr>
                <w:rFonts w:cs="Arial"/>
                <w:i/>
                <w:sz w:val="16"/>
                <w:szCs w:val="16"/>
              </w:rPr>
              <w:t>(REFORMADO, P.O. 29 DE NOVIEMBRE DE 2023)</w:t>
            </w:r>
          </w:p>
          <w:p w14:paraId="5918E9BB" w14:textId="77777777" w:rsidR="00D3344B" w:rsidRDefault="00143C25">
            <w:pPr>
              <w:pStyle w:val="TableParagraph"/>
              <w:spacing w:before="121"/>
              <w:ind w:left="50"/>
            </w:pPr>
            <w:r>
              <w:t>3)</w:t>
            </w:r>
            <w:r>
              <w:rPr>
                <w:spacing w:val="-3"/>
              </w:rPr>
              <w:t xml:space="preserve"> </w:t>
            </w:r>
            <w:r>
              <w:t>72</w:t>
            </w:r>
            <w:r>
              <w:rPr>
                <w:spacing w:val="-3"/>
              </w:rPr>
              <w:t xml:space="preserve"> </w:t>
            </w:r>
            <w:r>
              <w:t>horas,</w:t>
            </w:r>
            <w:r>
              <w:rPr>
                <w:spacing w:val="-2"/>
              </w:rPr>
              <w:t xml:space="preserve"> </w:t>
            </w:r>
            <w:r>
              <w:t>(12</w:t>
            </w:r>
            <w:r>
              <w:rPr>
                <w:spacing w:val="-3"/>
              </w:rPr>
              <w:t xml:space="preserve"> </w:t>
            </w:r>
            <w:r>
              <w:t>horas</w:t>
            </w:r>
            <w:r>
              <w:rPr>
                <w:spacing w:val="-2"/>
              </w:rPr>
              <w:t xml:space="preserve"> </w:t>
            </w:r>
            <w:r>
              <w:t>diarias</w:t>
            </w:r>
            <w:r>
              <w:rPr>
                <w:spacing w:val="-3"/>
              </w:rPr>
              <w:t xml:space="preserve"> </w:t>
            </w:r>
            <w:r>
              <w:t>de</w:t>
            </w:r>
            <w:r>
              <w:rPr>
                <w:spacing w:val="-5"/>
              </w:rPr>
              <w:t xml:space="preserve"> </w:t>
            </w:r>
            <w:r>
              <w:t>lunes</w:t>
            </w:r>
            <w:r>
              <w:rPr>
                <w:spacing w:val="-2"/>
              </w:rPr>
              <w:t xml:space="preserve"> </w:t>
            </w:r>
            <w:r>
              <w:t>a</w:t>
            </w:r>
            <w:r>
              <w:rPr>
                <w:spacing w:val="-5"/>
              </w:rPr>
              <w:t xml:space="preserve"> </w:t>
            </w:r>
            <w:r>
              <w:t>sábado)</w:t>
            </w:r>
            <w:r>
              <w:rPr>
                <w:spacing w:val="-2"/>
              </w:rPr>
              <w:t xml:space="preserve"> </w:t>
            </w:r>
            <w:r>
              <w:t>por</w:t>
            </w:r>
            <w:r>
              <w:rPr>
                <w:spacing w:val="-3"/>
              </w:rPr>
              <w:t xml:space="preserve"> </w:t>
            </w:r>
            <w:r>
              <w:t>elemento;</w:t>
            </w:r>
            <w:r>
              <w:rPr>
                <w:spacing w:val="-1"/>
              </w:rPr>
              <w:t xml:space="preserve"> </w:t>
            </w:r>
            <w:r>
              <w:rPr>
                <w:spacing w:val="-10"/>
              </w:rPr>
              <w:t>y</w:t>
            </w:r>
          </w:p>
        </w:tc>
        <w:tc>
          <w:tcPr>
            <w:tcW w:w="1876" w:type="dxa"/>
          </w:tcPr>
          <w:p w14:paraId="2BCB98EE" w14:textId="77777777" w:rsidR="00D3344B" w:rsidRDefault="00143C25">
            <w:pPr>
              <w:pStyle w:val="TableParagraph"/>
              <w:spacing w:before="121"/>
              <w:ind w:right="112"/>
              <w:jc w:val="right"/>
              <w:rPr>
                <w:b/>
              </w:rPr>
            </w:pPr>
            <w:r>
              <w:rPr>
                <w:rFonts w:cs="Arial"/>
              </w:rPr>
              <w:t>124</w:t>
            </w:r>
          </w:p>
        </w:tc>
      </w:tr>
      <w:tr w:rsidR="00D3344B" w14:paraId="764F9624" w14:textId="77777777">
        <w:trPr>
          <w:trHeight w:val="634"/>
        </w:trPr>
        <w:tc>
          <w:tcPr>
            <w:tcW w:w="7018" w:type="dxa"/>
          </w:tcPr>
          <w:p w14:paraId="475D3EEC" w14:textId="77777777" w:rsidR="00D3344B" w:rsidRDefault="00143C25">
            <w:pPr>
              <w:pStyle w:val="Estilo"/>
              <w:rPr>
                <w:rFonts w:cs="Arial"/>
                <w:i/>
                <w:sz w:val="16"/>
                <w:szCs w:val="16"/>
              </w:rPr>
            </w:pPr>
            <w:r>
              <w:rPr>
                <w:rFonts w:cs="Arial"/>
                <w:i/>
                <w:sz w:val="16"/>
                <w:szCs w:val="16"/>
              </w:rPr>
              <w:t>(REFORMADO, P.O. 29 DE NOVIEMBRE DE 2023)</w:t>
            </w:r>
          </w:p>
          <w:p w14:paraId="5F43CA03" w14:textId="77777777" w:rsidR="00D3344B" w:rsidRDefault="00143C25">
            <w:pPr>
              <w:pStyle w:val="TableParagraph"/>
              <w:spacing w:before="122"/>
              <w:ind w:left="50"/>
            </w:pPr>
            <w:r>
              <w:t>4)</w:t>
            </w:r>
            <w:r>
              <w:rPr>
                <w:spacing w:val="-3"/>
              </w:rPr>
              <w:t xml:space="preserve"> </w:t>
            </w:r>
            <w:r>
              <w:t>84</w:t>
            </w:r>
            <w:r>
              <w:rPr>
                <w:spacing w:val="-3"/>
              </w:rPr>
              <w:t xml:space="preserve"> </w:t>
            </w:r>
            <w:r>
              <w:t>horas,</w:t>
            </w:r>
            <w:r>
              <w:rPr>
                <w:spacing w:val="-2"/>
              </w:rPr>
              <w:t xml:space="preserve"> </w:t>
            </w:r>
            <w:r>
              <w:t>(24</w:t>
            </w:r>
            <w:r>
              <w:rPr>
                <w:spacing w:val="-3"/>
              </w:rPr>
              <w:t xml:space="preserve"> </w:t>
            </w:r>
            <w:r>
              <w:t>horas</w:t>
            </w:r>
            <w:r>
              <w:rPr>
                <w:spacing w:val="-3"/>
              </w:rPr>
              <w:t xml:space="preserve"> </w:t>
            </w:r>
            <w:r>
              <w:t>diarias</w:t>
            </w:r>
            <w:r>
              <w:rPr>
                <w:spacing w:val="-2"/>
              </w:rPr>
              <w:t xml:space="preserve"> </w:t>
            </w:r>
            <w:r>
              <w:t>de</w:t>
            </w:r>
            <w:r>
              <w:rPr>
                <w:spacing w:val="-5"/>
              </w:rPr>
              <w:t xml:space="preserve"> </w:t>
            </w:r>
            <w:r>
              <w:t>lunes</w:t>
            </w:r>
            <w:r>
              <w:rPr>
                <w:spacing w:val="-3"/>
              </w:rPr>
              <w:t xml:space="preserve"> </w:t>
            </w:r>
            <w:r>
              <w:t>a</w:t>
            </w:r>
            <w:r>
              <w:rPr>
                <w:spacing w:val="-2"/>
              </w:rPr>
              <w:t xml:space="preserve"> </w:t>
            </w:r>
            <w:r>
              <w:t>domingo)</w:t>
            </w:r>
            <w:r>
              <w:rPr>
                <w:spacing w:val="-3"/>
              </w:rPr>
              <w:t xml:space="preserve"> </w:t>
            </w:r>
            <w:r>
              <w:t>por</w:t>
            </w:r>
            <w:r>
              <w:rPr>
                <w:spacing w:val="-4"/>
              </w:rPr>
              <w:t xml:space="preserve"> </w:t>
            </w:r>
            <w:r>
              <w:rPr>
                <w:spacing w:val="-2"/>
              </w:rPr>
              <w:t>elemento.</w:t>
            </w:r>
          </w:p>
        </w:tc>
        <w:tc>
          <w:tcPr>
            <w:tcW w:w="1876" w:type="dxa"/>
          </w:tcPr>
          <w:p w14:paraId="46A9AC9B" w14:textId="77777777" w:rsidR="00D3344B" w:rsidRDefault="00143C25">
            <w:pPr>
              <w:pStyle w:val="TableParagraph"/>
              <w:spacing w:before="122"/>
              <w:ind w:right="112"/>
              <w:jc w:val="right"/>
              <w:rPr>
                <w:b/>
              </w:rPr>
            </w:pPr>
            <w:r>
              <w:rPr>
                <w:rFonts w:cs="Arial"/>
              </w:rPr>
              <w:t>139</w:t>
            </w:r>
          </w:p>
        </w:tc>
      </w:tr>
      <w:tr w:rsidR="00D3344B" w14:paraId="6D898C4D" w14:textId="77777777">
        <w:trPr>
          <w:trHeight w:val="506"/>
        </w:trPr>
        <w:tc>
          <w:tcPr>
            <w:tcW w:w="7018" w:type="dxa"/>
          </w:tcPr>
          <w:p w14:paraId="663FC921" w14:textId="77777777" w:rsidR="00D3344B" w:rsidRDefault="00143C25">
            <w:pPr>
              <w:pStyle w:val="Estilo"/>
            </w:pPr>
            <w:r>
              <w:rPr>
                <w:rFonts w:cs="Arial"/>
              </w:rPr>
              <w:t>b) Supervisión y Sobrevigilancia por servicio.</w:t>
            </w:r>
          </w:p>
        </w:tc>
        <w:tc>
          <w:tcPr>
            <w:tcW w:w="1876" w:type="dxa"/>
          </w:tcPr>
          <w:p w14:paraId="3813E01D" w14:textId="77777777" w:rsidR="00D3344B" w:rsidRDefault="00143C25">
            <w:pPr>
              <w:pStyle w:val="TableParagraph"/>
              <w:spacing w:before="122"/>
              <w:ind w:right="112"/>
              <w:jc w:val="right"/>
              <w:rPr>
                <w:rFonts w:cs="Arial"/>
              </w:rPr>
            </w:pPr>
            <w:r>
              <w:rPr>
                <w:rFonts w:cs="Arial"/>
              </w:rPr>
              <w:t>11</w:t>
            </w:r>
          </w:p>
        </w:tc>
      </w:tr>
      <w:tr w:rsidR="00D3344B" w14:paraId="38EBB413" w14:textId="77777777">
        <w:trPr>
          <w:trHeight w:val="506"/>
        </w:trPr>
        <w:tc>
          <w:tcPr>
            <w:tcW w:w="7018" w:type="dxa"/>
          </w:tcPr>
          <w:p w14:paraId="50D86906" w14:textId="77777777" w:rsidR="00D3344B" w:rsidRDefault="00143C25">
            <w:pPr>
              <w:pStyle w:val="Estilo"/>
              <w:rPr>
                <w:rFonts w:cs="Arial"/>
                <w:i/>
                <w:sz w:val="16"/>
                <w:szCs w:val="16"/>
              </w:rPr>
            </w:pPr>
            <w:r>
              <w:rPr>
                <w:rFonts w:cs="Arial"/>
                <w:i/>
                <w:sz w:val="16"/>
                <w:szCs w:val="16"/>
              </w:rPr>
              <w:t>(REFORMADO, P.O. 29 DE NOVIEMBRE DE 2023)</w:t>
            </w:r>
          </w:p>
          <w:p w14:paraId="1941D92F" w14:textId="77777777" w:rsidR="00D3344B" w:rsidRDefault="00143C25">
            <w:pPr>
              <w:pStyle w:val="Estilo"/>
              <w:rPr>
                <w:rFonts w:cs="Arial"/>
              </w:rPr>
            </w:pPr>
            <w:r>
              <w:rPr>
                <w:rFonts w:cs="Arial"/>
              </w:rPr>
              <w:t xml:space="preserve">c) </w:t>
            </w:r>
            <w:r>
              <w:rPr>
                <w:sz w:val="22"/>
              </w:rPr>
              <w:t>Servicios</w:t>
            </w:r>
            <w:r>
              <w:rPr>
                <w:spacing w:val="-6"/>
                <w:sz w:val="22"/>
              </w:rPr>
              <w:t xml:space="preserve"> </w:t>
            </w:r>
            <w:r>
              <w:rPr>
                <w:sz w:val="22"/>
              </w:rPr>
              <w:t>extraordinarios</w:t>
            </w:r>
            <w:r>
              <w:rPr>
                <w:spacing w:val="-7"/>
                <w:sz w:val="22"/>
              </w:rPr>
              <w:t xml:space="preserve"> </w:t>
            </w:r>
            <w:r>
              <w:rPr>
                <w:spacing w:val="-2"/>
                <w:sz w:val="22"/>
              </w:rPr>
              <w:t>adicionales.</w:t>
            </w:r>
          </w:p>
        </w:tc>
        <w:tc>
          <w:tcPr>
            <w:tcW w:w="1876" w:type="dxa"/>
          </w:tcPr>
          <w:p w14:paraId="0E3596ED" w14:textId="77777777" w:rsidR="00D3344B" w:rsidRDefault="00D3344B">
            <w:pPr>
              <w:pStyle w:val="TableParagraph"/>
              <w:spacing w:before="122"/>
              <w:ind w:right="112"/>
              <w:jc w:val="right"/>
              <w:rPr>
                <w:rFonts w:cs="Arial"/>
              </w:rPr>
            </w:pPr>
          </w:p>
        </w:tc>
      </w:tr>
      <w:tr w:rsidR="00D3344B" w14:paraId="2E20DD55" w14:textId="77777777">
        <w:trPr>
          <w:trHeight w:val="506"/>
        </w:trPr>
        <w:tc>
          <w:tcPr>
            <w:tcW w:w="7018" w:type="dxa"/>
          </w:tcPr>
          <w:p w14:paraId="45681CA9" w14:textId="77777777" w:rsidR="00D3344B" w:rsidRDefault="00143C25">
            <w:pPr>
              <w:pStyle w:val="Estilo"/>
              <w:rPr>
                <w:rFonts w:cs="Arial"/>
                <w:i/>
                <w:sz w:val="16"/>
                <w:szCs w:val="16"/>
              </w:rPr>
            </w:pPr>
            <w:r>
              <w:rPr>
                <w:rFonts w:cs="Arial"/>
                <w:i/>
                <w:sz w:val="16"/>
                <w:szCs w:val="16"/>
              </w:rPr>
              <w:t>(REFORMADO, P.O. 29 DE NOVIEMBRE DE 2023)</w:t>
            </w:r>
          </w:p>
          <w:p w14:paraId="46205E7A" w14:textId="77777777" w:rsidR="00D3344B" w:rsidRDefault="00143C25">
            <w:pPr>
              <w:pStyle w:val="TableParagraph"/>
              <w:spacing w:before="122"/>
              <w:ind w:left="50"/>
            </w:pPr>
            <w:r>
              <w:t>1)</w:t>
            </w:r>
            <w:r>
              <w:rPr>
                <w:spacing w:val="-3"/>
              </w:rPr>
              <w:t xml:space="preserve"> </w:t>
            </w:r>
            <w:r>
              <w:t>8</w:t>
            </w:r>
            <w:r>
              <w:rPr>
                <w:spacing w:val="-2"/>
              </w:rPr>
              <w:t xml:space="preserve"> </w:t>
            </w:r>
            <w:r>
              <w:t>horas</w:t>
            </w:r>
            <w:r>
              <w:rPr>
                <w:spacing w:val="-3"/>
              </w:rPr>
              <w:t xml:space="preserve"> </w:t>
            </w:r>
            <w:r>
              <w:t>diarias</w:t>
            </w:r>
            <w:r>
              <w:rPr>
                <w:spacing w:val="-2"/>
              </w:rPr>
              <w:t xml:space="preserve"> </w:t>
            </w:r>
            <w:r>
              <w:t>por</w:t>
            </w:r>
            <w:r>
              <w:rPr>
                <w:spacing w:val="-2"/>
              </w:rPr>
              <w:t xml:space="preserve"> elemento.</w:t>
            </w:r>
          </w:p>
        </w:tc>
        <w:tc>
          <w:tcPr>
            <w:tcW w:w="1876" w:type="dxa"/>
          </w:tcPr>
          <w:p w14:paraId="62D55B6A" w14:textId="77777777" w:rsidR="00D3344B" w:rsidRDefault="00143C25">
            <w:pPr>
              <w:pStyle w:val="TableParagraph"/>
              <w:spacing w:before="122"/>
              <w:ind w:right="112"/>
              <w:jc w:val="right"/>
              <w:rPr>
                <w:b/>
              </w:rPr>
            </w:pPr>
            <w:r>
              <w:rPr>
                <w:rFonts w:cs="Arial"/>
              </w:rPr>
              <w:t>7</w:t>
            </w:r>
          </w:p>
        </w:tc>
      </w:tr>
      <w:tr w:rsidR="00D3344B" w14:paraId="215509EB" w14:textId="77777777">
        <w:trPr>
          <w:trHeight w:val="505"/>
        </w:trPr>
        <w:tc>
          <w:tcPr>
            <w:tcW w:w="7018" w:type="dxa"/>
          </w:tcPr>
          <w:p w14:paraId="3DD7C7F7" w14:textId="77777777" w:rsidR="00D3344B" w:rsidRDefault="00143C25">
            <w:pPr>
              <w:pStyle w:val="Estilo"/>
              <w:rPr>
                <w:rFonts w:cs="Arial"/>
                <w:i/>
                <w:sz w:val="16"/>
                <w:szCs w:val="16"/>
              </w:rPr>
            </w:pPr>
            <w:r>
              <w:rPr>
                <w:rFonts w:cs="Arial"/>
                <w:i/>
                <w:sz w:val="16"/>
                <w:szCs w:val="16"/>
              </w:rPr>
              <w:lastRenderedPageBreak/>
              <w:t>(REFORMADO, P.O. 29 DE NOVIEMBRE DE 2023)</w:t>
            </w:r>
          </w:p>
          <w:p w14:paraId="1A1F3084" w14:textId="77777777" w:rsidR="00D3344B" w:rsidRDefault="00143C25">
            <w:pPr>
              <w:pStyle w:val="TableParagraph"/>
              <w:spacing w:before="122"/>
              <w:ind w:left="50"/>
            </w:pPr>
            <w:r>
              <w:t>2)</w:t>
            </w:r>
            <w:r>
              <w:rPr>
                <w:spacing w:val="-2"/>
              </w:rPr>
              <w:t xml:space="preserve"> </w:t>
            </w:r>
            <w:r>
              <w:t>12</w:t>
            </w:r>
            <w:r>
              <w:rPr>
                <w:spacing w:val="-2"/>
              </w:rPr>
              <w:t xml:space="preserve"> </w:t>
            </w:r>
            <w:r>
              <w:t>horas</w:t>
            </w:r>
            <w:r>
              <w:rPr>
                <w:spacing w:val="-1"/>
              </w:rPr>
              <w:t xml:space="preserve"> </w:t>
            </w:r>
            <w:r>
              <w:t>diarias</w:t>
            </w:r>
            <w:r>
              <w:rPr>
                <w:spacing w:val="-4"/>
              </w:rPr>
              <w:t xml:space="preserve"> </w:t>
            </w:r>
            <w:r>
              <w:t>por</w:t>
            </w:r>
            <w:r>
              <w:rPr>
                <w:spacing w:val="-3"/>
              </w:rPr>
              <w:t xml:space="preserve"> </w:t>
            </w:r>
            <w:r>
              <w:rPr>
                <w:spacing w:val="-2"/>
              </w:rPr>
              <w:t>elemento.</w:t>
            </w:r>
          </w:p>
        </w:tc>
        <w:tc>
          <w:tcPr>
            <w:tcW w:w="1876" w:type="dxa"/>
          </w:tcPr>
          <w:p w14:paraId="3994ED01" w14:textId="77777777" w:rsidR="00D3344B" w:rsidRDefault="00143C25">
            <w:pPr>
              <w:pStyle w:val="TableParagraph"/>
              <w:spacing w:before="122"/>
              <w:ind w:right="112"/>
              <w:jc w:val="right"/>
              <w:rPr>
                <w:b/>
              </w:rPr>
            </w:pPr>
            <w:r>
              <w:rPr>
                <w:rFonts w:cs="Arial"/>
              </w:rPr>
              <w:t>10</w:t>
            </w:r>
          </w:p>
        </w:tc>
      </w:tr>
      <w:tr w:rsidR="00D3344B" w14:paraId="6C462EE0" w14:textId="77777777">
        <w:trPr>
          <w:trHeight w:val="505"/>
        </w:trPr>
        <w:tc>
          <w:tcPr>
            <w:tcW w:w="7018" w:type="dxa"/>
          </w:tcPr>
          <w:p w14:paraId="566A4BF2" w14:textId="77777777" w:rsidR="00D3344B" w:rsidRDefault="00143C25">
            <w:pPr>
              <w:pStyle w:val="Estilo"/>
              <w:rPr>
                <w:rFonts w:cs="Arial"/>
                <w:i/>
                <w:sz w:val="16"/>
                <w:szCs w:val="16"/>
              </w:rPr>
            </w:pPr>
            <w:r>
              <w:rPr>
                <w:rFonts w:cs="Arial"/>
                <w:i/>
                <w:sz w:val="16"/>
                <w:szCs w:val="16"/>
              </w:rPr>
              <w:t>(REFORMADO, P.O. 29 DE NOVIEMBRE DE 2023)</w:t>
            </w:r>
          </w:p>
          <w:p w14:paraId="46F05902" w14:textId="77777777" w:rsidR="00D3344B" w:rsidRDefault="00143C25">
            <w:pPr>
              <w:pStyle w:val="TableParagraph"/>
              <w:spacing w:before="121"/>
              <w:ind w:left="50"/>
            </w:pPr>
            <w:r>
              <w:t>3)</w:t>
            </w:r>
            <w:r>
              <w:rPr>
                <w:spacing w:val="-2"/>
              </w:rPr>
              <w:t xml:space="preserve"> </w:t>
            </w:r>
            <w:r>
              <w:t>24</w:t>
            </w:r>
            <w:r>
              <w:rPr>
                <w:spacing w:val="-2"/>
              </w:rPr>
              <w:t xml:space="preserve"> </w:t>
            </w:r>
            <w:r>
              <w:t>horas</w:t>
            </w:r>
            <w:r>
              <w:rPr>
                <w:spacing w:val="-1"/>
              </w:rPr>
              <w:t xml:space="preserve"> </w:t>
            </w:r>
            <w:r>
              <w:t>diarias</w:t>
            </w:r>
            <w:r>
              <w:rPr>
                <w:spacing w:val="-4"/>
              </w:rPr>
              <w:t xml:space="preserve"> </w:t>
            </w:r>
            <w:r>
              <w:t>por</w:t>
            </w:r>
            <w:r>
              <w:rPr>
                <w:spacing w:val="-3"/>
              </w:rPr>
              <w:t xml:space="preserve"> </w:t>
            </w:r>
            <w:r>
              <w:rPr>
                <w:spacing w:val="-2"/>
              </w:rPr>
              <w:t>elemento.</w:t>
            </w:r>
          </w:p>
        </w:tc>
        <w:tc>
          <w:tcPr>
            <w:tcW w:w="1876" w:type="dxa"/>
          </w:tcPr>
          <w:p w14:paraId="0D937041" w14:textId="77777777" w:rsidR="00D3344B" w:rsidRDefault="00143C25">
            <w:pPr>
              <w:pStyle w:val="TableParagraph"/>
              <w:spacing w:before="121"/>
              <w:ind w:right="112"/>
              <w:jc w:val="right"/>
              <w:rPr>
                <w:b/>
              </w:rPr>
            </w:pPr>
            <w:r>
              <w:rPr>
                <w:rFonts w:cs="Arial"/>
              </w:rPr>
              <w:t>13</w:t>
            </w:r>
          </w:p>
        </w:tc>
      </w:tr>
    </w:tbl>
    <w:p w14:paraId="5B81293B" w14:textId="77777777" w:rsidR="00D3344B" w:rsidRDefault="00D3344B">
      <w:pPr>
        <w:pStyle w:val="Estilo"/>
        <w:rPr>
          <w:rFonts w:cs="Arial"/>
        </w:rPr>
      </w:pPr>
    </w:p>
    <w:p w14:paraId="05179EF8" w14:textId="77777777" w:rsidR="00D3344B" w:rsidRDefault="00143C25">
      <w:pPr>
        <w:pStyle w:val="Estilo"/>
        <w:ind w:left="426" w:hanging="426"/>
        <w:rPr>
          <w:rFonts w:cs="Arial"/>
        </w:rPr>
      </w:pPr>
      <w:r>
        <w:rPr>
          <w:rFonts w:cs="Arial"/>
        </w:rPr>
        <w:t xml:space="preserve">d) </w:t>
      </w:r>
      <w:r>
        <w:rPr>
          <w:rFonts w:cs="Arial"/>
        </w:rPr>
        <w:tab/>
        <w:t>Las jornadas laborales contratadas que no se encuentren indicadas en el inciso a), se cobrarán de acuerdo a la jornada laboral inmediata inferior más el costo de las horas excedentes.</w:t>
      </w:r>
    </w:p>
    <w:p w14:paraId="763A3E19" w14:textId="77777777" w:rsidR="00D3344B" w:rsidRDefault="00D3344B">
      <w:pPr>
        <w:pStyle w:val="Estilo"/>
        <w:rPr>
          <w:rFonts w:cs="Arial"/>
        </w:rPr>
      </w:pPr>
    </w:p>
    <w:p w14:paraId="336D3327" w14:textId="77777777" w:rsidR="00D3344B" w:rsidRDefault="00143C25">
      <w:pPr>
        <w:pStyle w:val="Estilo"/>
        <w:rPr>
          <w:rFonts w:cs="Arial"/>
          <w:i/>
          <w:sz w:val="16"/>
          <w:szCs w:val="16"/>
        </w:rPr>
      </w:pPr>
      <w:r>
        <w:rPr>
          <w:rFonts w:cs="Arial"/>
          <w:i/>
          <w:sz w:val="16"/>
          <w:szCs w:val="16"/>
        </w:rPr>
        <w:t>(DEROGADO, P.O. 29 DE NOVIEMBRE DE 2023)</w:t>
      </w:r>
    </w:p>
    <w:p w14:paraId="7F50328F" w14:textId="77777777" w:rsidR="00D3344B" w:rsidRDefault="00D3344B">
      <w:pPr>
        <w:pStyle w:val="Estilo"/>
        <w:rPr>
          <w:rFonts w:cs="Arial"/>
        </w:rPr>
      </w:pPr>
    </w:p>
    <w:p w14:paraId="42B09E85" w14:textId="77777777" w:rsidR="00D3344B" w:rsidRDefault="00143C25">
      <w:pPr>
        <w:pStyle w:val="Estilo"/>
        <w:rPr>
          <w:rFonts w:cs="Arial"/>
          <w:i/>
          <w:sz w:val="16"/>
          <w:szCs w:val="16"/>
        </w:rPr>
      </w:pPr>
      <w:r>
        <w:rPr>
          <w:rFonts w:cs="Arial"/>
          <w:i/>
          <w:sz w:val="16"/>
          <w:szCs w:val="16"/>
        </w:rPr>
        <w:t>(REFORMADO, P.O. 29 DE NOVIEMBRE DE 2023)</w:t>
      </w:r>
    </w:p>
    <w:p w14:paraId="0CBE36DA" w14:textId="77777777" w:rsidR="00D3344B" w:rsidRDefault="00143C25">
      <w:pPr>
        <w:pStyle w:val="Estilo"/>
        <w:ind w:left="426" w:hanging="426"/>
        <w:rPr>
          <w:rFonts w:cs="Arial"/>
        </w:rPr>
      </w:pPr>
      <w:r>
        <w:rPr>
          <w:rFonts w:cs="Arial"/>
        </w:rPr>
        <w:t xml:space="preserve">e) </w:t>
      </w:r>
      <w:r>
        <w:rPr>
          <w:rFonts w:cs="Arial"/>
        </w:rPr>
        <w:tab/>
        <w:t>Los servicios extraordinarios adicionales contratados que no se encuentren indicadas en el inciso c) se cobrarán de acuerdo al servicio extraordinario inmediato superior.</w:t>
      </w:r>
    </w:p>
    <w:p w14:paraId="784AF733" w14:textId="77777777" w:rsidR="00D3344B" w:rsidRDefault="00D3344B">
      <w:pPr>
        <w:pStyle w:val="Estilo"/>
        <w:ind w:left="426" w:hanging="426"/>
        <w:rPr>
          <w:rFonts w:cs="Arial"/>
        </w:rPr>
      </w:pPr>
    </w:p>
    <w:p w14:paraId="6EFA4D98" w14:textId="77777777" w:rsidR="00D3344B" w:rsidRDefault="00143C25">
      <w:pPr>
        <w:pStyle w:val="Estilo"/>
        <w:rPr>
          <w:rFonts w:cs="Arial"/>
          <w:i/>
          <w:sz w:val="16"/>
          <w:szCs w:val="16"/>
        </w:rPr>
      </w:pPr>
      <w:r>
        <w:rPr>
          <w:rFonts w:cs="Arial"/>
          <w:i/>
          <w:sz w:val="16"/>
          <w:szCs w:val="16"/>
        </w:rPr>
        <w:t>(ADICIONADO, P.O. 29 DE NOVIEMBRE DE 2023)</w:t>
      </w:r>
    </w:p>
    <w:p w14:paraId="137FB9FB" w14:textId="77777777" w:rsidR="00D3344B" w:rsidRDefault="00143C25">
      <w:pPr>
        <w:pStyle w:val="Estilo"/>
        <w:ind w:left="426" w:hanging="426"/>
        <w:rPr>
          <w:rFonts w:cs="Arial"/>
        </w:rPr>
      </w:pPr>
      <w:r>
        <w:rPr>
          <w:rFonts w:cs="Arial"/>
        </w:rPr>
        <w:t xml:space="preserve">f) </w:t>
      </w:r>
      <w:r>
        <w:rPr>
          <w:rFonts w:cs="Arial"/>
        </w:rPr>
        <w:tab/>
        <w:t>La jornada laboral por elemento se cobra de forma mensual, independientemente de los días de cada mes (28, 30 y/o 31 días)</w:t>
      </w:r>
    </w:p>
    <w:p w14:paraId="260E8C1B" w14:textId="77777777" w:rsidR="00D3344B" w:rsidRDefault="00D3344B">
      <w:pPr>
        <w:pStyle w:val="Estilo"/>
        <w:ind w:left="426" w:hanging="426"/>
        <w:rPr>
          <w:rFonts w:cs="Arial"/>
        </w:rPr>
      </w:pPr>
    </w:p>
    <w:p w14:paraId="1721AAF2" w14:textId="77777777" w:rsidR="00D3344B" w:rsidRDefault="00143C25">
      <w:pPr>
        <w:pStyle w:val="Estilo"/>
        <w:rPr>
          <w:rFonts w:cs="Arial"/>
          <w:i/>
          <w:sz w:val="16"/>
          <w:szCs w:val="16"/>
        </w:rPr>
      </w:pPr>
      <w:r>
        <w:rPr>
          <w:rFonts w:cs="Arial"/>
          <w:i/>
          <w:sz w:val="16"/>
          <w:szCs w:val="16"/>
        </w:rPr>
        <w:t>(ADICIONADO, P.O. 29 DE NOVIEMBRE DE 2023)</w:t>
      </w:r>
    </w:p>
    <w:p w14:paraId="01A7D62B" w14:textId="77777777" w:rsidR="00D3344B" w:rsidRDefault="00143C25">
      <w:pPr>
        <w:pStyle w:val="Estilo"/>
        <w:ind w:left="426" w:hanging="426"/>
        <w:rPr>
          <w:rFonts w:cs="Arial"/>
        </w:rPr>
      </w:pPr>
      <w:r>
        <w:rPr>
          <w:rFonts w:cs="Arial"/>
        </w:rPr>
        <w:t xml:space="preserve">g) </w:t>
      </w:r>
      <w:r>
        <w:rPr>
          <w:rFonts w:cs="Arial"/>
        </w:rPr>
        <w:tab/>
        <w:t>La jornada laboral por elemento se cobrará a partir de cuándo se proporcione el servicio de la Policía Industrial y Bancaria que contrate el contribuyente</w:t>
      </w:r>
    </w:p>
    <w:p w14:paraId="1ECFD157" w14:textId="77777777" w:rsidR="00D3344B" w:rsidRDefault="00D3344B">
      <w:pPr>
        <w:pStyle w:val="Estilo"/>
        <w:ind w:left="426" w:hanging="426"/>
        <w:rPr>
          <w:rFonts w:cs="Arial"/>
        </w:rPr>
      </w:pPr>
    </w:p>
    <w:p w14:paraId="259EC668" w14:textId="77777777" w:rsidR="00D3344B" w:rsidRDefault="00143C25">
      <w:pPr>
        <w:pStyle w:val="Estilo"/>
        <w:rPr>
          <w:rFonts w:cs="Arial"/>
          <w:i/>
          <w:sz w:val="16"/>
          <w:szCs w:val="16"/>
        </w:rPr>
      </w:pPr>
      <w:r>
        <w:rPr>
          <w:rFonts w:cs="Arial"/>
          <w:i/>
          <w:sz w:val="16"/>
          <w:szCs w:val="16"/>
        </w:rPr>
        <w:t>(ADICIONADO, P.O. 29 DE NOVIEMBRE DE 2023)</w:t>
      </w:r>
    </w:p>
    <w:p w14:paraId="572E53EA" w14:textId="77777777" w:rsidR="00D3344B" w:rsidRDefault="00143C25">
      <w:pPr>
        <w:pStyle w:val="Estilo"/>
        <w:ind w:left="426" w:hanging="426"/>
        <w:rPr>
          <w:rFonts w:cs="Arial"/>
        </w:rPr>
      </w:pPr>
      <w:r>
        <w:rPr>
          <w:rFonts w:cs="Arial"/>
        </w:rPr>
        <w:t xml:space="preserve">h) </w:t>
      </w:r>
      <w:r>
        <w:rPr>
          <w:rFonts w:cs="Arial"/>
        </w:rPr>
        <w:tab/>
        <w:t>El inciso b) Supervisión y Sobrevigilancia por servicio, se cobrará de forma mensual, no contando cuando se proporcione el servicio de la Policía Industrial y Bancaria que contrate el contribuyente de la jornada laboral por elemento en el mes.</w:t>
      </w:r>
    </w:p>
    <w:p w14:paraId="27562F2F" w14:textId="77777777" w:rsidR="00D3344B" w:rsidRDefault="00D3344B">
      <w:pPr>
        <w:pStyle w:val="Estilo"/>
        <w:rPr>
          <w:rFonts w:cs="Arial"/>
        </w:rPr>
      </w:pPr>
    </w:p>
    <w:p w14:paraId="305CE0E9" w14:textId="77777777" w:rsidR="00D3344B" w:rsidRDefault="00143C25">
      <w:pPr>
        <w:pStyle w:val="Estilo"/>
        <w:rPr>
          <w:rFonts w:cs="Arial"/>
        </w:rPr>
      </w:pPr>
      <w:r>
        <w:rPr>
          <w:rFonts w:cs="Arial"/>
        </w:rPr>
        <w:t>El pago deberá realizarse en forma mensual dentro de los primeros quince días naturales de cada mes, pudiendo convenirse que el mismo se realice en otra fecha, en función de las justificaciones que presente el contribuyente de que se trate.</w:t>
      </w:r>
    </w:p>
    <w:p w14:paraId="762D2561" w14:textId="77777777" w:rsidR="00D3344B" w:rsidRDefault="00D3344B">
      <w:pPr>
        <w:pStyle w:val="Estilo"/>
        <w:rPr>
          <w:rFonts w:cs="Arial"/>
        </w:rPr>
      </w:pPr>
    </w:p>
    <w:p w14:paraId="3CFFF92B" w14:textId="77777777" w:rsidR="00D3344B" w:rsidRDefault="00143C25">
      <w:pPr>
        <w:pStyle w:val="Estilo"/>
        <w:rPr>
          <w:rFonts w:cs="Arial"/>
        </w:rPr>
      </w:pPr>
      <w:r>
        <w:rPr>
          <w:rFonts w:cs="Arial"/>
          <w:i/>
          <w:sz w:val="16"/>
        </w:rPr>
        <w:t>(ADICIONADO, P.O. 7 DE DICIEMBRE DE 2009)</w:t>
      </w:r>
    </w:p>
    <w:p w14:paraId="4306B512" w14:textId="77777777" w:rsidR="00D3344B" w:rsidRDefault="00143C25">
      <w:pPr>
        <w:pStyle w:val="Estilo"/>
        <w:rPr>
          <w:rFonts w:cs="Arial"/>
        </w:rPr>
      </w:pPr>
      <w:r>
        <w:rPr>
          <w:rFonts w:cs="Arial"/>
        </w:rPr>
        <w:t>VI. Los servicios prestados por el H. Cuerpo de Bomberos, por la capacitación o actualización que se proporcione a las brigadas de las industrias, comercios o establecimientos de cualquier naturaleza, causarán los derechos siguientes:</w:t>
      </w:r>
    </w:p>
    <w:p w14:paraId="735D5432" w14:textId="77777777" w:rsidR="00D3344B" w:rsidRDefault="00D3344B">
      <w:pPr>
        <w:pStyle w:val="Estilo"/>
        <w:rPr>
          <w:rFonts w:cs="Arial"/>
        </w:rPr>
      </w:pPr>
    </w:p>
    <w:p w14:paraId="5E73E824" w14:textId="77777777" w:rsidR="00D3344B" w:rsidRDefault="00143C25">
      <w:pPr>
        <w:pStyle w:val="Estilo"/>
        <w:rPr>
          <w:rFonts w:cs="Arial"/>
        </w:rPr>
      </w:pPr>
      <w:r>
        <w:rPr>
          <w:rFonts w:cs="Arial"/>
        </w:rPr>
        <w:t>a) Capacitación o actualización.</w:t>
      </w:r>
    </w:p>
    <w:p w14:paraId="1F9D8F29" w14:textId="77777777" w:rsidR="00D3344B" w:rsidRDefault="00D3344B">
      <w:pPr>
        <w:pStyle w:val="Estilo"/>
        <w:rPr>
          <w:rFonts w:cs="Arial"/>
        </w:rPr>
      </w:pPr>
    </w:p>
    <w:tbl>
      <w:tblPr>
        <w:tblStyle w:val="TableGrid"/>
        <w:tblW w:w="7701" w:type="dxa"/>
        <w:tblInd w:w="70" w:type="dxa"/>
        <w:tblLayout w:type="fixed"/>
        <w:tblLook w:val="04A0" w:firstRow="1" w:lastRow="0" w:firstColumn="1" w:lastColumn="0" w:noHBand="0" w:noVBand="1"/>
      </w:tblPr>
      <w:tblGrid>
        <w:gridCol w:w="6734"/>
        <w:gridCol w:w="967"/>
      </w:tblGrid>
      <w:tr w:rsidR="00D3344B" w14:paraId="2823EC92" w14:textId="77777777">
        <w:trPr>
          <w:trHeight w:val="413"/>
        </w:trPr>
        <w:tc>
          <w:tcPr>
            <w:tcW w:w="6733" w:type="dxa"/>
          </w:tcPr>
          <w:p w14:paraId="7A89E8D0" w14:textId="77777777" w:rsidR="00D3344B" w:rsidRDefault="00143C25">
            <w:pPr>
              <w:spacing w:after="0" w:line="259" w:lineRule="auto"/>
              <w:rPr>
                <w:rFonts w:ascii="Arial" w:hAnsi="Arial" w:cs="Arial"/>
              </w:rPr>
            </w:pPr>
            <w:r>
              <w:rPr>
                <w:rFonts w:ascii="Arial" w:hAnsi="Arial" w:cs="Arial"/>
                <w:b/>
              </w:rPr>
              <w:t>1.</w:t>
            </w:r>
            <w:r>
              <w:rPr>
                <w:rFonts w:ascii="Arial" w:hAnsi="Arial" w:cs="Arial"/>
              </w:rPr>
              <w:t xml:space="preserve"> Incendios </w:t>
            </w:r>
          </w:p>
        </w:tc>
        <w:tc>
          <w:tcPr>
            <w:tcW w:w="967" w:type="dxa"/>
          </w:tcPr>
          <w:p w14:paraId="17B57A5C" w14:textId="77777777" w:rsidR="00D3344B" w:rsidRDefault="00143C25">
            <w:pPr>
              <w:spacing w:after="0" w:line="259" w:lineRule="auto"/>
              <w:rPr>
                <w:rFonts w:ascii="Arial" w:hAnsi="Arial" w:cs="Arial"/>
              </w:rPr>
            </w:pPr>
            <w:r>
              <w:rPr>
                <w:rFonts w:ascii="Arial" w:hAnsi="Arial" w:cs="Arial"/>
                <w:b/>
              </w:rPr>
              <w:t xml:space="preserve">15 UMA </w:t>
            </w:r>
          </w:p>
        </w:tc>
      </w:tr>
      <w:tr w:rsidR="00D3344B" w14:paraId="02220664" w14:textId="77777777">
        <w:trPr>
          <w:trHeight w:val="413"/>
        </w:trPr>
        <w:tc>
          <w:tcPr>
            <w:tcW w:w="6733" w:type="dxa"/>
          </w:tcPr>
          <w:p w14:paraId="05376C04" w14:textId="77777777" w:rsidR="00D3344B" w:rsidRDefault="00143C25">
            <w:pPr>
              <w:spacing w:after="0" w:line="259" w:lineRule="auto"/>
              <w:rPr>
                <w:rFonts w:ascii="Arial" w:hAnsi="Arial" w:cs="Arial"/>
              </w:rPr>
            </w:pPr>
            <w:r>
              <w:rPr>
                <w:rFonts w:ascii="Arial" w:hAnsi="Arial" w:cs="Arial"/>
                <w:b/>
              </w:rPr>
              <w:t>2.</w:t>
            </w:r>
            <w:r>
              <w:rPr>
                <w:rFonts w:ascii="Arial" w:hAnsi="Arial" w:cs="Arial"/>
              </w:rPr>
              <w:t xml:space="preserve"> Sismos </w:t>
            </w:r>
          </w:p>
        </w:tc>
        <w:tc>
          <w:tcPr>
            <w:tcW w:w="967" w:type="dxa"/>
          </w:tcPr>
          <w:p w14:paraId="3A379A2A" w14:textId="77777777" w:rsidR="00D3344B" w:rsidRDefault="00143C25">
            <w:pPr>
              <w:spacing w:after="0" w:line="259" w:lineRule="auto"/>
              <w:rPr>
                <w:rFonts w:ascii="Arial" w:hAnsi="Arial" w:cs="Arial"/>
              </w:rPr>
            </w:pPr>
            <w:r>
              <w:rPr>
                <w:rFonts w:ascii="Arial" w:hAnsi="Arial" w:cs="Arial"/>
                <w:b/>
              </w:rPr>
              <w:t xml:space="preserve">10 UMA </w:t>
            </w:r>
          </w:p>
        </w:tc>
      </w:tr>
      <w:tr w:rsidR="00D3344B" w14:paraId="590470F3" w14:textId="77777777">
        <w:trPr>
          <w:trHeight w:val="413"/>
        </w:trPr>
        <w:tc>
          <w:tcPr>
            <w:tcW w:w="6733" w:type="dxa"/>
          </w:tcPr>
          <w:p w14:paraId="6E5BE897" w14:textId="77777777" w:rsidR="00D3344B" w:rsidRDefault="00143C25">
            <w:pPr>
              <w:spacing w:after="0" w:line="259" w:lineRule="auto"/>
              <w:rPr>
                <w:rFonts w:ascii="Arial" w:hAnsi="Arial" w:cs="Arial"/>
              </w:rPr>
            </w:pPr>
            <w:r>
              <w:rPr>
                <w:rFonts w:ascii="Arial" w:hAnsi="Arial" w:cs="Arial"/>
                <w:b/>
              </w:rPr>
              <w:t>3.</w:t>
            </w:r>
            <w:r>
              <w:rPr>
                <w:rFonts w:ascii="Arial" w:hAnsi="Arial" w:cs="Arial"/>
              </w:rPr>
              <w:t xml:space="preserve"> Inundaciones </w:t>
            </w:r>
          </w:p>
        </w:tc>
        <w:tc>
          <w:tcPr>
            <w:tcW w:w="967" w:type="dxa"/>
          </w:tcPr>
          <w:p w14:paraId="56F6E6E3" w14:textId="77777777" w:rsidR="00D3344B" w:rsidRDefault="00143C25">
            <w:pPr>
              <w:spacing w:after="0" w:line="259" w:lineRule="auto"/>
              <w:rPr>
                <w:rFonts w:ascii="Arial" w:hAnsi="Arial" w:cs="Arial"/>
              </w:rPr>
            </w:pPr>
            <w:r>
              <w:rPr>
                <w:rFonts w:ascii="Arial" w:hAnsi="Arial" w:cs="Arial"/>
                <w:b/>
              </w:rPr>
              <w:t xml:space="preserve">8 UMA </w:t>
            </w:r>
          </w:p>
        </w:tc>
      </w:tr>
    </w:tbl>
    <w:p w14:paraId="1A6DF5FE" w14:textId="77777777" w:rsidR="00D3344B" w:rsidRDefault="00D3344B">
      <w:pPr>
        <w:pStyle w:val="Estilo"/>
        <w:rPr>
          <w:rFonts w:cs="Arial"/>
        </w:rPr>
      </w:pPr>
    </w:p>
    <w:p w14:paraId="0782D157" w14:textId="77777777" w:rsidR="00D3344B" w:rsidRDefault="00143C25">
      <w:pPr>
        <w:pStyle w:val="Estilo"/>
        <w:rPr>
          <w:rFonts w:cs="Arial"/>
        </w:rPr>
      </w:pPr>
      <w:r>
        <w:rPr>
          <w:rFonts w:cs="Arial"/>
        </w:rPr>
        <w:t>b) Medidas de seguridad.</w:t>
      </w:r>
    </w:p>
    <w:p w14:paraId="40A5B5B2" w14:textId="77777777" w:rsidR="00D3344B" w:rsidRDefault="00D3344B">
      <w:pPr>
        <w:pStyle w:val="Estilo"/>
        <w:rPr>
          <w:rFonts w:cs="Arial"/>
        </w:rPr>
      </w:pPr>
    </w:p>
    <w:tbl>
      <w:tblPr>
        <w:tblStyle w:val="TableGrid"/>
        <w:tblW w:w="7912" w:type="dxa"/>
        <w:tblInd w:w="142" w:type="dxa"/>
        <w:tblLayout w:type="fixed"/>
        <w:tblLook w:val="04A0" w:firstRow="1" w:lastRow="0" w:firstColumn="1" w:lastColumn="0" w:noHBand="0" w:noVBand="1"/>
      </w:tblPr>
      <w:tblGrid>
        <w:gridCol w:w="6503"/>
        <w:gridCol w:w="1409"/>
      </w:tblGrid>
      <w:tr w:rsidR="00D3344B" w14:paraId="30CD8571" w14:textId="77777777">
        <w:trPr>
          <w:trHeight w:val="409"/>
        </w:trPr>
        <w:tc>
          <w:tcPr>
            <w:tcW w:w="6502" w:type="dxa"/>
          </w:tcPr>
          <w:p w14:paraId="30384542" w14:textId="77777777" w:rsidR="00D3344B" w:rsidRDefault="00143C25">
            <w:pPr>
              <w:spacing w:after="0" w:line="259" w:lineRule="auto"/>
              <w:rPr>
                <w:rFonts w:ascii="Arial" w:hAnsi="Arial" w:cs="Arial"/>
              </w:rPr>
            </w:pPr>
            <w:r>
              <w:rPr>
                <w:rFonts w:ascii="Arial" w:hAnsi="Arial" w:cs="Arial"/>
                <w:b/>
              </w:rPr>
              <w:lastRenderedPageBreak/>
              <w:t>1.</w:t>
            </w:r>
            <w:r>
              <w:rPr>
                <w:rFonts w:ascii="Arial" w:hAnsi="Arial" w:cs="Arial"/>
              </w:rPr>
              <w:t xml:space="preserve"> Alto riesgo </w:t>
            </w:r>
          </w:p>
        </w:tc>
        <w:tc>
          <w:tcPr>
            <w:tcW w:w="1409" w:type="dxa"/>
          </w:tcPr>
          <w:p w14:paraId="79C5B569" w14:textId="77777777" w:rsidR="00D3344B" w:rsidRDefault="00143C25">
            <w:pPr>
              <w:spacing w:after="0" w:line="259" w:lineRule="auto"/>
              <w:rPr>
                <w:rFonts w:ascii="Arial" w:hAnsi="Arial" w:cs="Arial"/>
              </w:rPr>
            </w:pPr>
            <w:r>
              <w:rPr>
                <w:rFonts w:ascii="Arial" w:hAnsi="Arial" w:cs="Arial"/>
                <w:b/>
              </w:rPr>
              <w:t xml:space="preserve">20 UMA </w:t>
            </w:r>
          </w:p>
        </w:tc>
      </w:tr>
      <w:tr w:rsidR="00D3344B" w14:paraId="22F17621" w14:textId="77777777">
        <w:trPr>
          <w:trHeight w:val="412"/>
        </w:trPr>
        <w:tc>
          <w:tcPr>
            <w:tcW w:w="6502" w:type="dxa"/>
          </w:tcPr>
          <w:p w14:paraId="5785031C" w14:textId="77777777" w:rsidR="00D3344B" w:rsidRDefault="00143C25">
            <w:pPr>
              <w:spacing w:after="0" w:line="259" w:lineRule="auto"/>
              <w:rPr>
                <w:rFonts w:ascii="Arial" w:hAnsi="Arial" w:cs="Arial"/>
              </w:rPr>
            </w:pPr>
            <w:r>
              <w:rPr>
                <w:rFonts w:ascii="Arial" w:hAnsi="Arial" w:cs="Arial"/>
                <w:b/>
              </w:rPr>
              <w:t>2.</w:t>
            </w:r>
            <w:r>
              <w:rPr>
                <w:rFonts w:ascii="Arial" w:hAnsi="Arial" w:cs="Arial"/>
              </w:rPr>
              <w:t xml:space="preserve"> Medio riesgo </w:t>
            </w:r>
          </w:p>
        </w:tc>
        <w:tc>
          <w:tcPr>
            <w:tcW w:w="1409" w:type="dxa"/>
          </w:tcPr>
          <w:p w14:paraId="24D538D1" w14:textId="77777777" w:rsidR="00D3344B" w:rsidRDefault="00143C25">
            <w:pPr>
              <w:spacing w:after="0" w:line="259" w:lineRule="auto"/>
              <w:rPr>
                <w:rFonts w:ascii="Arial" w:hAnsi="Arial" w:cs="Arial"/>
              </w:rPr>
            </w:pPr>
            <w:r>
              <w:rPr>
                <w:rFonts w:ascii="Arial" w:hAnsi="Arial" w:cs="Arial"/>
                <w:b/>
              </w:rPr>
              <w:t xml:space="preserve">10 UMA </w:t>
            </w:r>
          </w:p>
        </w:tc>
      </w:tr>
      <w:tr w:rsidR="00D3344B" w14:paraId="2620E987" w14:textId="77777777">
        <w:trPr>
          <w:trHeight w:val="361"/>
        </w:trPr>
        <w:tc>
          <w:tcPr>
            <w:tcW w:w="6502" w:type="dxa"/>
          </w:tcPr>
          <w:p w14:paraId="244D9F6A" w14:textId="77777777" w:rsidR="00D3344B" w:rsidRDefault="00143C25">
            <w:pPr>
              <w:tabs>
                <w:tab w:val="center" w:pos="6804"/>
              </w:tabs>
              <w:spacing w:after="143" w:line="259" w:lineRule="auto"/>
              <w:rPr>
                <w:rFonts w:ascii="Arial" w:hAnsi="Arial" w:cs="Arial"/>
              </w:rPr>
            </w:pPr>
            <w:r>
              <w:rPr>
                <w:rFonts w:ascii="Arial" w:hAnsi="Arial" w:cs="Arial"/>
                <w:b/>
              </w:rPr>
              <w:t>3.</w:t>
            </w:r>
            <w:r>
              <w:rPr>
                <w:rFonts w:ascii="Arial" w:hAnsi="Arial" w:cs="Arial"/>
              </w:rPr>
              <w:t xml:space="preserve"> Bajo riesgo  </w:t>
            </w:r>
          </w:p>
        </w:tc>
        <w:tc>
          <w:tcPr>
            <w:tcW w:w="1409" w:type="dxa"/>
          </w:tcPr>
          <w:p w14:paraId="50E96DAA" w14:textId="77777777" w:rsidR="00D3344B" w:rsidRDefault="00143C25">
            <w:pPr>
              <w:spacing w:after="0" w:line="259" w:lineRule="auto"/>
              <w:rPr>
                <w:rFonts w:ascii="Arial" w:hAnsi="Arial" w:cs="Arial"/>
              </w:rPr>
            </w:pPr>
            <w:r>
              <w:rPr>
                <w:rFonts w:ascii="Arial" w:hAnsi="Arial" w:cs="Arial"/>
                <w:b/>
              </w:rPr>
              <w:t xml:space="preserve">8 UMA </w:t>
            </w:r>
          </w:p>
        </w:tc>
      </w:tr>
    </w:tbl>
    <w:p w14:paraId="57ABA08E" w14:textId="77777777" w:rsidR="00D3344B" w:rsidRDefault="00D3344B">
      <w:pPr>
        <w:pStyle w:val="Estilo"/>
        <w:rPr>
          <w:rFonts w:cs="Arial"/>
        </w:rPr>
      </w:pPr>
    </w:p>
    <w:p w14:paraId="6E3B507C" w14:textId="77777777" w:rsidR="00D3344B" w:rsidRDefault="00143C25">
      <w:pPr>
        <w:pStyle w:val="Estilo"/>
        <w:rPr>
          <w:rFonts w:cs="Arial"/>
          <w:i/>
          <w:sz w:val="16"/>
          <w:szCs w:val="16"/>
        </w:rPr>
      </w:pPr>
      <w:r>
        <w:rPr>
          <w:rFonts w:cs="Arial"/>
          <w:i/>
          <w:sz w:val="16"/>
          <w:szCs w:val="16"/>
        </w:rPr>
        <w:t>(ADICIONADA, P.O. 23 DE DICIEMBRE DE 2013)</w:t>
      </w:r>
    </w:p>
    <w:p w14:paraId="748B8A46" w14:textId="77777777" w:rsidR="00D3344B" w:rsidRDefault="00143C25">
      <w:pPr>
        <w:pStyle w:val="Estilo"/>
        <w:rPr>
          <w:rFonts w:cs="Arial"/>
        </w:rPr>
      </w:pPr>
      <w:r>
        <w:rPr>
          <w:rFonts w:cs="Arial"/>
        </w:rPr>
        <w:t>VII. Expedición de copias certificadas:</w:t>
      </w:r>
    </w:p>
    <w:p w14:paraId="2844888E" w14:textId="77777777" w:rsidR="00D3344B" w:rsidRDefault="00D3344B">
      <w:pPr>
        <w:pStyle w:val="Estilo"/>
        <w:rPr>
          <w:rFonts w:cs="Arial"/>
        </w:rPr>
      </w:pPr>
    </w:p>
    <w:tbl>
      <w:tblPr>
        <w:tblStyle w:val="TableGrid"/>
        <w:tblW w:w="8719" w:type="dxa"/>
        <w:tblInd w:w="70" w:type="dxa"/>
        <w:tblLayout w:type="fixed"/>
        <w:tblLook w:val="04A0" w:firstRow="1" w:lastRow="0" w:firstColumn="1" w:lastColumn="0" w:noHBand="0" w:noVBand="1"/>
      </w:tblPr>
      <w:tblGrid>
        <w:gridCol w:w="6244"/>
        <w:gridCol w:w="2475"/>
      </w:tblGrid>
      <w:tr w:rsidR="00D3344B" w14:paraId="5D36D534" w14:textId="77777777">
        <w:trPr>
          <w:trHeight w:val="1425"/>
        </w:trPr>
        <w:tc>
          <w:tcPr>
            <w:tcW w:w="6243" w:type="dxa"/>
          </w:tcPr>
          <w:p w14:paraId="6837836E" w14:textId="77777777" w:rsidR="00D3344B" w:rsidRDefault="00143C25">
            <w:pPr>
              <w:spacing w:after="0" w:line="259" w:lineRule="auto"/>
              <w:ind w:left="70"/>
              <w:rPr>
                <w:rFonts w:ascii="Arial" w:hAnsi="Arial" w:cs="Arial"/>
              </w:rPr>
            </w:pPr>
            <w:r>
              <w:rPr>
                <w:rFonts w:ascii="Arial" w:hAnsi="Arial" w:cs="Arial"/>
                <w:b/>
              </w:rPr>
              <w:t>a)</w:t>
            </w:r>
            <w:r>
              <w:rPr>
                <w:rFonts w:ascii="Arial" w:hAnsi="Arial" w:cs="Arial"/>
              </w:rPr>
              <w:t xml:space="preserve"> Copias certificadas que expida el Consejo de Honor y Justicia de </w:t>
            </w:r>
            <w:proofErr w:type="gramStart"/>
            <w:r>
              <w:rPr>
                <w:rFonts w:ascii="Arial" w:hAnsi="Arial" w:cs="Arial"/>
              </w:rPr>
              <w:t>la  Secretaría</w:t>
            </w:r>
            <w:proofErr w:type="gramEnd"/>
            <w:r>
              <w:rPr>
                <w:rFonts w:ascii="Arial" w:hAnsi="Arial" w:cs="Arial"/>
              </w:rPr>
              <w:t xml:space="preserve"> de Seguridad Ciudadana. </w:t>
            </w:r>
          </w:p>
        </w:tc>
        <w:tc>
          <w:tcPr>
            <w:tcW w:w="2475" w:type="dxa"/>
          </w:tcPr>
          <w:p w14:paraId="34B9F69E" w14:textId="77777777" w:rsidR="00D3344B" w:rsidRDefault="00143C25">
            <w:pPr>
              <w:spacing w:after="0" w:line="259" w:lineRule="auto"/>
              <w:ind w:right="54"/>
              <w:rPr>
                <w:rFonts w:ascii="Arial" w:hAnsi="Arial" w:cs="Arial"/>
              </w:rPr>
            </w:pPr>
            <w:r>
              <w:rPr>
                <w:rFonts w:ascii="Arial" w:hAnsi="Arial" w:cs="Arial"/>
                <w:b/>
              </w:rPr>
              <w:t>1 UMA</w:t>
            </w:r>
            <w:r>
              <w:rPr>
                <w:rFonts w:ascii="Arial" w:hAnsi="Arial" w:cs="Arial"/>
              </w:rPr>
              <w:t xml:space="preserve"> por las primeras diez fojas utilizadas y </w:t>
            </w:r>
            <w:r>
              <w:rPr>
                <w:rFonts w:ascii="Arial" w:hAnsi="Arial" w:cs="Arial"/>
                <w:b/>
              </w:rPr>
              <w:t>0.20 UMA</w:t>
            </w:r>
            <w:r>
              <w:rPr>
                <w:rFonts w:ascii="Arial" w:hAnsi="Arial" w:cs="Arial"/>
              </w:rPr>
              <w:t xml:space="preserve"> por cada foja adicional </w:t>
            </w:r>
          </w:p>
        </w:tc>
      </w:tr>
    </w:tbl>
    <w:p w14:paraId="1B9E0283" w14:textId="77777777" w:rsidR="00D3344B" w:rsidRDefault="00D3344B">
      <w:pPr>
        <w:pStyle w:val="Estilo"/>
        <w:rPr>
          <w:rFonts w:cs="Arial"/>
        </w:rPr>
      </w:pPr>
    </w:p>
    <w:tbl>
      <w:tblPr>
        <w:tblStyle w:val="TableGrid"/>
        <w:tblW w:w="7984" w:type="dxa"/>
        <w:tblInd w:w="70" w:type="dxa"/>
        <w:tblLayout w:type="fixed"/>
        <w:tblLook w:val="04A0" w:firstRow="1" w:lastRow="0" w:firstColumn="1" w:lastColumn="0" w:noHBand="0" w:noVBand="1"/>
      </w:tblPr>
      <w:tblGrid>
        <w:gridCol w:w="6242"/>
        <w:gridCol w:w="1742"/>
      </w:tblGrid>
      <w:tr w:rsidR="00D3344B" w14:paraId="40810C80" w14:textId="77777777">
        <w:trPr>
          <w:trHeight w:val="750"/>
        </w:trPr>
        <w:tc>
          <w:tcPr>
            <w:tcW w:w="6241" w:type="dxa"/>
          </w:tcPr>
          <w:p w14:paraId="17D30E2B" w14:textId="77777777" w:rsidR="00D3344B" w:rsidRDefault="00143C25">
            <w:pPr>
              <w:spacing w:after="143" w:line="259" w:lineRule="auto"/>
              <w:rPr>
                <w:rFonts w:ascii="Arial" w:hAnsi="Arial" w:cs="Arial"/>
              </w:rPr>
            </w:pPr>
            <w:r>
              <w:rPr>
                <w:rFonts w:ascii="Arial" w:hAnsi="Arial" w:cs="Arial"/>
              </w:rPr>
              <w:t xml:space="preserve">b) Copias certificadas que expidan las demás áreas de la Secretaría de Seguridad Ciudadana. </w:t>
            </w:r>
          </w:p>
          <w:p w14:paraId="16D35267" w14:textId="77777777" w:rsidR="00D3344B" w:rsidRDefault="00D3344B">
            <w:pPr>
              <w:spacing w:after="0" w:line="259" w:lineRule="auto"/>
              <w:ind w:left="70"/>
              <w:rPr>
                <w:rFonts w:ascii="Arial" w:hAnsi="Arial" w:cs="Arial"/>
              </w:rPr>
            </w:pPr>
          </w:p>
        </w:tc>
        <w:tc>
          <w:tcPr>
            <w:tcW w:w="1742" w:type="dxa"/>
          </w:tcPr>
          <w:p w14:paraId="440CF789" w14:textId="77777777" w:rsidR="00D3344B" w:rsidRDefault="00143C25">
            <w:pPr>
              <w:spacing w:after="0" w:line="259" w:lineRule="auto"/>
              <w:ind w:right="54"/>
              <w:rPr>
                <w:rFonts w:ascii="Arial" w:hAnsi="Arial" w:cs="Arial"/>
              </w:rPr>
            </w:pPr>
            <w:r>
              <w:rPr>
                <w:rFonts w:ascii="Arial" w:hAnsi="Arial" w:cs="Arial"/>
                <w:b/>
              </w:rPr>
              <w:t>1 UMA</w:t>
            </w:r>
            <w:r>
              <w:rPr>
                <w:rFonts w:ascii="Arial" w:hAnsi="Arial" w:cs="Arial"/>
              </w:rPr>
              <w:t xml:space="preserve"> por las primeras veinte fojas utilizadas y </w:t>
            </w:r>
            <w:r>
              <w:rPr>
                <w:rFonts w:ascii="Arial" w:hAnsi="Arial" w:cs="Arial"/>
                <w:b/>
              </w:rPr>
              <w:t>0.20 UMA</w:t>
            </w:r>
            <w:r>
              <w:rPr>
                <w:rFonts w:ascii="Arial" w:hAnsi="Arial" w:cs="Arial"/>
              </w:rPr>
              <w:t xml:space="preserve"> por cada foja adicional. </w:t>
            </w:r>
          </w:p>
        </w:tc>
      </w:tr>
    </w:tbl>
    <w:p w14:paraId="31C95A26" w14:textId="77777777" w:rsidR="00D3344B" w:rsidRDefault="00D3344B">
      <w:pPr>
        <w:pStyle w:val="Estilo"/>
        <w:rPr>
          <w:rFonts w:cs="Arial"/>
        </w:rPr>
      </w:pPr>
    </w:p>
    <w:p w14:paraId="149440DE" w14:textId="77777777" w:rsidR="00D3344B" w:rsidRDefault="00D3344B">
      <w:pPr>
        <w:pStyle w:val="Estilo"/>
        <w:rPr>
          <w:rFonts w:cs="Arial"/>
        </w:rPr>
      </w:pPr>
    </w:p>
    <w:p w14:paraId="16894F0E" w14:textId="77777777" w:rsidR="00D3344B" w:rsidRDefault="00143C25">
      <w:pPr>
        <w:pStyle w:val="Estilo"/>
        <w:rPr>
          <w:rFonts w:cs="Arial"/>
          <w:i/>
          <w:sz w:val="16"/>
          <w:szCs w:val="16"/>
        </w:rPr>
      </w:pPr>
      <w:r>
        <w:rPr>
          <w:rFonts w:cs="Arial"/>
          <w:i/>
          <w:sz w:val="16"/>
          <w:szCs w:val="16"/>
        </w:rPr>
        <w:t>N. DE E. EN RELACIÓN CON LA ENTRADA EN VIGOR DE LA PRESENTE SUBSECCIÓN, VÉASE ARTÍCULO ÚNICO TRANSITORIO DEL DECRETO QUE MODIFICA ESTE ORDENAMIENTO.</w:t>
      </w:r>
    </w:p>
    <w:p w14:paraId="2CAA8DBA" w14:textId="77777777" w:rsidR="00D3344B" w:rsidRDefault="00143C25">
      <w:pPr>
        <w:pStyle w:val="Estilo"/>
        <w:rPr>
          <w:rFonts w:cs="Arial"/>
          <w:i/>
          <w:sz w:val="16"/>
          <w:szCs w:val="16"/>
        </w:rPr>
      </w:pPr>
      <w:r>
        <w:rPr>
          <w:rFonts w:cs="Arial"/>
          <w:i/>
          <w:sz w:val="16"/>
          <w:szCs w:val="16"/>
        </w:rPr>
        <w:t>(ADICIONADA CON EL ARTÍCULO QUE LA INTEGRA, P.O. 23 DE DICIEMBRE DE 2011)</w:t>
      </w:r>
    </w:p>
    <w:p w14:paraId="260BD08B" w14:textId="77777777" w:rsidR="00D3344B" w:rsidRDefault="00143C25">
      <w:pPr>
        <w:pStyle w:val="Estilo"/>
        <w:jc w:val="center"/>
        <w:rPr>
          <w:rFonts w:cs="Arial"/>
          <w:b/>
        </w:rPr>
      </w:pPr>
      <w:r>
        <w:rPr>
          <w:rFonts w:cs="Arial"/>
          <w:b/>
        </w:rPr>
        <w:t>Subsección Duodécima</w:t>
      </w:r>
    </w:p>
    <w:p w14:paraId="2E4C3246" w14:textId="77777777" w:rsidR="00D3344B" w:rsidRDefault="00143C25">
      <w:pPr>
        <w:pStyle w:val="Estilo"/>
        <w:jc w:val="center"/>
        <w:rPr>
          <w:rFonts w:cs="Arial"/>
          <w:b/>
        </w:rPr>
      </w:pPr>
      <w:r>
        <w:rPr>
          <w:rFonts w:cs="Arial"/>
          <w:b/>
        </w:rPr>
        <w:t>Derechos por los Servicios Prestados por la Comisión Estatal del Agua, a través del Centro de Servicios Integrales para el Tratamiento de Aguas Residuales del Estado de Tlaxcala</w:t>
      </w:r>
    </w:p>
    <w:p w14:paraId="3C316FBC" w14:textId="77777777" w:rsidR="00D3344B" w:rsidRDefault="00D3344B">
      <w:pPr>
        <w:pStyle w:val="Estilo"/>
        <w:rPr>
          <w:rFonts w:cs="Arial"/>
        </w:rPr>
      </w:pPr>
    </w:p>
    <w:p w14:paraId="4F986400" w14:textId="77777777" w:rsidR="00D3344B" w:rsidRDefault="00143C25">
      <w:pPr>
        <w:pStyle w:val="Estilo"/>
        <w:rPr>
          <w:rFonts w:cs="Arial"/>
          <w:i/>
          <w:sz w:val="16"/>
          <w:szCs w:val="16"/>
        </w:rPr>
      </w:pPr>
      <w:r>
        <w:rPr>
          <w:rFonts w:cs="Arial"/>
          <w:i/>
          <w:sz w:val="16"/>
          <w:szCs w:val="16"/>
        </w:rPr>
        <w:t>(REFORMADO PRIMER PÁRRAFO, P.O. 29 DE NOVIEMBRE DE 2023)</w:t>
      </w:r>
    </w:p>
    <w:p w14:paraId="244132A3" w14:textId="77777777" w:rsidR="00D3344B" w:rsidRDefault="00143C25">
      <w:pPr>
        <w:pStyle w:val="Estilo"/>
        <w:rPr>
          <w:rFonts w:cs="Arial"/>
        </w:rPr>
      </w:pPr>
      <w:r>
        <w:rPr>
          <w:rFonts w:cs="Arial"/>
          <w:b/>
        </w:rPr>
        <w:t>Artículo 162-I.</w:t>
      </w:r>
      <w:r>
        <w:rPr>
          <w:rFonts w:cs="Arial"/>
        </w:rPr>
        <w:t xml:space="preserve"> Los servicios que proporciona la Comisión Estatal del Agua y Saneamiento del Estado de Tlaxcala causarán los respectivos Derechos, mismos que deberán pagarse de la manera siguiente:</w:t>
      </w:r>
    </w:p>
    <w:p w14:paraId="74405A7F" w14:textId="77777777" w:rsidR="00D3344B" w:rsidRDefault="00D3344B">
      <w:pPr>
        <w:pStyle w:val="Estilo"/>
        <w:rPr>
          <w:rFonts w:cs="Arial"/>
        </w:rPr>
      </w:pPr>
    </w:p>
    <w:p w14:paraId="63DCBEAF" w14:textId="77777777" w:rsidR="00D3344B" w:rsidRDefault="00143C25">
      <w:pPr>
        <w:pStyle w:val="Estilo"/>
        <w:rPr>
          <w:rFonts w:cs="Arial"/>
        </w:rPr>
      </w:pPr>
      <w:r>
        <w:rPr>
          <w:rFonts w:cs="Arial"/>
        </w:rPr>
        <w:t>I. Por el servicio de laboratorio de análisis de aguas:</w:t>
      </w:r>
    </w:p>
    <w:p w14:paraId="268C25DA" w14:textId="77777777" w:rsidR="00D3344B" w:rsidRDefault="00D3344B">
      <w:pPr>
        <w:pStyle w:val="Estilo"/>
        <w:rPr>
          <w:rFonts w:cs="Arial"/>
        </w:rPr>
      </w:pPr>
    </w:p>
    <w:tbl>
      <w:tblPr>
        <w:tblStyle w:val="TableGrid"/>
        <w:tblW w:w="7984" w:type="dxa"/>
        <w:tblInd w:w="70" w:type="dxa"/>
        <w:tblLayout w:type="fixed"/>
        <w:tblLook w:val="04A0" w:firstRow="1" w:lastRow="0" w:firstColumn="1" w:lastColumn="0" w:noHBand="0" w:noVBand="1"/>
      </w:tblPr>
      <w:tblGrid>
        <w:gridCol w:w="4855"/>
        <w:gridCol w:w="249"/>
        <w:gridCol w:w="2880"/>
      </w:tblGrid>
      <w:tr w:rsidR="00D3344B" w14:paraId="157A5B7E" w14:textId="77777777">
        <w:trPr>
          <w:trHeight w:val="504"/>
        </w:trPr>
        <w:tc>
          <w:tcPr>
            <w:tcW w:w="4855" w:type="dxa"/>
          </w:tcPr>
          <w:p w14:paraId="6994F3B6" w14:textId="77777777" w:rsidR="00D3344B" w:rsidRDefault="00143C25">
            <w:pPr>
              <w:spacing w:after="0" w:line="259" w:lineRule="auto"/>
              <w:ind w:left="70"/>
              <w:rPr>
                <w:rFonts w:ascii="Arial" w:hAnsi="Arial" w:cs="Arial"/>
              </w:rPr>
            </w:pPr>
            <w:r>
              <w:rPr>
                <w:rFonts w:ascii="Arial" w:hAnsi="Arial" w:cs="Arial"/>
                <w:b/>
              </w:rPr>
              <w:t>a)</w:t>
            </w:r>
            <w:r>
              <w:rPr>
                <w:rFonts w:ascii="Arial" w:hAnsi="Arial" w:cs="Arial"/>
              </w:rPr>
              <w:t xml:space="preserve"> Servicio de análisis de agua residual </w:t>
            </w:r>
            <w:r>
              <w:rPr>
                <w:rFonts w:ascii="Arial" w:hAnsi="Arial" w:cs="Arial"/>
                <w:b/>
              </w:rPr>
              <w:t xml:space="preserve"> </w:t>
            </w:r>
          </w:p>
        </w:tc>
        <w:tc>
          <w:tcPr>
            <w:tcW w:w="249" w:type="dxa"/>
          </w:tcPr>
          <w:p w14:paraId="12566CF4" w14:textId="77777777" w:rsidR="00D3344B" w:rsidRDefault="00143C25">
            <w:pPr>
              <w:spacing w:after="0" w:line="259" w:lineRule="auto"/>
              <w:rPr>
                <w:rFonts w:ascii="Arial" w:hAnsi="Arial" w:cs="Arial"/>
              </w:rPr>
            </w:pPr>
            <w:r>
              <w:rPr>
                <w:rFonts w:ascii="Arial" w:hAnsi="Arial" w:cs="Arial"/>
              </w:rPr>
              <w:t xml:space="preserve"> </w:t>
            </w:r>
            <w:r>
              <w:rPr>
                <w:rFonts w:ascii="Arial" w:hAnsi="Arial" w:cs="Arial"/>
                <w:b/>
              </w:rPr>
              <w:t xml:space="preserve"> </w:t>
            </w:r>
          </w:p>
        </w:tc>
        <w:tc>
          <w:tcPr>
            <w:tcW w:w="2880" w:type="dxa"/>
          </w:tcPr>
          <w:p w14:paraId="189E8C55" w14:textId="77777777" w:rsidR="00D3344B" w:rsidRDefault="00143C25">
            <w:pPr>
              <w:spacing w:after="138" w:line="259" w:lineRule="auto"/>
              <w:rPr>
                <w:rFonts w:ascii="Arial" w:hAnsi="Arial" w:cs="Arial"/>
              </w:rPr>
            </w:pPr>
            <w:r>
              <w:rPr>
                <w:rFonts w:ascii="Arial" w:hAnsi="Arial" w:cs="Arial"/>
                <w:b/>
              </w:rPr>
              <w:t xml:space="preserve">25.5 UMA </w:t>
            </w:r>
          </w:p>
        </w:tc>
      </w:tr>
      <w:tr w:rsidR="00D3344B" w14:paraId="59AF3287" w14:textId="77777777">
        <w:trPr>
          <w:trHeight w:val="427"/>
        </w:trPr>
        <w:tc>
          <w:tcPr>
            <w:tcW w:w="4855" w:type="dxa"/>
          </w:tcPr>
          <w:p w14:paraId="1214B69C" w14:textId="77777777" w:rsidR="00D3344B" w:rsidRDefault="00143C25">
            <w:pPr>
              <w:spacing w:after="0" w:line="259" w:lineRule="auto"/>
              <w:ind w:left="70"/>
              <w:rPr>
                <w:rFonts w:ascii="Arial" w:hAnsi="Arial" w:cs="Arial"/>
              </w:rPr>
            </w:pPr>
            <w:r>
              <w:rPr>
                <w:rFonts w:ascii="Arial" w:hAnsi="Arial" w:cs="Arial"/>
                <w:b/>
              </w:rPr>
              <w:t>b)</w:t>
            </w:r>
            <w:r>
              <w:rPr>
                <w:rFonts w:ascii="Arial" w:hAnsi="Arial" w:cs="Arial"/>
              </w:rPr>
              <w:t xml:space="preserve"> Servicio de análisis de agua potable</w:t>
            </w:r>
            <w:r>
              <w:rPr>
                <w:rFonts w:ascii="Arial" w:hAnsi="Arial" w:cs="Arial"/>
                <w:b/>
              </w:rPr>
              <w:t xml:space="preserve"> </w:t>
            </w:r>
          </w:p>
        </w:tc>
        <w:tc>
          <w:tcPr>
            <w:tcW w:w="249" w:type="dxa"/>
          </w:tcPr>
          <w:p w14:paraId="3FAE3D3D" w14:textId="77777777" w:rsidR="00D3344B" w:rsidRDefault="00143C25">
            <w:pPr>
              <w:spacing w:after="0" w:line="259" w:lineRule="auto"/>
              <w:rPr>
                <w:rFonts w:ascii="Arial" w:hAnsi="Arial" w:cs="Arial"/>
              </w:rPr>
            </w:pPr>
            <w:r>
              <w:rPr>
                <w:rFonts w:ascii="Arial" w:hAnsi="Arial" w:cs="Arial"/>
              </w:rPr>
              <w:t xml:space="preserve"> </w:t>
            </w:r>
            <w:r>
              <w:rPr>
                <w:rFonts w:ascii="Arial" w:hAnsi="Arial" w:cs="Arial"/>
                <w:b/>
              </w:rPr>
              <w:t xml:space="preserve"> </w:t>
            </w:r>
          </w:p>
        </w:tc>
        <w:tc>
          <w:tcPr>
            <w:tcW w:w="2880" w:type="dxa"/>
          </w:tcPr>
          <w:p w14:paraId="1A701A57" w14:textId="77777777" w:rsidR="00D3344B" w:rsidRDefault="00143C25">
            <w:pPr>
              <w:spacing w:after="0" w:line="259" w:lineRule="auto"/>
              <w:rPr>
                <w:rFonts w:ascii="Arial" w:hAnsi="Arial" w:cs="Arial"/>
              </w:rPr>
            </w:pPr>
            <w:r>
              <w:rPr>
                <w:rFonts w:ascii="Arial" w:hAnsi="Arial" w:cs="Arial"/>
                <w:b/>
              </w:rPr>
              <w:t xml:space="preserve">19 UMA  </w:t>
            </w:r>
          </w:p>
        </w:tc>
      </w:tr>
    </w:tbl>
    <w:p w14:paraId="3132445A" w14:textId="77777777" w:rsidR="00D3344B" w:rsidRDefault="00D3344B">
      <w:pPr>
        <w:pStyle w:val="Estilo"/>
        <w:rPr>
          <w:rFonts w:cs="Arial"/>
        </w:rPr>
      </w:pPr>
    </w:p>
    <w:p w14:paraId="70750C54" w14:textId="77777777" w:rsidR="00D3344B" w:rsidRDefault="00143C25">
      <w:pPr>
        <w:pStyle w:val="Estilo"/>
        <w:rPr>
          <w:rFonts w:cs="Arial"/>
        </w:rPr>
      </w:pPr>
      <w:r>
        <w:rPr>
          <w:rFonts w:cs="Arial"/>
        </w:rPr>
        <w:t>II. Servicios de tratamiento de Agua Residual:</w:t>
      </w:r>
    </w:p>
    <w:p w14:paraId="5566F856" w14:textId="77777777" w:rsidR="00D3344B" w:rsidRDefault="00D3344B">
      <w:pPr>
        <w:pStyle w:val="Estilo"/>
        <w:rPr>
          <w:rFonts w:cs="Arial"/>
        </w:rPr>
      </w:pPr>
    </w:p>
    <w:p w14:paraId="6A51E4F7" w14:textId="77777777" w:rsidR="00D3344B" w:rsidRDefault="00143C25">
      <w:pPr>
        <w:pStyle w:val="Estilo"/>
        <w:rPr>
          <w:rFonts w:cs="Arial"/>
        </w:rPr>
      </w:pPr>
      <w:r>
        <w:rPr>
          <w:rFonts w:cs="Arial"/>
        </w:rPr>
        <w:t>a) Servicio de tratamiento de Agua Residual:</w:t>
      </w:r>
    </w:p>
    <w:p w14:paraId="62C9BCE2" w14:textId="77777777" w:rsidR="00D3344B" w:rsidRDefault="00D3344B">
      <w:pPr>
        <w:pStyle w:val="Estilo"/>
        <w:rPr>
          <w:rFonts w:cs="Arial"/>
        </w:rPr>
      </w:pPr>
    </w:p>
    <w:p w14:paraId="70600C2E" w14:textId="77777777" w:rsidR="00D3344B" w:rsidRDefault="00143C25">
      <w:pPr>
        <w:pStyle w:val="Estilo"/>
        <w:rPr>
          <w:rFonts w:cs="Arial"/>
        </w:rPr>
      </w:pPr>
      <w:r>
        <w:rPr>
          <w:rFonts w:cs="Arial"/>
        </w:rPr>
        <w:t>1. Costo por tratamiento calculado a partir del volumen de agua residual recibida y tipo de contaminante, en porcentaje de la Unidad de Medida y Actualización:</w:t>
      </w:r>
    </w:p>
    <w:p w14:paraId="2FC03800" w14:textId="77777777" w:rsidR="00D3344B" w:rsidRDefault="00D3344B">
      <w:pPr>
        <w:pStyle w:val="Estilo"/>
        <w:rPr>
          <w:rFonts w:cs="Arial"/>
        </w:rPr>
      </w:pPr>
    </w:p>
    <w:p w14:paraId="7C311211" w14:textId="77777777" w:rsidR="00D3344B" w:rsidRDefault="00143C25">
      <w:pPr>
        <w:pStyle w:val="Estilo"/>
        <w:rPr>
          <w:rFonts w:cs="Arial"/>
        </w:rPr>
      </w:pPr>
      <w:r>
        <w:rPr>
          <w:rFonts w:cs="Arial"/>
        </w:rPr>
        <w:t>Planta</w:t>
      </w:r>
      <w:r>
        <w:rPr>
          <w:rFonts w:cs="Arial"/>
        </w:rPr>
        <w:tab/>
      </w:r>
      <w:r>
        <w:rPr>
          <w:rFonts w:cs="Arial"/>
        </w:rPr>
        <w:tab/>
      </w:r>
      <w:r>
        <w:rPr>
          <w:rFonts w:cs="Arial"/>
        </w:rPr>
        <w:tab/>
        <w:t>Gasto</w:t>
      </w:r>
      <w:r>
        <w:rPr>
          <w:rFonts w:cs="Arial"/>
        </w:rPr>
        <w:tab/>
      </w:r>
      <w:r>
        <w:rPr>
          <w:rFonts w:cs="Arial"/>
        </w:rPr>
        <w:tab/>
        <w:t>Demanda</w:t>
      </w:r>
      <w:r>
        <w:rPr>
          <w:rFonts w:cs="Arial"/>
        </w:rPr>
        <w:tab/>
      </w:r>
      <w:r>
        <w:rPr>
          <w:rFonts w:cs="Arial"/>
        </w:rPr>
        <w:tab/>
        <w:t>Sólidos</w:t>
      </w:r>
      <w:r>
        <w:rPr>
          <w:rFonts w:cs="Arial"/>
        </w:rPr>
        <w:tab/>
      </w:r>
      <w:r>
        <w:rPr>
          <w:rFonts w:cs="Arial"/>
        </w:rPr>
        <w:tab/>
        <w:t>Grasas y</w:t>
      </w:r>
    </w:p>
    <w:p w14:paraId="018F0D9E" w14:textId="77777777" w:rsidR="00D3344B" w:rsidRDefault="00143C25">
      <w:pPr>
        <w:pStyle w:val="Estilo"/>
        <w:rPr>
          <w:rFonts w:cs="Arial"/>
        </w:rPr>
      </w:pPr>
      <w:r>
        <w:rPr>
          <w:rFonts w:cs="Arial"/>
        </w:rPr>
        <w:tab/>
      </w:r>
      <w:r>
        <w:rPr>
          <w:rFonts w:cs="Arial"/>
        </w:rPr>
        <w:tab/>
      </w:r>
      <w:r>
        <w:rPr>
          <w:rFonts w:cs="Arial"/>
        </w:rPr>
        <w:tab/>
      </w:r>
      <w:r>
        <w:rPr>
          <w:rFonts w:cs="Arial"/>
        </w:rPr>
        <w:tab/>
      </w:r>
      <w:r>
        <w:rPr>
          <w:rFonts w:cs="Arial"/>
        </w:rPr>
        <w:tab/>
        <w:t>química</w:t>
      </w:r>
      <w:r>
        <w:rPr>
          <w:rFonts w:cs="Arial"/>
        </w:rPr>
        <w:tab/>
      </w:r>
      <w:r>
        <w:rPr>
          <w:rFonts w:cs="Arial"/>
        </w:rPr>
        <w:tab/>
      </w:r>
      <w:proofErr w:type="spellStart"/>
      <w:r>
        <w:rPr>
          <w:rFonts w:cs="Arial"/>
        </w:rPr>
        <w:t>suspen</w:t>
      </w:r>
      <w:proofErr w:type="spellEnd"/>
      <w:r>
        <w:rPr>
          <w:rFonts w:cs="Arial"/>
        </w:rPr>
        <w:t>-</w:t>
      </w:r>
      <w:r>
        <w:rPr>
          <w:rFonts w:cs="Arial"/>
        </w:rPr>
        <w:tab/>
      </w:r>
      <w:r>
        <w:rPr>
          <w:rFonts w:cs="Arial"/>
        </w:rPr>
        <w:tab/>
        <w:t>aceites</w:t>
      </w:r>
    </w:p>
    <w:p w14:paraId="680A0830" w14:textId="77777777" w:rsidR="00D3344B" w:rsidRDefault="00143C25">
      <w:pPr>
        <w:pStyle w:val="Estilo"/>
        <w:rPr>
          <w:rFonts w:cs="Arial"/>
        </w:rPr>
      </w:pPr>
      <w:r>
        <w:rPr>
          <w:rFonts w:cs="Arial"/>
        </w:rPr>
        <w:tab/>
      </w:r>
      <w:r>
        <w:rPr>
          <w:rFonts w:cs="Arial"/>
        </w:rPr>
        <w:tab/>
      </w:r>
      <w:r>
        <w:rPr>
          <w:rFonts w:cs="Arial"/>
        </w:rPr>
        <w:tab/>
      </w:r>
      <w:r>
        <w:rPr>
          <w:rFonts w:cs="Arial"/>
        </w:rPr>
        <w:tab/>
      </w:r>
      <w:r>
        <w:rPr>
          <w:rFonts w:cs="Arial"/>
        </w:rPr>
        <w:tab/>
        <w:t>de</w:t>
      </w:r>
      <w:r>
        <w:rPr>
          <w:rFonts w:cs="Arial"/>
        </w:rPr>
        <w:tab/>
      </w:r>
      <w:r>
        <w:rPr>
          <w:rFonts w:cs="Arial"/>
        </w:rPr>
        <w:tab/>
      </w:r>
      <w:r>
        <w:rPr>
          <w:rFonts w:cs="Arial"/>
        </w:rPr>
        <w:tab/>
      </w:r>
      <w:proofErr w:type="spellStart"/>
      <w:r>
        <w:rPr>
          <w:rFonts w:cs="Arial"/>
        </w:rPr>
        <w:t>didos</w:t>
      </w:r>
      <w:proofErr w:type="spellEnd"/>
    </w:p>
    <w:p w14:paraId="63E91691" w14:textId="77777777" w:rsidR="00D3344B" w:rsidRDefault="00143C25">
      <w:pPr>
        <w:pStyle w:val="Estilo"/>
        <w:rPr>
          <w:rFonts w:cs="Arial"/>
        </w:rPr>
      </w:pPr>
      <w:r>
        <w:rPr>
          <w:rFonts w:cs="Arial"/>
        </w:rPr>
        <w:tab/>
      </w:r>
      <w:r>
        <w:rPr>
          <w:rFonts w:cs="Arial"/>
        </w:rPr>
        <w:tab/>
      </w:r>
      <w:r>
        <w:rPr>
          <w:rFonts w:cs="Arial"/>
        </w:rPr>
        <w:tab/>
      </w:r>
      <w:r>
        <w:rPr>
          <w:rFonts w:cs="Arial"/>
        </w:rPr>
        <w:tab/>
      </w:r>
      <w:r>
        <w:rPr>
          <w:rFonts w:cs="Arial"/>
        </w:rPr>
        <w:tab/>
      </w:r>
      <w:proofErr w:type="gramStart"/>
      <w:r>
        <w:rPr>
          <w:rFonts w:cs="Arial"/>
        </w:rPr>
        <w:t>oxígeno</w:t>
      </w:r>
      <w:r>
        <w:rPr>
          <w:rFonts w:cs="Arial"/>
        </w:rPr>
        <w:tab/>
      </w:r>
      <w:r>
        <w:rPr>
          <w:rFonts w:cs="Arial"/>
        </w:rPr>
        <w:tab/>
        <w:t>totales</w:t>
      </w:r>
      <w:proofErr w:type="gramEnd"/>
    </w:p>
    <w:p w14:paraId="0013AB05" w14:textId="77777777" w:rsidR="00D3344B" w:rsidRDefault="00D3344B">
      <w:pPr>
        <w:pStyle w:val="Estilo"/>
        <w:rPr>
          <w:rFonts w:cs="Arial"/>
        </w:rPr>
      </w:pPr>
    </w:p>
    <w:p w14:paraId="0D949957" w14:textId="77777777" w:rsidR="00D3344B" w:rsidRDefault="00143C25">
      <w:pPr>
        <w:pStyle w:val="Estilo"/>
        <w:rPr>
          <w:rFonts w:cs="Arial"/>
        </w:rPr>
      </w:pPr>
      <w:r>
        <w:rPr>
          <w:rFonts w:cs="Arial"/>
        </w:rPr>
        <w:tab/>
      </w:r>
      <w:r>
        <w:rPr>
          <w:rFonts w:cs="Arial"/>
        </w:rPr>
        <w:tab/>
      </w:r>
      <w:r>
        <w:rPr>
          <w:rFonts w:cs="Arial"/>
        </w:rPr>
        <w:tab/>
        <w:t>Costo</w:t>
      </w:r>
      <w:r>
        <w:rPr>
          <w:rFonts w:cs="Arial"/>
        </w:rPr>
        <w:tab/>
      </w:r>
      <w:r>
        <w:rPr>
          <w:rFonts w:cs="Arial"/>
        </w:rPr>
        <w:tab/>
      </w:r>
      <w:proofErr w:type="spellStart"/>
      <w:r>
        <w:rPr>
          <w:rFonts w:cs="Arial"/>
        </w:rPr>
        <w:t>Costo</w:t>
      </w:r>
      <w:proofErr w:type="spellEnd"/>
      <w:r>
        <w:rPr>
          <w:rFonts w:cs="Arial"/>
        </w:rPr>
        <w:tab/>
      </w:r>
      <w:r>
        <w:rPr>
          <w:rFonts w:cs="Arial"/>
        </w:rPr>
        <w:tab/>
      </w:r>
      <w:r>
        <w:rPr>
          <w:rFonts w:cs="Arial"/>
        </w:rPr>
        <w:tab/>
      </w:r>
      <w:proofErr w:type="spellStart"/>
      <w:r>
        <w:rPr>
          <w:rFonts w:cs="Arial"/>
        </w:rPr>
        <w:t>Costo</w:t>
      </w:r>
      <w:proofErr w:type="spellEnd"/>
      <w:r>
        <w:rPr>
          <w:rFonts w:cs="Arial"/>
        </w:rPr>
        <w:tab/>
      </w:r>
      <w:r>
        <w:rPr>
          <w:rFonts w:cs="Arial"/>
        </w:rPr>
        <w:tab/>
      </w:r>
      <w:r>
        <w:rPr>
          <w:rFonts w:cs="Arial"/>
        </w:rPr>
        <w:tab/>
      </w:r>
      <w:proofErr w:type="spellStart"/>
      <w:r>
        <w:rPr>
          <w:rFonts w:cs="Arial"/>
        </w:rPr>
        <w:t>Costo</w:t>
      </w:r>
      <w:proofErr w:type="spellEnd"/>
    </w:p>
    <w:p w14:paraId="18CB4CC4" w14:textId="77777777" w:rsidR="00D3344B" w:rsidRDefault="00143C25">
      <w:pPr>
        <w:pStyle w:val="Estilo"/>
        <w:rPr>
          <w:rFonts w:cs="Arial"/>
        </w:rPr>
      </w:pPr>
      <w:r>
        <w:rPr>
          <w:rFonts w:cs="Arial"/>
        </w:rPr>
        <w:tab/>
      </w:r>
      <w:r>
        <w:rPr>
          <w:rFonts w:cs="Arial"/>
        </w:rPr>
        <w:tab/>
      </w:r>
      <w:r>
        <w:rPr>
          <w:rFonts w:cs="Arial"/>
        </w:rPr>
        <w:tab/>
        <w:t>por</w:t>
      </w:r>
      <w:r>
        <w:rPr>
          <w:rFonts w:cs="Arial"/>
        </w:rPr>
        <w:tab/>
      </w:r>
      <w:r>
        <w:rPr>
          <w:rFonts w:cs="Arial"/>
        </w:rPr>
        <w:tab/>
      </w:r>
      <w:proofErr w:type="spellStart"/>
      <w:r>
        <w:rPr>
          <w:rFonts w:cs="Arial"/>
        </w:rPr>
        <w:t>por</w:t>
      </w:r>
      <w:proofErr w:type="spellEnd"/>
      <w:r>
        <w:rPr>
          <w:rFonts w:cs="Arial"/>
        </w:rPr>
        <w:tab/>
      </w:r>
      <w:r>
        <w:rPr>
          <w:rFonts w:cs="Arial"/>
        </w:rPr>
        <w:tab/>
      </w:r>
      <w:r>
        <w:rPr>
          <w:rFonts w:cs="Arial"/>
        </w:rPr>
        <w:tab/>
      </w:r>
      <w:proofErr w:type="spellStart"/>
      <w:r>
        <w:rPr>
          <w:rFonts w:cs="Arial"/>
        </w:rPr>
        <w:t>por</w:t>
      </w:r>
      <w:proofErr w:type="spellEnd"/>
      <w:r>
        <w:rPr>
          <w:rFonts w:cs="Arial"/>
        </w:rPr>
        <w:tab/>
      </w:r>
      <w:r>
        <w:rPr>
          <w:rFonts w:cs="Arial"/>
        </w:rPr>
        <w:tab/>
      </w:r>
      <w:r>
        <w:rPr>
          <w:rFonts w:cs="Arial"/>
        </w:rPr>
        <w:tab/>
      </w:r>
      <w:proofErr w:type="spellStart"/>
      <w:r>
        <w:rPr>
          <w:rFonts w:cs="Arial"/>
        </w:rPr>
        <w:t>por</w:t>
      </w:r>
      <w:proofErr w:type="spellEnd"/>
    </w:p>
    <w:p w14:paraId="4A4CB823" w14:textId="77777777" w:rsidR="00D3344B" w:rsidRDefault="00143C25">
      <w:pPr>
        <w:pStyle w:val="Estilo"/>
        <w:rPr>
          <w:rFonts w:cs="Arial"/>
        </w:rPr>
      </w:pPr>
      <w:r>
        <w:rPr>
          <w:rFonts w:cs="Arial"/>
        </w:rPr>
        <w:tab/>
      </w:r>
      <w:r>
        <w:rPr>
          <w:rFonts w:cs="Arial"/>
        </w:rPr>
        <w:tab/>
      </w:r>
      <w:r>
        <w:rPr>
          <w:rFonts w:cs="Arial"/>
        </w:rPr>
        <w:tab/>
        <w:t>metro</w:t>
      </w:r>
      <w:r>
        <w:rPr>
          <w:rFonts w:cs="Arial"/>
        </w:rPr>
        <w:tab/>
      </w:r>
      <w:r>
        <w:rPr>
          <w:rFonts w:cs="Arial"/>
        </w:rPr>
        <w:tab/>
        <w:t>kilo-</w:t>
      </w:r>
      <w:r>
        <w:rPr>
          <w:rFonts w:cs="Arial"/>
        </w:rPr>
        <w:tab/>
      </w:r>
      <w:r>
        <w:rPr>
          <w:rFonts w:cs="Arial"/>
        </w:rPr>
        <w:tab/>
      </w:r>
      <w:r>
        <w:rPr>
          <w:rFonts w:cs="Arial"/>
        </w:rPr>
        <w:tab/>
        <w:t>kilo-</w:t>
      </w:r>
      <w:r>
        <w:rPr>
          <w:rFonts w:cs="Arial"/>
        </w:rPr>
        <w:tab/>
      </w:r>
      <w:r>
        <w:rPr>
          <w:rFonts w:cs="Arial"/>
        </w:rPr>
        <w:tab/>
      </w:r>
      <w:r>
        <w:rPr>
          <w:rFonts w:cs="Arial"/>
        </w:rPr>
        <w:tab/>
        <w:t>kilo-</w:t>
      </w:r>
    </w:p>
    <w:p w14:paraId="7C41028D" w14:textId="77777777" w:rsidR="00D3344B" w:rsidRDefault="00143C25">
      <w:pPr>
        <w:pStyle w:val="Estilo"/>
        <w:rPr>
          <w:rFonts w:cs="Arial"/>
        </w:rPr>
      </w:pPr>
      <w:r>
        <w:rPr>
          <w:rFonts w:cs="Arial"/>
        </w:rPr>
        <w:tab/>
      </w:r>
      <w:r>
        <w:rPr>
          <w:rFonts w:cs="Arial"/>
        </w:rPr>
        <w:tab/>
      </w:r>
      <w:r>
        <w:rPr>
          <w:rFonts w:cs="Arial"/>
        </w:rPr>
        <w:tab/>
        <w:t>cúbico</w:t>
      </w:r>
      <w:r>
        <w:rPr>
          <w:rFonts w:cs="Arial"/>
        </w:rPr>
        <w:tab/>
      </w:r>
      <w:r>
        <w:rPr>
          <w:rFonts w:cs="Arial"/>
        </w:rPr>
        <w:tab/>
        <w:t>gramo</w:t>
      </w:r>
      <w:r>
        <w:rPr>
          <w:rFonts w:cs="Arial"/>
        </w:rPr>
        <w:tab/>
      </w:r>
      <w:r>
        <w:rPr>
          <w:rFonts w:cs="Arial"/>
        </w:rPr>
        <w:tab/>
      </w:r>
      <w:r>
        <w:rPr>
          <w:rFonts w:cs="Arial"/>
        </w:rPr>
        <w:tab/>
      </w:r>
      <w:proofErr w:type="spellStart"/>
      <w:r>
        <w:rPr>
          <w:rFonts w:cs="Arial"/>
        </w:rPr>
        <w:t>gramo</w:t>
      </w:r>
      <w:proofErr w:type="spellEnd"/>
      <w:r>
        <w:rPr>
          <w:rFonts w:cs="Arial"/>
        </w:rPr>
        <w:tab/>
      </w:r>
      <w:r>
        <w:rPr>
          <w:rFonts w:cs="Arial"/>
        </w:rPr>
        <w:tab/>
      </w:r>
      <w:r>
        <w:rPr>
          <w:rFonts w:cs="Arial"/>
        </w:rPr>
        <w:tab/>
      </w:r>
      <w:proofErr w:type="spellStart"/>
      <w:r>
        <w:rPr>
          <w:rFonts w:cs="Arial"/>
        </w:rPr>
        <w:t>gramo</w:t>
      </w:r>
      <w:proofErr w:type="spellEnd"/>
    </w:p>
    <w:p w14:paraId="650BE22B" w14:textId="77777777" w:rsidR="00D3344B" w:rsidRDefault="00D3344B">
      <w:pPr>
        <w:pStyle w:val="Estilo"/>
        <w:rPr>
          <w:rFonts w:cs="Arial"/>
        </w:rPr>
      </w:pPr>
    </w:p>
    <w:p w14:paraId="13F06AB5" w14:textId="77777777" w:rsidR="00D3344B" w:rsidRDefault="00143C25">
      <w:pPr>
        <w:pStyle w:val="Estilo"/>
        <w:rPr>
          <w:rFonts w:cs="Arial"/>
        </w:rPr>
      </w:pPr>
      <w:r>
        <w:rPr>
          <w:rFonts w:cs="Arial"/>
        </w:rPr>
        <w:t>APIZACO</w:t>
      </w:r>
      <w:r>
        <w:rPr>
          <w:rFonts w:cs="Arial"/>
        </w:rPr>
        <w:tab/>
      </w:r>
      <w:r>
        <w:rPr>
          <w:rFonts w:cs="Arial"/>
        </w:rPr>
        <w:tab/>
        <w:t>1.40%</w:t>
      </w:r>
      <w:r>
        <w:rPr>
          <w:rFonts w:cs="Arial"/>
        </w:rPr>
        <w:tab/>
      </w:r>
      <w:r>
        <w:rPr>
          <w:rFonts w:cs="Arial"/>
        </w:rPr>
        <w:tab/>
        <w:t>2.10%</w:t>
      </w:r>
      <w:r>
        <w:rPr>
          <w:rFonts w:cs="Arial"/>
        </w:rPr>
        <w:tab/>
      </w:r>
      <w:r>
        <w:rPr>
          <w:rFonts w:cs="Arial"/>
        </w:rPr>
        <w:tab/>
        <w:t>3.60%</w:t>
      </w:r>
      <w:r>
        <w:rPr>
          <w:rFonts w:cs="Arial"/>
        </w:rPr>
        <w:tab/>
      </w:r>
      <w:r>
        <w:rPr>
          <w:rFonts w:cs="Arial"/>
        </w:rPr>
        <w:tab/>
      </w:r>
      <w:r>
        <w:rPr>
          <w:rFonts w:cs="Arial"/>
        </w:rPr>
        <w:tab/>
        <w:t>3.70%</w:t>
      </w:r>
    </w:p>
    <w:p w14:paraId="093A687D" w14:textId="77777777" w:rsidR="00D3344B" w:rsidRDefault="00143C25">
      <w:pPr>
        <w:pStyle w:val="Estilo"/>
        <w:rPr>
          <w:rFonts w:cs="Arial"/>
        </w:rPr>
      </w:pPr>
      <w:r>
        <w:rPr>
          <w:rFonts w:cs="Arial"/>
        </w:rPr>
        <w:t>A</w:t>
      </w:r>
    </w:p>
    <w:p w14:paraId="20C748DF" w14:textId="77777777" w:rsidR="00D3344B" w:rsidRDefault="00D3344B">
      <w:pPr>
        <w:pStyle w:val="Estilo"/>
        <w:rPr>
          <w:rFonts w:cs="Arial"/>
        </w:rPr>
      </w:pPr>
    </w:p>
    <w:p w14:paraId="1843551A" w14:textId="77777777" w:rsidR="00D3344B" w:rsidRDefault="00143C25">
      <w:pPr>
        <w:pStyle w:val="Estilo"/>
        <w:rPr>
          <w:rFonts w:cs="Arial"/>
        </w:rPr>
      </w:pPr>
      <w:r>
        <w:rPr>
          <w:rFonts w:cs="Arial"/>
        </w:rPr>
        <w:t>APIZACO</w:t>
      </w:r>
      <w:r>
        <w:rPr>
          <w:rFonts w:cs="Arial"/>
        </w:rPr>
        <w:tab/>
      </w:r>
      <w:r>
        <w:rPr>
          <w:rFonts w:cs="Arial"/>
        </w:rPr>
        <w:tab/>
        <w:t>1.70%</w:t>
      </w:r>
      <w:r>
        <w:rPr>
          <w:rFonts w:cs="Arial"/>
        </w:rPr>
        <w:tab/>
      </w:r>
      <w:r>
        <w:rPr>
          <w:rFonts w:cs="Arial"/>
        </w:rPr>
        <w:tab/>
        <w:t>2.80%</w:t>
      </w:r>
      <w:r>
        <w:rPr>
          <w:rFonts w:cs="Arial"/>
        </w:rPr>
        <w:tab/>
      </w:r>
      <w:r>
        <w:rPr>
          <w:rFonts w:cs="Arial"/>
        </w:rPr>
        <w:tab/>
      </w:r>
      <w:r>
        <w:rPr>
          <w:rFonts w:cs="Arial"/>
        </w:rPr>
        <w:tab/>
        <w:t>4.40%</w:t>
      </w:r>
      <w:r>
        <w:rPr>
          <w:rFonts w:cs="Arial"/>
        </w:rPr>
        <w:tab/>
      </w:r>
      <w:r>
        <w:rPr>
          <w:rFonts w:cs="Arial"/>
        </w:rPr>
        <w:tab/>
      </w:r>
      <w:r>
        <w:rPr>
          <w:rFonts w:cs="Arial"/>
        </w:rPr>
        <w:tab/>
        <w:t>4.10%</w:t>
      </w:r>
    </w:p>
    <w:p w14:paraId="6A2481DC" w14:textId="77777777" w:rsidR="00D3344B" w:rsidRDefault="00143C25">
      <w:pPr>
        <w:pStyle w:val="Estilo"/>
        <w:rPr>
          <w:rFonts w:cs="Arial"/>
        </w:rPr>
      </w:pPr>
      <w:r>
        <w:rPr>
          <w:rFonts w:cs="Arial"/>
        </w:rPr>
        <w:t>B</w:t>
      </w:r>
    </w:p>
    <w:p w14:paraId="1596D6B3" w14:textId="77777777" w:rsidR="00D3344B" w:rsidRDefault="00D3344B">
      <w:pPr>
        <w:pStyle w:val="Estilo"/>
        <w:rPr>
          <w:rFonts w:cs="Arial"/>
        </w:rPr>
      </w:pPr>
    </w:p>
    <w:p w14:paraId="56B75B94" w14:textId="77777777" w:rsidR="00D3344B" w:rsidRDefault="00143C25">
      <w:pPr>
        <w:pStyle w:val="Estilo"/>
        <w:rPr>
          <w:rFonts w:cs="Arial"/>
        </w:rPr>
      </w:pPr>
      <w:r>
        <w:rPr>
          <w:rFonts w:cs="Arial"/>
        </w:rPr>
        <w:t>ATLAMAXAC</w:t>
      </w:r>
      <w:r>
        <w:rPr>
          <w:rFonts w:cs="Arial"/>
        </w:rPr>
        <w:tab/>
        <w:t>1.80%</w:t>
      </w:r>
      <w:r>
        <w:rPr>
          <w:rFonts w:cs="Arial"/>
        </w:rPr>
        <w:tab/>
      </w:r>
      <w:r>
        <w:rPr>
          <w:rFonts w:cs="Arial"/>
        </w:rPr>
        <w:tab/>
        <w:t>2.00%</w:t>
      </w:r>
      <w:r>
        <w:rPr>
          <w:rFonts w:cs="Arial"/>
        </w:rPr>
        <w:tab/>
      </w:r>
      <w:r>
        <w:rPr>
          <w:rFonts w:cs="Arial"/>
        </w:rPr>
        <w:tab/>
      </w:r>
      <w:r>
        <w:rPr>
          <w:rFonts w:cs="Arial"/>
        </w:rPr>
        <w:tab/>
        <w:t>4.20%</w:t>
      </w:r>
      <w:r>
        <w:rPr>
          <w:rFonts w:cs="Arial"/>
        </w:rPr>
        <w:tab/>
      </w:r>
      <w:r>
        <w:rPr>
          <w:rFonts w:cs="Arial"/>
        </w:rPr>
        <w:tab/>
      </w:r>
      <w:r>
        <w:rPr>
          <w:rFonts w:cs="Arial"/>
        </w:rPr>
        <w:tab/>
        <w:t>2.60%</w:t>
      </w:r>
    </w:p>
    <w:p w14:paraId="534132B4" w14:textId="77777777" w:rsidR="00D3344B" w:rsidRDefault="00D3344B">
      <w:pPr>
        <w:pStyle w:val="Estilo"/>
        <w:rPr>
          <w:rFonts w:cs="Arial"/>
        </w:rPr>
      </w:pPr>
    </w:p>
    <w:p w14:paraId="0742F97D" w14:textId="77777777" w:rsidR="00D3344B" w:rsidRDefault="00143C25">
      <w:pPr>
        <w:pStyle w:val="Estilo"/>
        <w:rPr>
          <w:rFonts w:cs="Arial"/>
        </w:rPr>
      </w:pPr>
      <w:r>
        <w:rPr>
          <w:rFonts w:cs="Arial"/>
        </w:rPr>
        <w:t>IXTACUIXTLA</w:t>
      </w:r>
      <w:r>
        <w:rPr>
          <w:rFonts w:cs="Arial"/>
        </w:rPr>
        <w:tab/>
        <w:t>2.50%</w:t>
      </w:r>
      <w:r>
        <w:rPr>
          <w:rFonts w:cs="Arial"/>
        </w:rPr>
        <w:tab/>
      </w:r>
      <w:r>
        <w:rPr>
          <w:rFonts w:cs="Arial"/>
        </w:rPr>
        <w:tab/>
        <w:t>5.10%</w:t>
      </w:r>
      <w:r>
        <w:rPr>
          <w:rFonts w:cs="Arial"/>
        </w:rPr>
        <w:tab/>
      </w:r>
      <w:r>
        <w:rPr>
          <w:rFonts w:cs="Arial"/>
        </w:rPr>
        <w:tab/>
      </w:r>
      <w:r>
        <w:rPr>
          <w:rFonts w:cs="Arial"/>
        </w:rPr>
        <w:tab/>
        <w:t>5.00%</w:t>
      </w:r>
      <w:r>
        <w:rPr>
          <w:rFonts w:cs="Arial"/>
        </w:rPr>
        <w:tab/>
      </w:r>
      <w:r>
        <w:rPr>
          <w:rFonts w:cs="Arial"/>
        </w:rPr>
        <w:tab/>
      </w:r>
      <w:r>
        <w:rPr>
          <w:rFonts w:cs="Arial"/>
        </w:rPr>
        <w:tab/>
        <w:t>6.00%</w:t>
      </w:r>
    </w:p>
    <w:p w14:paraId="2F69D893" w14:textId="77777777" w:rsidR="00D3344B" w:rsidRDefault="00D3344B">
      <w:pPr>
        <w:pStyle w:val="Estilo"/>
        <w:rPr>
          <w:rFonts w:cs="Arial"/>
        </w:rPr>
      </w:pPr>
    </w:p>
    <w:p w14:paraId="0AA640AB" w14:textId="77777777" w:rsidR="00D3344B" w:rsidRDefault="00143C25">
      <w:pPr>
        <w:pStyle w:val="Estilo"/>
        <w:rPr>
          <w:rFonts w:cs="Arial"/>
        </w:rPr>
      </w:pPr>
      <w:r>
        <w:rPr>
          <w:rFonts w:cs="Arial"/>
        </w:rPr>
        <w:t>TLATEMPAN</w:t>
      </w:r>
      <w:r>
        <w:rPr>
          <w:rFonts w:cs="Arial"/>
        </w:rPr>
        <w:tab/>
        <w:t>1.30%</w:t>
      </w:r>
      <w:r>
        <w:rPr>
          <w:rFonts w:cs="Arial"/>
        </w:rPr>
        <w:tab/>
      </w:r>
      <w:r>
        <w:rPr>
          <w:rFonts w:cs="Arial"/>
        </w:rPr>
        <w:tab/>
        <w:t>1.70%</w:t>
      </w:r>
      <w:r>
        <w:rPr>
          <w:rFonts w:cs="Arial"/>
        </w:rPr>
        <w:tab/>
      </w:r>
      <w:r>
        <w:rPr>
          <w:rFonts w:cs="Arial"/>
        </w:rPr>
        <w:tab/>
      </w:r>
      <w:r>
        <w:rPr>
          <w:rFonts w:cs="Arial"/>
        </w:rPr>
        <w:tab/>
        <w:t>3.10%</w:t>
      </w:r>
      <w:r>
        <w:rPr>
          <w:rFonts w:cs="Arial"/>
        </w:rPr>
        <w:tab/>
      </w:r>
      <w:r>
        <w:rPr>
          <w:rFonts w:cs="Arial"/>
        </w:rPr>
        <w:tab/>
      </w:r>
      <w:r>
        <w:rPr>
          <w:rFonts w:cs="Arial"/>
        </w:rPr>
        <w:tab/>
        <w:t>2.70%</w:t>
      </w:r>
    </w:p>
    <w:p w14:paraId="270B9B9E" w14:textId="77777777" w:rsidR="00D3344B" w:rsidRDefault="00D3344B">
      <w:pPr>
        <w:pStyle w:val="Estilo"/>
        <w:rPr>
          <w:rFonts w:cs="Arial"/>
        </w:rPr>
      </w:pPr>
    </w:p>
    <w:p w14:paraId="035DB86C" w14:textId="77777777" w:rsidR="00D3344B" w:rsidRDefault="00143C25">
      <w:pPr>
        <w:pStyle w:val="Estilo"/>
        <w:rPr>
          <w:rFonts w:cs="Arial"/>
        </w:rPr>
      </w:pPr>
      <w:r>
        <w:rPr>
          <w:rFonts w:cs="Arial"/>
        </w:rPr>
        <w:t>TLAXCALA</w:t>
      </w:r>
      <w:r>
        <w:rPr>
          <w:rFonts w:cs="Arial"/>
        </w:rPr>
        <w:tab/>
      </w:r>
      <w:r>
        <w:rPr>
          <w:rFonts w:cs="Arial"/>
        </w:rPr>
        <w:tab/>
        <w:t>1.20%</w:t>
      </w:r>
      <w:r>
        <w:rPr>
          <w:rFonts w:cs="Arial"/>
        </w:rPr>
        <w:tab/>
      </w:r>
      <w:r>
        <w:rPr>
          <w:rFonts w:cs="Arial"/>
        </w:rPr>
        <w:tab/>
        <w:t>1.30%</w:t>
      </w:r>
      <w:r>
        <w:rPr>
          <w:rFonts w:cs="Arial"/>
        </w:rPr>
        <w:tab/>
      </w:r>
      <w:r>
        <w:rPr>
          <w:rFonts w:cs="Arial"/>
        </w:rPr>
        <w:tab/>
      </w:r>
      <w:r>
        <w:rPr>
          <w:rFonts w:cs="Arial"/>
        </w:rPr>
        <w:tab/>
        <w:t>2.70%</w:t>
      </w:r>
      <w:r>
        <w:rPr>
          <w:rFonts w:cs="Arial"/>
        </w:rPr>
        <w:tab/>
      </w:r>
      <w:r>
        <w:rPr>
          <w:rFonts w:cs="Arial"/>
        </w:rPr>
        <w:tab/>
      </w:r>
      <w:r>
        <w:rPr>
          <w:rFonts w:cs="Arial"/>
        </w:rPr>
        <w:tab/>
        <w:t>1.70%</w:t>
      </w:r>
    </w:p>
    <w:p w14:paraId="3D78A74E" w14:textId="77777777" w:rsidR="00D3344B" w:rsidRDefault="00D3344B">
      <w:pPr>
        <w:pStyle w:val="Estilo"/>
        <w:rPr>
          <w:rFonts w:cs="Arial"/>
        </w:rPr>
      </w:pPr>
    </w:p>
    <w:p w14:paraId="58B72B49" w14:textId="77777777" w:rsidR="00D3344B" w:rsidRDefault="00143C25">
      <w:pPr>
        <w:pStyle w:val="Estilo"/>
        <w:rPr>
          <w:rFonts w:cs="Arial"/>
        </w:rPr>
      </w:pPr>
      <w:r>
        <w:rPr>
          <w:rFonts w:cs="Arial"/>
        </w:rPr>
        <w:t>XICOHTENCATL</w:t>
      </w:r>
      <w:r>
        <w:rPr>
          <w:rFonts w:cs="Arial"/>
        </w:rPr>
        <w:tab/>
        <w:t>2.80%</w:t>
      </w:r>
      <w:r>
        <w:rPr>
          <w:rFonts w:cs="Arial"/>
        </w:rPr>
        <w:tab/>
      </w:r>
      <w:r>
        <w:rPr>
          <w:rFonts w:cs="Arial"/>
        </w:rPr>
        <w:tab/>
        <w:t>5.60%</w:t>
      </w:r>
      <w:r>
        <w:rPr>
          <w:rFonts w:cs="Arial"/>
        </w:rPr>
        <w:tab/>
      </w:r>
      <w:r>
        <w:rPr>
          <w:rFonts w:cs="Arial"/>
        </w:rPr>
        <w:tab/>
      </w:r>
      <w:r>
        <w:rPr>
          <w:rFonts w:cs="Arial"/>
        </w:rPr>
        <w:tab/>
        <w:t>6.50%</w:t>
      </w:r>
      <w:r>
        <w:rPr>
          <w:rFonts w:cs="Arial"/>
        </w:rPr>
        <w:tab/>
      </w:r>
      <w:r>
        <w:rPr>
          <w:rFonts w:cs="Arial"/>
        </w:rPr>
        <w:tab/>
      </w:r>
      <w:r>
        <w:rPr>
          <w:rFonts w:cs="Arial"/>
        </w:rPr>
        <w:tab/>
        <w:t>6.20%</w:t>
      </w:r>
    </w:p>
    <w:p w14:paraId="06046218" w14:textId="77777777" w:rsidR="00D3344B" w:rsidRDefault="00D3344B">
      <w:pPr>
        <w:pStyle w:val="Estilo"/>
        <w:rPr>
          <w:rFonts w:cs="Arial"/>
        </w:rPr>
      </w:pPr>
    </w:p>
    <w:p w14:paraId="7133ECA3" w14:textId="77777777" w:rsidR="00D3344B" w:rsidRDefault="00143C25">
      <w:pPr>
        <w:pStyle w:val="Estilo"/>
        <w:rPr>
          <w:rFonts w:cs="Arial"/>
        </w:rPr>
      </w:pPr>
      <w:r>
        <w:rPr>
          <w:rFonts w:cs="Arial"/>
        </w:rPr>
        <w:t>XICOHTENCATL</w:t>
      </w:r>
      <w:r>
        <w:rPr>
          <w:rFonts w:cs="Arial"/>
        </w:rPr>
        <w:tab/>
        <w:t>2.50%</w:t>
      </w:r>
      <w:r>
        <w:rPr>
          <w:rFonts w:cs="Arial"/>
        </w:rPr>
        <w:tab/>
      </w:r>
      <w:r>
        <w:rPr>
          <w:rFonts w:cs="Arial"/>
        </w:rPr>
        <w:tab/>
        <w:t>5.30%</w:t>
      </w:r>
      <w:r>
        <w:rPr>
          <w:rFonts w:cs="Arial"/>
        </w:rPr>
        <w:tab/>
      </w:r>
      <w:r>
        <w:rPr>
          <w:rFonts w:cs="Arial"/>
        </w:rPr>
        <w:tab/>
      </w:r>
      <w:r>
        <w:rPr>
          <w:rFonts w:cs="Arial"/>
        </w:rPr>
        <w:tab/>
        <w:t>6.20%</w:t>
      </w:r>
      <w:r>
        <w:rPr>
          <w:rFonts w:cs="Arial"/>
        </w:rPr>
        <w:tab/>
      </w:r>
      <w:r>
        <w:rPr>
          <w:rFonts w:cs="Arial"/>
        </w:rPr>
        <w:tab/>
      </w:r>
      <w:r>
        <w:rPr>
          <w:rFonts w:cs="Arial"/>
        </w:rPr>
        <w:tab/>
        <w:t>6.00%</w:t>
      </w:r>
    </w:p>
    <w:p w14:paraId="700A12B6" w14:textId="77777777" w:rsidR="00D3344B" w:rsidRDefault="00143C25">
      <w:pPr>
        <w:pStyle w:val="Estilo"/>
        <w:rPr>
          <w:rFonts w:cs="Arial"/>
        </w:rPr>
      </w:pPr>
      <w:r>
        <w:rPr>
          <w:rFonts w:cs="Arial"/>
        </w:rPr>
        <w:t>II</w:t>
      </w:r>
    </w:p>
    <w:p w14:paraId="4D7CC6BA" w14:textId="77777777" w:rsidR="00D3344B" w:rsidRDefault="00D3344B">
      <w:pPr>
        <w:pStyle w:val="Estilo"/>
        <w:rPr>
          <w:rFonts w:cs="Arial"/>
        </w:rPr>
      </w:pPr>
    </w:p>
    <w:p w14:paraId="46E0BC17" w14:textId="77777777" w:rsidR="00D3344B" w:rsidRDefault="00143C25">
      <w:pPr>
        <w:pStyle w:val="Estilo"/>
        <w:rPr>
          <w:rFonts w:cs="Arial"/>
        </w:rPr>
      </w:pPr>
      <w:r>
        <w:rPr>
          <w:rFonts w:cs="Arial"/>
        </w:rPr>
        <w:t>XICOHTENCATL</w:t>
      </w:r>
      <w:r>
        <w:rPr>
          <w:rFonts w:cs="Arial"/>
        </w:rPr>
        <w:tab/>
        <w:t>2.80%</w:t>
      </w:r>
      <w:r>
        <w:rPr>
          <w:rFonts w:cs="Arial"/>
        </w:rPr>
        <w:tab/>
      </w:r>
      <w:r>
        <w:rPr>
          <w:rFonts w:cs="Arial"/>
        </w:rPr>
        <w:tab/>
        <w:t>5.60%</w:t>
      </w:r>
      <w:r>
        <w:rPr>
          <w:rFonts w:cs="Arial"/>
        </w:rPr>
        <w:tab/>
      </w:r>
      <w:r>
        <w:rPr>
          <w:rFonts w:cs="Arial"/>
        </w:rPr>
        <w:tab/>
      </w:r>
      <w:r>
        <w:rPr>
          <w:rFonts w:cs="Arial"/>
        </w:rPr>
        <w:tab/>
        <w:t>6.50%</w:t>
      </w:r>
      <w:r>
        <w:rPr>
          <w:rFonts w:cs="Arial"/>
        </w:rPr>
        <w:tab/>
      </w:r>
      <w:r>
        <w:rPr>
          <w:rFonts w:cs="Arial"/>
        </w:rPr>
        <w:tab/>
      </w:r>
      <w:r>
        <w:rPr>
          <w:rFonts w:cs="Arial"/>
        </w:rPr>
        <w:tab/>
        <w:t>6.20%</w:t>
      </w:r>
    </w:p>
    <w:p w14:paraId="369C9520" w14:textId="77777777" w:rsidR="00D3344B" w:rsidRDefault="00143C25">
      <w:pPr>
        <w:pStyle w:val="Estilo"/>
        <w:rPr>
          <w:rFonts w:cs="Arial"/>
        </w:rPr>
      </w:pPr>
      <w:r>
        <w:rPr>
          <w:rFonts w:cs="Arial"/>
        </w:rPr>
        <w:t>III</w:t>
      </w:r>
    </w:p>
    <w:p w14:paraId="3011AD24" w14:textId="77777777" w:rsidR="00D3344B" w:rsidRDefault="00D3344B">
      <w:pPr>
        <w:pStyle w:val="Estilo"/>
        <w:rPr>
          <w:rFonts w:cs="Arial"/>
        </w:rPr>
      </w:pPr>
    </w:p>
    <w:p w14:paraId="312C009E" w14:textId="77777777" w:rsidR="00D3344B" w:rsidRDefault="00143C25">
      <w:pPr>
        <w:pStyle w:val="Estilo"/>
        <w:rPr>
          <w:rFonts w:cs="Arial"/>
        </w:rPr>
      </w:pPr>
      <w:r>
        <w:rPr>
          <w:rFonts w:cs="Arial"/>
        </w:rPr>
        <w:t>NUEVAS</w:t>
      </w:r>
      <w:r>
        <w:rPr>
          <w:rFonts w:cs="Arial"/>
        </w:rPr>
        <w:tab/>
      </w:r>
      <w:r>
        <w:rPr>
          <w:rFonts w:cs="Arial"/>
        </w:rPr>
        <w:tab/>
        <w:t>1.20%</w:t>
      </w:r>
      <w:r>
        <w:rPr>
          <w:rFonts w:cs="Arial"/>
        </w:rPr>
        <w:tab/>
      </w:r>
      <w:r>
        <w:rPr>
          <w:rFonts w:cs="Arial"/>
        </w:rPr>
        <w:tab/>
        <w:t>1.30%</w:t>
      </w:r>
      <w:r>
        <w:rPr>
          <w:rFonts w:cs="Arial"/>
        </w:rPr>
        <w:tab/>
      </w:r>
      <w:r>
        <w:rPr>
          <w:rFonts w:cs="Arial"/>
        </w:rPr>
        <w:tab/>
      </w:r>
      <w:r>
        <w:rPr>
          <w:rFonts w:cs="Arial"/>
        </w:rPr>
        <w:tab/>
        <w:t>2.70%</w:t>
      </w:r>
      <w:r>
        <w:rPr>
          <w:rFonts w:cs="Arial"/>
        </w:rPr>
        <w:tab/>
      </w:r>
      <w:r>
        <w:rPr>
          <w:rFonts w:cs="Arial"/>
        </w:rPr>
        <w:tab/>
      </w:r>
      <w:r>
        <w:rPr>
          <w:rFonts w:cs="Arial"/>
        </w:rPr>
        <w:tab/>
        <w:t>1.70%</w:t>
      </w:r>
    </w:p>
    <w:p w14:paraId="00206C44" w14:textId="77777777" w:rsidR="00D3344B" w:rsidRDefault="00D3344B">
      <w:pPr>
        <w:pStyle w:val="Estilo"/>
        <w:rPr>
          <w:rFonts w:cs="Arial"/>
        </w:rPr>
      </w:pPr>
    </w:p>
    <w:p w14:paraId="76E62F63" w14:textId="77777777" w:rsidR="00D3344B" w:rsidRDefault="00143C25">
      <w:pPr>
        <w:pStyle w:val="Estilo"/>
        <w:rPr>
          <w:rFonts w:cs="Arial"/>
        </w:rPr>
      </w:pPr>
      <w:r>
        <w:rPr>
          <w:rFonts w:cs="Arial"/>
        </w:rPr>
        <w:t>2. Cuotas fijas mensuales según el uso y volumen de agua empleada.</w:t>
      </w:r>
    </w:p>
    <w:p w14:paraId="77B4DC21" w14:textId="77777777" w:rsidR="00D3344B" w:rsidRDefault="00D3344B">
      <w:pPr>
        <w:pStyle w:val="Estilo"/>
        <w:rPr>
          <w:rFonts w:cs="Arial"/>
        </w:rPr>
      </w:pPr>
    </w:p>
    <w:tbl>
      <w:tblPr>
        <w:tblStyle w:val="TableGrid"/>
        <w:tblW w:w="8967" w:type="dxa"/>
        <w:tblInd w:w="6" w:type="dxa"/>
        <w:tblLayout w:type="fixed"/>
        <w:tblCellMar>
          <w:top w:w="12" w:type="dxa"/>
          <w:left w:w="68" w:type="dxa"/>
          <w:right w:w="18" w:type="dxa"/>
        </w:tblCellMar>
        <w:tblLook w:val="04A0" w:firstRow="1" w:lastRow="0" w:firstColumn="1" w:lastColumn="0" w:noHBand="0" w:noVBand="1"/>
      </w:tblPr>
      <w:tblGrid>
        <w:gridCol w:w="4602"/>
        <w:gridCol w:w="2411"/>
        <w:gridCol w:w="1954"/>
      </w:tblGrid>
      <w:tr w:rsidR="00D3344B" w14:paraId="5136567E" w14:textId="77777777">
        <w:trPr>
          <w:trHeight w:val="673"/>
        </w:trPr>
        <w:tc>
          <w:tcPr>
            <w:tcW w:w="4602" w:type="dxa"/>
            <w:tcBorders>
              <w:top w:val="single" w:sz="4" w:space="0" w:color="000000"/>
              <w:left w:val="single" w:sz="4" w:space="0" w:color="000000"/>
              <w:bottom w:val="single" w:sz="4" w:space="0" w:color="000000"/>
              <w:right w:val="single" w:sz="4" w:space="0" w:color="000000"/>
            </w:tcBorders>
            <w:shd w:val="clear" w:color="auto" w:fill="D9D9D9"/>
          </w:tcPr>
          <w:p w14:paraId="706DCD41" w14:textId="77777777" w:rsidR="00D3344B" w:rsidRDefault="00143C25">
            <w:pPr>
              <w:spacing w:after="0" w:line="259" w:lineRule="auto"/>
              <w:rPr>
                <w:rFonts w:ascii="Arial" w:hAnsi="Arial" w:cs="Arial"/>
              </w:rPr>
            </w:pPr>
            <w:r>
              <w:rPr>
                <w:rFonts w:ascii="Arial" w:hAnsi="Arial" w:cs="Arial"/>
                <w:b/>
              </w:rPr>
              <w:t>Usuario</w:t>
            </w:r>
            <w:r>
              <w:rPr>
                <w:rFonts w:ascii="Arial" w:hAnsi="Arial" w:cs="Arial"/>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D9D9D9"/>
          </w:tcPr>
          <w:p w14:paraId="3F682CC7" w14:textId="77777777" w:rsidR="00D3344B" w:rsidRDefault="00143C25">
            <w:pPr>
              <w:spacing w:after="0" w:line="259" w:lineRule="auto"/>
              <w:jc w:val="center"/>
              <w:rPr>
                <w:rFonts w:ascii="Arial" w:hAnsi="Arial" w:cs="Arial"/>
              </w:rPr>
            </w:pPr>
            <w:r>
              <w:rPr>
                <w:rFonts w:ascii="Arial" w:hAnsi="Arial" w:cs="Arial"/>
                <w:b/>
              </w:rPr>
              <w:t>Rango de consumo de agua</w:t>
            </w:r>
            <w:r>
              <w:rPr>
                <w:rFonts w:ascii="Arial" w:hAnsi="Arial" w:cs="Arial"/>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Pr>
          <w:p w14:paraId="1A8A9301" w14:textId="77777777" w:rsidR="00D3344B" w:rsidRDefault="00143C25">
            <w:pPr>
              <w:spacing w:after="0" w:line="259" w:lineRule="auto"/>
              <w:ind w:right="51"/>
              <w:jc w:val="center"/>
              <w:rPr>
                <w:rFonts w:ascii="Arial" w:hAnsi="Arial" w:cs="Arial"/>
              </w:rPr>
            </w:pPr>
            <w:r>
              <w:rPr>
                <w:rFonts w:ascii="Arial" w:hAnsi="Arial" w:cs="Arial"/>
                <w:b/>
              </w:rPr>
              <w:t xml:space="preserve">Veces de UMA </w:t>
            </w:r>
          </w:p>
        </w:tc>
      </w:tr>
      <w:tr w:rsidR="00D3344B" w14:paraId="6BA8E0DD" w14:textId="77777777">
        <w:trPr>
          <w:trHeight w:val="587"/>
        </w:trPr>
        <w:tc>
          <w:tcPr>
            <w:tcW w:w="4602" w:type="dxa"/>
            <w:vMerge w:val="restart"/>
            <w:tcBorders>
              <w:top w:val="single" w:sz="4" w:space="0" w:color="000000"/>
              <w:left w:val="single" w:sz="4" w:space="0" w:color="000000"/>
              <w:bottom w:val="single" w:sz="4" w:space="0" w:color="000000"/>
              <w:right w:val="single" w:sz="4" w:space="0" w:color="000000"/>
            </w:tcBorders>
          </w:tcPr>
          <w:p w14:paraId="2CA10467" w14:textId="77777777" w:rsidR="00D3344B" w:rsidRDefault="00143C25">
            <w:pPr>
              <w:spacing w:after="0" w:line="259" w:lineRule="auto"/>
              <w:rPr>
                <w:rFonts w:ascii="Arial" w:hAnsi="Arial" w:cs="Arial"/>
              </w:rPr>
            </w:pPr>
            <w:r>
              <w:rPr>
                <w:rFonts w:ascii="Arial" w:hAnsi="Arial" w:cs="Arial"/>
              </w:rPr>
              <w:t xml:space="preserve">Lavado de autos </w:t>
            </w:r>
          </w:p>
        </w:tc>
        <w:tc>
          <w:tcPr>
            <w:tcW w:w="2411" w:type="dxa"/>
            <w:tcBorders>
              <w:top w:val="single" w:sz="4" w:space="0" w:color="000000"/>
              <w:left w:val="single" w:sz="4" w:space="0" w:color="000000"/>
              <w:bottom w:val="single" w:sz="4" w:space="0" w:color="000000"/>
              <w:right w:val="single" w:sz="4" w:space="0" w:color="000000"/>
            </w:tcBorders>
          </w:tcPr>
          <w:p w14:paraId="3832BB16" w14:textId="77777777" w:rsidR="00D3344B" w:rsidRDefault="00143C25">
            <w:pPr>
              <w:spacing w:after="0" w:line="259" w:lineRule="auto"/>
              <w:ind w:right="50"/>
              <w:jc w:val="center"/>
              <w:rPr>
                <w:rFonts w:ascii="Arial" w:hAnsi="Arial" w:cs="Arial"/>
              </w:rPr>
            </w:pPr>
            <w:r>
              <w:rPr>
                <w:rFonts w:ascii="Arial" w:hAnsi="Arial" w:cs="Arial"/>
              </w:rPr>
              <w:t>Menor a 20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0D400267" w14:textId="77777777" w:rsidR="00D3344B" w:rsidRDefault="00143C25">
            <w:pPr>
              <w:spacing w:after="0" w:line="259" w:lineRule="auto"/>
              <w:ind w:right="51"/>
              <w:jc w:val="center"/>
              <w:rPr>
                <w:rFonts w:ascii="Arial" w:hAnsi="Arial" w:cs="Arial"/>
              </w:rPr>
            </w:pPr>
            <w:r>
              <w:rPr>
                <w:rFonts w:ascii="Arial" w:hAnsi="Arial" w:cs="Arial"/>
                <w:b/>
              </w:rPr>
              <w:t xml:space="preserve">3  </w:t>
            </w:r>
          </w:p>
        </w:tc>
      </w:tr>
      <w:tr w:rsidR="00D3344B" w14:paraId="4AC3C91A" w14:textId="77777777">
        <w:trPr>
          <w:trHeight w:val="564"/>
        </w:trPr>
        <w:tc>
          <w:tcPr>
            <w:tcW w:w="4602" w:type="dxa"/>
            <w:vMerge/>
            <w:tcBorders>
              <w:left w:val="single" w:sz="4" w:space="0" w:color="000000"/>
              <w:right w:val="single" w:sz="4" w:space="0" w:color="000000"/>
            </w:tcBorders>
          </w:tcPr>
          <w:p w14:paraId="48C76802"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24EDF9F5" w14:textId="77777777" w:rsidR="00D3344B" w:rsidRDefault="00143C25">
            <w:pPr>
              <w:spacing w:after="0" w:line="259" w:lineRule="auto"/>
              <w:ind w:right="51"/>
              <w:jc w:val="center"/>
              <w:rPr>
                <w:rFonts w:ascii="Arial" w:hAnsi="Arial" w:cs="Arial"/>
              </w:rPr>
            </w:pPr>
            <w:r>
              <w:rPr>
                <w:rFonts w:ascii="Arial" w:hAnsi="Arial" w:cs="Arial"/>
              </w:rPr>
              <w:t>21 - 50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589AEEB0" w14:textId="77777777" w:rsidR="00D3344B" w:rsidRDefault="00143C25">
            <w:pPr>
              <w:spacing w:after="0" w:line="259" w:lineRule="auto"/>
              <w:ind w:right="51"/>
              <w:jc w:val="center"/>
              <w:rPr>
                <w:rFonts w:ascii="Arial" w:hAnsi="Arial" w:cs="Arial"/>
              </w:rPr>
            </w:pPr>
            <w:r>
              <w:rPr>
                <w:rFonts w:ascii="Arial" w:hAnsi="Arial" w:cs="Arial"/>
                <w:b/>
              </w:rPr>
              <w:t xml:space="preserve">5 </w:t>
            </w:r>
          </w:p>
        </w:tc>
      </w:tr>
      <w:tr w:rsidR="00D3344B" w14:paraId="2A8C3BE3" w14:textId="77777777">
        <w:trPr>
          <w:trHeight w:val="580"/>
        </w:trPr>
        <w:tc>
          <w:tcPr>
            <w:tcW w:w="4602" w:type="dxa"/>
            <w:vMerge/>
            <w:tcBorders>
              <w:left w:val="single" w:sz="4" w:space="0" w:color="000000"/>
              <w:right w:val="single" w:sz="4" w:space="0" w:color="000000"/>
            </w:tcBorders>
          </w:tcPr>
          <w:p w14:paraId="5406CB40"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23B04A2B" w14:textId="77777777" w:rsidR="00D3344B" w:rsidRDefault="00143C25">
            <w:pPr>
              <w:spacing w:after="0" w:line="259" w:lineRule="auto"/>
              <w:ind w:right="49"/>
              <w:jc w:val="center"/>
              <w:rPr>
                <w:rFonts w:ascii="Arial" w:hAnsi="Arial" w:cs="Arial"/>
              </w:rPr>
            </w:pPr>
            <w:r>
              <w:rPr>
                <w:rFonts w:ascii="Arial" w:hAnsi="Arial" w:cs="Arial"/>
              </w:rPr>
              <w:t>51 - 100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3D1A0706" w14:textId="77777777" w:rsidR="00D3344B" w:rsidRDefault="00143C25">
            <w:pPr>
              <w:spacing w:after="0" w:line="259" w:lineRule="auto"/>
              <w:ind w:right="52"/>
              <w:jc w:val="center"/>
              <w:rPr>
                <w:rFonts w:ascii="Arial" w:hAnsi="Arial" w:cs="Arial"/>
              </w:rPr>
            </w:pPr>
            <w:r>
              <w:rPr>
                <w:rFonts w:ascii="Arial" w:hAnsi="Arial" w:cs="Arial"/>
                <w:b/>
              </w:rPr>
              <w:t xml:space="preserve">7.5  </w:t>
            </w:r>
          </w:p>
        </w:tc>
      </w:tr>
      <w:tr w:rsidR="00D3344B" w14:paraId="6F42A03D" w14:textId="77777777">
        <w:trPr>
          <w:trHeight w:val="571"/>
        </w:trPr>
        <w:tc>
          <w:tcPr>
            <w:tcW w:w="4602" w:type="dxa"/>
            <w:vMerge/>
            <w:tcBorders>
              <w:left w:val="single" w:sz="4" w:space="0" w:color="000000"/>
              <w:bottom w:val="single" w:sz="4" w:space="0" w:color="000000"/>
              <w:right w:val="single" w:sz="4" w:space="0" w:color="000000"/>
            </w:tcBorders>
          </w:tcPr>
          <w:p w14:paraId="60E22A9C"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5F8996E2" w14:textId="77777777" w:rsidR="00D3344B" w:rsidRDefault="00143C25">
            <w:pPr>
              <w:spacing w:after="0" w:line="259" w:lineRule="auto"/>
              <w:ind w:right="50"/>
              <w:jc w:val="center"/>
              <w:rPr>
                <w:rFonts w:ascii="Arial" w:hAnsi="Arial" w:cs="Arial"/>
              </w:rPr>
            </w:pPr>
            <w:r>
              <w:rPr>
                <w:rFonts w:ascii="Arial" w:hAnsi="Arial" w:cs="Arial"/>
              </w:rPr>
              <w:t>Mayor a 100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3C6E51BD" w14:textId="77777777" w:rsidR="00D3344B" w:rsidRDefault="00143C25">
            <w:pPr>
              <w:spacing w:after="0" w:line="259" w:lineRule="auto"/>
              <w:ind w:right="52"/>
              <w:jc w:val="center"/>
              <w:rPr>
                <w:rFonts w:ascii="Arial" w:hAnsi="Arial" w:cs="Arial"/>
              </w:rPr>
            </w:pPr>
            <w:r>
              <w:rPr>
                <w:rFonts w:ascii="Arial" w:hAnsi="Arial" w:cs="Arial"/>
                <w:b/>
              </w:rPr>
              <w:t xml:space="preserve">9.5  </w:t>
            </w:r>
          </w:p>
        </w:tc>
      </w:tr>
      <w:tr w:rsidR="00D3344B" w14:paraId="0601D769" w14:textId="77777777">
        <w:trPr>
          <w:trHeight w:val="566"/>
        </w:trPr>
        <w:tc>
          <w:tcPr>
            <w:tcW w:w="4602" w:type="dxa"/>
            <w:vMerge w:val="restart"/>
            <w:tcBorders>
              <w:top w:val="single" w:sz="4" w:space="0" w:color="000000"/>
              <w:left w:val="single" w:sz="4" w:space="0" w:color="000000"/>
              <w:bottom w:val="single" w:sz="4" w:space="0" w:color="000000"/>
              <w:right w:val="single" w:sz="4" w:space="0" w:color="000000"/>
            </w:tcBorders>
          </w:tcPr>
          <w:p w14:paraId="6A0A4988" w14:textId="77777777" w:rsidR="00D3344B" w:rsidRDefault="00143C25">
            <w:pPr>
              <w:spacing w:after="0" w:line="259" w:lineRule="auto"/>
              <w:rPr>
                <w:rFonts w:ascii="Arial" w:hAnsi="Arial" w:cs="Arial"/>
              </w:rPr>
            </w:pPr>
            <w:r>
              <w:rPr>
                <w:rFonts w:ascii="Arial" w:hAnsi="Arial" w:cs="Arial"/>
              </w:rPr>
              <w:t xml:space="preserve">Establecimientos comerciales o empresas de servicios </w:t>
            </w:r>
          </w:p>
        </w:tc>
        <w:tc>
          <w:tcPr>
            <w:tcW w:w="2411" w:type="dxa"/>
            <w:tcBorders>
              <w:top w:val="single" w:sz="4" w:space="0" w:color="000000"/>
              <w:left w:val="single" w:sz="4" w:space="0" w:color="000000"/>
              <w:bottom w:val="single" w:sz="4" w:space="0" w:color="000000"/>
              <w:right w:val="single" w:sz="4" w:space="0" w:color="000000"/>
            </w:tcBorders>
          </w:tcPr>
          <w:p w14:paraId="27B3CC89" w14:textId="77777777" w:rsidR="00D3344B" w:rsidRDefault="00143C25">
            <w:pPr>
              <w:spacing w:after="0" w:line="259" w:lineRule="auto"/>
              <w:ind w:right="50"/>
              <w:jc w:val="center"/>
              <w:rPr>
                <w:rFonts w:ascii="Arial" w:hAnsi="Arial" w:cs="Arial"/>
              </w:rPr>
            </w:pPr>
            <w:r>
              <w:rPr>
                <w:rFonts w:ascii="Arial" w:hAnsi="Arial" w:cs="Arial"/>
              </w:rPr>
              <w:t>Menor a 20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37BA6D5A" w14:textId="77777777" w:rsidR="00D3344B" w:rsidRDefault="00143C25">
            <w:pPr>
              <w:spacing w:after="0" w:line="259" w:lineRule="auto"/>
              <w:ind w:right="51"/>
              <w:jc w:val="center"/>
              <w:rPr>
                <w:rFonts w:ascii="Arial" w:hAnsi="Arial" w:cs="Arial"/>
              </w:rPr>
            </w:pPr>
            <w:r>
              <w:rPr>
                <w:rFonts w:ascii="Arial" w:hAnsi="Arial" w:cs="Arial"/>
                <w:b/>
              </w:rPr>
              <w:t xml:space="preserve">2  </w:t>
            </w:r>
          </w:p>
        </w:tc>
      </w:tr>
      <w:tr w:rsidR="00D3344B" w14:paraId="069A17BC" w14:textId="77777777">
        <w:trPr>
          <w:trHeight w:val="574"/>
        </w:trPr>
        <w:tc>
          <w:tcPr>
            <w:tcW w:w="4602" w:type="dxa"/>
            <w:vMerge/>
            <w:tcBorders>
              <w:left w:val="single" w:sz="4" w:space="0" w:color="000000"/>
              <w:right w:val="single" w:sz="4" w:space="0" w:color="000000"/>
            </w:tcBorders>
          </w:tcPr>
          <w:p w14:paraId="0FB19616"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2AD793A6" w14:textId="77777777" w:rsidR="00D3344B" w:rsidRDefault="00143C25">
            <w:pPr>
              <w:spacing w:after="0" w:line="259" w:lineRule="auto"/>
              <w:ind w:right="51"/>
              <w:jc w:val="center"/>
              <w:rPr>
                <w:rFonts w:ascii="Arial" w:hAnsi="Arial" w:cs="Arial"/>
              </w:rPr>
            </w:pPr>
            <w:r>
              <w:rPr>
                <w:rFonts w:ascii="Arial" w:hAnsi="Arial" w:cs="Arial"/>
              </w:rPr>
              <w:t>21 - 50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2B480FFD" w14:textId="77777777" w:rsidR="00D3344B" w:rsidRDefault="00143C25">
            <w:pPr>
              <w:spacing w:after="0" w:line="259" w:lineRule="auto"/>
              <w:ind w:right="51"/>
              <w:jc w:val="center"/>
              <w:rPr>
                <w:rFonts w:ascii="Arial" w:hAnsi="Arial" w:cs="Arial"/>
              </w:rPr>
            </w:pPr>
            <w:r>
              <w:rPr>
                <w:rFonts w:ascii="Arial" w:hAnsi="Arial" w:cs="Arial"/>
                <w:b/>
              </w:rPr>
              <w:t xml:space="preserve">4  </w:t>
            </w:r>
          </w:p>
        </w:tc>
      </w:tr>
      <w:tr w:rsidR="00D3344B" w14:paraId="1025F6B0" w14:textId="77777777">
        <w:trPr>
          <w:trHeight w:val="554"/>
        </w:trPr>
        <w:tc>
          <w:tcPr>
            <w:tcW w:w="4602" w:type="dxa"/>
            <w:vMerge/>
            <w:tcBorders>
              <w:left w:val="single" w:sz="4" w:space="0" w:color="000000"/>
              <w:right w:val="single" w:sz="4" w:space="0" w:color="000000"/>
            </w:tcBorders>
          </w:tcPr>
          <w:p w14:paraId="608D2AF6"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22B60AE4" w14:textId="77777777" w:rsidR="00D3344B" w:rsidRDefault="00143C25">
            <w:pPr>
              <w:spacing w:after="0" w:line="259" w:lineRule="auto"/>
              <w:ind w:right="49"/>
              <w:jc w:val="center"/>
              <w:rPr>
                <w:rFonts w:ascii="Arial" w:hAnsi="Arial" w:cs="Arial"/>
              </w:rPr>
            </w:pPr>
            <w:r>
              <w:rPr>
                <w:rFonts w:ascii="Arial" w:hAnsi="Arial" w:cs="Arial"/>
              </w:rPr>
              <w:t>51 - 100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3CCC9968" w14:textId="77777777" w:rsidR="00D3344B" w:rsidRDefault="00143C25">
            <w:pPr>
              <w:spacing w:after="0" w:line="259" w:lineRule="auto"/>
              <w:ind w:right="49"/>
              <w:jc w:val="center"/>
              <w:rPr>
                <w:rFonts w:ascii="Arial" w:hAnsi="Arial" w:cs="Arial"/>
              </w:rPr>
            </w:pPr>
            <w:r>
              <w:rPr>
                <w:rFonts w:ascii="Arial" w:hAnsi="Arial" w:cs="Arial"/>
                <w:b/>
              </w:rPr>
              <w:t xml:space="preserve">7.5 </w:t>
            </w:r>
          </w:p>
        </w:tc>
      </w:tr>
      <w:tr w:rsidR="00D3344B" w14:paraId="15BD92E0" w14:textId="77777777">
        <w:trPr>
          <w:trHeight w:val="424"/>
        </w:trPr>
        <w:tc>
          <w:tcPr>
            <w:tcW w:w="4602" w:type="dxa"/>
            <w:vMerge/>
            <w:tcBorders>
              <w:left w:val="single" w:sz="4" w:space="0" w:color="000000"/>
              <w:bottom w:val="single" w:sz="4" w:space="0" w:color="000000"/>
              <w:right w:val="single" w:sz="4" w:space="0" w:color="000000"/>
            </w:tcBorders>
          </w:tcPr>
          <w:p w14:paraId="1B75717E"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038FA10E" w14:textId="77777777" w:rsidR="00D3344B" w:rsidRDefault="00143C25">
            <w:pPr>
              <w:spacing w:after="0" w:line="259" w:lineRule="auto"/>
              <w:ind w:right="50"/>
              <w:jc w:val="center"/>
              <w:rPr>
                <w:rFonts w:ascii="Arial" w:hAnsi="Arial" w:cs="Arial"/>
              </w:rPr>
            </w:pPr>
            <w:r>
              <w:rPr>
                <w:rFonts w:ascii="Arial" w:hAnsi="Arial" w:cs="Arial"/>
              </w:rPr>
              <w:t>Mayor a 100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382244FE" w14:textId="77777777" w:rsidR="00D3344B" w:rsidRDefault="00143C25">
            <w:pPr>
              <w:spacing w:after="0" w:line="259" w:lineRule="auto"/>
              <w:ind w:right="52"/>
              <w:jc w:val="center"/>
              <w:rPr>
                <w:rFonts w:ascii="Arial" w:hAnsi="Arial" w:cs="Arial"/>
              </w:rPr>
            </w:pPr>
            <w:r>
              <w:rPr>
                <w:rFonts w:ascii="Arial" w:hAnsi="Arial" w:cs="Arial"/>
                <w:b/>
              </w:rPr>
              <w:t xml:space="preserve">10.5  </w:t>
            </w:r>
          </w:p>
        </w:tc>
      </w:tr>
      <w:tr w:rsidR="00D3344B" w14:paraId="52A1DE06" w14:textId="77777777">
        <w:trPr>
          <w:trHeight w:val="556"/>
        </w:trPr>
        <w:tc>
          <w:tcPr>
            <w:tcW w:w="4602" w:type="dxa"/>
            <w:vMerge w:val="restart"/>
            <w:tcBorders>
              <w:top w:val="single" w:sz="4" w:space="0" w:color="000000"/>
              <w:left w:val="single" w:sz="4" w:space="0" w:color="000000"/>
              <w:bottom w:val="single" w:sz="4" w:space="0" w:color="000000"/>
              <w:right w:val="single" w:sz="4" w:space="0" w:color="000000"/>
            </w:tcBorders>
          </w:tcPr>
          <w:p w14:paraId="24B8639C" w14:textId="77777777" w:rsidR="00D3344B" w:rsidRDefault="00143C25">
            <w:pPr>
              <w:spacing w:after="0" w:line="259" w:lineRule="auto"/>
              <w:ind w:right="56"/>
              <w:rPr>
                <w:rFonts w:ascii="Arial" w:hAnsi="Arial" w:cs="Arial"/>
              </w:rPr>
            </w:pPr>
            <w:r>
              <w:rPr>
                <w:rFonts w:ascii="Arial" w:hAnsi="Arial" w:cs="Arial"/>
              </w:rPr>
              <w:t xml:space="preserve">Industrias o empresas que no ocupan agua en sus procesos productivos y que generan agua residual por otros usos. </w:t>
            </w:r>
          </w:p>
        </w:tc>
        <w:tc>
          <w:tcPr>
            <w:tcW w:w="2411" w:type="dxa"/>
            <w:tcBorders>
              <w:top w:val="single" w:sz="4" w:space="0" w:color="000000"/>
              <w:left w:val="single" w:sz="4" w:space="0" w:color="000000"/>
              <w:bottom w:val="single" w:sz="4" w:space="0" w:color="000000"/>
              <w:right w:val="single" w:sz="4" w:space="0" w:color="000000"/>
            </w:tcBorders>
          </w:tcPr>
          <w:p w14:paraId="50D20F0B" w14:textId="77777777" w:rsidR="00D3344B" w:rsidRDefault="00143C25">
            <w:pPr>
              <w:spacing w:after="0" w:line="259" w:lineRule="auto"/>
              <w:ind w:right="50"/>
              <w:jc w:val="center"/>
              <w:rPr>
                <w:rFonts w:ascii="Arial" w:hAnsi="Arial" w:cs="Arial"/>
              </w:rPr>
            </w:pPr>
            <w:r>
              <w:rPr>
                <w:rFonts w:ascii="Arial" w:hAnsi="Arial" w:cs="Arial"/>
              </w:rPr>
              <w:t>Menor a 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2597FBC1" w14:textId="77777777" w:rsidR="00D3344B" w:rsidRDefault="00143C25">
            <w:pPr>
              <w:spacing w:after="0" w:line="259" w:lineRule="auto"/>
              <w:ind w:right="49"/>
              <w:jc w:val="center"/>
              <w:rPr>
                <w:rFonts w:ascii="Arial" w:hAnsi="Arial" w:cs="Arial"/>
              </w:rPr>
            </w:pPr>
            <w:r>
              <w:rPr>
                <w:rFonts w:ascii="Arial" w:hAnsi="Arial" w:cs="Arial"/>
                <w:b/>
              </w:rPr>
              <w:t xml:space="preserve">7.5 </w:t>
            </w:r>
          </w:p>
        </w:tc>
      </w:tr>
      <w:tr w:rsidR="00D3344B" w14:paraId="4C5A0723" w14:textId="77777777">
        <w:trPr>
          <w:trHeight w:val="578"/>
        </w:trPr>
        <w:tc>
          <w:tcPr>
            <w:tcW w:w="4602" w:type="dxa"/>
            <w:vMerge/>
            <w:tcBorders>
              <w:left w:val="single" w:sz="4" w:space="0" w:color="000000"/>
              <w:right w:val="single" w:sz="4" w:space="0" w:color="000000"/>
            </w:tcBorders>
          </w:tcPr>
          <w:p w14:paraId="26CF6DE3"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7EB771E8" w14:textId="77777777" w:rsidR="00D3344B" w:rsidRDefault="00143C25">
            <w:pPr>
              <w:spacing w:after="0" w:line="259" w:lineRule="auto"/>
              <w:ind w:right="49"/>
              <w:jc w:val="center"/>
              <w:rPr>
                <w:rFonts w:ascii="Arial" w:hAnsi="Arial" w:cs="Arial"/>
              </w:rPr>
            </w:pPr>
            <w:r>
              <w:rPr>
                <w:rFonts w:ascii="Arial" w:hAnsi="Arial" w:cs="Arial"/>
              </w:rPr>
              <w:t>51 - 100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5E99C651" w14:textId="77777777" w:rsidR="00D3344B" w:rsidRDefault="00143C25">
            <w:pPr>
              <w:spacing w:after="0" w:line="259" w:lineRule="auto"/>
              <w:ind w:right="50"/>
              <w:jc w:val="center"/>
              <w:rPr>
                <w:rFonts w:ascii="Arial" w:hAnsi="Arial" w:cs="Arial"/>
              </w:rPr>
            </w:pPr>
            <w:r>
              <w:rPr>
                <w:rFonts w:ascii="Arial" w:hAnsi="Arial" w:cs="Arial"/>
                <w:b/>
              </w:rPr>
              <w:t xml:space="preserve">10.5 </w:t>
            </w:r>
          </w:p>
        </w:tc>
      </w:tr>
      <w:tr w:rsidR="00D3344B" w14:paraId="2F9EB27B" w14:textId="77777777">
        <w:trPr>
          <w:trHeight w:val="571"/>
        </w:trPr>
        <w:tc>
          <w:tcPr>
            <w:tcW w:w="4602" w:type="dxa"/>
            <w:vMerge/>
            <w:tcBorders>
              <w:left w:val="single" w:sz="4" w:space="0" w:color="000000"/>
              <w:right w:val="single" w:sz="4" w:space="0" w:color="000000"/>
            </w:tcBorders>
          </w:tcPr>
          <w:p w14:paraId="34D0B144"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452D5897" w14:textId="77777777" w:rsidR="00D3344B" w:rsidRDefault="00143C25">
            <w:pPr>
              <w:spacing w:after="0" w:line="259" w:lineRule="auto"/>
              <w:ind w:right="51"/>
              <w:jc w:val="center"/>
              <w:rPr>
                <w:rFonts w:ascii="Arial" w:hAnsi="Arial" w:cs="Arial"/>
              </w:rPr>
            </w:pPr>
            <w:r>
              <w:rPr>
                <w:rFonts w:ascii="Arial" w:hAnsi="Arial" w:cs="Arial"/>
              </w:rPr>
              <w:t>101 - 150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77AC7F5B" w14:textId="77777777" w:rsidR="00D3344B" w:rsidRDefault="00143C25">
            <w:pPr>
              <w:spacing w:after="0" w:line="259" w:lineRule="auto"/>
              <w:ind w:right="50"/>
              <w:jc w:val="center"/>
              <w:rPr>
                <w:rFonts w:ascii="Arial" w:hAnsi="Arial" w:cs="Arial"/>
              </w:rPr>
            </w:pPr>
            <w:r>
              <w:rPr>
                <w:rFonts w:ascii="Arial" w:hAnsi="Arial" w:cs="Arial"/>
                <w:b/>
              </w:rPr>
              <w:t xml:space="preserve">12.5 </w:t>
            </w:r>
          </w:p>
        </w:tc>
      </w:tr>
      <w:tr w:rsidR="00D3344B" w14:paraId="420D1700" w14:textId="77777777">
        <w:trPr>
          <w:trHeight w:val="567"/>
        </w:trPr>
        <w:tc>
          <w:tcPr>
            <w:tcW w:w="4602" w:type="dxa"/>
            <w:vMerge/>
            <w:tcBorders>
              <w:left w:val="single" w:sz="4" w:space="0" w:color="000000"/>
              <w:right w:val="single" w:sz="4" w:space="0" w:color="000000"/>
            </w:tcBorders>
          </w:tcPr>
          <w:p w14:paraId="7631EC3A"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74405B36" w14:textId="77777777" w:rsidR="00D3344B" w:rsidRDefault="00143C25">
            <w:pPr>
              <w:spacing w:after="0" w:line="259" w:lineRule="auto"/>
              <w:ind w:right="51"/>
              <w:jc w:val="center"/>
              <w:rPr>
                <w:rFonts w:ascii="Arial" w:hAnsi="Arial" w:cs="Arial"/>
              </w:rPr>
            </w:pPr>
            <w:r>
              <w:rPr>
                <w:rFonts w:ascii="Arial" w:hAnsi="Arial" w:cs="Arial"/>
              </w:rPr>
              <w:t>151 - 200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63F8276B" w14:textId="77777777" w:rsidR="00D3344B" w:rsidRDefault="00143C25">
            <w:pPr>
              <w:spacing w:after="0" w:line="259" w:lineRule="auto"/>
              <w:ind w:right="49"/>
              <w:jc w:val="center"/>
              <w:rPr>
                <w:rFonts w:ascii="Arial" w:hAnsi="Arial" w:cs="Arial"/>
              </w:rPr>
            </w:pPr>
            <w:r>
              <w:rPr>
                <w:rFonts w:ascii="Arial" w:hAnsi="Arial" w:cs="Arial"/>
                <w:b/>
              </w:rPr>
              <w:t xml:space="preserve">16 </w:t>
            </w:r>
          </w:p>
        </w:tc>
      </w:tr>
      <w:tr w:rsidR="00D3344B" w14:paraId="25290C0B" w14:textId="77777777">
        <w:trPr>
          <w:trHeight w:val="560"/>
        </w:trPr>
        <w:tc>
          <w:tcPr>
            <w:tcW w:w="4602" w:type="dxa"/>
            <w:vMerge/>
            <w:tcBorders>
              <w:left w:val="single" w:sz="4" w:space="0" w:color="000000"/>
              <w:right w:val="single" w:sz="4" w:space="0" w:color="000000"/>
            </w:tcBorders>
          </w:tcPr>
          <w:p w14:paraId="0B3840C2"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0818F938" w14:textId="77777777" w:rsidR="00D3344B" w:rsidRDefault="00143C25">
            <w:pPr>
              <w:spacing w:after="0" w:line="259" w:lineRule="auto"/>
              <w:ind w:right="51"/>
              <w:jc w:val="center"/>
              <w:rPr>
                <w:rFonts w:ascii="Arial" w:hAnsi="Arial" w:cs="Arial"/>
              </w:rPr>
            </w:pPr>
            <w:r>
              <w:rPr>
                <w:rFonts w:ascii="Arial" w:hAnsi="Arial" w:cs="Arial"/>
              </w:rPr>
              <w:t>201 - 250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411D894C" w14:textId="77777777" w:rsidR="00D3344B" w:rsidRDefault="00143C25">
            <w:pPr>
              <w:spacing w:after="0" w:line="259" w:lineRule="auto"/>
              <w:ind w:right="49"/>
              <w:jc w:val="center"/>
              <w:rPr>
                <w:rFonts w:ascii="Arial" w:hAnsi="Arial" w:cs="Arial"/>
              </w:rPr>
            </w:pPr>
            <w:r>
              <w:rPr>
                <w:rFonts w:ascii="Arial" w:hAnsi="Arial" w:cs="Arial"/>
                <w:b/>
              </w:rPr>
              <w:t xml:space="preserve">19 </w:t>
            </w:r>
          </w:p>
        </w:tc>
      </w:tr>
      <w:tr w:rsidR="00D3344B" w14:paraId="171742D2" w14:textId="77777777">
        <w:trPr>
          <w:trHeight w:val="568"/>
        </w:trPr>
        <w:tc>
          <w:tcPr>
            <w:tcW w:w="4602" w:type="dxa"/>
            <w:vMerge/>
            <w:tcBorders>
              <w:left w:val="single" w:sz="4" w:space="0" w:color="000000"/>
              <w:bottom w:val="single" w:sz="4" w:space="0" w:color="000000"/>
              <w:right w:val="single" w:sz="4" w:space="0" w:color="000000"/>
            </w:tcBorders>
          </w:tcPr>
          <w:p w14:paraId="32BFB6E6" w14:textId="77777777" w:rsidR="00D3344B" w:rsidRDefault="00D3344B">
            <w:pPr>
              <w:spacing w:after="160" w:line="259" w:lineRule="auto"/>
              <w:rPr>
                <w:rFonts w:ascii="Arial" w:hAnsi="Arial" w:cs="Arial"/>
              </w:rPr>
            </w:pPr>
          </w:p>
        </w:tc>
        <w:tc>
          <w:tcPr>
            <w:tcW w:w="2411" w:type="dxa"/>
            <w:tcBorders>
              <w:top w:val="single" w:sz="4" w:space="0" w:color="000000"/>
              <w:left w:val="single" w:sz="4" w:space="0" w:color="000000"/>
              <w:bottom w:val="single" w:sz="4" w:space="0" w:color="000000"/>
              <w:right w:val="single" w:sz="4" w:space="0" w:color="000000"/>
            </w:tcBorders>
          </w:tcPr>
          <w:p w14:paraId="7FD8522B" w14:textId="77777777" w:rsidR="00D3344B" w:rsidRDefault="00143C25">
            <w:pPr>
              <w:spacing w:after="0" w:line="259" w:lineRule="auto"/>
              <w:ind w:right="50"/>
              <w:jc w:val="center"/>
              <w:rPr>
                <w:rFonts w:ascii="Arial" w:hAnsi="Arial" w:cs="Arial"/>
              </w:rPr>
            </w:pPr>
            <w:r>
              <w:rPr>
                <w:rFonts w:ascii="Arial" w:hAnsi="Arial" w:cs="Arial"/>
              </w:rPr>
              <w:t>Mayor a 250 m</w:t>
            </w:r>
            <w:r>
              <w:rPr>
                <w:rFonts w:ascii="Arial" w:hAnsi="Arial" w:cs="Arial"/>
                <w:vertAlign w:val="superscript"/>
              </w:rPr>
              <w:t>3</w:t>
            </w:r>
            <w:r>
              <w:rPr>
                <w:rFonts w:ascii="Arial" w:hAnsi="Arial" w:cs="Arial"/>
              </w:rPr>
              <w:t xml:space="preserve">/mes </w:t>
            </w:r>
          </w:p>
        </w:tc>
        <w:tc>
          <w:tcPr>
            <w:tcW w:w="1954" w:type="dxa"/>
            <w:tcBorders>
              <w:top w:val="single" w:sz="4" w:space="0" w:color="000000"/>
              <w:left w:val="single" w:sz="4" w:space="0" w:color="000000"/>
              <w:bottom w:val="single" w:sz="4" w:space="0" w:color="000000"/>
              <w:right w:val="single" w:sz="4" w:space="0" w:color="000000"/>
            </w:tcBorders>
          </w:tcPr>
          <w:p w14:paraId="28D539CD" w14:textId="77777777" w:rsidR="00D3344B" w:rsidRDefault="00143C25">
            <w:pPr>
              <w:spacing w:after="0" w:line="259" w:lineRule="auto"/>
              <w:ind w:right="50"/>
              <w:jc w:val="center"/>
              <w:rPr>
                <w:rFonts w:ascii="Arial" w:hAnsi="Arial" w:cs="Arial"/>
              </w:rPr>
            </w:pPr>
            <w:r>
              <w:rPr>
                <w:rFonts w:ascii="Arial" w:hAnsi="Arial" w:cs="Arial"/>
                <w:b/>
              </w:rPr>
              <w:t xml:space="preserve">22.5 </w:t>
            </w:r>
          </w:p>
        </w:tc>
      </w:tr>
    </w:tbl>
    <w:p w14:paraId="726B217E" w14:textId="77777777" w:rsidR="00D3344B" w:rsidRDefault="00D3344B">
      <w:pPr>
        <w:pStyle w:val="Estilo"/>
        <w:rPr>
          <w:rFonts w:cs="Arial"/>
        </w:rPr>
      </w:pPr>
    </w:p>
    <w:p w14:paraId="12F0C940" w14:textId="77777777" w:rsidR="00D3344B" w:rsidRDefault="00143C25">
      <w:pPr>
        <w:pStyle w:val="Estilo"/>
        <w:rPr>
          <w:rFonts w:cs="Arial"/>
        </w:rPr>
      </w:pPr>
      <w:r>
        <w:rPr>
          <w:rFonts w:cs="Arial"/>
        </w:rPr>
        <w:t>3. Cuota fija mensual por tratamiento de agua residual de origen municipal, tendrá un costo de 1 UMA por 100 metros cúbicos generados, por ser de utilidad pública e interés social.</w:t>
      </w:r>
    </w:p>
    <w:p w14:paraId="3A655412" w14:textId="77777777" w:rsidR="00D3344B" w:rsidRDefault="00D3344B">
      <w:pPr>
        <w:pStyle w:val="Estilo"/>
        <w:rPr>
          <w:rFonts w:cs="Arial"/>
        </w:rPr>
      </w:pPr>
    </w:p>
    <w:p w14:paraId="5C571CBD" w14:textId="77777777" w:rsidR="00D3344B" w:rsidRDefault="00143C25">
      <w:pPr>
        <w:pStyle w:val="Estilo"/>
        <w:rPr>
          <w:rFonts w:cs="Arial"/>
        </w:rPr>
      </w:pPr>
      <w:r>
        <w:rPr>
          <w:rFonts w:cs="Arial"/>
        </w:rPr>
        <w:t>III. Expedición de copias certificadas</w:t>
      </w:r>
    </w:p>
    <w:p w14:paraId="14F67593" w14:textId="77777777" w:rsidR="00D3344B" w:rsidRDefault="00D3344B">
      <w:pPr>
        <w:pStyle w:val="Estilo"/>
        <w:rPr>
          <w:rFonts w:cs="Arial"/>
        </w:rPr>
      </w:pPr>
    </w:p>
    <w:p w14:paraId="4E0945FE" w14:textId="77777777" w:rsidR="00D3344B" w:rsidRDefault="00143C25">
      <w:pPr>
        <w:tabs>
          <w:tab w:val="center" w:pos="7516"/>
        </w:tabs>
        <w:spacing w:after="174"/>
        <w:ind w:left="-15"/>
        <w:rPr>
          <w:rFonts w:ascii="Arial" w:hAnsi="Arial" w:cs="Arial"/>
        </w:rPr>
      </w:pPr>
      <w:r>
        <w:rPr>
          <w:rFonts w:ascii="Arial" w:hAnsi="Arial" w:cs="Arial"/>
          <w:b/>
        </w:rPr>
        <w:t xml:space="preserve">a) </w:t>
      </w:r>
      <w:r>
        <w:rPr>
          <w:rFonts w:ascii="Arial" w:hAnsi="Arial" w:cs="Arial"/>
        </w:rPr>
        <w:t>Copias certificadas</w:t>
      </w:r>
      <w:r>
        <w:rPr>
          <w:rFonts w:ascii="Arial" w:hAnsi="Arial" w:cs="Arial"/>
          <w:b/>
        </w:rPr>
        <w:t xml:space="preserve"> </w:t>
      </w:r>
      <w:r>
        <w:rPr>
          <w:rFonts w:ascii="Arial" w:hAnsi="Arial" w:cs="Arial"/>
          <w:b/>
        </w:rPr>
        <w:tab/>
        <w:t xml:space="preserve">0.1 UMA </w:t>
      </w:r>
    </w:p>
    <w:p w14:paraId="54CF06F3" w14:textId="77777777" w:rsidR="00D3344B" w:rsidRDefault="00D3344B">
      <w:pPr>
        <w:pStyle w:val="Estilo"/>
        <w:rPr>
          <w:rFonts w:cs="Arial"/>
        </w:rPr>
      </w:pPr>
    </w:p>
    <w:p w14:paraId="254A84C7" w14:textId="77777777" w:rsidR="00D3344B" w:rsidRDefault="00143C25">
      <w:pPr>
        <w:pStyle w:val="Estilo"/>
        <w:rPr>
          <w:rFonts w:cs="Arial"/>
        </w:rPr>
      </w:pPr>
      <w:r>
        <w:rPr>
          <w:rFonts w:cs="Arial"/>
        </w:rPr>
        <w:t>IV. Cuota por limpieza y desazolve de colectores:</w:t>
      </w:r>
    </w:p>
    <w:p w14:paraId="36D47A5E" w14:textId="77777777" w:rsidR="00D3344B" w:rsidRDefault="00D3344B">
      <w:pPr>
        <w:pStyle w:val="Estilo"/>
        <w:rPr>
          <w:rFonts w:cs="Arial"/>
        </w:rPr>
      </w:pPr>
    </w:p>
    <w:p w14:paraId="10674B35" w14:textId="77777777" w:rsidR="00D3344B" w:rsidRDefault="00143C25">
      <w:pPr>
        <w:pStyle w:val="Estilo"/>
        <w:rPr>
          <w:rFonts w:cs="Arial"/>
          <w:i/>
          <w:iCs/>
          <w:sz w:val="16"/>
          <w:szCs w:val="16"/>
        </w:rPr>
      </w:pPr>
      <w:r>
        <w:rPr>
          <w:rFonts w:cs="Arial"/>
          <w:i/>
          <w:iCs/>
          <w:sz w:val="16"/>
          <w:szCs w:val="16"/>
        </w:rPr>
        <w:t>(REFORMADO, P.O. 29 DE NOVIEMBRE DE 2023)</w:t>
      </w:r>
    </w:p>
    <w:p w14:paraId="65BCE8AC" w14:textId="77777777" w:rsidR="00D3344B" w:rsidRDefault="00143C25">
      <w:pPr>
        <w:pStyle w:val="Estilo"/>
        <w:rPr>
          <w:rFonts w:cs="Arial"/>
        </w:rPr>
      </w:pPr>
      <w:r>
        <w:rPr>
          <w:rFonts w:cs="Arial"/>
        </w:rPr>
        <w:t>Cuando la Comisión Estatal del Agua y Saneamiento del Estado de Tlaxcala, en base a los estudios analizados compruebe la responsabilidad de los usuarios por taponamiento de los colectores, deberán realizar el pago por el concepto de desazolve y limpieza de estos siempre y cuando conduzcan el agua residual a cualquier sistema de tratamiento de acuerdo a la tabla siguiente:</w:t>
      </w:r>
    </w:p>
    <w:p w14:paraId="1B370613" w14:textId="77777777" w:rsidR="00D3344B" w:rsidRDefault="00D3344B">
      <w:pPr>
        <w:pStyle w:val="Estilo"/>
        <w:rPr>
          <w:rFonts w:cs="Arial"/>
        </w:rPr>
      </w:pPr>
    </w:p>
    <w:tbl>
      <w:tblPr>
        <w:tblStyle w:val="TableGrid"/>
        <w:tblW w:w="8999" w:type="dxa"/>
        <w:tblInd w:w="6" w:type="dxa"/>
        <w:tblLayout w:type="fixed"/>
        <w:tblCellMar>
          <w:top w:w="13" w:type="dxa"/>
          <w:left w:w="70" w:type="dxa"/>
          <w:right w:w="19" w:type="dxa"/>
        </w:tblCellMar>
        <w:tblLook w:val="04A0" w:firstRow="1" w:lastRow="0" w:firstColumn="1" w:lastColumn="0" w:noHBand="0" w:noVBand="1"/>
      </w:tblPr>
      <w:tblGrid>
        <w:gridCol w:w="5313"/>
        <w:gridCol w:w="1843"/>
        <w:gridCol w:w="1843"/>
      </w:tblGrid>
      <w:tr w:rsidR="00D3344B" w14:paraId="32EF5CF4" w14:textId="77777777">
        <w:trPr>
          <w:trHeight w:val="677"/>
        </w:trPr>
        <w:tc>
          <w:tcPr>
            <w:tcW w:w="5313" w:type="dxa"/>
            <w:tcBorders>
              <w:top w:val="single" w:sz="4" w:space="0" w:color="000000"/>
              <w:left w:val="single" w:sz="4" w:space="0" w:color="000000"/>
              <w:bottom w:val="single" w:sz="4" w:space="0" w:color="000000"/>
              <w:right w:val="single" w:sz="4" w:space="0" w:color="000000"/>
            </w:tcBorders>
            <w:shd w:val="clear" w:color="auto" w:fill="D9D9D9"/>
          </w:tcPr>
          <w:p w14:paraId="28F0B67C" w14:textId="77777777" w:rsidR="00D3344B" w:rsidRDefault="00143C25">
            <w:pPr>
              <w:spacing w:after="0" w:line="259" w:lineRule="auto"/>
              <w:ind w:right="2"/>
              <w:jc w:val="center"/>
              <w:rPr>
                <w:rFonts w:ascii="Arial" w:hAnsi="Arial" w:cs="Arial"/>
              </w:rPr>
            </w:pPr>
            <w:r>
              <w:rPr>
                <w:rFonts w:ascii="Arial" w:hAnsi="Arial" w:cs="Arial"/>
                <w:b/>
              </w:rPr>
              <w:t xml:space="preserve">CONCEPTO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359573A3" w14:textId="77777777" w:rsidR="00D3344B" w:rsidRDefault="00143C25">
            <w:pPr>
              <w:spacing w:after="0" w:line="259" w:lineRule="auto"/>
              <w:ind w:right="2"/>
              <w:jc w:val="center"/>
              <w:rPr>
                <w:rFonts w:ascii="Arial" w:hAnsi="Arial" w:cs="Arial"/>
              </w:rPr>
            </w:pPr>
            <w:r>
              <w:rPr>
                <w:rFonts w:ascii="Arial" w:hAnsi="Arial" w:cs="Arial"/>
                <w:b/>
              </w:rPr>
              <w:t xml:space="preserve">UNIDAD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4181FDB8" w14:textId="77777777" w:rsidR="00D3344B" w:rsidRDefault="00143C25">
            <w:pPr>
              <w:spacing w:after="0" w:line="259" w:lineRule="auto"/>
              <w:ind w:right="2"/>
              <w:jc w:val="center"/>
              <w:rPr>
                <w:rFonts w:ascii="Arial" w:hAnsi="Arial" w:cs="Arial"/>
              </w:rPr>
            </w:pPr>
            <w:r>
              <w:rPr>
                <w:rFonts w:ascii="Arial" w:hAnsi="Arial" w:cs="Arial"/>
                <w:b/>
              </w:rPr>
              <w:t xml:space="preserve">UMA </w:t>
            </w:r>
          </w:p>
        </w:tc>
      </w:tr>
      <w:tr w:rsidR="00D3344B" w14:paraId="628C25F0" w14:textId="77777777">
        <w:trPr>
          <w:trHeight w:val="835"/>
        </w:trPr>
        <w:tc>
          <w:tcPr>
            <w:tcW w:w="5313" w:type="dxa"/>
            <w:tcBorders>
              <w:top w:val="single" w:sz="4" w:space="0" w:color="000000"/>
              <w:left w:val="single" w:sz="4" w:space="0" w:color="000000"/>
              <w:bottom w:val="single" w:sz="4" w:space="0" w:color="000000"/>
              <w:right w:val="single" w:sz="4" w:space="0" w:color="000000"/>
            </w:tcBorders>
          </w:tcPr>
          <w:p w14:paraId="23CDBFB4" w14:textId="77777777" w:rsidR="00D3344B" w:rsidRDefault="00143C25">
            <w:pPr>
              <w:spacing w:after="138" w:line="259" w:lineRule="auto"/>
              <w:rPr>
                <w:rFonts w:ascii="Arial" w:hAnsi="Arial" w:cs="Arial"/>
              </w:rPr>
            </w:pPr>
            <w:r>
              <w:rPr>
                <w:rFonts w:ascii="Arial" w:hAnsi="Arial" w:cs="Arial"/>
              </w:rPr>
              <w:lastRenderedPageBreak/>
              <w:t xml:space="preserve">Retiro de taponamiento en el colector. </w:t>
            </w:r>
          </w:p>
          <w:p w14:paraId="274025AC" w14:textId="77777777" w:rsidR="00D3344B" w:rsidRDefault="00143C25">
            <w:pPr>
              <w:spacing w:after="0" w:line="259" w:lineRule="auto"/>
              <w:rPr>
                <w:rFonts w:ascii="Arial" w:hAnsi="Arial" w:cs="Arial"/>
              </w:rPr>
            </w:pPr>
            <w:r>
              <w:rPr>
                <w:rFonts w:ascii="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F203AF" w14:textId="77777777" w:rsidR="00D3344B" w:rsidRDefault="00143C25">
            <w:pPr>
              <w:spacing w:after="0" w:line="259" w:lineRule="auto"/>
              <w:ind w:right="53"/>
              <w:jc w:val="center"/>
              <w:rPr>
                <w:rFonts w:ascii="Arial" w:hAnsi="Arial" w:cs="Arial"/>
              </w:rPr>
            </w:pPr>
            <w:r>
              <w:rPr>
                <w:rFonts w:ascii="Arial" w:hAnsi="Arial" w:cs="Arial"/>
              </w:rPr>
              <w:t xml:space="preserve">Pieza </w:t>
            </w:r>
          </w:p>
        </w:tc>
        <w:tc>
          <w:tcPr>
            <w:tcW w:w="1843" w:type="dxa"/>
            <w:tcBorders>
              <w:top w:val="single" w:sz="4" w:space="0" w:color="000000"/>
              <w:left w:val="single" w:sz="4" w:space="0" w:color="000000"/>
              <w:bottom w:val="single" w:sz="4" w:space="0" w:color="000000"/>
              <w:right w:val="single" w:sz="4" w:space="0" w:color="000000"/>
            </w:tcBorders>
          </w:tcPr>
          <w:p w14:paraId="7984465C" w14:textId="77777777" w:rsidR="00D3344B" w:rsidRDefault="00143C25">
            <w:pPr>
              <w:spacing w:after="0" w:line="259" w:lineRule="auto"/>
              <w:ind w:right="53"/>
              <w:jc w:val="center"/>
              <w:rPr>
                <w:rFonts w:ascii="Arial" w:hAnsi="Arial" w:cs="Arial"/>
              </w:rPr>
            </w:pPr>
            <w:r>
              <w:rPr>
                <w:rFonts w:ascii="Arial" w:hAnsi="Arial" w:cs="Arial"/>
                <w:b/>
              </w:rPr>
              <w:t xml:space="preserve">19 UMA </w:t>
            </w:r>
          </w:p>
        </w:tc>
      </w:tr>
      <w:tr w:rsidR="00D3344B" w14:paraId="49201D94" w14:textId="77777777">
        <w:trPr>
          <w:trHeight w:val="1595"/>
        </w:trPr>
        <w:tc>
          <w:tcPr>
            <w:tcW w:w="5313" w:type="dxa"/>
            <w:tcBorders>
              <w:top w:val="single" w:sz="4" w:space="0" w:color="000000"/>
              <w:left w:val="single" w:sz="4" w:space="0" w:color="000000"/>
              <w:bottom w:val="single" w:sz="4" w:space="0" w:color="000000"/>
              <w:right w:val="single" w:sz="4" w:space="0" w:color="000000"/>
            </w:tcBorders>
          </w:tcPr>
          <w:p w14:paraId="35986565" w14:textId="77777777" w:rsidR="00D3344B" w:rsidRDefault="00143C25">
            <w:pPr>
              <w:spacing w:after="159" w:line="235" w:lineRule="auto"/>
              <w:ind w:right="55"/>
              <w:rPr>
                <w:rFonts w:ascii="Arial" w:hAnsi="Arial" w:cs="Arial"/>
              </w:rPr>
            </w:pPr>
            <w:r>
              <w:rPr>
                <w:rFonts w:ascii="Arial" w:hAnsi="Arial" w:cs="Arial"/>
              </w:rPr>
              <w:t xml:space="preserve">Desazolve y limpieza de tubería, incluye: afloje de material, acarreo dentro de la tubería (máximo 20 metros lineales), extracción y acarreo en camión. Diámetro de tubería de 90 centímetros o más.  </w:t>
            </w:r>
          </w:p>
          <w:p w14:paraId="32769B2D" w14:textId="77777777" w:rsidR="00D3344B" w:rsidRDefault="00143C25">
            <w:pPr>
              <w:spacing w:after="0" w:line="259" w:lineRule="auto"/>
              <w:rPr>
                <w:rFonts w:ascii="Arial" w:hAnsi="Arial" w:cs="Arial"/>
              </w:rPr>
            </w:pPr>
            <w:r>
              <w:rPr>
                <w:rFonts w:ascii="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2BCBC4" w14:textId="77777777" w:rsidR="00D3344B" w:rsidRDefault="00143C25">
            <w:pPr>
              <w:spacing w:after="0" w:line="259" w:lineRule="auto"/>
              <w:ind w:right="53"/>
              <w:jc w:val="center"/>
              <w:rPr>
                <w:rFonts w:ascii="Arial" w:hAnsi="Arial" w:cs="Arial"/>
              </w:rPr>
            </w:pPr>
            <w:r>
              <w:rPr>
                <w:rFonts w:ascii="Arial" w:hAnsi="Arial" w:cs="Arial"/>
              </w:rPr>
              <w:t xml:space="preserve">Metro cúbico </w:t>
            </w:r>
          </w:p>
        </w:tc>
        <w:tc>
          <w:tcPr>
            <w:tcW w:w="1843" w:type="dxa"/>
            <w:tcBorders>
              <w:top w:val="single" w:sz="4" w:space="0" w:color="000000"/>
              <w:left w:val="single" w:sz="4" w:space="0" w:color="000000"/>
              <w:bottom w:val="single" w:sz="4" w:space="0" w:color="000000"/>
              <w:right w:val="single" w:sz="4" w:space="0" w:color="000000"/>
            </w:tcBorders>
          </w:tcPr>
          <w:p w14:paraId="2A34DD72" w14:textId="77777777" w:rsidR="00D3344B" w:rsidRDefault="00143C25">
            <w:pPr>
              <w:spacing w:after="0" w:line="259" w:lineRule="auto"/>
              <w:ind w:right="53"/>
              <w:jc w:val="center"/>
              <w:rPr>
                <w:rFonts w:ascii="Arial" w:hAnsi="Arial" w:cs="Arial"/>
              </w:rPr>
            </w:pPr>
            <w:r>
              <w:rPr>
                <w:rFonts w:ascii="Arial" w:hAnsi="Arial" w:cs="Arial"/>
                <w:b/>
              </w:rPr>
              <w:t xml:space="preserve">16 UMA </w:t>
            </w:r>
          </w:p>
        </w:tc>
      </w:tr>
      <w:tr w:rsidR="00D3344B" w14:paraId="533BC359" w14:textId="77777777">
        <w:trPr>
          <w:trHeight w:val="1040"/>
        </w:trPr>
        <w:tc>
          <w:tcPr>
            <w:tcW w:w="5313" w:type="dxa"/>
            <w:tcBorders>
              <w:top w:val="single" w:sz="4" w:space="0" w:color="000000"/>
              <w:left w:val="single" w:sz="4" w:space="0" w:color="000000"/>
              <w:bottom w:val="single" w:sz="4" w:space="0" w:color="000000"/>
              <w:right w:val="single" w:sz="4" w:space="0" w:color="000000"/>
            </w:tcBorders>
          </w:tcPr>
          <w:p w14:paraId="701B9553" w14:textId="77777777" w:rsidR="00D3344B" w:rsidRDefault="00143C25">
            <w:pPr>
              <w:spacing w:after="0" w:line="259" w:lineRule="auto"/>
              <w:rPr>
                <w:rFonts w:ascii="Arial" w:hAnsi="Arial" w:cs="Arial"/>
              </w:rPr>
            </w:pPr>
            <w:r>
              <w:rPr>
                <w:rFonts w:ascii="Arial" w:hAnsi="Arial" w:cs="Arial"/>
              </w:rPr>
              <w:t xml:space="preserve">Por cada metro lineal adicional de desazolve y limpieza a que se refiere el párrafo anterior.  </w:t>
            </w:r>
          </w:p>
        </w:tc>
        <w:tc>
          <w:tcPr>
            <w:tcW w:w="1843" w:type="dxa"/>
            <w:tcBorders>
              <w:top w:val="single" w:sz="4" w:space="0" w:color="000000"/>
              <w:left w:val="single" w:sz="4" w:space="0" w:color="000000"/>
              <w:bottom w:val="single" w:sz="4" w:space="0" w:color="000000"/>
              <w:right w:val="single" w:sz="4" w:space="0" w:color="000000"/>
            </w:tcBorders>
          </w:tcPr>
          <w:p w14:paraId="6D3C73D5" w14:textId="77777777" w:rsidR="00D3344B" w:rsidRDefault="00143C25">
            <w:pPr>
              <w:spacing w:after="0" w:line="259" w:lineRule="auto"/>
              <w:ind w:right="53"/>
              <w:jc w:val="center"/>
              <w:rPr>
                <w:rFonts w:ascii="Arial" w:hAnsi="Arial" w:cs="Arial"/>
              </w:rPr>
            </w:pPr>
            <w:r>
              <w:rPr>
                <w:rFonts w:ascii="Arial" w:hAnsi="Arial" w:cs="Arial"/>
              </w:rPr>
              <w:t xml:space="preserve">Metro cúbico </w:t>
            </w:r>
          </w:p>
        </w:tc>
        <w:tc>
          <w:tcPr>
            <w:tcW w:w="1843" w:type="dxa"/>
            <w:tcBorders>
              <w:top w:val="single" w:sz="4" w:space="0" w:color="000000"/>
              <w:left w:val="single" w:sz="4" w:space="0" w:color="000000"/>
              <w:bottom w:val="single" w:sz="4" w:space="0" w:color="000000"/>
              <w:right w:val="single" w:sz="4" w:space="0" w:color="000000"/>
            </w:tcBorders>
          </w:tcPr>
          <w:p w14:paraId="433494C3" w14:textId="77777777" w:rsidR="00D3344B" w:rsidRDefault="00143C25">
            <w:pPr>
              <w:spacing w:after="0" w:line="259" w:lineRule="auto"/>
              <w:ind w:right="53"/>
              <w:jc w:val="center"/>
              <w:rPr>
                <w:rFonts w:ascii="Arial" w:hAnsi="Arial" w:cs="Arial"/>
              </w:rPr>
            </w:pPr>
            <w:r>
              <w:rPr>
                <w:rFonts w:ascii="Arial" w:hAnsi="Arial" w:cs="Arial"/>
                <w:b/>
              </w:rPr>
              <w:t xml:space="preserve">1 UMA </w:t>
            </w:r>
          </w:p>
        </w:tc>
      </w:tr>
    </w:tbl>
    <w:p w14:paraId="36C20440" w14:textId="77777777" w:rsidR="00D3344B" w:rsidRDefault="00D3344B">
      <w:pPr>
        <w:pStyle w:val="Estilo"/>
        <w:rPr>
          <w:rFonts w:cs="Arial"/>
        </w:rPr>
      </w:pPr>
    </w:p>
    <w:p w14:paraId="4C29D9B3" w14:textId="77777777" w:rsidR="00D3344B" w:rsidRDefault="00D3344B">
      <w:pPr>
        <w:pStyle w:val="Estilo"/>
        <w:rPr>
          <w:rFonts w:cs="Arial"/>
        </w:rPr>
      </w:pPr>
    </w:p>
    <w:p w14:paraId="7C9188AE" w14:textId="77777777" w:rsidR="00D3344B" w:rsidRDefault="00143C25">
      <w:pPr>
        <w:pStyle w:val="Estilo"/>
        <w:rPr>
          <w:rFonts w:cs="Arial"/>
        </w:rPr>
      </w:pPr>
      <w:r>
        <w:rPr>
          <w:rFonts w:cs="Arial"/>
        </w:rPr>
        <w:t>V. Las sanciones impuestas por infracciones a la normatividad se cobrarán de acuerdo a lo previsto por la Ley de Aguas del Estado de Tlaxcala y al Reglamento que de ella emane.</w:t>
      </w:r>
    </w:p>
    <w:p w14:paraId="7635878C" w14:textId="77777777" w:rsidR="00D3344B" w:rsidRDefault="00D3344B">
      <w:pPr>
        <w:pStyle w:val="Estilo"/>
        <w:rPr>
          <w:rFonts w:cs="Arial"/>
        </w:rPr>
      </w:pPr>
    </w:p>
    <w:p w14:paraId="7E9E0E4D" w14:textId="77777777" w:rsidR="00D3344B" w:rsidRDefault="00D3344B">
      <w:pPr>
        <w:pStyle w:val="Estilo"/>
        <w:rPr>
          <w:rFonts w:cs="Arial"/>
        </w:rPr>
      </w:pPr>
    </w:p>
    <w:p w14:paraId="10979756" w14:textId="77777777" w:rsidR="00D3344B" w:rsidRDefault="00143C25">
      <w:pPr>
        <w:pStyle w:val="Estilo"/>
        <w:rPr>
          <w:rFonts w:cs="Arial"/>
          <w:i/>
          <w:iCs/>
          <w:sz w:val="16"/>
          <w:szCs w:val="16"/>
        </w:rPr>
      </w:pPr>
      <w:r>
        <w:rPr>
          <w:rFonts w:cs="Arial"/>
          <w:i/>
          <w:iCs/>
          <w:sz w:val="16"/>
          <w:szCs w:val="16"/>
        </w:rPr>
        <w:t>(REFORMADA DENOMINACIÓN, P.O. 29 DE NOVIEMBRE DE 2023)</w:t>
      </w:r>
    </w:p>
    <w:p w14:paraId="22957F5B" w14:textId="77777777" w:rsidR="00D3344B" w:rsidRDefault="00143C25">
      <w:pPr>
        <w:pStyle w:val="Estilo"/>
        <w:rPr>
          <w:rFonts w:cs="Arial"/>
        </w:rPr>
      </w:pPr>
      <w:r>
        <w:rPr>
          <w:rFonts w:cs="Arial"/>
        </w:rPr>
        <w:t>Subsección Decimotercera</w:t>
      </w:r>
    </w:p>
    <w:p w14:paraId="5C4399FA" w14:textId="77777777" w:rsidR="00D3344B" w:rsidRDefault="00143C25">
      <w:pPr>
        <w:pStyle w:val="Estilo"/>
        <w:rPr>
          <w:rFonts w:cs="Arial"/>
        </w:rPr>
      </w:pPr>
      <w:r>
        <w:rPr>
          <w:rFonts w:cs="Arial"/>
        </w:rPr>
        <w:t>Derechos por los Servicios Prestados por la Secretaría de Impulso Agropecuario</w:t>
      </w:r>
    </w:p>
    <w:p w14:paraId="2876F672" w14:textId="77777777" w:rsidR="00D3344B" w:rsidRDefault="00D3344B">
      <w:pPr>
        <w:pStyle w:val="Estilo"/>
        <w:rPr>
          <w:rFonts w:cs="Arial"/>
        </w:rPr>
      </w:pPr>
    </w:p>
    <w:p w14:paraId="76D93918" w14:textId="77777777" w:rsidR="00D3344B" w:rsidRDefault="00143C25">
      <w:pPr>
        <w:pStyle w:val="Estilo"/>
        <w:rPr>
          <w:rFonts w:cs="Arial"/>
          <w:i/>
          <w:iCs/>
          <w:sz w:val="16"/>
          <w:szCs w:val="16"/>
        </w:rPr>
      </w:pPr>
      <w:r>
        <w:rPr>
          <w:rFonts w:cs="Arial"/>
          <w:i/>
          <w:iCs/>
          <w:sz w:val="16"/>
          <w:szCs w:val="16"/>
        </w:rPr>
        <w:t>(REFORMADO PRIMER PÁRRAFO, P.O. 29 DE NOVIEMBRE DE 2023)</w:t>
      </w:r>
    </w:p>
    <w:p w14:paraId="06704B14" w14:textId="77777777" w:rsidR="00D3344B" w:rsidRDefault="00143C25">
      <w:pPr>
        <w:pStyle w:val="Estilo"/>
        <w:rPr>
          <w:rFonts w:cs="Arial"/>
        </w:rPr>
      </w:pPr>
      <w:r>
        <w:rPr>
          <w:rFonts w:cs="Arial"/>
          <w:b/>
        </w:rPr>
        <w:t>Artículo 162-J.</w:t>
      </w:r>
      <w:r>
        <w:rPr>
          <w:rFonts w:cs="Arial"/>
        </w:rPr>
        <w:t xml:space="preserve"> </w:t>
      </w:r>
      <w:r>
        <w:t>Los</w:t>
      </w:r>
      <w:r>
        <w:rPr>
          <w:spacing w:val="26"/>
        </w:rPr>
        <w:t xml:space="preserve"> </w:t>
      </w:r>
      <w:r>
        <w:t>servicios prestados por la Secretaría</w:t>
      </w:r>
      <w:r>
        <w:rPr>
          <w:spacing w:val="29"/>
        </w:rPr>
        <w:t xml:space="preserve"> </w:t>
      </w:r>
      <w:r>
        <w:t>de Impulso Agropecuario causarán los</w:t>
      </w:r>
      <w:r>
        <w:rPr>
          <w:spacing w:val="40"/>
        </w:rPr>
        <w:t xml:space="preserve"> </w:t>
      </w:r>
      <w:r>
        <w:t>derechos siguientes:</w:t>
      </w:r>
    </w:p>
    <w:p w14:paraId="1CFCED66" w14:textId="77777777" w:rsidR="00D3344B" w:rsidRDefault="00D3344B">
      <w:pPr>
        <w:pStyle w:val="Estilo"/>
        <w:rPr>
          <w:rFonts w:cs="Arial"/>
        </w:rPr>
      </w:pPr>
    </w:p>
    <w:p w14:paraId="2E2C1F33" w14:textId="77777777" w:rsidR="00D3344B" w:rsidRDefault="00143C25">
      <w:pPr>
        <w:pStyle w:val="Estilo"/>
        <w:ind w:left="567" w:hanging="567"/>
        <w:rPr>
          <w:rFonts w:cs="Arial"/>
        </w:rPr>
      </w:pPr>
      <w:r>
        <w:rPr>
          <w:rFonts w:cs="Arial"/>
        </w:rPr>
        <w:t xml:space="preserve">I. </w:t>
      </w:r>
      <w:r>
        <w:rPr>
          <w:rFonts w:cs="Arial"/>
        </w:rPr>
        <w:tab/>
        <w:t>Servicios proporcionados a través de la Dirección de Ganadería:</w:t>
      </w:r>
    </w:p>
    <w:p w14:paraId="6DB5A365" w14:textId="77777777" w:rsidR="00D3344B" w:rsidRDefault="00D3344B">
      <w:pPr>
        <w:pStyle w:val="Estilo"/>
        <w:rPr>
          <w:rFonts w:cs="Arial"/>
        </w:rPr>
      </w:pPr>
    </w:p>
    <w:p w14:paraId="6C4A388C" w14:textId="77777777" w:rsidR="00D3344B" w:rsidRDefault="00143C25">
      <w:pPr>
        <w:pStyle w:val="Estilo"/>
        <w:ind w:left="567"/>
        <w:rPr>
          <w:rFonts w:cs="Arial"/>
        </w:rPr>
      </w:pPr>
      <w:r>
        <w:rPr>
          <w:rFonts w:cs="Arial"/>
        </w:rPr>
        <w:t>CONCEPTO</w:t>
      </w:r>
      <w:r>
        <w:rPr>
          <w:rFonts w:cs="Arial"/>
        </w:rPr>
        <w:tab/>
      </w:r>
      <w:r>
        <w:rPr>
          <w:rFonts w:cs="Arial"/>
        </w:rPr>
        <w:tab/>
      </w:r>
      <w:r>
        <w:rPr>
          <w:rFonts w:cs="Arial"/>
        </w:rPr>
        <w:tab/>
      </w:r>
      <w:r>
        <w:rPr>
          <w:rFonts w:cs="Arial"/>
        </w:rPr>
        <w:tab/>
      </w:r>
      <w:r>
        <w:rPr>
          <w:rFonts w:cs="Arial"/>
        </w:rPr>
        <w:tab/>
      </w:r>
      <w:r>
        <w:rPr>
          <w:rFonts w:cs="Arial"/>
        </w:rPr>
        <w:tab/>
        <w:t>DERECHOS CAUSADOS</w:t>
      </w:r>
    </w:p>
    <w:p w14:paraId="7668518F" w14:textId="77777777" w:rsidR="00D3344B" w:rsidRDefault="00D3344B">
      <w:pPr>
        <w:pStyle w:val="Estilo"/>
        <w:ind w:left="567"/>
        <w:rPr>
          <w:rFonts w:cs="Arial"/>
        </w:rPr>
      </w:pPr>
    </w:p>
    <w:p w14:paraId="1B0DE126" w14:textId="77777777" w:rsidR="00D3344B" w:rsidRDefault="00143C25">
      <w:pPr>
        <w:spacing w:after="270" w:line="259" w:lineRule="auto"/>
        <w:ind w:left="142"/>
        <w:rPr>
          <w:rFonts w:ascii="Arial" w:hAnsi="Arial" w:cs="Arial"/>
        </w:rPr>
      </w:pPr>
      <w:r>
        <w:rPr>
          <w:rFonts w:ascii="Arial" w:hAnsi="Arial" w:cs="Arial"/>
        </w:rPr>
        <w:t xml:space="preserve">a) Expedición de Guías de Tránsito para la movilización de animales.            </w:t>
      </w:r>
      <w:r>
        <w:rPr>
          <w:rFonts w:ascii="Arial" w:hAnsi="Arial" w:cs="Arial"/>
          <w:b/>
        </w:rPr>
        <w:t>0.5 UMA</w:t>
      </w:r>
      <w:r>
        <w:rPr>
          <w:rFonts w:ascii="Arial" w:hAnsi="Arial" w:cs="Arial"/>
        </w:rPr>
        <w:tab/>
      </w:r>
    </w:p>
    <w:p w14:paraId="7E832E91" w14:textId="77777777" w:rsidR="00D3344B" w:rsidRDefault="00143C25">
      <w:pPr>
        <w:pStyle w:val="Estilo"/>
        <w:rPr>
          <w:rFonts w:cs="Arial"/>
          <w:i/>
          <w:iCs/>
          <w:sz w:val="16"/>
          <w:szCs w:val="16"/>
        </w:rPr>
      </w:pPr>
      <w:r>
        <w:rPr>
          <w:rFonts w:cs="Arial"/>
          <w:i/>
          <w:iCs/>
          <w:sz w:val="16"/>
          <w:szCs w:val="16"/>
        </w:rPr>
        <w:t>(ADICIONADA SUBSECCIÓN Y ARTÍCULO, P.O. 29 DE NOVIEMBRE DE 2023)</w:t>
      </w:r>
    </w:p>
    <w:p w14:paraId="099E609F" w14:textId="77777777" w:rsidR="00D3344B" w:rsidRDefault="00143C25">
      <w:pPr>
        <w:spacing w:after="0"/>
        <w:rPr>
          <w:b/>
          <w:bCs/>
        </w:rPr>
      </w:pPr>
      <w:r>
        <w:rPr>
          <w:b/>
          <w:bCs/>
        </w:rPr>
        <w:t>Subsección</w:t>
      </w:r>
      <w:r>
        <w:rPr>
          <w:b/>
          <w:bCs/>
          <w:spacing w:val="-3"/>
        </w:rPr>
        <w:t xml:space="preserve"> </w:t>
      </w:r>
      <w:r>
        <w:rPr>
          <w:b/>
          <w:bCs/>
        </w:rPr>
        <w:t>Decimocuarta</w:t>
      </w:r>
    </w:p>
    <w:p w14:paraId="1BED75A0" w14:textId="77777777" w:rsidR="00D3344B" w:rsidRDefault="00143C25">
      <w:pPr>
        <w:spacing w:after="0"/>
        <w:rPr>
          <w:b/>
        </w:rPr>
      </w:pPr>
      <w:r>
        <w:rPr>
          <w:b/>
          <w:bCs/>
        </w:rPr>
        <w:t>Derechos</w:t>
      </w:r>
      <w:r>
        <w:rPr>
          <w:b/>
          <w:bCs/>
          <w:spacing w:val="-6"/>
        </w:rPr>
        <w:t xml:space="preserve"> </w:t>
      </w:r>
      <w:r>
        <w:rPr>
          <w:b/>
          <w:bCs/>
        </w:rPr>
        <w:t>por</w:t>
      </w:r>
      <w:r>
        <w:rPr>
          <w:b/>
          <w:bCs/>
          <w:spacing w:val="-5"/>
        </w:rPr>
        <w:t xml:space="preserve"> </w:t>
      </w:r>
      <w:r>
        <w:rPr>
          <w:b/>
          <w:bCs/>
        </w:rPr>
        <w:t>los</w:t>
      </w:r>
      <w:r>
        <w:rPr>
          <w:b/>
          <w:bCs/>
          <w:spacing w:val="-5"/>
        </w:rPr>
        <w:t xml:space="preserve"> </w:t>
      </w:r>
      <w:r>
        <w:rPr>
          <w:b/>
          <w:bCs/>
        </w:rPr>
        <w:t>servicios</w:t>
      </w:r>
      <w:r>
        <w:rPr>
          <w:b/>
          <w:bCs/>
          <w:spacing w:val="-5"/>
        </w:rPr>
        <w:t xml:space="preserve"> </w:t>
      </w:r>
      <w:r>
        <w:rPr>
          <w:b/>
          <w:bCs/>
        </w:rPr>
        <w:t>prestados</w:t>
      </w:r>
      <w:r>
        <w:rPr>
          <w:b/>
          <w:bCs/>
          <w:spacing w:val="-3"/>
        </w:rPr>
        <w:t xml:space="preserve"> </w:t>
      </w:r>
      <w:r>
        <w:rPr>
          <w:b/>
          <w:bCs/>
        </w:rPr>
        <w:t>por</w:t>
      </w:r>
      <w:r>
        <w:rPr>
          <w:b/>
          <w:bCs/>
          <w:spacing w:val="-4"/>
        </w:rPr>
        <w:t xml:space="preserve"> </w:t>
      </w:r>
      <w:r>
        <w:rPr>
          <w:b/>
          <w:bCs/>
        </w:rPr>
        <w:t>la</w:t>
      </w:r>
      <w:r>
        <w:rPr>
          <w:b/>
          <w:bCs/>
          <w:spacing w:val="-3"/>
        </w:rPr>
        <w:t xml:space="preserve"> </w:t>
      </w:r>
      <w:r>
        <w:rPr>
          <w:b/>
          <w:bCs/>
        </w:rPr>
        <w:t>Coordinación</w:t>
      </w:r>
      <w:r>
        <w:rPr>
          <w:b/>
          <w:bCs/>
          <w:spacing w:val="-3"/>
        </w:rPr>
        <w:t xml:space="preserve"> </w:t>
      </w:r>
      <w:r>
        <w:rPr>
          <w:b/>
          <w:bCs/>
        </w:rPr>
        <w:t>de</w:t>
      </w:r>
      <w:r>
        <w:rPr>
          <w:b/>
          <w:bCs/>
          <w:spacing w:val="-3"/>
        </w:rPr>
        <w:t xml:space="preserve"> </w:t>
      </w:r>
      <w:r>
        <w:rPr>
          <w:b/>
          <w:bCs/>
        </w:rPr>
        <w:t>Bienestar</w:t>
      </w:r>
      <w:r>
        <w:rPr>
          <w:b/>
          <w:bCs/>
          <w:spacing w:val="-3"/>
        </w:rPr>
        <w:t xml:space="preserve"> </w:t>
      </w:r>
      <w:r>
        <w:rPr>
          <w:b/>
          <w:bCs/>
        </w:rPr>
        <w:t>Animal</w:t>
      </w:r>
    </w:p>
    <w:p w14:paraId="7FC647FF" w14:textId="77777777" w:rsidR="00D3344B" w:rsidRDefault="00D3344B">
      <w:pPr>
        <w:pStyle w:val="Textoindependiente"/>
        <w:ind w:right="198"/>
        <w:rPr>
          <w:b/>
        </w:rPr>
      </w:pPr>
    </w:p>
    <w:p w14:paraId="74C50FC6" w14:textId="77777777" w:rsidR="00D3344B" w:rsidRDefault="00143C25">
      <w:pPr>
        <w:pStyle w:val="Textoindependiente"/>
        <w:ind w:right="198"/>
      </w:pPr>
      <w:r>
        <w:rPr>
          <w:b/>
        </w:rPr>
        <w:t xml:space="preserve">Artículo 162-K. </w:t>
      </w:r>
      <w:r>
        <w:t>Los derechos por los servicios que presta la Coordinación de Bienestar Animal,</w:t>
      </w:r>
      <w:r>
        <w:rPr>
          <w:spacing w:val="40"/>
        </w:rPr>
        <w:t xml:space="preserve"> </w:t>
      </w:r>
      <w:r>
        <w:t>serán los siguientes:</w:t>
      </w:r>
    </w:p>
    <w:tbl>
      <w:tblPr>
        <w:tblStyle w:val="TableNormal"/>
        <w:tblW w:w="8696" w:type="dxa"/>
        <w:tblInd w:w="268" w:type="dxa"/>
        <w:tblLayout w:type="fixed"/>
        <w:tblCellMar>
          <w:left w:w="5" w:type="dxa"/>
          <w:right w:w="5" w:type="dxa"/>
        </w:tblCellMar>
        <w:tblLook w:val="01E0" w:firstRow="1" w:lastRow="1" w:firstColumn="1" w:lastColumn="1" w:noHBand="0" w:noVBand="0"/>
      </w:tblPr>
      <w:tblGrid>
        <w:gridCol w:w="707"/>
        <w:gridCol w:w="4356"/>
        <w:gridCol w:w="1132"/>
        <w:gridCol w:w="1180"/>
        <w:gridCol w:w="1321"/>
      </w:tblGrid>
      <w:tr w:rsidR="00D3344B" w14:paraId="49B784F4" w14:textId="77777777">
        <w:trPr>
          <w:trHeight w:val="311"/>
        </w:trPr>
        <w:tc>
          <w:tcPr>
            <w:tcW w:w="707" w:type="dxa"/>
            <w:tcBorders>
              <w:top w:val="single" w:sz="4" w:space="0" w:color="000000"/>
              <w:left w:val="single" w:sz="4" w:space="0" w:color="000000"/>
              <w:bottom w:val="single" w:sz="4" w:space="0" w:color="000000"/>
              <w:right w:val="single" w:sz="4" w:space="0" w:color="000000"/>
            </w:tcBorders>
          </w:tcPr>
          <w:p w14:paraId="46FB0ECC" w14:textId="77777777" w:rsidR="00D3344B" w:rsidRDefault="00D3344B">
            <w:pPr>
              <w:pStyle w:val="TableParagraph"/>
              <w:rPr>
                <w:rFonts w:ascii="Arial" w:hAnsi="Arial" w:cs="Arial"/>
                <w:sz w:val="18"/>
                <w:szCs w:val="18"/>
              </w:rPr>
            </w:pPr>
          </w:p>
        </w:tc>
        <w:tc>
          <w:tcPr>
            <w:tcW w:w="4356" w:type="dxa"/>
            <w:tcBorders>
              <w:top w:val="single" w:sz="4" w:space="0" w:color="000000"/>
              <w:left w:val="single" w:sz="4" w:space="0" w:color="000000"/>
              <w:bottom w:val="single" w:sz="4" w:space="0" w:color="000000"/>
              <w:right w:val="single" w:sz="4" w:space="0" w:color="000000"/>
            </w:tcBorders>
          </w:tcPr>
          <w:p w14:paraId="2873894B" w14:textId="77777777" w:rsidR="00D3344B" w:rsidRDefault="00D3344B">
            <w:pPr>
              <w:pStyle w:val="TableParagraph"/>
              <w:rPr>
                <w:rFonts w:ascii="Arial" w:hAnsi="Arial" w:cs="Arial"/>
                <w:sz w:val="18"/>
                <w:szCs w:val="18"/>
              </w:rPr>
            </w:pPr>
          </w:p>
        </w:tc>
        <w:tc>
          <w:tcPr>
            <w:tcW w:w="3633" w:type="dxa"/>
            <w:gridSpan w:val="3"/>
            <w:tcBorders>
              <w:top w:val="single" w:sz="4" w:space="0" w:color="000000"/>
              <w:left w:val="single" w:sz="4" w:space="0" w:color="000000"/>
              <w:bottom w:val="single" w:sz="4" w:space="0" w:color="000000"/>
              <w:right w:val="single" w:sz="4" w:space="0" w:color="000000"/>
            </w:tcBorders>
          </w:tcPr>
          <w:p w14:paraId="7366CC46" w14:textId="77777777" w:rsidR="00D3344B" w:rsidRDefault="00143C25">
            <w:pPr>
              <w:pStyle w:val="TableParagraph"/>
              <w:rPr>
                <w:rFonts w:ascii="Arial" w:hAnsi="Arial" w:cs="Arial"/>
                <w:b/>
                <w:sz w:val="18"/>
                <w:szCs w:val="18"/>
              </w:rPr>
            </w:pPr>
            <w:r>
              <w:rPr>
                <w:rFonts w:ascii="Arial" w:hAnsi="Arial" w:cs="Arial"/>
                <w:b/>
                <w:w w:val="115"/>
                <w:sz w:val="18"/>
                <w:szCs w:val="18"/>
              </w:rPr>
              <w:t>COSTO</w:t>
            </w:r>
            <w:r>
              <w:rPr>
                <w:rFonts w:ascii="Arial" w:hAnsi="Arial" w:cs="Arial"/>
                <w:b/>
                <w:spacing w:val="21"/>
                <w:w w:val="115"/>
                <w:sz w:val="18"/>
                <w:szCs w:val="18"/>
              </w:rPr>
              <w:t xml:space="preserve"> </w:t>
            </w:r>
            <w:r>
              <w:rPr>
                <w:rFonts w:ascii="Arial" w:hAnsi="Arial" w:cs="Arial"/>
                <w:b/>
                <w:w w:val="115"/>
                <w:sz w:val="18"/>
                <w:szCs w:val="18"/>
              </w:rPr>
              <w:t>/</w:t>
            </w:r>
            <w:r>
              <w:rPr>
                <w:rFonts w:ascii="Arial" w:hAnsi="Arial" w:cs="Arial"/>
                <w:b/>
                <w:spacing w:val="21"/>
                <w:w w:val="115"/>
                <w:sz w:val="18"/>
                <w:szCs w:val="18"/>
              </w:rPr>
              <w:t xml:space="preserve"> </w:t>
            </w:r>
            <w:r>
              <w:rPr>
                <w:rFonts w:ascii="Arial" w:hAnsi="Arial" w:cs="Arial"/>
                <w:b/>
                <w:w w:val="115"/>
                <w:sz w:val="18"/>
                <w:szCs w:val="18"/>
              </w:rPr>
              <w:t>UMAS</w:t>
            </w:r>
            <w:r>
              <w:rPr>
                <w:rFonts w:ascii="Arial" w:hAnsi="Arial" w:cs="Arial"/>
                <w:b/>
                <w:spacing w:val="22"/>
                <w:w w:val="115"/>
                <w:sz w:val="18"/>
                <w:szCs w:val="18"/>
              </w:rPr>
              <w:t xml:space="preserve"> </w:t>
            </w:r>
            <w:r>
              <w:rPr>
                <w:rFonts w:ascii="Arial" w:hAnsi="Arial" w:cs="Arial"/>
                <w:b/>
                <w:w w:val="115"/>
                <w:sz w:val="18"/>
                <w:szCs w:val="18"/>
              </w:rPr>
              <w:t>/</w:t>
            </w:r>
            <w:r>
              <w:rPr>
                <w:rFonts w:ascii="Arial" w:hAnsi="Arial" w:cs="Arial"/>
                <w:b/>
                <w:spacing w:val="18"/>
                <w:w w:val="115"/>
                <w:sz w:val="18"/>
                <w:szCs w:val="18"/>
              </w:rPr>
              <w:t xml:space="preserve"> </w:t>
            </w:r>
            <w:r>
              <w:rPr>
                <w:rFonts w:ascii="Arial" w:hAnsi="Arial" w:cs="Arial"/>
                <w:b/>
                <w:spacing w:val="-2"/>
                <w:w w:val="115"/>
                <w:sz w:val="18"/>
                <w:szCs w:val="18"/>
              </w:rPr>
              <w:t>TALLAS</w:t>
            </w:r>
          </w:p>
        </w:tc>
      </w:tr>
      <w:tr w:rsidR="00D3344B" w14:paraId="0AC5C159" w14:textId="77777777">
        <w:trPr>
          <w:trHeight w:val="525"/>
        </w:trPr>
        <w:tc>
          <w:tcPr>
            <w:tcW w:w="707" w:type="dxa"/>
            <w:tcBorders>
              <w:top w:val="single" w:sz="4" w:space="0" w:color="000000"/>
              <w:left w:val="single" w:sz="4" w:space="0" w:color="000000"/>
              <w:bottom w:val="single" w:sz="4" w:space="0" w:color="000000"/>
              <w:right w:val="single" w:sz="4" w:space="0" w:color="000000"/>
            </w:tcBorders>
          </w:tcPr>
          <w:p w14:paraId="2074514B" w14:textId="77777777" w:rsidR="00D3344B" w:rsidRDefault="00143C25">
            <w:pPr>
              <w:pStyle w:val="TableParagraph"/>
              <w:rPr>
                <w:rFonts w:ascii="Arial" w:hAnsi="Arial" w:cs="Arial"/>
                <w:b/>
                <w:sz w:val="18"/>
                <w:szCs w:val="18"/>
              </w:rPr>
            </w:pPr>
            <w:r>
              <w:rPr>
                <w:rFonts w:ascii="Arial" w:hAnsi="Arial" w:cs="Arial"/>
                <w:b/>
                <w:spacing w:val="-5"/>
                <w:w w:val="125"/>
                <w:sz w:val="18"/>
                <w:szCs w:val="18"/>
              </w:rPr>
              <w:t>NO.</w:t>
            </w:r>
          </w:p>
        </w:tc>
        <w:tc>
          <w:tcPr>
            <w:tcW w:w="4356" w:type="dxa"/>
            <w:tcBorders>
              <w:top w:val="single" w:sz="4" w:space="0" w:color="000000"/>
              <w:left w:val="single" w:sz="4" w:space="0" w:color="000000"/>
              <w:bottom w:val="single" w:sz="4" w:space="0" w:color="000000"/>
              <w:right w:val="single" w:sz="4" w:space="0" w:color="000000"/>
            </w:tcBorders>
          </w:tcPr>
          <w:p w14:paraId="295F7D1E" w14:textId="77777777" w:rsidR="00D3344B" w:rsidRDefault="00143C25">
            <w:pPr>
              <w:pStyle w:val="TableParagraph"/>
              <w:rPr>
                <w:rFonts w:ascii="Arial" w:hAnsi="Arial" w:cs="Arial"/>
                <w:b/>
                <w:sz w:val="18"/>
                <w:szCs w:val="18"/>
              </w:rPr>
            </w:pPr>
            <w:r>
              <w:rPr>
                <w:rFonts w:ascii="Arial" w:hAnsi="Arial" w:cs="Arial"/>
                <w:b/>
                <w:spacing w:val="-2"/>
                <w:w w:val="120"/>
                <w:sz w:val="18"/>
                <w:szCs w:val="18"/>
              </w:rPr>
              <w:t>SERVICIO</w:t>
            </w:r>
          </w:p>
        </w:tc>
        <w:tc>
          <w:tcPr>
            <w:tcW w:w="1132" w:type="dxa"/>
            <w:tcBorders>
              <w:top w:val="single" w:sz="4" w:space="0" w:color="000000"/>
              <w:left w:val="single" w:sz="4" w:space="0" w:color="000000"/>
              <w:bottom w:val="single" w:sz="4" w:space="0" w:color="000000"/>
              <w:right w:val="single" w:sz="4" w:space="0" w:color="000000"/>
            </w:tcBorders>
          </w:tcPr>
          <w:p w14:paraId="4F4FBDB1" w14:textId="77777777" w:rsidR="00D3344B" w:rsidRDefault="00143C25">
            <w:pPr>
              <w:pStyle w:val="TableParagraph"/>
              <w:spacing w:line="254" w:lineRule="exact"/>
              <w:ind w:right="276" w:hanging="3"/>
              <w:rPr>
                <w:rFonts w:ascii="Arial" w:hAnsi="Arial" w:cs="Arial"/>
                <w:b/>
                <w:sz w:val="18"/>
                <w:szCs w:val="18"/>
              </w:rPr>
            </w:pPr>
            <w:r>
              <w:rPr>
                <w:rFonts w:ascii="Arial" w:hAnsi="Arial" w:cs="Arial"/>
                <w:b/>
                <w:spacing w:val="-2"/>
                <w:w w:val="110"/>
                <w:sz w:val="18"/>
                <w:szCs w:val="18"/>
              </w:rPr>
              <w:t>TALLA CHICA</w:t>
            </w:r>
          </w:p>
        </w:tc>
        <w:tc>
          <w:tcPr>
            <w:tcW w:w="1180" w:type="dxa"/>
            <w:tcBorders>
              <w:top w:val="single" w:sz="4" w:space="0" w:color="000000"/>
              <w:left w:val="single" w:sz="4" w:space="0" w:color="000000"/>
              <w:bottom w:val="single" w:sz="4" w:space="0" w:color="000000"/>
              <w:right w:val="single" w:sz="4" w:space="0" w:color="000000"/>
            </w:tcBorders>
          </w:tcPr>
          <w:p w14:paraId="412D0851" w14:textId="77777777" w:rsidR="00D3344B" w:rsidRDefault="00143C25">
            <w:pPr>
              <w:pStyle w:val="TableParagraph"/>
              <w:spacing w:line="254" w:lineRule="exact"/>
              <w:ind w:left="3" w:firstLine="175"/>
              <w:rPr>
                <w:rFonts w:ascii="Arial" w:hAnsi="Arial" w:cs="Arial"/>
                <w:b/>
                <w:sz w:val="18"/>
                <w:szCs w:val="18"/>
              </w:rPr>
            </w:pPr>
            <w:r>
              <w:rPr>
                <w:rFonts w:ascii="Arial" w:hAnsi="Arial" w:cs="Arial"/>
                <w:b/>
                <w:spacing w:val="-2"/>
                <w:w w:val="110"/>
                <w:sz w:val="18"/>
                <w:szCs w:val="18"/>
              </w:rPr>
              <w:t xml:space="preserve">TALLA </w:t>
            </w:r>
            <w:r>
              <w:rPr>
                <w:rFonts w:ascii="Arial" w:hAnsi="Arial" w:cs="Arial"/>
                <w:b/>
                <w:spacing w:val="-2"/>
                <w:sz w:val="18"/>
                <w:szCs w:val="18"/>
              </w:rPr>
              <w:t>MEDIANA</w:t>
            </w:r>
          </w:p>
        </w:tc>
        <w:tc>
          <w:tcPr>
            <w:tcW w:w="1321" w:type="dxa"/>
            <w:tcBorders>
              <w:top w:val="single" w:sz="4" w:space="0" w:color="000000"/>
              <w:left w:val="single" w:sz="4" w:space="0" w:color="000000"/>
              <w:bottom w:val="single" w:sz="4" w:space="0" w:color="000000"/>
              <w:right w:val="single" w:sz="4" w:space="0" w:color="000000"/>
            </w:tcBorders>
          </w:tcPr>
          <w:p w14:paraId="77A4DD2B" w14:textId="77777777" w:rsidR="00D3344B" w:rsidRDefault="00143C25">
            <w:pPr>
              <w:pStyle w:val="TableParagraph"/>
              <w:spacing w:line="254" w:lineRule="exact"/>
              <w:ind w:left="2" w:firstLine="120"/>
              <w:rPr>
                <w:rFonts w:ascii="Arial" w:hAnsi="Arial" w:cs="Arial"/>
                <w:b/>
                <w:sz w:val="18"/>
                <w:szCs w:val="18"/>
              </w:rPr>
            </w:pPr>
            <w:r>
              <w:rPr>
                <w:rFonts w:ascii="Arial" w:hAnsi="Arial" w:cs="Arial"/>
                <w:b/>
                <w:spacing w:val="-2"/>
                <w:w w:val="115"/>
                <w:sz w:val="18"/>
                <w:szCs w:val="18"/>
              </w:rPr>
              <w:t xml:space="preserve">TALLA </w:t>
            </w:r>
            <w:r>
              <w:rPr>
                <w:rFonts w:ascii="Arial" w:hAnsi="Arial" w:cs="Arial"/>
                <w:b/>
                <w:spacing w:val="-2"/>
                <w:w w:val="110"/>
                <w:sz w:val="18"/>
                <w:szCs w:val="18"/>
              </w:rPr>
              <w:t>GRANDE</w:t>
            </w:r>
          </w:p>
        </w:tc>
      </w:tr>
      <w:tr w:rsidR="00D3344B" w14:paraId="79668A19" w14:textId="77777777">
        <w:trPr>
          <w:trHeight w:val="518"/>
        </w:trPr>
        <w:tc>
          <w:tcPr>
            <w:tcW w:w="707" w:type="dxa"/>
            <w:tcBorders>
              <w:top w:val="single" w:sz="4" w:space="0" w:color="000000"/>
              <w:left w:val="single" w:sz="4" w:space="0" w:color="000000"/>
              <w:bottom w:val="single" w:sz="4" w:space="0" w:color="000000"/>
              <w:right w:val="single" w:sz="4" w:space="0" w:color="000000"/>
            </w:tcBorders>
          </w:tcPr>
          <w:p w14:paraId="5F971739" w14:textId="77777777" w:rsidR="00D3344B" w:rsidRDefault="00143C25">
            <w:pPr>
              <w:pStyle w:val="TableParagraph"/>
              <w:rPr>
                <w:rFonts w:ascii="Arial" w:hAnsi="Arial" w:cs="Arial"/>
                <w:sz w:val="18"/>
                <w:szCs w:val="18"/>
              </w:rPr>
            </w:pPr>
            <w:r>
              <w:rPr>
                <w:rFonts w:ascii="Arial" w:hAnsi="Arial" w:cs="Arial"/>
                <w:spacing w:val="-5"/>
                <w:w w:val="130"/>
                <w:sz w:val="18"/>
                <w:szCs w:val="18"/>
              </w:rPr>
              <w:t>1.</w:t>
            </w:r>
          </w:p>
        </w:tc>
        <w:tc>
          <w:tcPr>
            <w:tcW w:w="4356" w:type="dxa"/>
            <w:tcBorders>
              <w:top w:val="single" w:sz="4" w:space="0" w:color="000000"/>
              <w:left w:val="single" w:sz="4" w:space="0" w:color="000000"/>
              <w:bottom w:val="single" w:sz="4" w:space="0" w:color="000000"/>
              <w:right w:val="single" w:sz="4" w:space="0" w:color="000000"/>
            </w:tcBorders>
          </w:tcPr>
          <w:p w14:paraId="4262BFC5" w14:textId="77777777" w:rsidR="00D3344B" w:rsidRDefault="00143C25">
            <w:pPr>
              <w:pStyle w:val="TableParagraph"/>
              <w:spacing w:line="254" w:lineRule="exact"/>
              <w:ind w:right="1168"/>
              <w:rPr>
                <w:rFonts w:ascii="Arial" w:hAnsi="Arial" w:cs="Arial"/>
                <w:sz w:val="18"/>
                <w:szCs w:val="18"/>
              </w:rPr>
            </w:pPr>
            <w:r>
              <w:rPr>
                <w:rFonts w:ascii="Arial" w:hAnsi="Arial" w:cs="Arial"/>
                <w:w w:val="110"/>
                <w:sz w:val="18"/>
                <w:szCs w:val="18"/>
              </w:rPr>
              <w:t>Consulta médica</w:t>
            </w:r>
            <w:r>
              <w:rPr>
                <w:rFonts w:ascii="Arial" w:hAnsi="Arial" w:cs="Arial"/>
                <w:spacing w:val="40"/>
                <w:w w:val="110"/>
                <w:sz w:val="18"/>
                <w:szCs w:val="18"/>
              </w:rPr>
              <w:t xml:space="preserve"> </w:t>
            </w:r>
            <w:r>
              <w:rPr>
                <w:rFonts w:ascii="Arial" w:hAnsi="Arial" w:cs="Arial"/>
                <w:w w:val="110"/>
                <w:sz w:val="18"/>
                <w:szCs w:val="18"/>
              </w:rPr>
              <w:t xml:space="preserve">preventiva/ </w:t>
            </w:r>
            <w:r>
              <w:rPr>
                <w:rFonts w:ascii="Arial" w:hAnsi="Arial" w:cs="Arial"/>
                <w:spacing w:val="-2"/>
                <w:w w:val="110"/>
                <w:sz w:val="18"/>
                <w:szCs w:val="18"/>
              </w:rPr>
              <w:t>básica</w:t>
            </w:r>
          </w:p>
        </w:tc>
        <w:tc>
          <w:tcPr>
            <w:tcW w:w="1132" w:type="dxa"/>
            <w:tcBorders>
              <w:top w:val="single" w:sz="4" w:space="0" w:color="000000"/>
              <w:left w:val="single" w:sz="4" w:space="0" w:color="000000"/>
              <w:bottom w:val="single" w:sz="4" w:space="0" w:color="000000"/>
              <w:right w:val="single" w:sz="4" w:space="0" w:color="000000"/>
            </w:tcBorders>
          </w:tcPr>
          <w:p w14:paraId="6163CF24" w14:textId="77777777" w:rsidR="00D3344B" w:rsidRDefault="00143C25">
            <w:pPr>
              <w:pStyle w:val="TableParagraph"/>
              <w:rPr>
                <w:rFonts w:ascii="Arial" w:hAnsi="Arial" w:cs="Arial"/>
                <w:sz w:val="18"/>
                <w:szCs w:val="18"/>
              </w:rPr>
            </w:pPr>
            <w:r>
              <w:rPr>
                <w:rFonts w:ascii="Arial" w:hAnsi="Arial" w:cs="Arial"/>
                <w:spacing w:val="-5"/>
                <w:w w:val="125"/>
                <w:sz w:val="18"/>
                <w:szCs w:val="18"/>
              </w:rPr>
              <w:t>0.5</w:t>
            </w:r>
          </w:p>
        </w:tc>
        <w:tc>
          <w:tcPr>
            <w:tcW w:w="1180" w:type="dxa"/>
            <w:tcBorders>
              <w:top w:val="single" w:sz="4" w:space="0" w:color="000000"/>
              <w:left w:val="single" w:sz="4" w:space="0" w:color="000000"/>
              <w:bottom w:val="single" w:sz="4" w:space="0" w:color="000000"/>
              <w:right w:val="single" w:sz="4" w:space="0" w:color="000000"/>
            </w:tcBorders>
          </w:tcPr>
          <w:p w14:paraId="4D0E8B78" w14:textId="77777777" w:rsidR="00D3344B" w:rsidRDefault="00143C25">
            <w:pPr>
              <w:pStyle w:val="TableParagraph"/>
              <w:ind w:left="3"/>
              <w:rPr>
                <w:rFonts w:ascii="Arial" w:hAnsi="Arial" w:cs="Arial"/>
                <w:sz w:val="18"/>
                <w:szCs w:val="18"/>
              </w:rPr>
            </w:pPr>
            <w:r>
              <w:rPr>
                <w:rFonts w:ascii="Arial" w:hAnsi="Arial" w:cs="Arial"/>
                <w:spacing w:val="-5"/>
                <w:w w:val="125"/>
                <w:sz w:val="18"/>
                <w:szCs w:val="18"/>
              </w:rPr>
              <w:t>0.5</w:t>
            </w:r>
          </w:p>
        </w:tc>
        <w:tc>
          <w:tcPr>
            <w:tcW w:w="1321" w:type="dxa"/>
            <w:tcBorders>
              <w:top w:val="single" w:sz="4" w:space="0" w:color="000000"/>
              <w:left w:val="single" w:sz="4" w:space="0" w:color="000000"/>
              <w:bottom w:val="single" w:sz="4" w:space="0" w:color="000000"/>
              <w:right w:val="single" w:sz="4" w:space="0" w:color="000000"/>
            </w:tcBorders>
          </w:tcPr>
          <w:p w14:paraId="420949F1" w14:textId="77777777" w:rsidR="00D3344B" w:rsidRDefault="00143C25">
            <w:pPr>
              <w:pStyle w:val="TableParagraph"/>
              <w:ind w:left="2"/>
              <w:rPr>
                <w:rFonts w:ascii="Arial" w:hAnsi="Arial" w:cs="Arial"/>
                <w:sz w:val="18"/>
                <w:szCs w:val="18"/>
              </w:rPr>
            </w:pPr>
            <w:r>
              <w:rPr>
                <w:rFonts w:ascii="Arial" w:hAnsi="Arial" w:cs="Arial"/>
                <w:spacing w:val="-5"/>
                <w:w w:val="125"/>
                <w:sz w:val="18"/>
                <w:szCs w:val="18"/>
              </w:rPr>
              <w:t>0.5</w:t>
            </w:r>
          </w:p>
        </w:tc>
      </w:tr>
      <w:tr w:rsidR="00D3344B" w14:paraId="219CF1DA" w14:textId="77777777">
        <w:trPr>
          <w:trHeight w:val="340"/>
        </w:trPr>
        <w:tc>
          <w:tcPr>
            <w:tcW w:w="707" w:type="dxa"/>
            <w:tcBorders>
              <w:top w:val="single" w:sz="4" w:space="0" w:color="000000"/>
              <w:left w:val="single" w:sz="4" w:space="0" w:color="000000"/>
              <w:bottom w:val="single" w:sz="4" w:space="0" w:color="000000"/>
              <w:right w:val="single" w:sz="4" w:space="0" w:color="000000"/>
            </w:tcBorders>
          </w:tcPr>
          <w:p w14:paraId="6DCCE255" w14:textId="77777777" w:rsidR="00D3344B" w:rsidRDefault="00143C25">
            <w:pPr>
              <w:pStyle w:val="TableParagraph"/>
              <w:rPr>
                <w:rFonts w:ascii="Arial" w:hAnsi="Arial" w:cs="Arial"/>
                <w:sz w:val="18"/>
                <w:szCs w:val="18"/>
              </w:rPr>
            </w:pPr>
            <w:r>
              <w:rPr>
                <w:rFonts w:ascii="Arial" w:hAnsi="Arial" w:cs="Arial"/>
                <w:spacing w:val="-5"/>
                <w:w w:val="130"/>
                <w:sz w:val="18"/>
                <w:szCs w:val="18"/>
              </w:rPr>
              <w:lastRenderedPageBreak/>
              <w:t>2.</w:t>
            </w:r>
          </w:p>
        </w:tc>
        <w:tc>
          <w:tcPr>
            <w:tcW w:w="4356" w:type="dxa"/>
            <w:tcBorders>
              <w:top w:val="single" w:sz="4" w:space="0" w:color="000000"/>
              <w:left w:val="single" w:sz="4" w:space="0" w:color="000000"/>
              <w:bottom w:val="single" w:sz="4" w:space="0" w:color="000000"/>
              <w:right w:val="single" w:sz="4" w:space="0" w:color="000000"/>
            </w:tcBorders>
          </w:tcPr>
          <w:p w14:paraId="6813BD74" w14:textId="77777777" w:rsidR="00D3344B" w:rsidRDefault="00143C25">
            <w:pPr>
              <w:pStyle w:val="TableParagraph"/>
              <w:rPr>
                <w:rFonts w:ascii="Arial" w:hAnsi="Arial" w:cs="Arial"/>
                <w:sz w:val="18"/>
                <w:szCs w:val="18"/>
              </w:rPr>
            </w:pPr>
            <w:r>
              <w:rPr>
                <w:rFonts w:ascii="Arial" w:hAnsi="Arial" w:cs="Arial"/>
                <w:w w:val="110"/>
                <w:sz w:val="18"/>
                <w:szCs w:val="18"/>
              </w:rPr>
              <w:t>Corte</w:t>
            </w:r>
            <w:r>
              <w:rPr>
                <w:rFonts w:ascii="Arial" w:hAnsi="Arial" w:cs="Arial"/>
                <w:spacing w:val="21"/>
                <w:w w:val="110"/>
                <w:sz w:val="18"/>
                <w:szCs w:val="18"/>
              </w:rPr>
              <w:t xml:space="preserve"> </w:t>
            </w:r>
            <w:r>
              <w:rPr>
                <w:rFonts w:ascii="Arial" w:hAnsi="Arial" w:cs="Arial"/>
                <w:w w:val="110"/>
                <w:sz w:val="18"/>
                <w:szCs w:val="18"/>
              </w:rPr>
              <w:t>de</w:t>
            </w:r>
            <w:r>
              <w:rPr>
                <w:rFonts w:ascii="Arial" w:hAnsi="Arial" w:cs="Arial"/>
                <w:spacing w:val="24"/>
                <w:w w:val="110"/>
                <w:sz w:val="18"/>
                <w:szCs w:val="18"/>
              </w:rPr>
              <w:t xml:space="preserve"> </w:t>
            </w:r>
            <w:r>
              <w:rPr>
                <w:rFonts w:ascii="Arial" w:hAnsi="Arial" w:cs="Arial"/>
                <w:spacing w:val="-4"/>
                <w:w w:val="110"/>
                <w:sz w:val="18"/>
                <w:szCs w:val="18"/>
              </w:rPr>
              <w:t>pelo</w:t>
            </w:r>
          </w:p>
        </w:tc>
        <w:tc>
          <w:tcPr>
            <w:tcW w:w="1132" w:type="dxa"/>
            <w:tcBorders>
              <w:top w:val="single" w:sz="4" w:space="0" w:color="000000"/>
              <w:left w:val="single" w:sz="4" w:space="0" w:color="000000"/>
              <w:bottom w:val="single" w:sz="4" w:space="0" w:color="000000"/>
              <w:right w:val="single" w:sz="4" w:space="0" w:color="000000"/>
            </w:tcBorders>
          </w:tcPr>
          <w:p w14:paraId="5857FE9B" w14:textId="77777777" w:rsidR="00D3344B" w:rsidRDefault="00143C25">
            <w:pPr>
              <w:pStyle w:val="TableParagraph"/>
              <w:rPr>
                <w:rFonts w:ascii="Arial" w:hAnsi="Arial" w:cs="Arial"/>
                <w:sz w:val="18"/>
                <w:szCs w:val="18"/>
              </w:rPr>
            </w:pPr>
            <w:r>
              <w:rPr>
                <w:rFonts w:ascii="Arial" w:hAnsi="Arial" w:cs="Arial"/>
                <w:spacing w:val="-4"/>
                <w:w w:val="120"/>
                <w:sz w:val="18"/>
                <w:szCs w:val="18"/>
              </w:rPr>
              <w:t>0.75</w:t>
            </w:r>
          </w:p>
        </w:tc>
        <w:tc>
          <w:tcPr>
            <w:tcW w:w="1180" w:type="dxa"/>
            <w:tcBorders>
              <w:top w:val="single" w:sz="4" w:space="0" w:color="000000"/>
              <w:left w:val="single" w:sz="4" w:space="0" w:color="000000"/>
              <w:bottom w:val="single" w:sz="4" w:space="0" w:color="000000"/>
              <w:right w:val="single" w:sz="4" w:space="0" w:color="000000"/>
            </w:tcBorders>
          </w:tcPr>
          <w:p w14:paraId="42CF56A0" w14:textId="77777777" w:rsidR="00D3344B" w:rsidRDefault="00143C25">
            <w:pPr>
              <w:pStyle w:val="TableParagraph"/>
              <w:ind w:left="3"/>
              <w:rPr>
                <w:rFonts w:ascii="Arial" w:hAnsi="Arial" w:cs="Arial"/>
                <w:sz w:val="18"/>
                <w:szCs w:val="18"/>
              </w:rPr>
            </w:pPr>
            <w:r>
              <w:rPr>
                <w:rFonts w:ascii="Arial" w:hAnsi="Arial" w:cs="Arial"/>
                <w:w w:val="108"/>
                <w:sz w:val="18"/>
                <w:szCs w:val="18"/>
              </w:rPr>
              <w:t>1</w:t>
            </w:r>
          </w:p>
        </w:tc>
        <w:tc>
          <w:tcPr>
            <w:tcW w:w="1321" w:type="dxa"/>
            <w:tcBorders>
              <w:top w:val="single" w:sz="4" w:space="0" w:color="000000"/>
              <w:left w:val="single" w:sz="4" w:space="0" w:color="000000"/>
              <w:bottom w:val="single" w:sz="4" w:space="0" w:color="000000"/>
              <w:right w:val="single" w:sz="4" w:space="0" w:color="000000"/>
            </w:tcBorders>
          </w:tcPr>
          <w:p w14:paraId="273B1B8F" w14:textId="77777777" w:rsidR="00D3344B" w:rsidRDefault="00143C25">
            <w:pPr>
              <w:pStyle w:val="TableParagraph"/>
              <w:ind w:left="2"/>
              <w:rPr>
                <w:rFonts w:ascii="Arial" w:hAnsi="Arial" w:cs="Arial"/>
                <w:sz w:val="18"/>
                <w:szCs w:val="18"/>
              </w:rPr>
            </w:pPr>
            <w:r>
              <w:rPr>
                <w:rFonts w:ascii="Arial" w:hAnsi="Arial" w:cs="Arial"/>
                <w:spacing w:val="-5"/>
                <w:w w:val="125"/>
                <w:sz w:val="18"/>
                <w:szCs w:val="18"/>
              </w:rPr>
              <w:t>1.5</w:t>
            </w:r>
          </w:p>
        </w:tc>
      </w:tr>
      <w:tr w:rsidR="00D3344B" w14:paraId="5EAA55D3" w14:textId="77777777">
        <w:trPr>
          <w:trHeight w:val="275"/>
        </w:trPr>
        <w:tc>
          <w:tcPr>
            <w:tcW w:w="707" w:type="dxa"/>
            <w:tcBorders>
              <w:top w:val="single" w:sz="4" w:space="0" w:color="000000"/>
              <w:left w:val="single" w:sz="4" w:space="0" w:color="000000"/>
              <w:bottom w:val="single" w:sz="4" w:space="0" w:color="000000"/>
              <w:right w:val="single" w:sz="4" w:space="0" w:color="000000"/>
            </w:tcBorders>
          </w:tcPr>
          <w:p w14:paraId="1CF6F4D1" w14:textId="77777777" w:rsidR="00D3344B" w:rsidRDefault="00143C25">
            <w:pPr>
              <w:pStyle w:val="TableParagraph"/>
              <w:rPr>
                <w:rFonts w:ascii="Arial" w:hAnsi="Arial" w:cs="Arial"/>
                <w:sz w:val="18"/>
                <w:szCs w:val="18"/>
              </w:rPr>
            </w:pPr>
            <w:r>
              <w:rPr>
                <w:rFonts w:ascii="Arial" w:hAnsi="Arial" w:cs="Arial"/>
                <w:spacing w:val="-5"/>
                <w:w w:val="130"/>
                <w:sz w:val="18"/>
                <w:szCs w:val="18"/>
              </w:rPr>
              <w:t>3.</w:t>
            </w:r>
          </w:p>
        </w:tc>
        <w:tc>
          <w:tcPr>
            <w:tcW w:w="4356" w:type="dxa"/>
            <w:tcBorders>
              <w:top w:val="single" w:sz="4" w:space="0" w:color="000000"/>
              <w:left w:val="single" w:sz="4" w:space="0" w:color="000000"/>
              <w:bottom w:val="single" w:sz="4" w:space="0" w:color="000000"/>
              <w:right w:val="single" w:sz="4" w:space="0" w:color="000000"/>
            </w:tcBorders>
          </w:tcPr>
          <w:p w14:paraId="491AA761" w14:textId="77777777" w:rsidR="00D3344B" w:rsidRDefault="00143C25">
            <w:pPr>
              <w:pStyle w:val="TableParagraph"/>
              <w:rPr>
                <w:rFonts w:ascii="Arial" w:hAnsi="Arial" w:cs="Arial"/>
                <w:sz w:val="18"/>
                <w:szCs w:val="18"/>
              </w:rPr>
            </w:pPr>
            <w:r>
              <w:rPr>
                <w:rFonts w:ascii="Arial" w:hAnsi="Arial" w:cs="Arial"/>
                <w:spacing w:val="-4"/>
                <w:w w:val="110"/>
                <w:sz w:val="18"/>
                <w:szCs w:val="18"/>
              </w:rPr>
              <w:t>Baño</w:t>
            </w:r>
          </w:p>
        </w:tc>
        <w:tc>
          <w:tcPr>
            <w:tcW w:w="1132" w:type="dxa"/>
            <w:tcBorders>
              <w:top w:val="single" w:sz="4" w:space="0" w:color="000000"/>
              <w:left w:val="single" w:sz="4" w:space="0" w:color="000000"/>
              <w:bottom w:val="single" w:sz="4" w:space="0" w:color="000000"/>
              <w:right w:val="single" w:sz="4" w:space="0" w:color="000000"/>
            </w:tcBorders>
          </w:tcPr>
          <w:p w14:paraId="1E940995" w14:textId="77777777" w:rsidR="00D3344B" w:rsidRDefault="00143C25">
            <w:pPr>
              <w:pStyle w:val="TableParagraph"/>
              <w:rPr>
                <w:rFonts w:ascii="Arial" w:hAnsi="Arial" w:cs="Arial"/>
                <w:sz w:val="18"/>
                <w:szCs w:val="18"/>
              </w:rPr>
            </w:pPr>
            <w:r>
              <w:rPr>
                <w:rFonts w:ascii="Arial" w:hAnsi="Arial" w:cs="Arial"/>
                <w:spacing w:val="-5"/>
                <w:w w:val="125"/>
                <w:sz w:val="18"/>
                <w:szCs w:val="18"/>
              </w:rPr>
              <w:t>0.5</w:t>
            </w:r>
          </w:p>
        </w:tc>
        <w:tc>
          <w:tcPr>
            <w:tcW w:w="1180" w:type="dxa"/>
            <w:tcBorders>
              <w:top w:val="single" w:sz="4" w:space="0" w:color="000000"/>
              <w:left w:val="single" w:sz="4" w:space="0" w:color="000000"/>
              <w:bottom w:val="single" w:sz="4" w:space="0" w:color="000000"/>
              <w:right w:val="single" w:sz="4" w:space="0" w:color="000000"/>
            </w:tcBorders>
          </w:tcPr>
          <w:p w14:paraId="30406EB3" w14:textId="77777777" w:rsidR="00D3344B" w:rsidRDefault="00143C25">
            <w:pPr>
              <w:pStyle w:val="TableParagraph"/>
              <w:ind w:left="3"/>
              <w:rPr>
                <w:rFonts w:ascii="Arial" w:hAnsi="Arial" w:cs="Arial"/>
                <w:sz w:val="18"/>
                <w:szCs w:val="18"/>
              </w:rPr>
            </w:pPr>
            <w:r>
              <w:rPr>
                <w:rFonts w:ascii="Arial" w:hAnsi="Arial" w:cs="Arial"/>
                <w:w w:val="108"/>
                <w:sz w:val="18"/>
                <w:szCs w:val="18"/>
              </w:rPr>
              <w:t>1</w:t>
            </w:r>
          </w:p>
        </w:tc>
        <w:tc>
          <w:tcPr>
            <w:tcW w:w="1321" w:type="dxa"/>
            <w:tcBorders>
              <w:top w:val="single" w:sz="4" w:space="0" w:color="000000"/>
              <w:left w:val="single" w:sz="4" w:space="0" w:color="000000"/>
              <w:bottom w:val="single" w:sz="4" w:space="0" w:color="000000"/>
              <w:right w:val="single" w:sz="4" w:space="0" w:color="000000"/>
            </w:tcBorders>
          </w:tcPr>
          <w:p w14:paraId="32E38D23" w14:textId="77777777" w:rsidR="00D3344B" w:rsidRDefault="00143C25">
            <w:pPr>
              <w:pStyle w:val="TableParagraph"/>
              <w:ind w:left="2"/>
              <w:rPr>
                <w:rFonts w:ascii="Arial" w:hAnsi="Arial" w:cs="Arial"/>
                <w:sz w:val="18"/>
                <w:szCs w:val="18"/>
              </w:rPr>
            </w:pPr>
            <w:r>
              <w:rPr>
                <w:rFonts w:ascii="Arial" w:hAnsi="Arial" w:cs="Arial"/>
                <w:spacing w:val="-5"/>
                <w:w w:val="125"/>
                <w:sz w:val="18"/>
                <w:szCs w:val="18"/>
              </w:rPr>
              <w:t>1.5</w:t>
            </w:r>
          </w:p>
        </w:tc>
      </w:tr>
      <w:tr w:rsidR="00D3344B" w14:paraId="25050935" w14:textId="77777777">
        <w:trPr>
          <w:trHeight w:val="518"/>
        </w:trPr>
        <w:tc>
          <w:tcPr>
            <w:tcW w:w="707" w:type="dxa"/>
            <w:tcBorders>
              <w:top w:val="single" w:sz="4" w:space="0" w:color="000000"/>
              <w:left w:val="single" w:sz="4" w:space="0" w:color="000000"/>
              <w:bottom w:val="single" w:sz="4" w:space="0" w:color="000000"/>
              <w:right w:val="single" w:sz="4" w:space="0" w:color="000000"/>
            </w:tcBorders>
          </w:tcPr>
          <w:p w14:paraId="5B3F9EEE" w14:textId="77777777" w:rsidR="00D3344B" w:rsidRDefault="00143C25">
            <w:pPr>
              <w:pStyle w:val="TableParagraph"/>
              <w:spacing w:before="1"/>
            </w:pPr>
            <w:r>
              <w:rPr>
                <w:spacing w:val="-5"/>
                <w:w w:val="130"/>
              </w:rPr>
              <w:t>4.</w:t>
            </w:r>
          </w:p>
        </w:tc>
        <w:tc>
          <w:tcPr>
            <w:tcW w:w="4356" w:type="dxa"/>
            <w:tcBorders>
              <w:top w:val="single" w:sz="4" w:space="0" w:color="000000"/>
              <w:left w:val="single" w:sz="4" w:space="0" w:color="000000"/>
              <w:bottom w:val="single" w:sz="4" w:space="0" w:color="000000"/>
              <w:right w:val="single" w:sz="4" w:space="0" w:color="000000"/>
            </w:tcBorders>
          </w:tcPr>
          <w:p w14:paraId="32C0F9A9" w14:textId="77777777" w:rsidR="00D3344B" w:rsidRDefault="00143C25">
            <w:pPr>
              <w:pStyle w:val="TableParagraph"/>
              <w:spacing w:line="252" w:lineRule="exact"/>
              <w:ind w:right="1168"/>
            </w:pPr>
            <w:r>
              <w:rPr>
                <w:w w:val="105"/>
              </w:rPr>
              <w:t>Paquete</w:t>
            </w:r>
            <w:r>
              <w:rPr>
                <w:spacing w:val="40"/>
                <w:w w:val="105"/>
              </w:rPr>
              <w:t xml:space="preserve"> </w:t>
            </w:r>
            <w:r>
              <w:rPr>
                <w:w w:val="105"/>
              </w:rPr>
              <w:t>de</w:t>
            </w:r>
            <w:r>
              <w:rPr>
                <w:spacing w:val="40"/>
                <w:w w:val="105"/>
              </w:rPr>
              <w:t xml:space="preserve"> </w:t>
            </w:r>
            <w:r>
              <w:rPr>
                <w:w w:val="105"/>
              </w:rPr>
              <w:t>estética</w:t>
            </w:r>
            <w:r>
              <w:rPr>
                <w:spacing w:val="40"/>
                <w:w w:val="105"/>
              </w:rPr>
              <w:t xml:space="preserve"> </w:t>
            </w:r>
            <w:r>
              <w:rPr>
                <w:w w:val="105"/>
              </w:rPr>
              <w:t>(corte</w:t>
            </w:r>
            <w:r>
              <w:rPr>
                <w:spacing w:val="40"/>
                <w:w w:val="105"/>
              </w:rPr>
              <w:t xml:space="preserve"> </w:t>
            </w:r>
            <w:r>
              <w:rPr>
                <w:w w:val="105"/>
              </w:rPr>
              <w:t>y</w:t>
            </w:r>
            <w:r>
              <w:rPr>
                <w:spacing w:val="40"/>
                <w:w w:val="105"/>
              </w:rPr>
              <w:t xml:space="preserve"> </w:t>
            </w:r>
            <w:r>
              <w:rPr>
                <w:spacing w:val="-4"/>
                <w:w w:val="105"/>
              </w:rPr>
              <w:t>baño)</w:t>
            </w:r>
          </w:p>
        </w:tc>
        <w:tc>
          <w:tcPr>
            <w:tcW w:w="1132" w:type="dxa"/>
            <w:tcBorders>
              <w:top w:val="single" w:sz="4" w:space="0" w:color="000000"/>
              <w:left w:val="single" w:sz="4" w:space="0" w:color="000000"/>
              <w:bottom w:val="single" w:sz="4" w:space="0" w:color="000000"/>
              <w:right w:val="single" w:sz="4" w:space="0" w:color="000000"/>
            </w:tcBorders>
          </w:tcPr>
          <w:p w14:paraId="3036A322" w14:textId="77777777" w:rsidR="00D3344B" w:rsidRDefault="00143C25">
            <w:pPr>
              <w:pStyle w:val="TableParagraph"/>
              <w:spacing w:before="1"/>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3B1D27EB" w14:textId="77777777" w:rsidR="00D3344B" w:rsidRDefault="00143C25">
            <w:pPr>
              <w:pStyle w:val="TableParagraph"/>
              <w:spacing w:before="1"/>
              <w:ind w:left="3"/>
            </w:pPr>
            <w:r>
              <w:rPr>
                <w:spacing w:val="-5"/>
                <w:w w:val="125"/>
              </w:rPr>
              <w:t>1.5</w:t>
            </w:r>
          </w:p>
        </w:tc>
        <w:tc>
          <w:tcPr>
            <w:tcW w:w="1321" w:type="dxa"/>
            <w:tcBorders>
              <w:top w:val="single" w:sz="4" w:space="0" w:color="000000"/>
              <w:left w:val="single" w:sz="4" w:space="0" w:color="000000"/>
              <w:bottom w:val="single" w:sz="4" w:space="0" w:color="000000"/>
              <w:right w:val="single" w:sz="4" w:space="0" w:color="000000"/>
            </w:tcBorders>
          </w:tcPr>
          <w:p w14:paraId="689130AB" w14:textId="77777777" w:rsidR="00D3344B" w:rsidRDefault="00143C25">
            <w:pPr>
              <w:pStyle w:val="TableParagraph"/>
              <w:spacing w:before="1"/>
              <w:ind w:left="2"/>
            </w:pPr>
            <w:r>
              <w:rPr>
                <w:w w:val="108"/>
              </w:rPr>
              <w:t>2</w:t>
            </w:r>
          </w:p>
        </w:tc>
      </w:tr>
      <w:tr w:rsidR="00D3344B" w14:paraId="5900C1AD" w14:textId="77777777">
        <w:trPr>
          <w:trHeight w:val="256"/>
        </w:trPr>
        <w:tc>
          <w:tcPr>
            <w:tcW w:w="707" w:type="dxa"/>
            <w:tcBorders>
              <w:top w:val="single" w:sz="4" w:space="0" w:color="000000"/>
              <w:left w:val="single" w:sz="4" w:space="0" w:color="000000"/>
              <w:bottom w:val="single" w:sz="4" w:space="0" w:color="000000"/>
              <w:right w:val="single" w:sz="4" w:space="0" w:color="000000"/>
            </w:tcBorders>
          </w:tcPr>
          <w:p w14:paraId="4D3EFE1C" w14:textId="77777777" w:rsidR="00D3344B" w:rsidRDefault="00143C25">
            <w:pPr>
              <w:pStyle w:val="TableParagraph"/>
              <w:spacing w:line="236" w:lineRule="exact"/>
            </w:pPr>
            <w:r>
              <w:rPr>
                <w:spacing w:val="-5"/>
                <w:w w:val="130"/>
              </w:rPr>
              <w:t>5.</w:t>
            </w:r>
          </w:p>
        </w:tc>
        <w:tc>
          <w:tcPr>
            <w:tcW w:w="4356" w:type="dxa"/>
            <w:tcBorders>
              <w:top w:val="single" w:sz="4" w:space="0" w:color="000000"/>
              <w:left w:val="single" w:sz="4" w:space="0" w:color="000000"/>
              <w:bottom w:val="single" w:sz="4" w:space="0" w:color="000000"/>
              <w:right w:val="single" w:sz="4" w:space="0" w:color="000000"/>
            </w:tcBorders>
          </w:tcPr>
          <w:p w14:paraId="04A7596F" w14:textId="77777777" w:rsidR="00D3344B" w:rsidRDefault="00143C25">
            <w:pPr>
              <w:pStyle w:val="TableParagraph"/>
              <w:spacing w:line="236" w:lineRule="exact"/>
            </w:pPr>
            <w:r>
              <w:rPr>
                <w:spacing w:val="-2"/>
                <w:w w:val="115"/>
              </w:rPr>
              <w:t>Esterilización</w:t>
            </w:r>
          </w:p>
        </w:tc>
        <w:tc>
          <w:tcPr>
            <w:tcW w:w="1132" w:type="dxa"/>
            <w:tcBorders>
              <w:top w:val="single" w:sz="4" w:space="0" w:color="000000"/>
              <w:left w:val="single" w:sz="4" w:space="0" w:color="000000"/>
              <w:bottom w:val="single" w:sz="4" w:space="0" w:color="000000"/>
              <w:right w:val="single" w:sz="4" w:space="0" w:color="000000"/>
            </w:tcBorders>
          </w:tcPr>
          <w:p w14:paraId="231EA1F6" w14:textId="77777777" w:rsidR="00D3344B" w:rsidRDefault="00143C25">
            <w:pPr>
              <w:pStyle w:val="TableParagraph"/>
              <w:spacing w:line="236" w:lineRule="exact"/>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69381B67" w14:textId="77777777" w:rsidR="00D3344B" w:rsidRDefault="00143C25">
            <w:pPr>
              <w:pStyle w:val="TableParagraph"/>
              <w:spacing w:line="236" w:lineRule="exact"/>
              <w:ind w:left="3"/>
            </w:pPr>
            <w:r>
              <w:rPr>
                <w:spacing w:val="-5"/>
                <w:w w:val="125"/>
              </w:rPr>
              <w:t>1.5</w:t>
            </w:r>
          </w:p>
        </w:tc>
        <w:tc>
          <w:tcPr>
            <w:tcW w:w="1321" w:type="dxa"/>
            <w:tcBorders>
              <w:top w:val="single" w:sz="4" w:space="0" w:color="000000"/>
              <w:left w:val="single" w:sz="4" w:space="0" w:color="000000"/>
              <w:bottom w:val="single" w:sz="4" w:space="0" w:color="000000"/>
              <w:right w:val="single" w:sz="4" w:space="0" w:color="000000"/>
            </w:tcBorders>
          </w:tcPr>
          <w:p w14:paraId="288031BC" w14:textId="77777777" w:rsidR="00D3344B" w:rsidRDefault="00143C25">
            <w:pPr>
              <w:pStyle w:val="TableParagraph"/>
              <w:spacing w:line="236" w:lineRule="exact"/>
              <w:ind w:left="2"/>
            </w:pPr>
            <w:r>
              <w:rPr>
                <w:w w:val="108"/>
              </w:rPr>
              <w:t>2</w:t>
            </w:r>
          </w:p>
        </w:tc>
      </w:tr>
      <w:tr w:rsidR="00D3344B" w14:paraId="17C032AE" w14:textId="77777777">
        <w:trPr>
          <w:trHeight w:val="258"/>
        </w:trPr>
        <w:tc>
          <w:tcPr>
            <w:tcW w:w="707" w:type="dxa"/>
            <w:tcBorders>
              <w:top w:val="single" w:sz="4" w:space="0" w:color="000000"/>
              <w:left w:val="single" w:sz="4" w:space="0" w:color="000000"/>
              <w:bottom w:val="single" w:sz="4" w:space="0" w:color="000000"/>
              <w:right w:val="single" w:sz="4" w:space="0" w:color="000000"/>
            </w:tcBorders>
          </w:tcPr>
          <w:p w14:paraId="0D12F586" w14:textId="77777777" w:rsidR="00D3344B" w:rsidRDefault="00143C25">
            <w:pPr>
              <w:pStyle w:val="TableParagraph"/>
              <w:spacing w:line="239" w:lineRule="exact"/>
            </w:pPr>
            <w:r>
              <w:rPr>
                <w:spacing w:val="-5"/>
                <w:w w:val="130"/>
              </w:rPr>
              <w:t>6.</w:t>
            </w:r>
          </w:p>
        </w:tc>
        <w:tc>
          <w:tcPr>
            <w:tcW w:w="4356" w:type="dxa"/>
            <w:tcBorders>
              <w:top w:val="single" w:sz="4" w:space="0" w:color="000000"/>
              <w:left w:val="single" w:sz="4" w:space="0" w:color="000000"/>
              <w:bottom w:val="single" w:sz="4" w:space="0" w:color="000000"/>
              <w:right w:val="single" w:sz="4" w:space="0" w:color="000000"/>
            </w:tcBorders>
          </w:tcPr>
          <w:p w14:paraId="2B61C9D5" w14:textId="77777777" w:rsidR="00D3344B" w:rsidRDefault="00143C25">
            <w:pPr>
              <w:pStyle w:val="TableParagraph"/>
              <w:spacing w:line="239" w:lineRule="exact"/>
            </w:pPr>
            <w:r>
              <w:rPr>
                <w:w w:val="110"/>
              </w:rPr>
              <w:t>Test</w:t>
            </w:r>
            <w:r>
              <w:rPr>
                <w:spacing w:val="25"/>
                <w:w w:val="110"/>
              </w:rPr>
              <w:t xml:space="preserve"> </w:t>
            </w:r>
            <w:r>
              <w:rPr>
                <w:w w:val="110"/>
              </w:rPr>
              <w:t>Básico</w:t>
            </w:r>
            <w:r>
              <w:rPr>
                <w:spacing w:val="23"/>
                <w:w w:val="110"/>
              </w:rPr>
              <w:t xml:space="preserve"> </w:t>
            </w:r>
            <w:r>
              <w:rPr>
                <w:spacing w:val="-4"/>
                <w:w w:val="110"/>
              </w:rPr>
              <w:t>viral</w:t>
            </w:r>
          </w:p>
        </w:tc>
        <w:tc>
          <w:tcPr>
            <w:tcW w:w="1132" w:type="dxa"/>
            <w:tcBorders>
              <w:top w:val="single" w:sz="4" w:space="0" w:color="000000"/>
              <w:left w:val="single" w:sz="4" w:space="0" w:color="000000"/>
              <w:bottom w:val="single" w:sz="4" w:space="0" w:color="000000"/>
              <w:right w:val="single" w:sz="4" w:space="0" w:color="000000"/>
            </w:tcBorders>
          </w:tcPr>
          <w:p w14:paraId="6188B40A" w14:textId="77777777" w:rsidR="00D3344B" w:rsidRDefault="00143C25">
            <w:pPr>
              <w:pStyle w:val="TableParagraph"/>
              <w:spacing w:line="239" w:lineRule="exact"/>
            </w:pPr>
            <w:r>
              <w:rPr>
                <w:w w:val="108"/>
              </w:rPr>
              <w:t>2</w:t>
            </w:r>
          </w:p>
        </w:tc>
        <w:tc>
          <w:tcPr>
            <w:tcW w:w="1180" w:type="dxa"/>
            <w:tcBorders>
              <w:top w:val="single" w:sz="4" w:space="0" w:color="000000"/>
              <w:left w:val="single" w:sz="4" w:space="0" w:color="000000"/>
              <w:bottom w:val="single" w:sz="4" w:space="0" w:color="000000"/>
              <w:right w:val="single" w:sz="4" w:space="0" w:color="000000"/>
            </w:tcBorders>
          </w:tcPr>
          <w:p w14:paraId="546FBE4C" w14:textId="77777777" w:rsidR="00D3344B" w:rsidRDefault="00143C25">
            <w:pPr>
              <w:pStyle w:val="TableParagraph"/>
              <w:spacing w:line="239" w:lineRule="exact"/>
              <w:ind w:left="3"/>
            </w:pPr>
            <w:r>
              <w:rPr>
                <w:w w:val="108"/>
              </w:rPr>
              <w:t>3</w:t>
            </w:r>
          </w:p>
        </w:tc>
        <w:tc>
          <w:tcPr>
            <w:tcW w:w="1321" w:type="dxa"/>
            <w:tcBorders>
              <w:top w:val="single" w:sz="4" w:space="0" w:color="000000"/>
              <w:left w:val="single" w:sz="4" w:space="0" w:color="000000"/>
              <w:bottom w:val="single" w:sz="4" w:space="0" w:color="000000"/>
              <w:right w:val="single" w:sz="4" w:space="0" w:color="000000"/>
            </w:tcBorders>
          </w:tcPr>
          <w:p w14:paraId="5DE43B34" w14:textId="77777777" w:rsidR="00D3344B" w:rsidRDefault="00143C25">
            <w:pPr>
              <w:pStyle w:val="TableParagraph"/>
              <w:spacing w:line="239" w:lineRule="exact"/>
              <w:ind w:left="2"/>
            </w:pPr>
            <w:r>
              <w:rPr>
                <w:w w:val="108"/>
              </w:rPr>
              <w:t>4</w:t>
            </w:r>
          </w:p>
        </w:tc>
      </w:tr>
      <w:tr w:rsidR="00D3344B" w14:paraId="623DE54C" w14:textId="77777777">
        <w:trPr>
          <w:trHeight w:val="256"/>
        </w:trPr>
        <w:tc>
          <w:tcPr>
            <w:tcW w:w="707" w:type="dxa"/>
            <w:tcBorders>
              <w:top w:val="single" w:sz="4" w:space="0" w:color="000000"/>
              <w:left w:val="single" w:sz="4" w:space="0" w:color="000000"/>
              <w:bottom w:val="single" w:sz="4" w:space="0" w:color="000000"/>
              <w:right w:val="single" w:sz="4" w:space="0" w:color="000000"/>
            </w:tcBorders>
          </w:tcPr>
          <w:p w14:paraId="4364E932" w14:textId="77777777" w:rsidR="00D3344B" w:rsidRDefault="00143C25">
            <w:pPr>
              <w:pStyle w:val="TableParagraph"/>
              <w:spacing w:line="236" w:lineRule="exact"/>
            </w:pPr>
            <w:r>
              <w:rPr>
                <w:spacing w:val="-5"/>
                <w:w w:val="130"/>
              </w:rPr>
              <w:t>7.</w:t>
            </w:r>
          </w:p>
        </w:tc>
        <w:tc>
          <w:tcPr>
            <w:tcW w:w="4356" w:type="dxa"/>
            <w:tcBorders>
              <w:top w:val="single" w:sz="4" w:space="0" w:color="000000"/>
              <w:left w:val="single" w:sz="4" w:space="0" w:color="000000"/>
              <w:bottom w:val="single" w:sz="4" w:space="0" w:color="000000"/>
              <w:right w:val="single" w:sz="4" w:space="0" w:color="000000"/>
            </w:tcBorders>
          </w:tcPr>
          <w:p w14:paraId="1152EE8C" w14:textId="77777777" w:rsidR="00D3344B" w:rsidRDefault="00143C25">
            <w:pPr>
              <w:pStyle w:val="TableParagraph"/>
              <w:spacing w:line="236" w:lineRule="exact"/>
            </w:pPr>
            <w:r>
              <w:rPr>
                <w:w w:val="110"/>
              </w:rPr>
              <w:t>Cuadro</w:t>
            </w:r>
            <w:r>
              <w:rPr>
                <w:spacing w:val="14"/>
                <w:w w:val="110"/>
              </w:rPr>
              <w:t xml:space="preserve"> </w:t>
            </w:r>
            <w:r>
              <w:rPr>
                <w:w w:val="110"/>
              </w:rPr>
              <w:t>de</w:t>
            </w:r>
            <w:r>
              <w:rPr>
                <w:spacing w:val="13"/>
                <w:w w:val="110"/>
              </w:rPr>
              <w:t xml:space="preserve"> </w:t>
            </w:r>
            <w:r>
              <w:rPr>
                <w:spacing w:val="-2"/>
                <w:w w:val="110"/>
              </w:rPr>
              <w:t>desparasitación</w:t>
            </w:r>
          </w:p>
        </w:tc>
        <w:tc>
          <w:tcPr>
            <w:tcW w:w="1132" w:type="dxa"/>
            <w:tcBorders>
              <w:top w:val="single" w:sz="4" w:space="0" w:color="000000"/>
              <w:left w:val="single" w:sz="4" w:space="0" w:color="000000"/>
              <w:bottom w:val="single" w:sz="4" w:space="0" w:color="000000"/>
              <w:right w:val="single" w:sz="4" w:space="0" w:color="000000"/>
            </w:tcBorders>
          </w:tcPr>
          <w:p w14:paraId="359619FF" w14:textId="77777777" w:rsidR="00D3344B" w:rsidRDefault="00143C25">
            <w:pPr>
              <w:pStyle w:val="TableParagraph"/>
              <w:spacing w:line="236" w:lineRule="exact"/>
            </w:pPr>
            <w:r>
              <w:rPr>
                <w:spacing w:val="-4"/>
                <w:w w:val="120"/>
              </w:rPr>
              <w:t>0.25</w:t>
            </w:r>
          </w:p>
        </w:tc>
        <w:tc>
          <w:tcPr>
            <w:tcW w:w="1180" w:type="dxa"/>
            <w:tcBorders>
              <w:top w:val="single" w:sz="4" w:space="0" w:color="000000"/>
              <w:left w:val="single" w:sz="4" w:space="0" w:color="000000"/>
              <w:bottom w:val="single" w:sz="4" w:space="0" w:color="000000"/>
              <w:right w:val="single" w:sz="4" w:space="0" w:color="000000"/>
            </w:tcBorders>
          </w:tcPr>
          <w:p w14:paraId="5A701AC2" w14:textId="77777777" w:rsidR="00D3344B" w:rsidRDefault="00143C25">
            <w:pPr>
              <w:pStyle w:val="TableParagraph"/>
              <w:spacing w:line="236" w:lineRule="exact"/>
              <w:ind w:left="3"/>
            </w:pPr>
            <w:r>
              <w:rPr>
                <w:w w:val="108"/>
              </w:rPr>
              <w:t>1</w:t>
            </w:r>
          </w:p>
        </w:tc>
        <w:tc>
          <w:tcPr>
            <w:tcW w:w="1321" w:type="dxa"/>
            <w:tcBorders>
              <w:top w:val="single" w:sz="4" w:space="0" w:color="000000"/>
              <w:left w:val="single" w:sz="4" w:space="0" w:color="000000"/>
              <w:bottom w:val="single" w:sz="4" w:space="0" w:color="000000"/>
              <w:right w:val="single" w:sz="4" w:space="0" w:color="000000"/>
            </w:tcBorders>
          </w:tcPr>
          <w:p w14:paraId="19BF7D7D" w14:textId="77777777" w:rsidR="00D3344B" w:rsidRDefault="00143C25">
            <w:pPr>
              <w:pStyle w:val="TableParagraph"/>
              <w:spacing w:line="236" w:lineRule="exact"/>
              <w:ind w:left="2"/>
            </w:pPr>
            <w:r>
              <w:rPr>
                <w:spacing w:val="-4"/>
                <w:w w:val="120"/>
              </w:rPr>
              <w:t>1.25</w:t>
            </w:r>
          </w:p>
        </w:tc>
      </w:tr>
      <w:tr w:rsidR="00D3344B" w14:paraId="1FBCA8CE" w14:textId="77777777">
        <w:trPr>
          <w:trHeight w:val="256"/>
        </w:trPr>
        <w:tc>
          <w:tcPr>
            <w:tcW w:w="707" w:type="dxa"/>
            <w:tcBorders>
              <w:top w:val="single" w:sz="4" w:space="0" w:color="000000"/>
              <w:left w:val="single" w:sz="4" w:space="0" w:color="000000"/>
              <w:bottom w:val="single" w:sz="4" w:space="0" w:color="000000"/>
              <w:right w:val="single" w:sz="4" w:space="0" w:color="000000"/>
            </w:tcBorders>
          </w:tcPr>
          <w:p w14:paraId="7B9279FC" w14:textId="77777777" w:rsidR="00D3344B" w:rsidRDefault="00143C25">
            <w:pPr>
              <w:pStyle w:val="TableParagraph"/>
              <w:spacing w:line="236" w:lineRule="exact"/>
            </w:pPr>
            <w:r>
              <w:rPr>
                <w:spacing w:val="-5"/>
                <w:w w:val="130"/>
              </w:rPr>
              <w:t>8.</w:t>
            </w:r>
          </w:p>
        </w:tc>
        <w:tc>
          <w:tcPr>
            <w:tcW w:w="4356" w:type="dxa"/>
            <w:tcBorders>
              <w:top w:val="single" w:sz="4" w:space="0" w:color="000000"/>
              <w:left w:val="single" w:sz="4" w:space="0" w:color="000000"/>
              <w:bottom w:val="single" w:sz="4" w:space="0" w:color="000000"/>
              <w:right w:val="single" w:sz="4" w:space="0" w:color="000000"/>
            </w:tcBorders>
          </w:tcPr>
          <w:p w14:paraId="3D5EAF89" w14:textId="77777777" w:rsidR="00D3344B" w:rsidRDefault="00143C25">
            <w:pPr>
              <w:pStyle w:val="TableParagraph"/>
              <w:spacing w:line="236" w:lineRule="exact"/>
            </w:pPr>
            <w:r>
              <w:rPr>
                <w:w w:val="110"/>
              </w:rPr>
              <w:t>Desparasitante</w:t>
            </w:r>
            <w:r>
              <w:rPr>
                <w:spacing w:val="9"/>
                <w:w w:val="110"/>
              </w:rPr>
              <w:t xml:space="preserve"> </w:t>
            </w:r>
            <w:r>
              <w:rPr>
                <w:spacing w:val="-2"/>
                <w:w w:val="110"/>
              </w:rPr>
              <w:t>interno</w:t>
            </w:r>
          </w:p>
        </w:tc>
        <w:tc>
          <w:tcPr>
            <w:tcW w:w="1132" w:type="dxa"/>
            <w:tcBorders>
              <w:top w:val="single" w:sz="4" w:space="0" w:color="000000"/>
              <w:left w:val="single" w:sz="4" w:space="0" w:color="000000"/>
              <w:bottom w:val="single" w:sz="4" w:space="0" w:color="000000"/>
              <w:right w:val="single" w:sz="4" w:space="0" w:color="000000"/>
            </w:tcBorders>
          </w:tcPr>
          <w:p w14:paraId="7480DF53" w14:textId="77777777" w:rsidR="00D3344B" w:rsidRDefault="00143C25">
            <w:pPr>
              <w:pStyle w:val="TableParagraph"/>
              <w:spacing w:line="236" w:lineRule="exact"/>
            </w:pPr>
            <w:r>
              <w:rPr>
                <w:spacing w:val="-4"/>
                <w:w w:val="120"/>
              </w:rPr>
              <w:t>0.25</w:t>
            </w:r>
          </w:p>
        </w:tc>
        <w:tc>
          <w:tcPr>
            <w:tcW w:w="1180" w:type="dxa"/>
            <w:tcBorders>
              <w:top w:val="single" w:sz="4" w:space="0" w:color="000000"/>
              <w:left w:val="single" w:sz="4" w:space="0" w:color="000000"/>
              <w:bottom w:val="single" w:sz="4" w:space="0" w:color="000000"/>
              <w:right w:val="single" w:sz="4" w:space="0" w:color="000000"/>
            </w:tcBorders>
          </w:tcPr>
          <w:p w14:paraId="0F047B13" w14:textId="77777777" w:rsidR="00D3344B" w:rsidRDefault="00143C25">
            <w:pPr>
              <w:pStyle w:val="TableParagraph"/>
              <w:spacing w:line="236" w:lineRule="exact"/>
              <w:ind w:left="3"/>
            </w:pPr>
            <w:r>
              <w:rPr>
                <w:spacing w:val="-4"/>
                <w:w w:val="120"/>
              </w:rPr>
              <w:t>0.50</w:t>
            </w:r>
          </w:p>
        </w:tc>
        <w:tc>
          <w:tcPr>
            <w:tcW w:w="1321" w:type="dxa"/>
            <w:tcBorders>
              <w:top w:val="single" w:sz="4" w:space="0" w:color="000000"/>
              <w:left w:val="single" w:sz="4" w:space="0" w:color="000000"/>
              <w:bottom w:val="single" w:sz="4" w:space="0" w:color="000000"/>
              <w:right w:val="single" w:sz="4" w:space="0" w:color="000000"/>
            </w:tcBorders>
          </w:tcPr>
          <w:p w14:paraId="39F24E8F" w14:textId="77777777" w:rsidR="00D3344B" w:rsidRDefault="00143C25">
            <w:pPr>
              <w:pStyle w:val="TableParagraph"/>
              <w:spacing w:line="236" w:lineRule="exact"/>
              <w:ind w:left="2"/>
            </w:pPr>
            <w:r>
              <w:rPr>
                <w:w w:val="108"/>
              </w:rPr>
              <w:t>1</w:t>
            </w:r>
          </w:p>
        </w:tc>
      </w:tr>
      <w:tr w:rsidR="00D3344B" w14:paraId="12955192" w14:textId="77777777">
        <w:trPr>
          <w:trHeight w:val="258"/>
        </w:trPr>
        <w:tc>
          <w:tcPr>
            <w:tcW w:w="707" w:type="dxa"/>
            <w:tcBorders>
              <w:top w:val="single" w:sz="4" w:space="0" w:color="000000"/>
              <w:left w:val="single" w:sz="4" w:space="0" w:color="000000"/>
              <w:bottom w:val="single" w:sz="4" w:space="0" w:color="000000"/>
              <w:right w:val="single" w:sz="4" w:space="0" w:color="000000"/>
            </w:tcBorders>
          </w:tcPr>
          <w:p w14:paraId="23A4AD0C" w14:textId="77777777" w:rsidR="00D3344B" w:rsidRDefault="00143C25">
            <w:pPr>
              <w:pStyle w:val="TableParagraph"/>
              <w:spacing w:before="1" w:line="238" w:lineRule="exact"/>
            </w:pPr>
            <w:r>
              <w:rPr>
                <w:spacing w:val="-5"/>
                <w:w w:val="130"/>
              </w:rPr>
              <w:t>9.</w:t>
            </w:r>
          </w:p>
        </w:tc>
        <w:tc>
          <w:tcPr>
            <w:tcW w:w="4356" w:type="dxa"/>
            <w:tcBorders>
              <w:top w:val="single" w:sz="4" w:space="0" w:color="000000"/>
              <w:left w:val="single" w:sz="4" w:space="0" w:color="000000"/>
              <w:bottom w:val="single" w:sz="4" w:space="0" w:color="000000"/>
              <w:right w:val="single" w:sz="4" w:space="0" w:color="000000"/>
            </w:tcBorders>
          </w:tcPr>
          <w:p w14:paraId="7F8F6066" w14:textId="77777777" w:rsidR="00D3344B" w:rsidRDefault="00143C25">
            <w:pPr>
              <w:pStyle w:val="TableParagraph"/>
              <w:spacing w:before="1" w:line="238" w:lineRule="exact"/>
            </w:pPr>
            <w:r>
              <w:rPr>
                <w:w w:val="110"/>
              </w:rPr>
              <w:t>Desparasitante</w:t>
            </w:r>
            <w:r>
              <w:rPr>
                <w:spacing w:val="12"/>
                <w:w w:val="110"/>
              </w:rPr>
              <w:t xml:space="preserve"> </w:t>
            </w:r>
            <w:r>
              <w:rPr>
                <w:spacing w:val="-2"/>
                <w:w w:val="110"/>
              </w:rPr>
              <w:t>externo</w:t>
            </w:r>
          </w:p>
        </w:tc>
        <w:tc>
          <w:tcPr>
            <w:tcW w:w="1132" w:type="dxa"/>
            <w:tcBorders>
              <w:top w:val="single" w:sz="4" w:space="0" w:color="000000"/>
              <w:left w:val="single" w:sz="4" w:space="0" w:color="000000"/>
              <w:bottom w:val="single" w:sz="4" w:space="0" w:color="000000"/>
              <w:right w:val="single" w:sz="4" w:space="0" w:color="000000"/>
            </w:tcBorders>
          </w:tcPr>
          <w:p w14:paraId="3A722E5A" w14:textId="77777777" w:rsidR="00D3344B" w:rsidRDefault="00143C25">
            <w:pPr>
              <w:pStyle w:val="TableParagraph"/>
              <w:spacing w:before="1" w:line="238" w:lineRule="exact"/>
            </w:pPr>
            <w:r>
              <w:rPr>
                <w:spacing w:val="-4"/>
                <w:w w:val="120"/>
              </w:rPr>
              <w:t>0.15</w:t>
            </w:r>
          </w:p>
        </w:tc>
        <w:tc>
          <w:tcPr>
            <w:tcW w:w="1180" w:type="dxa"/>
            <w:tcBorders>
              <w:top w:val="single" w:sz="4" w:space="0" w:color="000000"/>
              <w:left w:val="single" w:sz="4" w:space="0" w:color="000000"/>
              <w:bottom w:val="single" w:sz="4" w:space="0" w:color="000000"/>
              <w:right w:val="single" w:sz="4" w:space="0" w:color="000000"/>
            </w:tcBorders>
          </w:tcPr>
          <w:p w14:paraId="496911EE" w14:textId="77777777" w:rsidR="00D3344B" w:rsidRDefault="00143C25">
            <w:pPr>
              <w:pStyle w:val="TableParagraph"/>
              <w:spacing w:before="1" w:line="238" w:lineRule="exact"/>
              <w:ind w:left="3"/>
            </w:pPr>
            <w:r>
              <w:rPr>
                <w:spacing w:val="-4"/>
                <w:w w:val="120"/>
              </w:rPr>
              <w:t>0.25</w:t>
            </w:r>
          </w:p>
        </w:tc>
        <w:tc>
          <w:tcPr>
            <w:tcW w:w="1321" w:type="dxa"/>
            <w:tcBorders>
              <w:top w:val="single" w:sz="4" w:space="0" w:color="000000"/>
              <w:left w:val="single" w:sz="4" w:space="0" w:color="000000"/>
              <w:bottom w:val="single" w:sz="4" w:space="0" w:color="000000"/>
              <w:right w:val="single" w:sz="4" w:space="0" w:color="000000"/>
            </w:tcBorders>
          </w:tcPr>
          <w:p w14:paraId="5EE1AC21" w14:textId="77777777" w:rsidR="00D3344B" w:rsidRDefault="00143C25">
            <w:pPr>
              <w:pStyle w:val="TableParagraph"/>
              <w:spacing w:before="1" w:line="238" w:lineRule="exact"/>
              <w:ind w:left="2"/>
            </w:pPr>
            <w:r>
              <w:rPr>
                <w:spacing w:val="-4"/>
                <w:w w:val="120"/>
              </w:rPr>
              <w:t>0.50</w:t>
            </w:r>
          </w:p>
        </w:tc>
      </w:tr>
      <w:tr w:rsidR="00D3344B" w14:paraId="0870E008" w14:textId="77777777">
        <w:trPr>
          <w:trHeight w:val="258"/>
        </w:trPr>
        <w:tc>
          <w:tcPr>
            <w:tcW w:w="707" w:type="dxa"/>
            <w:tcBorders>
              <w:top w:val="single" w:sz="4" w:space="0" w:color="000000"/>
              <w:left w:val="single" w:sz="4" w:space="0" w:color="000000"/>
              <w:bottom w:val="single" w:sz="4" w:space="0" w:color="000000"/>
              <w:right w:val="single" w:sz="4" w:space="0" w:color="000000"/>
            </w:tcBorders>
          </w:tcPr>
          <w:p w14:paraId="056710E1" w14:textId="77777777" w:rsidR="00D3344B" w:rsidRDefault="00143C25">
            <w:pPr>
              <w:pStyle w:val="TableParagraph"/>
              <w:spacing w:line="239" w:lineRule="exact"/>
            </w:pPr>
            <w:r>
              <w:rPr>
                <w:spacing w:val="-5"/>
                <w:w w:val="125"/>
              </w:rPr>
              <w:t>10.</w:t>
            </w:r>
          </w:p>
        </w:tc>
        <w:tc>
          <w:tcPr>
            <w:tcW w:w="4356" w:type="dxa"/>
            <w:tcBorders>
              <w:top w:val="single" w:sz="4" w:space="0" w:color="000000"/>
              <w:left w:val="single" w:sz="4" w:space="0" w:color="000000"/>
              <w:bottom w:val="single" w:sz="4" w:space="0" w:color="000000"/>
              <w:right w:val="single" w:sz="4" w:space="0" w:color="000000"/>
            </w:tcBorders>
          </w:tcPr>
          <w:p w14:paraId="5DFF3C1D" w14:textId="77777777" w:rsidR="00D3344B" w:rsidRDefault="00143C25">
            <w:pPr>
              <w:pStyle w:val="TableParagraph"/>
              <w:spacing w:line="239" w:lineRule="exact"/>
            </w:pPr>
            <w:r>
              <w:rPr>
                <w:w w:val="115"/>
              </w:rPr>
              <w:t>Estudios</w:t>
            </w:r>
            <w:r>
              <w:rPr>
                <w:spacing w:val="-10"/>
                <w:w w:val="115"/>
              </w:rPr>
              <w:t xml:space="preserve"> </w:t>
            </w:r>
            <w:r>
              <w:rPr>
                <w:w w:val="115"/>
              </w:rPr>
              <w:t>de</w:t>
            </w:r>
            <w:r>
              <w:rPr>
                <w:spacing w:val="-10"/>
                <w:w w:val="115"/>
              </w:rPr>
              <w:t xml:space="preserve"> </w:t>
            </w:r>
            <w:r>
              <w:rPr>
                <w:w w:val="115"/>
              </w:rPr>
              <w:t>rayos</w:t>
            </w:r>
            <w:r>
              <w:rPr>
                <w:spacing w:val="-6"/>
                <w:w w:val="115"/>
              </w:rPr>
              <w:t xml:space="preserve"> </w:t>
            </w:r>
            <w:r>
              <w:rPr>
                <w:spacing w:val="-10"/>
                <w:w w:val="115"/>
              </w:rPr>
              <w:t>X</w:t>
            </w:r>
          </w:p>
        </w:tc>
        <w:tc>
          <w:tcPr>
            <w:tcW w:w="1132" w:type="dxa"/>
            <w:tcBorders>
              <w:top w:val="single" w:sz="4" w:space="0" w:color="000000"/>
              <w:left w:val="single" w:sz="4" w:space="0" w:color="000000"/>
              <w:bottom w:val="single" w:sz="4" w:space="0" w:color="000000"/>
              <w:right w:val="single" w:sz="4" w:space="0" w:color="000000"/>
            </w:tcBorders>
          </w:tcPr>
          <w:p w14:paraId="23B1FD1A" w14:textId="77777777" w:rsidR="00D3344B" w:rsidRDefault="00143C25">
            <w:pPr>
              <w:pStyle w:val="TableParagraph"/>
              <w:spacing w:line="239" w:lineRule="exact"/>
            </w:pPr>
            <w:r>
              <w:rPr>
                <w:w w:val="108"/>
              </w:rPr>
              <w:t>3</w:t>
            </w:r>
          </w:p>
        </w:tc>
        <w:tc>
          <w:tcPr>
            <w:tcW w:w="1180" w:type="dxa"/>
            <w:tcBorders>
              <w:top w:val="single" w:sz="4" w:space="0" w:color="000000"/>
              <w:left w:val="single" w:sz="4" w:space="0" w:color="000000"/>
              <w:bottom w:val="single" w:sz="4" w:space="0" w:color="000000"/>
              <w:right w:val="single" w:sz="4" w:space="0" w:color="000000"/>
            </w:tcBorders>
          </w:tcPr>
          <w:p w14:paraId="7E479CBE" w14:textId="77777777" w:rsidR="00D3344B" w:rsidRDefault="00143C25">
            <w:pPr>
              <w:pStyle w:val="TableParagraph"/>
              <w:spacing w:line="239" w:lineRule="exact"/>
              <w:ind w:left="3"/>
            </w:pPr>
            <w:r>
              <w:rPr>
                <w:spacing w:val="-4"/>
                <w:w w:val="120"/>
              </w:rPr>
              <w:t>3.25</w:t>
            </w:r>
          </w:p>
        </w:tc>
        <w:tc>
          <w:tcPr>
            <w:tcW w:w="1321" w:type="dxa"/>
            <w:tcBorders>
              <w:top w:val="single" w:sz="4" w:space="0" w:color="000000"/>
              <w:left w:val="single" w:sz="4" w:space="0" w:color="000000"/>
              <w:bottom w:val="single" w:sz="4" w:space="0" w:color="000000"/>
              <w:right w:val="single" w:sz="4" w:space="0" w:color="000000"/>
            </w:tcBorders>
          </w:tcPr>
          <w:p w14:paraId="1C551E1C" w14:textId="77777777" w:rsidR="00D3344B" w:rsidRDefault="00143C25">
            <w:pPr>
              <w:pStyle w:val="TableParagraph"/>
              <w:spacing w:line="239" w:lineRule="exact"/>
              <w:ind w:left="2"/>
            </w:pPr>
            <w:r>
              <w:rPr>
                <w:spacing w:val="-4"/>
                <w:w w:val="120"/>
              </w:rPr>
              <w:t>3.75</w:t>
            </w:r>
          </w:p>
        </w:tc>
      </w:tr>
      <w:tr w:rsidR="00D3344B" w14:paraId="02E445AD" w14:textId="77777777">
        <w:trPr>
          <w:trHeight w:val="328"/>
        </w:trPr>
        <w:tc>
          <w:tcPr>
            <w:tcW w:w="707" w:type="dxa"/>
            <w:tcBorders>
              <w:top w:val="single" w:sz="4" w:space="0" w:color="000000"/>
              <w:left w:val="single" w:sz="4" w:space="0" w:color="000000"/>
              <w:bottom w:val="single" w:sz="4" w:space="0" w:color="000000"/>
              <w:right w:val="single" w:sz="4" w:space="0" w:color="000000"/>
            </w:tcBorders>
          </w:tcPr>
          <w:p w14:paraId="6D4F4DCC" w14:textId="77777777" w:rsidR="00D3344B" w:rsidRDefault="00143C25">
            <w:pPr>
              <w:pStyle w:val="TableParagraph"/>
            </w:pPr>
            <w:r>
              <w:rPr>
                <w:spacing w:val="-5"/>
                <w:w w:val="125"/>
              </w:rPr>
              <w:t>11.</w:t>
            </w:r>
          </w:p>
        </w:tc>
        <w:tc>
          <w:tcPr>
            <w:tcW w:w="4356" w:type="dxa"/>
            <w:tcBorders>
              <w:top w:val="single" w:sz="4" w:space="0" w:color="000000"/>
              <w:left w:val="single" w:sz="4" w:space="0" w:color="000000"/>
              <w:bottom w:val="single" w:sz="4" w:space="0" w:color="000000"/>
              <w:right w:val="single" w:sz="4" w:space="0" w:color="000000"/>
            </w:tcBorders>
          </w:tcPr>
          <w:p w14:paraId="16688279" w14:textId="77777777" w:rsidR="00D3344B" w:rsidRDefault="00143C25">
            <w:pPr>
              <w:pStyle w:val="TableParagraph"/>
            </w:pPr>
            <w:r>
              <w:rPr>
                <w:spacing w:val="-2"/>
                <w:w w:val="110"/>
              </w:rPr>
              <w:t>Ultrasonido</w:t>
            </w:r>
          </w:p>
        </w:tc>
        <w:tc>
          <w:tcPr>
            <w:tcW w:w="1132" w:type="dxa"/>
            <w:tcBorders>
              <w:top w:val="single" w:sz="4" w:space="0" w:color="000000"/>
              <w:left w:val="single" w:sz="4" w:space="0" w:color="000000"/>
              <w:bottom w:val="single" w:sz="4" w:space="0" w:color="000000"/>
              <w:right w:val="single" w:sz="4" w:space="0" w:color="000000"/>
            </w:tcBorders>
          </w:tcPr>
          <w:p w14:paraId="42621D12" w14:textId="77777777" w:rsidR="00D3344B" w:rsidRDefault="00143C25">
            <w:pPr>
              <w:pStyle w:val="TableParagraph"/>
            </w:pPr>
            <w:r>
              <w:rPr>
                <w:spacing w:val="-5"/>
                <w:w w:val="125"/>
              </w:rPr>
              <w:t>2.5</w:t>
            </w:r>
          </w:p>
        </w:tc>
        <w:tc>
          <w:tcPr>
            <w:tcW w:w="1180" w:type="dxa"/>
            <w:tcBorders>
              <w:top w:val="single" w:sz="4" w:space="0" w:color="000000"/>
              <w:left w:val="single" w:sz="4" w:space="0" w:color="000000"/>
              <w:bottom w:val="single" w:sz="4" w:space="0" w:color="000000"/>
              <w:right w:val="single" w:sz="4" w:space="0" w:color="000000"/>
            </w:tcBorders>
          </w:tcPr>
          <w:p w14:paraId="49020F75" w14:textId="77777777" w:rsidR="00D3344B" w:rsidRDefault="00143C25">
            <w:pPr>
              <w:pStyle w:val="TableParagraph"/>
              <w:ind w:left="3"/>
            </w:pPr>
            <w:r>
              <w:rPr>
                <w:spacing w:val="-5"/>
                <w:w w:val="125"/>
              </w:rPr>
              <w:t>2.5</w:t>
            </w:r>
          </w:p>
        </w:tc>
        <w:tc>
          <w:tcPr>
            <w:tcW w:w="1321" w:type="dxa"/>
            <w:tcBorders>
              <w:top w:val="single" w:sz="4" w:space="0" w:color="000000"/>
              <w:left w:val="single" w:sz="4" w:space="0" w:color="000000"/>
              <w:bottom w:val="single" w:sz="4" w:space="0" w:color="000000"/>
              <w:right w:val="single" w:sz="4" w:space="0" w:color="000000"/>
            </w:tcBorders>
          </w:tcPr>
          <w:p w14:paraId="6F17E620" w14:textId="77777777" w:rsidR="00D3344B" w:rsidRDefault="00143C25">
            <w:pPr>
              <w:pStyle w:val="TableParagraph"/>
              <w:ind w:left="2"/>
            </w:pPr>
            <w:r>
              <w:rPr>
                <w:spacing w:val="-5"/>
                <w:w w:val="125"/>
              </w:rPr>
              <w:t>2.5</w:t>
            </w:r>
          </w:p>
        </w:tc>
      </w:tr>
      <w:tr w:rsidR="00D3344B" w14:paraId="2B8BBA83" w14:textId="77777777">
        <w:trPr>
          <w:trHeight w:val="374"/>
        </w:trPr>
        <w:tc>
          <w:tcPr>
            <w:tcW w:w="707" w:type="dxa"/>
            <w:tcBorders>
              <w:top w:val="single" w:sz="4" w:space="0" w:color="000000"/>
              <w:left w:val="single" w:sz="4" w:space="0" w:color="000000"/>
              <w:bottom w:val="single" w:sz="4" w:space="0" w:color="000000"/>
              <w:right w:val="single" w:sz="4" w:space="0" w:color="000000"/>
            </w:tcBorders>
          </w:tcPr>
          <w:p w14:paraId="0A51AEA1" w14:textId="77777777" w:rsidR="00D3344B" w:rsidRDefault="00143C25">
            <w:pPr>
              <w:pStyle w:val="TableParagraph"/>
            </w:pPr>
            <w:r>
              <w:rPr>
                <w:spacing w:val="-5"/>
                <w:w w:val="125"/>
              </w:rPr>
              <w:t>12.</w:t>
            </w:r>
          </w:p>
        </w:tc>
        <w:tc>
          <w:tcPr>
            <w:tcW w:w="4356" w:type="dxa"/>
            <w:tcBorders>
              <w:top w:val="single" w:sz="4" w:space="0" w:color="000000"/>
              <w:left w:val="single" w:sz="4" w:space="0" w:color="000000"/>
              <w:bottom w:val="single" w:sz="4" w:space="0" w:color="000000"/>
              <w:right w:val="single" w:sz="4" w:space="0" w:color="000000"/>
            </w:tcBorders>
          </w:tcPr>
          <w:p w14:paraId="7AA5137B" w14:textId="77777777" w:rsidR="00D3344B" w:rsidRDefault="00143C25">
            <w:pPr>
              <w:pStyle w:val="TableParagraph"/>
            </w:pPr>
            <w:r>
              <w:rPr>
                <w:spacing w:val="-2"/>
                <w:w w:val="115"/>
              </w:rPr>
              <w:t>Eutanasia</w:t>
            </w:r>
          </w:p>
        </w:tc>
        <w:tc>
          <w:tcPr>
            <w:tcW w:w="1132" w:type="dxa"/>
            <w:tcBorders>
              <w:top w:val="single" w:sz="4" w:space="0" w:color="000000"/>
              <w:left w:val="single" w:sz="4" w:space="0" w:color="000000"/>
              <w:bottom w:val="single" w:sz="4" w:space="0" w:color="000000"/>
              <w:right w:val="single" w:sz="4" w:space="0" w:color="000000"/>
            </w:tcBorders>
          </w:tcPr>
          <w:p w14:paraId="29E940F9" w14:textId="77777777" w:rsidR="00D3344B" w:rsidRDefault="00143C25">
            <w:pPr>
              <w:pStyle w:val="TableParagraph"/>
            </w:pPr>
            <w:r>
              <w:rPr>
                <w:spacing w:val="-5"/>
                <w:w w:val="125"/>
              </w:rPr>
              <w:t>1.5</w:t>
            </w:r>
          </w:p>
        </w:tc>
        <w:tc>
          <w:tcPr>
            <w:tcW w:w="1180" w:type="dxa"/>
            <w:tcBorders>
              <w:top w:val="single" w:sz="4" w:space="0" w:color="000000"/>
              <w:left w:val="single" w:sz="4" w:space="0" w:color="000000"/>
              <w:bottom w:val="single" w:sz="4" w:space="0" w:color="000000"/>
              <w:right w:val="single" w:sz="4" w:space="0" w:color="000000"/>
            </w:tcBorders>
          </w:tcPr>
          <w:p w14:paraId="746E5F5B" w14:textId="77777777" w:rsidR="00D3344B" w:rsidRDefault="00143C25">
            <w:pPr>
              <w:pStyle w:val="TableParagraph"/>
              <w:ind w:left="3"/>
            </w:pPr>
            <w:r>
              <w:rPr>
                <w:w w:val="108"/>
              </w:rPr>
              <w:t>2</w:t>
            </w:r>
          </w:p>
        </w:tc>
        <w:tc>
          <w:tcPr>
            <w:tcW w:w="1321" w:type="dxa"/>
            <w:tcBorders>
              <w:top w:val="single" w:sz="4" w:space="0" w:color="000000"/>
              <w:left w:val="single" w:sz="4" w:space="0" w:color="000000"/>
              <w:bottom w:val="single" w:sz="4" w:space="0" w:color="000000"/>
              <w:right w:val="single" w:sz="4" w:space="0" w:color="000000"/>
            </w:tcBorders>
          </w:tcPr>
          <w:p w14:paraId="494D0A2A" w14:textId="77777777" w:rsidR="00D3344B" w:rsidRDefault="00143C25">
            <w:pPr>
              <w:pStyle w:val="TableParagraph"/>
              <w:ind w:left="2"/>
            </w:pPr>
            <w:r>
              <w:rPr>
                <w:spacing w:val="-5"/>
                <w:w w:val="125"/>
              </w:rPr>
              <w:t>2.5</w:t>
            </w:r>
          </w:p>
        </w:tc>
      </w:tr>
      <w:tr w:rsidR="00D3344B" w14:paraId="149F8F9D" w14:textId="77777777">
        <w:trPr>
          <w:trHeight w:val="328"/>
        </w:trPr>
        <w:tc>
          <w:tcPr>
            <w:tcW w:w="707" w:type="dxa"/>
            <w:tcBorders>
              <w:top w:val="single" w:sz="4" w:space="0" w:color="000000"/>
              <w:left w:val="single" w:sz="4" w:space="0" w:color="000000"/>
              <w:bottom w:val="single" w:sz="4" w:space="0" w:color="000000"/>
              <w:right w:val="single" w:sz="4" w:space="0" w:color="000000"/>
            </w:tcBorders>
          </w:tcPr>
          <w:p w14:paraId="2A7EF17B" w14:textId="77777777" w:rsidR="00D3344B" w:rsidRDefault="00143C25">
            <w:pPr>
              <w:pStyle w:val="TableParagraph"/>
              <w:spacing w:before="1"/>
            </w:pPr>
            <w:r>
              <w:rPr>
                <w:spacing w:val="-5"/>
                <w:w w:val="125"/>
              </w:rPr>
              <w:t>13.</w:t>
            </w:r>
          </w:p>
        </w:tc>
        <w:tc>
          <w:tcPr>
            <w:tcW w:w="4356" w:type="dxa"/>
            <w:tcBorders>
              <w:top w:val="single" w:sz="4" w:space="0" w:color="000000"/>
              <w:left w:val="single" w:sz="4" w:space="0" w:color="000000"/>
              <w:bottom w:val="single" w:sz="4" w:space="0" w:color="000000"/>
              <w:right w:val="single" w:sz="4" w:space="0" w:color="000000"/>
            </w:tcBorders>
          </w:tcPr>
          <w:p w14:paraId="6302D6DF" w14:textId="77777777" w:rsidR="00D3344B" w:rsidRDefault="00143C25">
            <w:pPr>
              <w:pStyle w:val="TableParagraph"/>
              <w:spacing w:before="1"/>
            </w:pPr>
            <w:r>
              <w:rPr>
                <w:w w:val="110"/>
              </w:rPr>
              <w:t>Hospitalización</w:t>
            </w:r>
            <w:r>
              <w:rPr>
                <w:spacing w:val="17"/>
                <w:w w:val="110"/>
              </w:rPr>
              <w:t xml:space="preserve"> </w:t>
            </w:r>
            <w:r>
              <w:rPr>
                <w:w w:val="110"/>
              </w:rPr>
              <w:t>por</w:t>
            </w:r>
            <w:r>
              <w:rPr>
                <w:spacing w:val="19"/>
                <w:w w:val="110"/>
              </w:rPr>
              <w:t xml:space="preserve"> </w:t>
            </w:r>
            <w:r>
              <w:rPr>
                <w:spacing w:val="-5"/>
                <w:w w:val="110"/>
              </w:rPr>
              <w:t>día</w:t>
            </w:r>
          </w:p>
        </w:tc>
        <w:tc>
          <w:tcPr>
            <w:tcW w:w="1132" w:type="dxa"/>
            <w:tcBorders>
              <w:top w:val="single" w:sz="4" w:space="0" w:color="000000"/>
              <w:left w:val="single" w:sz="4" w:space="0" w:color="000000"/>
              <w:bottom w:val="single" w:sz="4" w:space="0" w:color="000000"/>
              <w:right w:val="single" w:sz="4" w:space="0" w:color="000000"/>
            </w:tcBorders>
          </w:tcPr>
          <w:p w14:paraId="7EFA0505" w14:textId="77777777" w:rsidR="00D3344B" w:rsidRDefault="00143C25">
            <w:pPr>
              <w:pStyle w:val="TableParagraph"/>
              <w:spacing w:before="1"/>
            </w:pPr>
            <w:r>
              <w:rPr>
                <w:spacing w:val="-5"/>
                <w:w w:val="125"/>
              </w:rPr>
              <w:t>0.5</w:t>
            </w:r>
          </w:p>
        </w:tc>
        <w:tc>
          <w:tcPr>
            <w:tcW w:w="1180" w:type="dxa"/>
            <w:tcBorders>
              <w:top w:val="single" w:sz="4" w:space="0" w:color="000000"/>
              <w:left w:val="single" w:sz="4" w:space="0" w:color="000000"/>
              <w:bottom w:val="single" w:sz="4" w:space="0" w:color="000000"/>
              <w:right w:val="single" w:sz="4" w:space="0" w:color="000000"/>
            </w:tcBorders>
          </w:tcPr>
          <w:p w14:paraId="589F931E" w14:textId="77777777" w:rsidR="00D3344B" w:rsidRDefault="00143C25">
            <w:pPr>
              <w:pStyle w:val="TableParagraph"/>
              <w:spacing w:before="1"/>
              <w:ind w:left="3"/>
            </w:pPr>
            <w:r>
              <w:rPr>
                <w:spacing w:val="-5"/>
              </w:rPr>
              <w:t>0.5</w:t>
            </w:r>
          </w:p>
        </w:tc>
        <w:tc>
          <w:tcPr>
            <w:tcW w:w="1321" w:type="dxa"/>
            <w:tcBorders>
              <w:top w:val="single" w:sz="4" w:space="0" w:color="000000"/>
              <w:left w:val="single" w:sz="4" w:space="0" w:color="000000"/>
              <w:bottom w:val="single" w:sz="4" w:space="0" w:color="000000"/>
              <w:right w:val="single" w:sz="4" w:space="0" w:color="000000"/>
            </w:tcBorders>
          </w:tcPr>
          <w:p w14:paraId="7CDBBAF0" w14:textId="77777777" w:rsidR="00D3344B" w:rsidRDefault="00143C25">
            <w:pPr>
              <w:pStyle w:val="TableParagraph"/>
              <w:spacing w:before="1"/>
              <w:ind w:left="2"/>
            </w:pPr>
            <w:r>
              <w:rPr>
                <w:w w:val="108"/>
              </w:rPr>
              <w:t>1</w:t>
            </w:r>
          </w:p>
        </w:tc>
      </w:tr>
      <w:tr w:rsidR="00D3344B" w14:paraId="588385A5" w14:textId="77777777">
        <w:trPr>
          <w:trHeight w:val="600"/>
        </w:trPr>
        <w:tc>
          <w:tcPr>
            <w:tcW w:w="707" w:type="dxa"/>
            <w:tcBorders>
              <w:top w:val="single" w:sz="4" w:space="0" w:color="000000"/>
              <w:left w:val="single" w:sz="4" w:space="0" w:color="000000"/>
              <w:bottom w:val="single" w:sz="4" w:space="0" w:color="000000"/>
              <w:right w:val="single" w:sz="4" w:space="0" w:color="000000"/>
            </w:tcBorders>
          </w:tcPr>
          <w:p w14:paraId="4855286A" w14:textId="77777777" w:rsidR="00D3344B" w:rsidRDefault="00143C25">
            <w:pPr>
              <w:pStyle w:val="TableParagraph"/>
            </w:pPr>
            <w:r>
              <w:rPr>
                <w:spacing w:val="-5"/>
                <w:w w:val="125"/>
              </w:rPr>
              <w:t>14.</w:t>
            </w:r>
          </w:p>
        </w:tc>
        <w:tc>
          <w:tcPr>
            <w:tcW w:w="4356" w:type="dxa"/>
            <w:tcBorders>
              <w:top w:val="single" w:sz="4" w:space="0" w:color="000000"/>
              <w:left w:val="single" w:sz="4" w:space="0" w:color="000000"/>
              <w:bottom w:val="single" w:sz="4" w:space="0" w:color="000000"/>
              <w:right w:val="single" w:sz="4" w:space="0" w:color="000000"/>
            </w:tcBorders>
          </w:tcPr>
          <w:p w14:paraId="05FC550F" w14:textId="77777777" w:rsidR="00D3344B" w:rsidRDefault="00143C25">
            <w:pPr>
              <w:pStyle w:val="TableParagraph"/>
              <w:tabs>
                <w:tab w:val="left" w:pos="2093"/>
                <w:tab w:val="left" w:pos="2676"/>
                <w:tab w:val="left" w:pos="3230"/>
              </w:tabs>
              <w:ind w:right="59"/>
            </w:pPr>
            <w:r>
              <w:rPr>
                <w:spacing w:val="-2"/>
                <w:w w:val="110"/>
              </w:rPr>
              <w:t>Hospitalización</w:t>
            </w:r>
            <w:r>
              <w:tab/>
            </w:r>
            <w:r>
              <w:rPr>
                <w:spacing w:val="-4"/>
                <w:w w:val="110"/>
              </w:rPr>
              <w:t>por</w:t>
            </w:r>
            <w:r>
              <w:tab/>
            </w:r>
            <w:r>
              <w:rPr>
                <w:spacing w:val="-4"/>
                <w:w w:val="110"/>
              </w:rPr>
              <w:t>día</w:t>
            </w:r>
            <w:r>
              <w:tab/>
            </w:r>
            <w:r>
              <w:rPr>
                <w:w w:val="110"/>
              </w:rPr>
              <w:t>en</w:t>
            </w:r>
            <w:r>
              <w:rPr>
                <w:spacing w:val="68"/>
                <w:w w:val="110"/>
              </w:rPr>
              <w:t xml:space="preserve"> </w:t>
            </w:r>
            <w:r>
              <w:rPr>
                <w:w w:val="110"/>
              </w:rPr>
              <w:t xml:space="preserve">terapia </w:t>
            </w:r>
            <w:r>
              <w:rPr>
                <w:spacing w:val="-2"/>
                <w:w w:val="110"/>
              </w:rPr>
              <w:t>intensiva</w:t>
            </w:r>
          </w:p>
        </w:tc>
        <w:tc>
          <w:tcPr>
            <w:tcW w:w="1132" w:type="dxa"/>
            <w:tcBorders>
              <w:top w:val="single" w:sz="4" w:space="0" w:color="000000"/>
              <w:left w:val="single" w:sz="4" w:space="0" w:color="000000"/>
              <w:bottom w:val="single" w:sz="4" w:space="0" w:color="000000"/>
              <w:right w:val="single" w:sz="4" w:space="0" w:color="000000"/>
            </w:tcBorders>
          </w:tcPr>
          <w:p w14:paraId="3C57DF2A" w14:textId="77777777" w:rsidR="00D3344B" w:rsidRDefault="00143C25">
            <w:pPr>
              <w:pStyle w:val="TableParagraph"/>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12192960" w14:textId="77777777" w:rsidR="00D3344B" w:rsidRDefault="00143C25">
            <w:pPr>
              <w:pStyle w:val="TableParagraph"/>
              <w:ind w:left="3"/>
            </w:pPr>
            <w:r>
              <w:rPr>
                <w:spacing w:val="-5"/>
                <w:w w:val="125"/>
              </w:rPr>
              <w:t>1.5</w:t>
            </w:r>
          </w:p>
        </w:tc>
        <w:tc>
          <w:tcPr>
            <w:tcW w:w="1321" w:type="dxa"/>
            <w:tcBorders>
              <w:top w:val="single" w:sz="4" w:space="0" w:color="000000"/>
              <w:left w:val="single" w:sz="4" w:space="0" w:color="000000"/>
              <w:bottom w:val="single" w:sz="4" w:space="0" w:color="000000"/>
              <w:right w:val="single" w:sz="4" w:space="0" w:color="000000"/>
            </w:tcBorders>
          </w:tcPr>
          <w:p w14:paraId="6A54F68E" w14:textId="77777777" w:rsidR="00D3344B" w:rsidRDefault="00143C25">
            <w:pPr>
              <w:pStyle w:val="TableParagraph"/>
              <w:ind w:left="2"/>
            </w:pPr>
            <w:r>
              <w:rPr>
                <w:w w:val="108"/>
              </w:rPr>
              <w:t>2</w:t>
            </w:r>
          </w:p>
        </w:tc>
      </w:tr>
      <w:tr w:rsidR="00D3344B" w14:paraId="1F8E622D" w14:textId="77777777">
        <w:trPr>
          <w:trHeight w:val="525"/>
        </w:trPr>
        <w:tc>
          <w:tcPr>
            <w:tcW w:w="707" w:type="dxa"/>
            <w:tcBorders>
              <w:top w:val="single" w:sz="4" w:space="0" w:color="000000"/>
              <w:left w:val="single" w:sz="4" w:space="0" w:color="000000"/>
              <w:bottom w:val="single" w:sz="4" w:space="0" w:color="000000"/>
              <w:right w:val="single" w:sz="4" w:space="0" w:color="000000"/>
            </w:tcBorders>
          </w:tcPr>
          <w:p w14:paraId="48AADF89" w14:textId="77777777" w:rsidR="00D3344B" w:rsidRDefault="00143C25">
            <w:pPr>
              <w:pStyle w:val="TableParagraph"/>
            </w:pPr>
            <w:r>
              <w:rPr>
                <w:spacing w:val="-5"/>
                <w:w w:val="125"/>
              </w:rPr>
              <w:t>15.</w:t>
            </w:r>
          </w:p>
        </w:tc>
        <w:tc>
          <w:tcPr>
            <w:tcW w:w="4356" w:type="dxa"/>
            <w:tcBorders>
              <w:top w:val="single" w:sz="4" w:space="0" w:color="000000"/>
              <w:left w:val="single" w:sz="4" w:space="0" w:color="000000"/>
              <w:bottom w:val="single" w:sz="4" w:space="0" w:color="000000"/>
              <w:right w:val="single" w:sz="4" w:space="0" w:color="000000"/>
            </w:tcBorders>
          </w:tcPr>
          <w:p w14:paraId="5E4E6761" w14:textId="77777777" w:rsidR="00D3344B" w:rsidRDefault="00143C25">
            <w:pPr>
              <w:pStyle w:val="TableParagraph"/>
            </w:pPr>
            <w:r>
              <w:rPr>
                <w:w w:val="115"/>
              </w:rPr>
              <w:t>Certificado</w:t>
            </w:r>
            <w:r>
              <w:rPr>
                <w:spacing w:val="-2"/>
                <w:w w:val="115"/>
              </w:rPr>
              <w:t xml:space="preserve"> </w:t>
            </w:r>
            <w:r>
              <w:rPr>
                <w:w w:val="115"/>
              </w:rPr>
              <w:t>de</w:t>
            </w:r>
            <w:r>
              <w:rPr>
                <w:spacing w:val="-2"/>
                <w:w w:val="115"/>
              </w:rPr>
              <w:t xml:space="preserve"> </w:t>
            </w:r>
            <w:r>
              <w:rPr>
                <w:w w:val="115"/>
              </w:rPr>
              <w:t>salud</w:t>
            </w:r>
            <w:r>
              <w:rPr>
                <w:spacing w:val="-5"/>
                <w:w w:val="115"/>
              </w:rPr>
              <w:t xml:space="preserve"> </w:t>
            </w:r>
            <w:r>
              <w:rPr>
                <w:w w:val="115"/>
              </w:rPr>
              <w:t>(caninos</w:t>
            </w:r>
            <w:r>
              <w:rPr>
                <w:spacing w:val="-16"/>
                <w:w w:val="115"/>
              </w:rPr>
              <w:t xml:space="preserve"> </w:t>
            </w:r>
            <w:r>
              <w:rPr>
                <w:w w:val="115"/>
              </w:rPr>
              <w:t>y</w:t>
            </w:r>
            <w:r>
              <w:rPr>
                <w:spacing w:val="-13"/>
                <w:w w:val="115"/>
              </w:rPr>
              <w:t xml:space="preserve"> </w:t>
            </w:r>
            <w:r>
              <w:rPr>
                <w:spacing w:val="-2"/>
                <w:w w:val="115"/>
              </w:rPr>
              <w:t>felinos)</w:t>
            </w:r>
          </w:p>
        </w:tc>
        <w:tc>
          <w:tcPr>
            <w:tcW w:w="1132" w:type="dxa"/>
            <w:tcBorders>
              <w:top w:val="single" w:sz="4" w:space="0" w:color="000000"/>
              <w:left w:val="single" w:sz="4" w:space="0" w:color="000000"/>
              <w:bottom w:val="single" w:sz="4" w:space="0" w:color="000000"/>
              <w:right w:val="single" w:sz="4" w:space="0" w:color="000000"/>
            </w:tcBorders>
          </w:tcPr>
          <w:p w14:paraId="00E0E190" w14:textId="77777777" w:rsidR="00D3344B" w:rsidRDefault="00143C25">
            <w:pPr>
              <w:pStyle w:val="TableParagraph"/>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4E3A0550" w14:textId="77777777" w:rsidR="00D3344B" w:rsidRDefault="00143C25">
            <w:pPr>
              <w:pStyle w:val="TableParagraph"/>
              <w:ind w:left="3"/>
            </w:pPr>
            <w:r>
              <w:rPr>
                <w:w w:val="108"/>
              </w:rPr>
              <w:t>1</w:t>
            </w:r>
          </w:p>
        </w:tc>
        <w:tc>
          <w:tcPr>
            <w:tcW w:w="1321" w:type="dxa"/>
            <w:tcBorders>
              <w:top w:val="single" w:sz="4" w:space="0" w:color="000000"/>
              <w:left w:val="single" w:sz="4" w:space="0" w:color="000000"/>
              <w:bottom w:val="single" w:sz="4" w:space="0" w:color="000000"/>
              <w:right w:val="single" w:sz="4" w:space="0" w:color="000000"/>
            </w:tcBorders>
          </w:tcPr>
          <w:p w14:paraId="22EAAA27" w14:textId="77777777" w:rsidR="00D3344B" w:rsidRDefault="00143C25">
            <w:pPr>
              <w:pStyle w:val="TableParagraph"/>
              <w:ind w:left="2"/>
            </w:pPr>
            <w:r>
              <w:t>1</w:t>
            </w:r>
          </w:p>
        </w:tc>
      </w:tr>
      <w:tr w:rsidR="00D3344B" w14:paraId="6EBD57AD" w14:textId="77777777">
        <w:trPr>
          <w:trHeight w:val="525"/>
        </w:trPr>
        <w:tc>
          <w:tcPr>
            <w:tcW w:w="707" w:type="dxa"/>
            <w:tcBorders>
              <w:top w:val="single" w:sz="4" w:space="0" w:color="000000"/>
              <w:left w:val="single" w:sz="4" w:space="0" w:color="000000"/>
              <w:bottom w:val="single" w:sz="4" w:space="0" w:color="000000"/>
              <w:right w:val="single" w:sz="4" w:space="0" w:color="000000"/>
            </w:tcBorders>
          </w:tcPr>
          <w:p w14:paraId="3459212E" w14:textId="77777777" w:rsidR="00D3344B" w:rsidRDefault="00143C25">
            <w:pPr>
              <w:pStyle w:val="TableParagraph"/>
            </w:pPr>
            <w:r>
              <w:rPr>
                <w:spacing w:val="-5"/>
                <w:w w:val="125"/>
              </w:rPr>
              <w:t>16.</w:t>
            </w:r>
          </w:p>
        </w:tc>
        <w:tc>
          <w:tcPr>
            <w:tcW w:w="4356" w:type="dxa"/>
            <w:tcBorders>
              <w:top w:val="single" w:sz="4" w:space="0" w:color="000000"/>
              <w:left w:val="single" w:sz="4" w:space="0" w:color="000000"/>
              <w:bottom w:val="single" w:sz="4" w:space="0" w:color="000000"/>
              <w:right w:val="single" w:sz="4" w:space="0" w:color="000000"/>
            </w:tcBorders>
          </w:tcPr>
          <w:p w14:paraId="5A5AAA77" w14:textId="77777777" w:rsidR="00D3344B" w:rsidRDefault="00143C25">
            <w:pPr>
              <w:pStyle w:val="TableParagraph"/>
            </w:pPr>
            <w:r>
              <w:rPr>
                <w:w w:val="110"/>
              </w:rPr>
              <w:t>Raspado</w:t>
            </w:r>
            <w:r>
              <w:rPr>
                <w:spacing w:val="35"/>
                <w:w w:val="110"/>
              </w:rPr>
              <w:t xml:space="preserve"> </w:t>
            </w:r>
            <w:r>
              <w:rPr>
                <w:w w:val="110"/>
              </w:rPr>
              <w:t>cutáneo</w:t>
            </w:r>
            <w:r>
              <w:rPr>
                <w:spacing w:val="33"/>
                <w:w w:val="110"/>
              </w:rPr>
              <w:t xml:space="preserve"> </w:t>
            </w:r>
            <w:r>
              <w:rPr>
                <w:w w:val="110"/>
              </w:rPr>
              <w:t>(caninos</w:t>
            </w:r>
            <w:r>
              <w:rPr>
                <w:spacing w:val="34"/>
                <w:w w:val="110"/>
              </w:rPr>
              <w:t xml:space="preserve"> </w:t>
            </w:r>
            <w:r>
              <w:rPr>
                <w:w w:val="110"/>
              </w:rPr>
              <w:t>y</w:t>
            </w:r>
            <w:r>
              <w:rPr>
                <w:spacing w:val="-5"/>
                <w:w w:val="110"/>
              </w:rPr>
              <w:t xml:space="preserve"> </w:t>
            </w:r>
            <w:r>
              <w:rPr>
                <w:spacing w:val="-2"/>
                <w:w w:val="110"/>
              </w:rPr>
              <w:t>felinos)</w:t>
            </w:r>
          </w:p>
        </w:tc>
        <w:tc>
          <w:tcPr>
            <w:tcW w:w="1132" w:type="dxa"/>
            <w:tcBorders>
              <w:top w:val="single" w:sz="4" w:space="0" w:color="000000"/>
              <w:left w:val="single" w:sz="4" w:space="0" w:color="000000"/>
              <w:bottom w:val="single" w:sz="4" w:space="0" w:color="000000"/>
              <w:right w:val="single" w:sz="4" w:space="0" w:color="000000"/>
            </w:tcBorders>
          </w:tcPr>
          <w:p w14:paraId="634A7F61" w14:textId="77777777" w:rsidR="00D3344B" w:rsidRDefault="00143C25">
            <w:pPr>
              <w:pStyle w:val="TableParagraph"/>
            </w:pPr>
            <w:r>
              <w:t>1</w:t>
            </w:r>
          </w:p>
        </w:tc>
        <w:tc>
          <w:tcPr>
            <w:tcW w:w="1180" w:type="dxa"/>
            <w:tcBorders>
              <w:top w:val="single" w:sz="4" w:space="0" w:color="000000"/>
              <w:left w:val="single" w:sz="4" w:space="0" w:color="000000"/>
              <w:bottom w:val="single" w:sz="4" w:space="0" w:color="000000"/>
              <w:right w:val="single" w:sz="4" w:space="0" w:color="000000"/>
            </w:tcBorders>
          </w:tcPr>
          <w:p w14:paraId="3C059883" w14:textId="77777777" w:rsidR="00D3344B" w:rsidRDefault="00143C25">
            <w:pPr>
              <w:pStyle w:val="TableParagraph"/>
              <w:ind w:left="3"/>
            </w:pPr>
            <w:r>
              <w:t>1</w:t>
            </w:r>
          </w:p>
        </w:tc>
        <w:tc>
          <w:tcPr>
            <w:tcW w:w="1321" w:type="dxa"/>
            <w:tcBorders>
              <w:top w:val="single" w:sz="4" w:space="0" w:color="000000"/>
              <w:left w:val="single" w:sz="4" w:space="0" w:color="000000"/>
              <w:bottom w:val="single" w:sz="4" w:space="0" w:color="000000"/>
              <w:right w:val="single" w:sz="4" w:space="0" w:color="000000"/>
            </w:tcBorders>
          </w:tcPr>
          <w:p w14:paraId="3DB89F20" w14:textId="77777777" w:rsidR="00D3344B" w:rsidRDefault="00143C25">
            <w:pPr>
              <w:pStyle w:val="TableParagraph"/>
              <w:ind w:left="2"/>
            </w:pPr>
            <w:r>
              <w:t>1</w:t>
            </w:r>
          </w:p>
        </w:tc>
      </w:tr>
      <w:tr w:rsidR="00D3344B" w14:paraId="596BC835" w14:textId="77777777">
        <w:trPr>
          <w:trHeight w:val="525"/>
        </w:trPr>
        <w:tc>
          <w:tcPr>
            <w:tcW w:w="707" w:type="dxa"/>
            <w:tcBorders>
              <w:top w:val="single" w:sz="4" w:space="0" w:color="000000"/>
              <w:left w:val="single" w:sz="4" w:space="0" w:color="000000"/>
              <w:bottom w:val="single" w:sz="4" w:space="0" w:color="000000"/>
              <w:right w:val="single" w:sz="4" w:space="0" w:color="000000"/>
            </w:tcBorders>
          </w:tcPr>
          <w:p w14:paraId="70D98BDE" w14:textId="77777777" w:rsidR="00D3344B" w:rsidRDefault="00143C25">
            <w:pPr>
              <w:pStyle w:val="TableParagraph"/>
            </w:pPr>
            <w:r>
              <w:rPr>
                <w:spacing w:val="-5"/>
                <w:w w:val="125"/>
              </w:rPr>
              <w:t>17.</w:t>
            </w:r>
          </w:p>
        </w:tc>
        <w:tc>
          <w:tcPr>
            <w:tcW w:w="4356" w:type="dxa"/>
            <w:tcBorders>
              <w:top w:val="single" w:sz="4" w:space="0" w:color="000000"/>
              <w:left w:val="single" w:sz="4" w:space="0" w:color="000000"/>
              <w:bottom w:val="single" w:sz="4" w:space="0" w:color="000000"/>
              <w:right w:val="single" w:sz="4" w:space="0" w:color="000000"/>
            </w:tcBorders>
          </w:tcPr>
          <w:p w14:paraId="64D7C5F2" w14:textId="77777777" w:rsidR="00D3344B" w:rsidRDefault="00143C25">
            <w:pPr>
              <w:pStyle w:val="TableParagraph"/>
              <w:tabs>
                <w:tab w:val="left" w:pos="2508"/>
              </w:tabs>
              <w:ind w:right="1032"/>
            </w:pPr>
            <w:r>
              <w:rPr>
                <w:w w:val="110"/>
              </w:rPr>
              <w:t>Cirugía</w:t>
            </w:r>
            <w:r>
              <w:rPr>
                <w:spacing w:val="40"/>
                <w:w w:val="110"/>
              </w:rPr>
              <w:t xml:space="preserve"> </w:t>
            </w:r>
            <w:r>
              <w:rPr>
                <w:w w:val="110"/>
              </w:rPr>
              <w:t>básica</w:t>
            </w:r>
            <w:r>
              <w:rPr>
                <w:spacing w:val="40"/>
                <w:w w:val="110"/>
              </w:rPr>
              <w:t xml:space="preserve"> </w:t>
            </w:r>
            <w:r>
              <w:rPr>
                <w:w w:val="110"/>
              </w:rPr>
              <w:t>de</w:t>
            </w:r>
            <w:r>
              <w:tab/>
            </w:r>
            <w:r>
              <w:rPr>
                <w:spacing w:val="-4"/>
                <w:w w:val="110"/>
              </w:rPr>
              <w:t xml:space="preserve">atención </w:t>
            </w:r>
            <w:r>
              <w:rPr>
                <w:spacing w:val="-2"/>
                <w:w w:val="110"/>
              </w:rPr>
              <w:t>inmediata</w:t>
            </w:r>
          </w:p>
        </w:tc>
        <w:tc>
          <w:tcPr>
            <w:tcW w:w="1132" w:type="dxa"/>
            <w:tcBorders>
              <w:top w:val="single" w:sz="4" w:space="0" w:color="000000"/>
              <w:left w:val="single" w:sz="4" w:space="0" w:color="000000"/>
              <w:bottom w:val="single" w:sz="4" w:space="0" w:color="000000"/>
              <w:right w:val="single" w:sz="4" w:space="0" w:color="000000"/>
            </w:tcBorders>
          </w:tcPr>
          <w:p w14:paraId="44D1D052" w14:textId="77777777" w:rsidR="00D3344B" w:rsidRDefault="00143C25">
            <w:pPr>
              <w:pStyle w:val="TableParagraph"/>
            </w:pPr>
            <w:r>
              <w:rPr>
                <w:spacing w:val="-4"/>
                <w:w w:val="120"/>
              </w:rPr>
              <w:t>1.75</w:t>
            </w:r>
          </w:p>
        </w:tc>
        <w:tc>
          <w:tcPr>
            <w:tcW w:w="1180" w:type="dxa"/>
            <w:tcBorders>
              <w:top w:val="single" w:sz="4" w:space="0" w:color="000000"/>
              <w:left w:val="single" w:sz="4" w:space="0" w:color="000000"/>
              <w:bottom w:val="single" w:sz="4" w:space="0" w:color="000000"/>
              <w:right w:val="single" w:sz="4" w:space="0" w:color="000000"/>
            </w:tcBorders>
          </w:tcPr>
          <w:p w14:paraId="4031B9D9" w14:textId="77777777" w:rsidR="00D3344B" w:rsidRDefault="00143C25">
            <w:pPr>
              <w:pStyle w:val="TableParagraph"/>
              <w:ind w:left="3"/>
            </w:pPr>
            <w:r>
              <w:rPr>
                <w:spacing w:val="-4"/>
                <w:w w:val="120"/>
              </w:rPr>
              <w:t>2.75</w:t>
            </w:r>
          </w:p>
        </w:tc>
        <w:tc>
          <w:tcPr>
            <w:tcW w:w="1321" w:type="dxa"/>
            <w:tcBorders>
              <w:top w:val="single" w:sz="4" w:space="0" w:color="000000"/>
              <w:left w:val="single" w:sz="4" w:space="0" w:color="000000"/>
              <w:bottom w:val="single" w:sz="4" w:space="0" w:color="000000"/>
              <w:right w:val="single" w:sz="4" w:space="0" w:color="000000"/>
            </w:tcBorders>
          </w:tcPr>
          <w:p w14:paraId="4EB38E6D" w14:textId="77777777" w:rsidR="00D3344B" w:rsidRDefault="00143C25">
            <w:pPr>
              <w:pStyle w:val="TableParagraph"/>
              <w:ind w:left="2"/>
            </w:pPr>
            <w:r>
              <w:rPr>
                <w:spacing w:val="-4"/>
                <w:w w:val="120"/>
              </w:rPr>
              <w:t>3.75</w:t>
            </w:r>
          </w:p>
        </w:tc>
      </w:tr>
      <w:tr w:rsidR="00D3344B" w14:paraId="14F415E7" w14:textId="77777777">
        <w:trPr>
          <w:trHeight w:val="357"/>
        </w:trPr>
        <w:tc>
          <w:tcPr>
            <w:tcW w:w="707" w:type="dxa"/>
            <w:tcBorders>
              <w:top w:val="single" w:sz="4" w:space="0" w:color="000000"/>
              <w:left w:val="single" w:sz="4" w:space="0" w:color="000000"/>
              <w:bottom w:val="single" w:sz="4" w:space="0" w:color="000000"/>
              <w:right w:val="single" w:sz="4" w:space="0" w:color="000000"/>
            </w:tcBorders>
          </w:tcPr>
          <w:p w14:paraId="16EC8694" w14:textId="77777777" w:rsidR="00D3344B" w:rsidRDefault="00143C25">
            <w:pPr>
              <w:pStyle w:val="TableParagraph"/>
            </w:pPr>
            <w:r>
              <w:rPr>
                <w:spacing w:val="-5"/>
                <w:w w:val="125"/>
              </w:rPr>
              <w:t>18.</w:t>
            </w:r>
          </w:p>
        </w:tc>
        <w:tc>
          <w:tcPr>
            <w:tcW w:w="4356" w:type="dxa"/>
            <w:tcBorders>
              <w:top w:val="single" w:sz="4" w:space="0" w:color="000000"/>
              <w:left w:val="single" w:sz="4" w:space="0" w:color="000000"/>
              <w:bottom w:val="single" w:sz="4" w:space="0" w:color="000000"/>
              <w:right w:val="single" w:sz="4" w:space="0" w:color="000000"/>
            </w:tcBorders>
          </w:tcPr>
          <w:p w14:paraId="0AF38FC5" w14:textId="77777777" w:rsidR="00D3344B" w:rsidRDefault="00143C25">
            <w:pPr>
              <w:pStyle w:val="TableParagraph"/>
            </w:pPr>
            <w:r>
              <w:rPr>
                <w:w w:val="110"/>
              </w:rPr>
              <w:t>Vacuna</w:t>
            </w:r>
            <w:r>
              <w:rPr>
                <w:spacing w:val="28"/>
                <w:w w:val="110"/>
              </w:rPr>
              <w:t xml:space="preserve"> </w:t>
            </w:r>
            <w:r>
              <w:rPr>
                <w:spacing w:val="-2"/>
                <w:w w:val="110"/>
              </w:rPr>
              <w:t>Parvovirus</w:t>
            </w:r>
          </w:p>
        </w:tc>
        <w:tc>
          <w:tcPr>
            <w:tcW w:w="1132" w:type="dxa"/>
            <w:tcBorders>
              <w:top w:val="single" w:sz="4" w:space="0" w:color="000000"/>
              <w:left w:val="single" w:sz="4" w:space="0" w:color="000000"/>
              <w:bottom w:val="single" w:sz="4" w:space="0" w:color="000000"/>
              <w:right w:val="single" w:sz="4" w:space="0" w:color="000000"/>
            </w:tcBorders>
          </w:tcPr>
          <w:p w14:paraId="3CDF2E4A" w14:textId="77777777" w:rsidR="00D3344B" w:rsidRDefault="00143C25">
            <w:pPr>
              <w:pStyle w:val="TableParagraph"/>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58FFAFC9" w14:textId="77777777" w:rsidR="00D3344B" w:rsidRDefault="00143C25">
            <w:pPr>
              <w:pStyle w:val="TableParagraph"/>
              <w:ind w:left="3"/>
            </w:pPr>
            <w:r>
              <w:t>1</w:t>
            </w:r>
          </w:p>
        </w:tc>
        <w:tc>
          <w:tcPr>
            <w:tcW w:w="1321" w:type="dxa"/>
            <w:tcBorders>
              <w:top w:val="single" w:sz="4" w:space="0" w:color="000000"/>
              <w:left w:val="single" w:sz="4" w:space="0" w:color="000000"/>
              <w:bottom w:val="single" w:sz="4" w:space="0" w:color="000000"/>
              <w:right w:val="single" w:sz="4" w:space="0" w:color="000000"/>
            </w:tcBorders>
          </w:tcPr>
          <w:p w14:paraId="6407A93B" w14:textId="77777777" w:rsidR="00D3344B" w:rsidRDefault="00143C25">
            <w:pPr>
              <w:pStyle w:val="TableParagraph"/>
              <w:ind w:left="2"/>
            </w:pPr>
            <w:r>
              <w:t>1</w:t>
            </w:r>
          </w:p>
        </w:tc>
      </w:tr>
      <w:tr w:rsidR="00D3344B" w14:paraId="7CB8544E" w14:textId="77777777">
        <w:trPr>
          <w:trHeight w:val="316"/>
        </w:trPr>
        <w:tc>
          <w:tcPr>
            <w:tcW w:w="707" w:type="dxa"/>
            <w:tcBorders>
              <w:top w:val="single" w:sz="4" w:space="0" w:color="000000"/>
              <w:left w:val="single" w:sz="4" w:space="0" w:color="000000"/>
              <w:bottom w:val="single" w:sz="4" w:space="0" w:color="000000"/>
              <w:right w:val="single" w:sz="4" w:space="0" w:color="000000"/>
            </w:tcBorders>
          </w:tcPr>
          <w:p w14:paraId="72F8EDBF" w14:textId="77777777" w:rsidR="00D3344B" w:rsidRDefault="00143C25">
            <w:pPr>
              <w:pStyle w:val="TableParagraph"/>
              <w:spacing w:before="1"/>
            </w:pPr>
            <w:r>
              <w:rPr>
                <w:spacing w:val="-5"/>
                <w:w w:val="125"/>
              </w:rPr>
              <w:t>19.</w:t>
            </w:r>
          </w:p>
        </w:tc>
        <w:tc>
          <w:tcPr>
            <w:tcW w:w="4356" w:type="dxa"/>
            <w:tcBorders>
              <w:top w:val="single" w:sz="4" w:space="0" w:color="000000"/>
              <w:left w:val="single" w:sz="4" w:space="0" w:color="000000"/>
              <w:bottom w:val="single" w:sz="4" w:space="0" w:color="000000"/>
              <w:right w:val="single" w:sz="4" w:space="0" w:color="000000"/>
            </w:tcBorders>
          </w:tcPr>
          <w:p w14:paraId="52C5A661" w14:textId="77777777" w:rsidR="00D3344B" w:rsidRDefault="00143C25">
            <w:pPr>
              <w:pStyle w:val="TableParagraph"/>
              <w:spacing w:before="1"/>
            </w:pPr>
            <w:r>
              <w:rPr>
                <w:w w:val="110"/>
              </w:rPr>
              <w:t>Vacuna</w:t>
            </w:r>
            <w:r>
              <w:rPr>
                <w:spacing w:val="28"/>
                <w:w w:val="110"/>
              </w:rPr>
              <w:t xml:space="preserve"> </w:t>
            </w:r>
            <w:r>
              <w:rPr>
                <w:spacing w:val="-2"/>
                <w:w w:val="110"/>
              </w:rPr>
              <w:t>polivalente</w:t>
            </w:r>
          </w:p>
        </w:tc>
        <w:tc>
          <w:tcPr>
            <w:tcW w:w="1132" w:type="dxa"/>
            <w:tcBorders>
              <w:top w:val="single" w:sz="4" w:space="0" w:color="000000"/>
              <w:left w:val="single" w:sz="4" w:space="0" w:color="000000"/>
              <w:bottom w:val="single" w:sz="4" w:space="0" w:color="000000"/>
              <w:right w:val="single" w:sz="4" w:space="0" w:color="000000"/>
            </w:tcBorders>
          </w:tcPr>
          <w:p w14:paraId="038CC9F5" w14:textId="77777777" w:rsidR="00D3344B" w:rsidRDefault="00143C25">
            <w:pPr>
              <w:pStyle w:val="TableParagraph"/>
              <w:spacing w:before="1"/>
            </w:pPr>
            <w:r>
              <w:rPr>
                <w:w w:val="108"/>
              </w:rPr>
              <w:t>1</w:t>
            </w:r>
          </w:p>
        </w:tc>
        <w:tc>
          <w:tcPr>
            <w:tcW w:w="1180" w:type="dxa"/>
            <w:tcBorders>
              <w:top w:val="single" w:sz="4" w:space="0" w:color="000000"/>
              <w:left w:val="single" w:sz="4" w:space="0" w:color="000000"/>
              <w:bottom w:val="single" w:sz="4" w:space="0" w:color="000000"/>
              <w:right w:val="single" w:sz="4" w:space="0" w:color="000000"/>
            </w:tcBorders>
          </w:tcPr>
          <w:p w14:paraId="4B2C7300" w14:textId="77777777" w:rsidR="00D3344B" w:rsidRDefault="00143C25">
            <w:pPr>
              <w:pStyle w:val="TableParagraph"/>
              <w:spacing w:before="1"/>
              <w:ind w:left="3"/>
            </w:pPr>
            <w:r>
              <w:t>1</w:t>
            </w:r>
          </w:p>
        </w:tc>
        <w:tc>
          <w:tcPr>
            <w:tcW w:w="1321" w:type="dxa"/>
            <w:tcBorders>
              <w:top w:val="single" w:sz="4" w:space="0" w:color="000000"/>
              <w:left w:val="single" w:sz="4" w:space="0" w:color="000000"/>
              <w:bottom w:val="single" w:sz="4" w:space="0" w:color="000000"/>
              <w:right w:val="single" w:sz="4" w:space="0" w:color="000000"/>
            </w:tcBorders>
          </w:tcPr>
          <w:p w14:paraId="0344AD48" w14:textId="77777777" w:rsidR="00D3344B" w:rsidRDefault="00143C25">
            <w:pPr>
              <w:pStyle w:val="TableParagraph"/>
              <w:spacing w:before="1"/>
              <w:ind w:left="2"/>
            </w:pPr>
            <w:r>
              <w:t>1</w:t>
            </w:r>
          </w:p>
        </w:tc>
      </w:tr>
      <w:tr w:rsidR="00D3344B" w14:paraId="45C01F8F" w14:textId="77777777">
        <w:trPr>
          <w:trHeight w:val="345"/>
        </w:trPr>
        <w:tc>
          <w:tcPr>
            <w:tcW w:w="707" w:type="dxa"/>
            <w:tcBorders>
              <w:top w:val="single" w:sz="4" w:space="0" w:color="000000"/>
              <w:left w:val="single" w:sz="4" w:space="0" w:color="000000"/>
              <w:bottom w:val="single" w:sz="4" w:space="0" w:color="000000"/>
              <w:right w:val="single" w:sz="4" w:space="0" w:color="000000"/>
            </w:tcBorders>
          </w:tcPr>
          <w:p w14:paraId="46873A89" w14:textId="77777777" w:rsidR="00D3344B" w:rsidRDefault="00143C25">
            <w:pPr>
              <w:pStyle w:val="TableParagraph"/>
            </w:pPr>
            <w:r>
              <w:rPr>
                <w:spacing w:val="-5"/>
                <w:w w:val="125"/>
              </w:rPr>
              <w:t>20.</w:t>
            </w:r>
          </w:p>
        </w:tc>
        <w:tc>
          <w:tcPr>
            <w:tcW w:w="4356" w:type="dxa"/>
            <w:tcBorders>
              <w:top w:val="single" w:sz="4" w:space="0" w:color="000000"/>
              <w:left w:val="single" w:sz="4" w:space="0" w:color="000000"/>
              <w:bottom w:val="single" w:sz="4" w:space="0" w:color="000000"/>
              <w:right w:val="single" w:sz="4" w:space="0" w:color="000000"/>
            </w:tcBorders>
          </w:tcPr>
          <w:p w14:paraId="4CDD7076" w14:textId="77777777" w:rsidR="00D3344B" w:rsidRDefault="00143C25">
            <w:pPr>
              <w:pStyle w:val="TableParagraph"/>
            </w:pPr>
            <w:r>
              <w:rPr>
                <w:w w:val="110"/>
              </w:rPr>
              <w:t>Cuadro</w:t>
            </w:r>
            <w:r>
              <w:rPr>
                <w:spacing w:val="23"/>
                <w:w w:val="110"/>
              </w:rPr>
              <w:t xml:space="preserve"> </w:t>
            </w:r>
            <w:r>
              <w:rPr>
                <w:w w:val="110"/>
              </w:rPr>
              <w:t>de</w:t>
            </w:r>
            <w:r>
              <w:rPr>
                <w:spacing w:val="21"/>
                <w:w w:val="110"/>
              </w:rPr>
              <w:t xml:space="preserve"> </w:t>
            </w:r>
            <w:r>
              <w:rPr>
                <w:w w:val="110"/>
              </w:rPr>
              <w:t>vacunación</w:t>
            </w:r>
            <w:r>
              <w:rPr>
                <w:spacing w:val="29"/>
                <w:w w:val="110"/>
              </w:rPr>
              <w:t xml:space="preserve"> </w:t>
            </w:r>
            <w:r>
              <w:rPr>
                <w:spacing w:val="-2"/>
                <w:w w:val="110"/>
              </w:rPr>
              <w:t>canina</w:t>
            </w:r>
          </w:p>
        </w:tc>
        <w:tc>
          <w:tcPr>
            <w:tcW w:w="1132" w:type="dxa"/>
            <w:tcBorders>
              <w:top w:val="single" w:sz="4" w:space="0" w:color="000000"/>
              <w:left w:val="single" w:sz="4" w:space="0" w:color="000000"/>
              <w:bottom w:val="single" w:sz="4" w:space="0" w:color="000000"/>
              <w:right w:val="single" w:sz="4" w:space="0" w:color="000000"/>
            </w:tcBorders>
          </w:tcPr>
          <w:p w14:paraId="66303EC6" w14:textId="77777777" w:rsidR="00D3344B" w:rsidRDefault="00143C25">
            <w:pPr>
              <w:pStyle w:val="TableParagraph"/>
            </w:pPr>
            <w:r>
              <w:rPr>
                <w:w w:val="108"/>
              </w:rPr>
              <w:t>2</w:t>
            </w:r>
          </w:p>
        </w:tc>
        <w:tc>
          <w:tcPr>
            <w:tcW w:w="1180" w:type="dxa"/>
            <w:tcBorders>
              <w:top w:val="single" w:sz="4" w:space="0" w:color="000000"/>
              <w:left w:val="single" w:sz="4" w:space="0" w:color="000000"/>
              <w:bottom w:val="single" w:sz="4" w:space="0" w:color="000000"/>
              <w:right w:val="single" w:sz="4" w:space="0" w:color="000000"/>
            </w:tcBorders>
          </w:tcPr>
          <w:p w14:paraId="63E51EF3" w14:textId="77777777" w:rsidR="00D3344B" w:rsidRDefault="00143C25">
            <w:pPr>
              <w:pStyle w:val="TableParagraph"/>
              <w:ind w:left="3"/>
            </w:pPr>
            <w:r>
              <w:t>2</w:t>
            </w:r>
          </w:p>
        </w:tc>
        <w:tc>
          <w:tcPr>
            <w:tcW w:w="1321" w:type="dxa"/>
            <w:tcBorders>
              <w:top w:val="single" w:sz="4" w:space="0" w:color="000000"/>
              <w:left w:val="single" w:sz="4" w:space="0" w:color="000000"/>
              <w:bottom w:val="single" w:sz="4" w:space="0" w:color="000000"/>
              <w:right w:val="single" w:sz="4" w:space="0" w:color="000000"/>
            </w:tcBorders>
          </w:tcPr>
          <w:p w14:paraId="67E13521" w14:textId="77777777" w:rsidR="00D3344B" w:rsidRDefault="00143C25">
            <w:pPr>
              <w:pStyle w:val="TableParagraph"/>
              <w:ind w:left="2"/>
            </w:pPr>
            <w:r>
              <w:t>2</w:t>
            </w:r>
          </w:p>
        </w:tc>
      </w:tr>
      <w:tr w:rsidR="00D3344B" w14:paraId="55BA3F82" w14:textId="77777777">
        <w:trPr>
          <w:trHeight w:val="285"/>
        </w:trPr>
        <w:tc>
          <w:tcPr>
            <w:tcW w:w="707" w:type="dxa"/>
            <w:tcBorders>
              <w:top w:val="single" w:sz="4" w:space="0" w:color="000000"/>
              <w:left w:val="single" w:sz="4" w:space="0" w:color="000000"/>
              <w:bottom w:val="single" w:sz="4" w:space="0" w:color="000000"/>
              <w:right w:val="single" w:sz="4" w:space="0" w:color="000000"/>
            </w:tcBorders>
          </w:tcPr>
          <w:p w14:paraId="7687925A" w14:textId="77777777" w:rsidR="00D3344B" w:rsidRDefault="00143C25">
            <w:pPr>
              <w:pStyle w:val="TableParagraph"/>
            </w:pPr>
            <w:r>
              <w:rPr>
                <w:spacing w:val="-5"/>
                <w:w w:val="125"/>
              </w:rPr>
              <w:t>21.</w:t>
            </w:r>
          </w:p>
        </w:tc>
        <w:tc>
          <w:tcPr>
            <w:tcW w:w="4356" w:type="dxa"/>
            <w:tcBorders>
              <w:top w:val="single" w:sz="4" w:space="0" w:color="000000"/>
              <w:left w:val="single" w:sz="4" w:space="0" w:color="000000"/>
              <w:bottom w:val="single" w:sz="4" w:space="0" w:color="000000"/>
              <w:right w:val="single" w:sz="4" w:space="0" w:color="000000"/>
            </w:tcBorders>
          </w:tcPr>
          <w:p w14:paraId="4A068BFE" w14:textId="77777777" w:rsidR="00D3344B" w:rsidRDefault="00143C25">
            <w:pPr>
              <w:pStyle w:val="TableParagraph"/>
            </w:pPr>
            <w:r>
              <w:rPr>
                <w:w w:val="110"/>
              </w:rPr>
              <w:t>Vacuna</w:t>
            </w:r>
            <w:r>
              <w:rPr>
                <w:spacing w:val="17"/>
                <w:w w:val="110"/>
              </w:rPr>
              <w:t xml:space="preserve"> </w:t>
            </w:r>
            <w:r>
              <w:rPr>
                <w:w w:val="110"/>
              </w:rPr>
              <w:t>triple</w:t>
            </w:r>
            <w:r>
              <w:rPr>
                <w:spacing w:val="18"/>
                <w:w w:val="110"/>
              </w:rPr>
              <w:t xml:space="preserve"> </w:t>
            </w:r>
            <w:r>
              <w:rPr>
                <w:spacing w:val="-2"/>
                <w:w w:val="110"/>
              </w:rPr>
              <w:t>felina</w:t>
            </w:r>
          </w:p>
        </w:tc>
        <w:tc>
          <w:tcPr>
            <w:tcW w:w="1132" w:type="dxa"/>
            <w:tcBorders>
              <w:top w:val="single" w:sz="4" w:space="0" w:color="000000"/>
              <w:left w:val="single" w:sz="4" w:space="0" w:color="000000"/>
              <w:bottom w:val="single" w:sz="4" w:space="0" w:color="000000"/>
              <w:right w:val="single" w:sz="4" w:space="0" w:color="000000"/>
            </w:tcBorders>
          </w:tcPr>
          <w:p w14:paraId="78356E81" w14:textId="77777777" w:rsidR="00D3344B" w:rsidRDefault="00143C25">
            <w:pPr>
              <w:pStyle w:val="TableParagraph"/>
            </w:pPr>
            <w:r>
              <w:rPr>
                <w:spacing w:val="-5"/>
                <w:w w:val="125"/>
              </w:rPr>
              <w:t>1.5</w:t>
            </w:r>
          </w:p>
        </w:tc>
        <w:tc>
          <w:tcPr>
            <w:tcW w:w="1180" w:type="dxa"/>
            <w:tcBorders>
              <w:top w:val="single" w:sz="4" w:space="0" w:color="000000"/>
              <w:left w:val="single" w:sz="4" w:space="0" w:color="000000"/>
              <w:bottom w:val="single" w:sz="4" w:space="0" w:color="000000"/>
              <w:right w:val="single" w:sz="4" w:space="0" w:color="000000"/>
            </w:tcBorders>
          </w:tcPr>
          <w:p w14:paraId="34DD45E6" w14:textId="77777777" w:rsidR="00D3344B" w:rsidRDefault="00143C25">
            <w:pPr>
              <w:pStyle w:val="TableParagraph"/>
              <w:ind w:left="3"/>
            </w:pPr>
            <w:r>
              <w:rPr>
                <w:spacing w:val="-5"/>
              </w:rPr>
              <w:t>1.5</w:t>
            </w:r>
          </w:p>
        </w:tc>
        <w:tc>
          <w:tcPr>
            <w:tcW w:w="1321" w:type="dxa"/>
            <w:tcBorders>
              <w:top w:val="single" w:sz="4" w:space="0" w:color="000000"/>
              <w:left w:val="single" w:sz="4" w:space="0" w:color="000000"/>
              <w:bottom w:val="single" w:sz="4" w:space="0" w:color="000000"/>
              <w:right w:val="single" w:sz="4" w:space="0" w:color="000000"/>
            </w:tcBorders>
          </w:tcPr>
          <w:p w14:paraId="27CF45EC" w14:textId="77777777" w:rsidR="00D3344B" w:rsidRDefault="00143C25">
            <w:pPr>
              <w:pStyle w:val="TableParagraph"/>
              <w:ind w:left="2"/>
            </w:pPr>
            <w:r>
              <w:rPr>
                <w:spacing w:val="-5"/>
              </w:rPr>
              <w:t>1.5</w:t>
            </w:r>
          </w:p>
        </w:tc>
      </w:tr>
      <w:tr w:rsidR="00D3344B" w14:paraId="118BBBEA" w14:textId="77777777">
        <w:trPr>
          <w:trHeight w:val="359"/>
        </w:trPr>
        <w:tc>
          <w:tcPr>
            <w:tcW w:w="707" w:type="dxa"/>
            <w:tcBorders>
              <w:top w:val="single" w:sz="4" w:space="0" w:color="000000"/>
              <w:left w:val="single" w:sz="4" w:space="0" w:color="000000"/>
              <w:bottom w:val="single" w:sz="4" w:space="0" w:color="000000"/>
              <w:right w:val="single" w:sz="4" w:space="0" w:color="000000"/>
            </w:tcBorders>
          </w:tcPr>
          <w:p w14:paraId="652330B8" w14:textId="77777777" w:rsidR="00D3344B" w:rsidRDefault="00143C25">
            <w:pPr>
              <w:pStyle w:val="TableParagraph"/>
            </w:pPr>
            <w:r>
              <w:rPr>
                <w:spacing w:val="-5"/>
                <w:w w:val="125"/>
              </w:rPr>
              <w:t>22.</w:t>
            </w:r>
          </w:p>
        </w:tc>
        <w:tc>
          <w:tcPr>
            <w:tcW w:w="4356" w:type="dxa"/>
            <w:tcBorders>
              <w:top w:val="single" w:sz="4" w:space="0" w:color="000000"/>
              <w:left w:val="single" w:sz="4" w:space="0" w:color="000000"/>
              <w:bottom w:val="single" w:sz="4" w:space="0" w:color="000000"/>
              <w:right w:val="single" w:sz="4" w:space="0" w:color="000000"/>
            </w:tcBorders>
          </w:tcPr>
          <w:p w14:paraId="12110286" w14:textId="77777777" w:rsidR="00D3344B" w:rsidRDefault="00143C25">
            <w:pPr>
              <w:pStyle w:val="TableParagraph"/>
            </w:pPr>
            <w:r>
              <w:rPr>
                <w:w w:val="110"/>
              </w:rPr>
              <w:t>Vacuna</w:t>
            </w:r>
            <w:r>
              <w:rPr>
                <w:spacing w:val="21"/>
                <w:w w:val="110"/>
              </w:rPr>
              <w:t xml:space="preserve"> </w:t>
            </w:r>
            <w:r>
              <w:rPr>
                <w:w w:val="110"/>
              </w:rPr>
              <w:t>de</w:t>
            </w:r>
            <w:r>
              <w:rPr>
                <w:spacing w:val="17"/>
                <w:w w:val="110"/>
              </w:rPr>
              <w:t xml:space="preserve"> </w:t>
            </w:r>
            <w:r>
              <w:rPr>
                <w:w w:val="110"/>
              </w:rPr>
              <w:t>leucemia</w:t>
            </w:r>
            <w:r>
              <w:rPr>
                <w:spacing w:val="22"/>
                <w:w w:val="110"/>
              </w:rPr>
              <w:t xml:space="preserve"> </w:t>
            </w:r>
            <w:r>
              <w:rPr>
                <w:spacing w:val="-2"/>
                <w:w w:val="110"/>
              </w:rPr>
              <w:t>felina</w:t>
            </w:r>
          </w:p>
        </w:tc>
        <w:tc>
          <w:tcPr>
            <w:tcW w:w="1132" w:type="dxa"/>
            <w:tcBorders>
              <w:top w:val="single" w:sz="4" w:space="0" w:color="000000"/>
              <w:left w:val="single" w:sz="4" w:space="0" w:color="000000"/>
              <w:bottom w:val="single" w:sz="4" w:space="0" w:color="000000"/>
              <w:right w:val="single" w:sz="4" w:space="0" w:color="000000"/>
            </w:tcBorders>
          </w:tcPr>
          <w:p w14:paraId="319A95F0" w14:textId="77777777" w:rsidR="00D3344B" w:rsidRDefault="00143C25">
            <w:pPr>
              <w:pStyle w:val="TableParagraph"/>
            </w:pPr>
            <w:r>
              <w:rPr>
                <w:w w:val="108"/>
              </w:rPr>
              <w:t>2</w:t>
            </w:r>
          </w:p>
        </w:tc>
        <w:tc>
          <w:tcPr>
            <w:tcW w:w="1180" w:type="dxa"/>
            <w:tcBorders>
              <w:top w:val="single" w:sz="4" w:space="0" w:color="000000"/>
              <w:left w:val="single" w:sz="4" w:space="0" w:color="000000"/>
              <w:bottom w:val="single" w:sz="4" w:space="0" w:color="000000"/>
              <w:right w:val="single" w:sz="4" w:space="0" w:color="000000"/>
            </w:tcBorders>
          </w:tcPr>
          <w:p w14:paraId="1276E810" w14:textId="77777777" w:rsidR="00D3344B" w:rsidRDefault="00143C25">
            <w:pPr>
              <w:pStyle w:val="TableParagraph"/>
              <w:ind w:left="3"/>
            </w:pPr>
            <w:r>
              <w:rPr>
                <w:spacing w:val="-5"/>
                <w:w w:val="125"/>
              </w:rPr>
              <w:t>2.5</w:t>
            </w:r>
          </w:p>
        </w:tc>
        <w:tc>
          <w:tcPr>
            <w:tcW w:w="1321" w:type="dxa"/>
            <w:tcBorders>
              <w:top w:val="single" w:sz="4" w:space="0" w:color="000000"/>
              <w:left w:val="single" w:sz="4" w:space="0" w:color="000000"/>
              <w:bottom w:val="single" w:sz="4" w:space="0" w:color="000000"/>
              <w:right w:val="single" w:sz="4" w:space="0" w:color="000000"/>
            </w:tcBorders>
          </w:tcPr>
          <w:p w14:paraId="76B1796A" w14:textId="77777777" w:rsidR="00D3344B" w:rsidRDefault="00143C25">
            <w:pPr>
              <w:pStyle w:val="TableParagraph"/>
              <w:ind w:left="2"/>
            </w:pPr>
            <w:r>
              <w:rPr>
                <w:spacing w:val="-4"/>
                <w:w w:val="120"/>
              </w:rPr>
              <w:t>2.75</w:t>
            </w:r>
          </w:p>
        </w:tc>
      </w:tr>
      <w:tr w:rsidR="00D3344B" w14:paraId="3C3A7FCA" w14:textId="77777777">
        <w:trPr>
          <w:trHeight w:val="359"/>
        </w:trPr>
        <w:tc>
          <w:tcPr>
            <w:tcW w:w="707" w:type="dxa"/>
            <w:tcBorders>
              <w:top w:val="single" w:sz="4" w:space="0" w:color="000000"/>
              <w:left w:val="single" w:sz="4" w:space="0" w:color="000000"/>
              <w:bottom w:val="single" w:sz="4" w:space="0" w:color="000000"/>
              <w:right w:val="single" w:sz="4" w:space="0" w:color="000000"/>
            </w:tcBorders>
          </w:tcPr>
          <w:p w14:paraId="38B4C2C5" w14:textId="77777777" w:rsidR="00D3344B" w:rsidRDefault="00143C25">
            <w:pPr>
              <w:pStyle w:val="TableParagraph"/>
              <w:spacing w:line="252" w:lineRule="exact"/>
            </w:pPr>
            <w:r>
              <w:rPr>
                <w:spacing w:val="-5"/>
                <w:w w:val="125"/>
              </w:rPr>
              <w:t>23.</w:t>
            </w:r>
          </w:p>
        </w:tc>
        <w:tc>
          <w:tcPr>
            <w:tcW w:w="4356" w:type="dxa"/>
            <w:tcBorders>
              <w:top w:val="single" w:sz="4" w:space="0" w:color="000000"/>
              <w:left w:val="single" w:sz="4" w:space="0" w:color="000000"/>
              <w:bottom w:val="single" w:sz="4" w:space="0" w:color="000000"/>
              <w:right w:val="single" w:sz="4" w:space="0" w:color="000000"/>
            </w:tcBorders>
          </w:tcPr>
          <w:p w14:paraId="09A0D357" w14:textId="77777777" w:rsidR="00D3344B" w:rsidRDefault="00143C25">
            <w:pPr>
              <w:pStyle w:val="TableParagraph"/>
              <w:spacing w:line="252" w:lineRule="exact"/>
            </w:pPr>
            <w:r>
              <w:rPr>
                <w:w w:val="110"/>
              </w:rPr>
              <w:t>Cuadro</w:t>
            </w:r>
            <w:r>
              <w:rPr>
                <w:spacing w:val="23"/>
                <w:w w:val="110"/>
              </w:rPr>
              <w:t xml:space="preserve"> </w:t>
            </w:r>
            <w:r>
              <w:rPr>
                <w:w w:val="110"/>
              </w:rPr>
              <w:t>de</w:t>
            </w:r>
            <w:r>
              <w:rPr>
                <w:spacing w:val="21"/>
                <w:w w:val="110"/>
              </w:rPr>
              <w:t xml:space="preserve"> </w:t>
            </w:r>
            <w:r>
              <w:rPr>
                <w:w w:val="110"/>
              </w:rPr>
              <w:t>vacunación</w:t>
            </w:r>
            <w:r>
              <w:rPr>
                <w:spacing w:val="26"/>
                <w:w w:val="110"/>
              </w:rPr>
              <w:t xml:space="preserve"> </w:t>
            </w:r>
            <w:r>
              <w:rPr>
                <w:spacing w:val="-2"/>
                <w:w w:val="110"/>
              </w:rPr>
              <w:t>felina</w:t>
            </w:r>
          </w:p>
        </w:tc>
        <w:tc>
          <w:tcPr>
            <w:tcW w:w="1132" w:type="dxa"/>
            <w:tcBorders>
              <w:top w:val="single" w:sz="4" w:space="0" w:color="000000"/>
              <w:left w:val="single" w:sz="4" w:space="0" w:color="000000"/>
              <w:bottom w:val="single" w:sz="4" w:space="0" w:color="000000"/>
              <w:right w:val="single" w:sz="4" w:space="0" w:color="000000"/>
            </w:tcBorders>
          </w:tcPr>
          <w:p w14:paraId="79D866ED" w14:textId="77777777" w:rsidR="00D3344B" w:rsidRDefault="00143C25">
            <w:pPr>
              <w:pStyle w:val="TableParagraph"/>
              <w:spacing w:line="252" w:lineRule="exact"/>
            </w:pPr>
            <w:r>
              <w:rPr>
                <w:w w:val="108"/>
              </w:rPr>
              <w:t>3</w:t>
            </w:r>
          </w:p>
        </w:tc>
        <w:tc>
          <w:tcPr>
            <w:tcW w:w="1180" w:type="dxa"/>
            <w:tcBorders>
              <w:top w:val="single" w:sz="4" w:space="0" w:color="000000"/>
              <w:left w:val="single" w:sz="4" w:space="0" w:color="000000"/>
              <w:bottom w:val="single" w:sz="4" w:space="0" w:color="000000"/>
              <w:right w:val="single" w:sz="4" w:space="0" w:color="000000"/>
            </w:tcBorders>
          </w:tcPr>
          <w:p w14:paraId="7DF18662" w14:textId="77777777" w:rsidR="00D3344B" w:rsidRDefault="00143C25">
            <w:pPr>
              <w:pStyle w:val="TableParagraph"/>
              <w:spacing w:line="252" w:lineRule="exact"/>
              <w:ind w:left="3"/>
            </w:pPr>
            <w:r>
              <w:rPr>
                <w:spacing w:val="-4"/>
                <w:w w:val="120"/>
              </w:rPr>
              <w:t>3.25</w:t>
            </w:r>
          </w:p>
        </w:tc>
        <w:tc>
          <w:tcPr>
            <w:tcW w:w="1321" w:type="dxa"/>
            <w:tcBorders>
              <w:top w:val="single" w:sz="4" w:space="0" w:color="000000"/>
              <w:left w:val="single" w:sz="4" w:space="0" w:color="000000"/>
              <w:bottom w:val="single" w:sz="4" w:space="0" w:color="000000"/>
              <w:right w:val="single" w:sz="4" w:space="0" w:color="000000"/>
            </w:tcBorders>
          </w:tcPr>
          <w:p w14:paraId="35BD5A35" w14:textId="77777777" w:rsidR="00D3344B" w:rsidRDefault="00143C25">
            <w:pPr>
              <w:pStyle w:val="TableParagraph"/>
              <w:spacing w:line="252" w:lineRule="exact"/>
              <w:ind w:left="2"/>
            </w:pPr>
            <w:r>
              <w:rPr>
                <w:spacing w:val="-5"/>
                <w:w w:val="125"/>
              </w:rPr>
              <w:t>3.5</w:t>
            </w:r>
          </w:p>
        </w:tc>
      </w:tr>
      <w:tr w:rsidR="00D3344B" w14:paraId="7F8FC525" w14:textId="77777777">
        <w:trPr>
          <w:trHeight w:val="774"/>
        </w:trPr>
        <w:tc>
          <w:tcPr>
            <w:tcW w:w="707" w:type="dxa"/>
            <w:tcBorders>
              <w:top w:val="single" w:sz="4" w:space="0" w:color="000000"/>
              <w:left w:val="single" w:sz="4" w:space="0" w:color="000000"/>
              <w:bottom w:val="single" w:sz="4" w:space="0" w:color="000000"/>
              <w:right w:val="single" w:sz="4" w:space="0" w:color="000000"/>
            </w:tcBorders>
          </w:tcPr>
          <w:p w14:paraId="2B454EBD" w14:textId="77777777" w:rsidR="00D3344B" w:rsidRDefault="00143C25">
            <w:pPr>
              <w:pStyle w:val="TableParagraph"/>
            </w:pPr>
            <w:r>
              <w:rPr>
                <w:spacing w:val="-5"/>
                <w:w w:val="125"/>
              </w:rPr>
              <w:t>24.</w:t>
            </w:r>
          </w:p>
        </w:tc>
        <w:tc>
          <w:tcPr>
            <w:tcW w:w="4356" w:type="dxa"/>
            <w:tcBorders>
              <w:top w:val="single" w:sz="4" w:space="0" w:color="000000"/>
              <w:left w:val="single" w:sz="4" w:space="0" w:color="000000"/>
              <w:bottom w:val="single" w:sz="4" w:space="0" w:color="000000"/>
              <w:right w:val="single" w:sz="4" w:space="0" w:color="000000"/>
            </w:tcBorders>
          </w:tcPr>
          <w:p w14:paraId="1CEA60C9" w14:textId="77777777" w:rsidR="00D3344B" w:rsidRDefault="00143C25">
            <w:pPr>
              <w:pStyle w:val="TableParagraph"/>
              <w:tabs>
                <w:tab w:val="left" w:pos="1060"/>
                <w:tab w:val="left" w:pos="1850"/>
                <w:tab w:val="left" w:pos="3237"/>
              </w:tabs>
              <w:ind w:right="59"/>
            </w:pPr>
            <w:r>
              <w:rPr>
                <w:spacing w:val="-4"/>
                <w:w w:val="110"/>
              </w:rPr>
              <w:t>Pago</w:t>
            </w:r>
            <w:r>
              <w:tab/>
            </w:r>
            <w:r>
              <w:rPr>
                <w:spacing w:val="-4"/>
                <w:w w:val="110"/>
              </w:rPr>
              <w:t>por</w:t>
            </w:r>
            <w:r>
              <w:tab/>
            </w:r>
            <w:r>
              <w:rPr>
                <w:spacing w:val="-2"/>
                <w:w w:val="110"/>
              </w:rPr>
              <w:t>tramites</w:t>
            </w:r>
            <w:r>
              <w:tab/>
            </w:r>
            <w:r>
              <w:rPr>
                <w:spacing w:val="-6"/>
                <w:w w:val="110"/>
              </w:rPr>
              <w:t xml:space="preserve">de </w:t>
            </w:r>
            <w:r>
              <w:rPr>
                <w:w w:val="110"/>
              </w:rPr>
              <w:t>autorizaciones</w:t>
            </w:r>
            <w:r>
              <w:rPr>
                <w:spacing w:val="20"/>
                <w:w w:val="110"/>
              </w:rPr>
              <w:t xml:space="preserve"> </w:t>
            </w:r>
            <w:r>
              <w:rPr>
                <w:w w:val="110"/>
              </w:rPr>
              <w:t>emitidas</w:t>
            </w:r>
            <w:r>
              <w:rPr>
                <w:spacing w:val="32"/>
                <w:w w:val="110"/>
              </w:rPr>
              <w:t xml:space="preserve"> </w:t>
            </w:r>
            <w:r>
              <w:rPr>
                <w:w w:val="110"/>
              </w:rPr>
              <w:t>por</w:t>
            </w:r>
            <w:r>
              <w:rPr>
                <w:spacing w:val="-16"/>
                <w:w w:val="110"/>
              </w:rPr>
              <w:t xml:space="preserve"> </w:t>
            </w:r>
            <w:r>
              <w:rPr>
                <w:w w:val="110"/>
              </w:rPr>
              <w:t>la</w:t>
            </w:r>
            <w:r>
              <w:rPr>
                <w:spacing w:val="-15"/>
                <w:w w:val="110"/>
              </w:rPr>
              <w:t xml:space="preserve"> </w:t>
            </w:r>
            <w:r>
              <w:rPr>
                <w:w w:val="110"/>
              </w:rPr>
              <w:t>coordinación</w:t>
            </w:r>
          </w:p>
        </w:tc>
        <w:tc>
          <w:tcPr>
            <w:tcW w:w="1132" w:type="dxa"/>
            <w:tcBorders>
              <w:top w:val="single" w:sz="4" w:space="0" w:color="000000"/>
              <w:left w:val="single" w:sz="4" w:space="0" w:color="000000"/>
              <w:bottom w:val="single" w:sz="4" w:space="0" w:color="000000"/>
              <w:right w:val="single" w:sz="4" w:space="0" w:color="000000"/>
            </w:tcBorders>
          </w:tcPr>
          <w:p w14:paraId="668FB45E" w14:textId="77777777" w:rsidR="00D3344B" w:rsidRDefault="00143C25">
            <w:pPr>
              <w:pStyle w:val="TableParagraph"/>
            </w:pPr>
            <w:r>
              <w:rPr>
                <w:w w:val="108"/>
              </w:rPr>
              <w:t>3</w:t>
            </w:r>
          </w:p>
        </w:tc>
        <w:tc>
          <w:tcPr>
            <w:tcW w:w="1180" w:type="dxa"/>
            <w:tcBorders>
              <w:top w:val="single" w:sz="4" w:space="0" w:color="000000"/>
              <w:left w:val="single" w:sz="4" w:space="0" w:color="000000"/>
              <w:bottom w:val="single" w:sz="4" w:space="0" w:color="000000"/>
              <w:right w:val="single" w:sz="4" w:space="0" w:color="000000"/>
            </w:tcBorders>
          </w:tcPr>
          <w:p w14:paraId="32076094" w14:textId="77777777" w:rsidR="00D3344B" w:rsidRDefault="00143C25">
            <w:pPr>
              <w:pStyle w:val="TableParagraph"/>
              <w:ind w:left="3"/>
            </w:pPr>
            <w:r>
              <w:t>3</w:t>
            </w:r>
          </w:p>
        </w:tc>
        <w:tc>
          <w:tcPr>
            <w:tcW w:w="1321" w:type="dxa"/>
            <w:tcBorders>
              <w:top w:val="single" w:sz="4" w:space="0" w:color="000000"/>
              <w:left w:val="single" w:sz="4" w:space="0" w:color="000000"/>
              <w:bottom w:val="single" w:sz="4" w:space="0" w:color="000000"/>
              <w:right w:val="single" w:sz="4" w:space="0" w:color="000000"/>
            </w:tcBorders>
          </w:tcPr>
          <w:p w14:paraId="6010CCDB" w14:textId="77777777" w:rsidR="00D3344B" w:rsidRDefault="00143C25">
            <w:pPr>
              <w:pStyle w:val="TableParagraph"/>
              <w:ind w:left="2"/>
            </w:pPr>
            <w:r>
              <w:t>3</w:t>
            </w:r>
          </w:p>
        </w:tc>
      </w:tr>
      <w:tr w:rsidR="00D3344B" w14:paraId="06D6E60E" w14:textId="77777777">
        <w:trPr>
          <w:trHeight w:val="554"/>
        </w:trPr>
        <w:tc>
          <w:tcPr>
            <w:tcW w:w="707" w:type="dxa"/>
            <w:tcBorders>
              <w:top w:val="single" w:sz="4" w:space="0" w:color="000000"/>
              <w:left w:val="single" w:sz="4" w:space="0" w:color="000000"/>
              <w:bottom w:val="single" w:sz="4" w:space="0" w:color="000000"/>
              <w:right w:val="single" w:sz="4" w:space="0" w:color="000000"/>
            </w:tcBorders>
          </w:tcPr>
          <w:p w14:paraId="498B299B" w14:textId="77777777" w:rsidR="00D3344B" w:rsidRDefault="00143C25">
            <w:pPr>
              <w:pStyle w:val="TableParagraph"/>
            </w:pPr>
            <w:r>
              <w:rPr>
                <w:spacing w:val="-5"/>
                <w:w w:val="125"/>
              </w:rPr>
              <w:t>25.</w:t>
            </w:r>
          </w:p>
        </w:tc>
        <w:tc>
          <w:tcPr>
            <w:tcW w:w="4356" w:type="dxa"/>
            <w:tcBorders>
              <w:top w:val="single" w:sz="4" w:space="0" w:color="000000"/>
              <w:left w:val="single" w:sz="4" w:space="0" w:color="000000"/>
              <w:bottom w:val="single" w:sz="4" w:space="0" w:color="000000"/>
              <w:right w:val="single" w:sz="4" w:space="0" w:color="000000"/>
            </w:tcBorders>
          </w:tcPr>
          <w:p w14:paraId="7AC8013D" w14:textId="77777777" w:rsidR="00D3344B" w:rsidRDefault="00143C25">
            <w:pPr>
              <w:pStyle w:val="TableParagraph"/>
            </w:pPr>
            <w:r>
              <w:rPr>
                <w:w w:val="110"/>
              </w:rPr>
              <w:t>Pago</w:t>
            </w:r>
            <w:r>
              <w:rPr>
                <w:spacing w:val="-6"/>
                <w:w w:val="110"/>
              </w:rPr>
              <w:t xml:space="preserve"> </w:t>
            </w:r>
            <w:r>
              <w:rPr>
                <w:w w:val="110"/>
              </w:rPr>
              <w:t>por</w:t>
            </w:r>
            <w:r>
              <w:rPr>
                <w:spacing w:val="-4"/>
                <w:w w:val="110"/>
              </w:rPr>
              <w:t xml:space="preserve"> </w:t>
            </w:r>
            <w:r>
              <w:rPr>
                <w:w w:val="110"/>
              </w:rPr>
              <w:t>expedición</w:t>
            </w:r>
            <w:r>
              <w:rPr>
                <w:spacing w:val="-6"/>
                <w:w w:val="110"/>
              </w:rPr>
              <w:t xml:space="preserve"> </w:t>
            </w:r>
            <w:r>
              <w:rPr>
                <w:w w:val="110"/>
              </w:rPr>
              <w:t>de</w:t>
            </w:r>
            <w:r>
              <w:rPr>
                <w:spacing w:val="-5"/>
                <w:w w:val="110"/>
              </w:rPr>
              <w:t xml:space="preserve"> </w:t>
            </w:r>
            <w:r>
              <w:rPr>
                <w:w w:val="110"/>
              </w:rPr>
              <w:t>copias</w:t>
            </w:r>
            <w:r>
              <w:rPr>
                <w:spacing w:val="1"/>
                <w:w w:val="110"/>
              </w:rPr>
              <w:t xml:space="preserve"> </w:t>
            </w:r>
            <w:r>
              <w:rPr>
                <w:spacing w:val="-2"/>
                <w:w w:val="110"/>
              </w:rPr>
              <w:t>certificadas</w:t>
            </w:r>
          </w:p>
        </w:tc>
        <w:tc>
          <w:tcPr>
            <w:tcW w:w="3633" w:type="dxa"/>
            <w:gridSpan w:val="3"/>
            <w:tcBorders>
              <w:top w:val="single" w:sz="4" w:space="0" w:color="000000"/>
              <w:left w:val="single" w:sz="4" w:space="0" w:color="000000"/>
              <w:bottom w:val="single" w:sz="4" w:space="0" w:color="000000"/>
              <w:right w:val="single" w:sz="4" w:space="0" w:color="000000"/>
            </w:tcBorders>
          </w:tcPr>
          <w:p w14:paraId="65E46A82" w14:textId="77777777" w:rsidR="00D3344B" w:rsidRDefault="00143C25">
            <w:pPr>
              <w:pStyle w:val="TableParagraph"/>
            </w:pPr>
            <w:r>
              <w:rPr>
                <w:w w:val="115"/>
              </w:rPr>
              <w:t>0.25</w:t>
            </w:r>
            <w:r>
              <w:rPr>
                <w:spacing w:val="-6"/>
                <w:w w:val="115"/>
              </w:rPr>
              <w:t xml:space="preserve"> </w:t>
            </w:r>
            <w:r>
              <w:rPr>
                <w:w w:val="115"/>
              </w:rPr>
              <w:t>por</w:t>
            </w:r>
            <w:r>
              <w:rPr>
                <w:spacing w:val="-8"/>
                <w:w w:val="115"/>
              </w:rPr>
              <w:t xml:space="preserve"> </w:t>
            </w:r>
            <w:r>
              <w:rPr>
                <w:w w:val="115"/>
              </w:rPr>
              <w:t>cada</w:t>
            </w:r>
            <w:r>
              <w:rPr>
                <w:spacing w:val="-8"/>
                <w:w w:val="115"/>
              </w:rPr>
              <w:t xml:space="preserve"> </w:t>
            </w:r>
            <w:r>
              <w:rPr>
                <w:spacing w:val="-2"/>
                <w:w w:val="115"/>
              </w:rPr>
              <w:t>foja.</w:t>
            </w:r>
          </w:p>
        </w:tc>
      </w:tr>
    </w:tbl>
    <w:p w14:paraId="7D445EFB" w14:textId="77777777" w:rsidR="00D3344B" w:rsidRDefault="00D3344B">
      <w:pPr>
        <w:pStyle w:val="Estilo"/>
        <w:rPr>
          <w:rFonts w:cs="Arial"/>
        </w:rPr>
      </w:pPr>
    </w:p>
    <w:p w14:paraId="42FCB05B" w14:textId="77777777" w:rsidR="00D3344B" w:rsidRDefault="00D3344B">
      <w:pPr>
        <w:pStyle w:val="Estilo"/>
        <w:rPr>
          <w:rFonts w:cs="Arial"/>
        </w:rPr>
      </w:pPr>
    </w:p>
    <w:p w14:paraId="73065F8F" w14:textId="77777777" w:rsidR="00D3344B" w:rsidRDefault="00143C25">
      <w:pPr>
        <w:pStyle w:val="Estilo"/>
        <w:rPr>
          <w:rFonts w:cs="Arial"/>
          <w:i/>
          <w:iCs/>
          <w:sz w:val="16"/>
          <w:szCs w:val="16"/>
        </w:rPr>
      </w:pPr>
      <w:r>
        <w:rPr>
          <w:rFonts w:cs="Arial"/>
          <w:i/>
          <w:iCs/>
          <w:sz w:val="16"/>
          <w:szCs w:val="16"/>
        </w:rPr>
        <w:t>(ADICIONADA SUBSECCIÓN Y ARTÍCULO, P.O. 29 DE NOVIEMBRE DE 2023)</w:t>
      </w:r>
    </w:p>
    <w:p w14:paraId="568CDC3F" w14:textId="77777777" w:rsidR="00D3344B" w:rsidRDefault="00143C25">
      <w:pPr>
        <w:spacing w:after="0"/>
        <w:rPr>
          <w:b/>
          <w:bCs/>
        </w:rPr>
      </w:pPr>
      <w:r>
        <w:rPr>
          <w:b/>
          <w:bCs/>
        </w:rPr>
        <w:t>Subsección</w:t>
      </w:r>
      <w:r>
        <w:rPr>
          <w:b/>
          <w:bCs/>
          <w:spacing w:val="-3"/>
        </w:rPr>
        <w:t xml:space="preserve"> </w:t>
      </w:r>
      <w:r>
        <w:rPr>
          <w:b/>
          <w:bCs/>
        </w:rPr>
        <w:t>Decimoquinta</w:t>
      </w:r>
    </w:p>
    <w:p w14:paraId="74EA3AEB" w14:textId="77777777" w:rsidR="00D3344B" w:rsidRDefault="00143C25">
      <w:pPr>
        <w:spacing w:after="0"/>
        <w:rPr>
          <w:b/>
          <w:bCs/>
        </w:rPr>
      </w:pPr>
      <w:r>
        <w:rPr>
          <w:b/>
          <w:bCs/>
        </w:rPr>
        <w:t>Derechos</w:t>
      </w:r>
      <w:r>
        <w:rPr>
          <w:b/>
          <w:bCs/>
          <w:spacing w:val="-3"/>
        </w:rPr>
        <w:t xml:space="preserve"> </w:t>
      </w:r>
      <w:r>
        <w:rPr>
          <w:b/>
          <w:bCs/>
        </w:rPr>
        <w:t>por</w:t>
      </w:r>
      <w:r>
        <w:rPr>
          <w:b/>
          <w:bCs/>
          <w:spacing w:val="-5"/>
        </w:rPr>
        <w:t xml:space="preserve"> </w:t>
      </w:r>
      <w:r>
        <w:rPr>
          <w:b/>
          <w:bCs/>
        </w:rPr>
        <w:t>los</w:t>
      </w:r>
      <w:r>
        <w:rPr>
          <w:b/>
          <w:bCs/>
          <w:spacing w:val="-5"/>
        </w:rPr>
        <w:t xml:space="preserve"> </w:t>
      </w:r>
      <w:r>
        <w:rPr>
          <w:b/>
          <w:bCs/>
        </w:rPr>
        <w:t>servicios</w:t>
      </w:r>
      <w:r>
        <w:rPr>
          <w:b/>
          <w:bCs/>
          <w:spacing w:val="-5"/>
        </w:rPr>
        <w:t xml:space="preserve"> </w:t>
      </w:r>
      <w:r>
        <w:rPr>
          <w:b/>
          <w:bCs/>
        </w:rPr>
        <w:t>prestados</w:t>
      </w:r>
      <w:r>
        <w:rPr>
          <w:b/>
          <w:bCs/>
          <w:spacing w:val="-3"/>
        </w:rPr>
        <w:t xml:space="preserve"> </w:t>
      </w:r>
      <w:r>
        <w:rPr>
          <w:b/>
          <w:bCs/>
        </w:rPr>
        <w:t>por</w:t>
      </w:r>
      <w:r>
        <w:rPr>
          <w:b/>
          <w:bCs/>
          <w:spacing w:val="-3"/>
        </w:rPr>
        <w:t xml:space="preserve"> </w:t>
      </w:r>
      <w:r>
        <w:rPr>
          <w:b/>
          <w:bCs/>
        </w:rPr>
        <w:t>el Archivo</w:t>
      </w:r>
      <w:r>
        <w:rPr>
          <w:b/>
          <w:bCs/>
          <w:spacing w:val="-6"/>
        </w:rPr>
        <w:t xml:space="preserve"> </w:t>
      </w:r>
      <w:r>
        <w:rPr>
          <w:b/>
          <w:bCs/>
        </w:rPr>
        <w:t>General</w:t>
      </w:r>
      <w:r>
        <w:rPr>
          <w:b/>
          <w:bCs/>
          <w:spacing w:val="-5"/>
        </w:rPr>
        <w:t xml:space="preserve"> </w:t>
      </w:r>
      <w:r>
        <w:rPr>
          <w:b/>
          <w:bCs/>
        </w:rPr>
        <w:t>e</w:t>
      </w:r>
      <w:r>
        <w:rPr>
          <w:b/>
          <w:bCs/>
          <w:spacing w:val="-5"/>
        </w:rPr>
        <w:t xml:space="preserve"> </w:t>
      </w:r>
      <w:r>
        <w:rPr>
          <w:b/>
          <w:bCs/>
        </w:rPr>
        <w:t>Histórico</w:t>
      </w:r>
      <w:r>
        <w:rPr>
          <w:b/>
          <w:bCs/>
          <w:spacing w:val="-3"/>
        </w:rPr>
        <w:t xml:space="preserve"> </w:t>
      </w:r>
      <w:r>
        <w:rPr>
          <w:b/>
          <w:bCs/>
        </w:rPr>
        <w:t>del Estado</w:t>
      </w:r>
      <w:r>
        <w:rPr>
          <w:b/>
          <w:bCs/>
          <w:spacing w:val="-3"/>
        </w:rPr>
        <w:t xml:space="preserve"> </w:t>
      </w:r>
      <w:r>
        <w:rPr>
          <w:b/>
          <w:bCs/>
        </w:rPr>
        <w:t>de Tlaxcala</w:t>
      </w:r>
    </w:p>
    <w:p w14:paraId="58E34800" w14:textId="77777777" w:rsidR="00D3344B" w:rsidRDefault="00D3344B">
      <w:pPr>
        <w:pStyle w:val="Textoindependiente"/>
        <w:spacing w:before="1"/>
        <w:ind w:right="198"/>
        <w:rPr>
          <w:b/>
        </w:rPr>
      </w:pPr>
    </w:p>
    <w:p w14:paraId="224E00F1" w14:textId="77777777" w:rsidR="00D3344B" w:rsidRDefault="00143C25">
      <w:pPr>
        <w:pStyle w:val="Textoindependiente"/>
        <w:spacing w:before="1"/>
        <w:ind w:right="198"/>
      </w:pPr>
      <w:r>
        <w:rPr>
          <w:b/>
        </w:rPr>
        <w:t>Artículo</w:t>
      </w:r>
      <w:r>
        <w:rPr>
          <w:b/>
          <w:spacing w:val="-8"/>
        </w:rPr>
        <w:t xml:space="preserve"> </w:t>
      </w:r>
      <w:r>
        <w:rPr>
          <w:b/>
        </w:rPr>
        <w:t>162-L.</w:t>
      </w:r>
      <w:r>
        <w:rPr>
          <w:b/>
          <w:spacing w:val="-8"/>
        </w:rPr>
        <w:t xml:space="preserve"> </w:t>
      </w:r>
      <w:r>
        <w:t>Los</w:t>
      </w:r>
      <w:r>
        <w:rPr>
          <w:spacing w:val="-7"/>
        </w:rPr>
        <w:t xml:space="preserve"> </w:t>
      </w:r>
      <w:r>
        <w:t>derechos</w:t>
      </w:r>
      <w:r>
        <w:rPr>
          <w:spacing w:val="-7"/>
        </w:rPr>
        <w:t xml:space="preserve"> </w:t>
      </w:r>
      <w:r>
        <w:t>por</w:t>
      </w:r>
      <w:r>
        <w:rPr>
          <w:spacing w:val="-10"/>
        </w:rPr>
        <w:t xml:space="preserve"> </w:t>
      </w:r>
      <w:r>
        <w:t>los</w:t>
      </w:r>
      <w:r>
        <w:rPr>
          <w:spacing w:val="-10"/>
        </w:rPr>
        <w:t xml:space="preserve"> </w:t>
      </w:r>
      <w:r>
        <w:t>servicios</w:t>
      </w:r>
      <w:r>
        <w:rPr>
          <w:spacing w:val="-7"/>
        </w:rPr>
        <w:t xml:space="preserve"> </w:t>
      </w:r>
      <w:r>
        <w:t>que</w:t>
      </w:r>
      <w:r>
        <w:rPr>
          <w:spacing w:val="-10"/>
        </w:rPr>
        <w:t xml:space="preserve"> </w:t>
      </w:r>
      <w:r>
        <w:t>presta</w:t>
      </w:r>
      <w:r>
        <w:rPr>
          <w:spacing w:val="-10"/>
        </w:rPr>
        <w:t xml:space="preserve"> </w:t>
      </w:r>
      <w:r>
        <w:t>el</w:t>
      </w:r>
      <w:r>
        <w:rPr>
          <w:spacing w:val="-7"/>
        </w:rPr>
        <w:t xml:space="preserve"> </w:t>
      </w:r>
      <w:r>
        <w:t>Archivo</w:t>
      </w:r>
      <w:r>
        <w:rPr>
          <w:spacing w:val="-8"/>
        </w:rPr>
        <w:t xml:space="preserve"> </w:t>
      </w:r>
      <w:r>
        <w:t>General</w:t>
      </w:r>
      <w:r>
        <w:rPr>
          <w:spacing w:val="-7"/>
        </w:rPr>
        <w:t xml:space="preserve"> </w:t>
      </w:r>
      <w:r>
        <w:t>e</w:t>
      </w:r>
      <w:r>
        <w:rPr>
          <w:spacing w:val="-8"/>
        </w:rPr>
        <w:t xml:space="preserve"> </w:t>
      </w:r>
      <w:r>
        <w:t>Histórico</w:t>
      </w:r>
      <w:r>
        <w:rPr>
          <w:spacing w:val="-10"/>
        </w:rPr>
        <w:t xml:space="preserve"> </w:t>
      </w:r>
      <w:r>
        <w:t>del</w:t>
      </w:r>
      <w:r>
        <w:rPr>
          <w:spacing w:val="-7"/>
        </w:rPr>
        <w:t xml:space="preserve"> </w:t>
      </w:r>
      <w:r>
        <w:t>Estado de Tlaxcala, serán los siguientes:</w:t>
      </w:r>
    </w:p>
    <w:tbl>
      <w:tblPr>
        <w:tblStyle w:val="TableNormal"/>
        <w:tblW w:w="8671" w:type="dxa"/>
        <w:tblInd w:w="187" w:type="dxa"/>
        <w:tblLayout w:type="fixed"/>
        <w:tblLook w:val="01E0" w:firstRow="1" w:lastRow="1" w:firstColumn="1" w:lastColumn="1" w:noHBand="0" w:noVBand="0"/>
      </w:tblPr>
      <w:tblGrid>
        <w:gridCol w:w="4145"/>
        <w:gridCol w:w="4526"/>
      </w:tblGrid>
      <w:tr w:rsidR="00D3344B" w14:paraId="63C47A5D" w14:textId="77777777">
        <w:trPr>
          <w:trHeight w:val="375"/>
        </w:trPr>
        <w:tc>
          <w:tcPr>
            <w:tcW w:w="4145" w:type="dxa"/>
          </w:tcPr>
          <w:p w14:paraId="2586E855" w14:textId="77777777" w:rsidR="00D3344B" w:rsidRDefault="00143C25">
            <w:pPr>
              <w:pStyle w:val="TableParagraph"/>
              <w:spacing w:line="244" w:lineRule="exact"/>
              <w:ind w:left="50"/>
              <w:rPr>
                <w:b/>
              </w:rPr>
            </w:pPr>
            <w:r>
              <w:rPr>
                <w:b/>
                <w:spacing w:val="-2"/>
              </w:rPr>
              <w:t>Concepto</w:t>
            </w:r>
          </w:p>
        </w:tc>
        <w:tc>
          <w:tcPr>
            <w:tcW w:w="4525" w:type="dxa"/>
          </w:tcPr>
          <w:p w14:paraId="438BC2FF" w14:textId="77777777" w:rsidR="00D3344B" w:rsidRDefault="00143C25">
            <w:pPr>
              <w:pStyle w:val="TableParagraph"/>
              <w:spacing w:line="244" w:lineRule="exact"/>
              <w:ind w:left="2697" w:right="42"/>
              <w:jc w:val="center"/>
              <w:rPr>
                <w:b/>
              </w:rPr>
            </w:pPr>
            <w:r>
              <w:rPr>
                <w:b/>
              </w:rPr>
              <w:t>Derechos</w:t>
            </w:r>
            <w:r>
              <w:rPr>
                <w:b/>
                <w:spacing w:val="-5"/>
              </w:rPr>
              <w:t xml:space="preserve"> </w:t>
            </w:r>
            <w:r>
              <w:rPr>
                <w:b/>
                <w:spacing w:val="-2"/>
              </w:rPr>
              <w:t>causados</w:t>
            </w:r>
          </w:p>
        </w:tc>
      </w:tr>
      <w:tr w:rsidR="00D3344B" w14:paraId="6AA9E463" w14:textId="77777777">
        <w:trPr>
          <w:trHeight w:val="379"/>
        </w:trPr>
        <w:tc>
          <w:tcPr>
            <w:tcW w:w="4145" w:type="dxa"/>
          </w:tcPr>
          <w:p w14:paraId="039737CD" w14:textId="77777777" w:rsidR="00D3344B" w:rsidRDefault="00143C25">
            <w:pPr>
              <w:pStyle w:val="TableParagraph"/>
              <w:spacing w:before="122" w:line="237" w:lineRule="exact"/>
              <w:ind w:left="50"/>
            </w:pPr>
            <w:r>
              <w:t>I.</w:t>
            </w:r>
            <w:r>
              <w:rPr>
                <w:spacing w:val="-2"/>
              </w:rPr>
              <w:t xml:space="preserve"> Digitalización:</w:t>
            </w:r>
          </w:p>
        </w:tc>
        <w:tc>
          <w:tcPr>
            <w:tcW w:w="4525" w:type="dxa"/>
          </w:tcPr>
          <w:p w14:paraId="5B446A2B" w14:textId="77777777" w:rsidR="00D3344B" w:rsidRDefault="00D3344B">
            <w:pPr>
              <w:pStyle w:val="TableParagraph"/>
            </w:pPr>
          </w:p>
        </w:tc>
      </w:tr>
      <w:tr w:rsidR="00D3344B" w14:paraId="657C4CF3" w14:textId="77777777">
        <w:trPr>
          <w:trHeight w:val="253"/>
        </w:trPr>
        <w:tc>
          <w:tcPr>
            <w:tcW w:w="4145" w:type="dxa"/>
          </w:tcPr>
          <w:p w14:paraId="12AB91F8" w14:textId="77777777" w:rsidR="00D3344B" w:rsidRDefault="00143C25">
            <w:pPr>
              <w:pStyle w:val="TableParagraph"/>
              <w:spacing w:line="233" w:lineRule="exact"/>
              <w:ind w:left="50"/>
            </w:pPr>
            <w:r>
              <w:lastRenderedPageBreak/>
              <w:t>a)</w:t>
            </w:r>
            <w:r>
              <w:rPr>
                <w:spacing w:val="1"/>
              </w:rPr>
              <w:t xml:space="preserve"> </w:t>
            </w:r>
            <w:r>
              <w:rPr>
                <w:spacing w:val="-2"/>
              </w:rPr>
              <w:t>Carta,</w:t>
            </w:r>
          </w:p>
        </w:tc>
        <w:tc>
          <w:tcPr>
            <w:tcW w:w="4525" w:type="dxa"/>
          </w:tcPr>
          <w:p w14:paraId="5B0B8F10" w14:textId="77777777" w:rsidR="00D3344B" w:rsidRDefault="00143C25">
            <w:pPr>
              <w:pStyle w:val="TableParagraph"/>
              <w:spacing w:line="233" w:lineRule="exact"/>
              <w:ind w:left="2697" w:right="40"/>
              <w:jc w:val="center"/>
            </w:pPr>
            <w:r>
              <w:t xml:space="preserve">4 </w:t>
            </w:r>
            <w:r>
              <w:rPr>
                <w:spacing w:val="-5"/>
              </w:rPr>
              <w:t>UMA</w:t>
            </w:r>
          </w:p>
        </w:tc>
      </w:tr>
      <w:tr w:rsidR="00D3344B" w14:paraId="7273A808" w14:textId="77777777">
        <w:trPr>
          <w:trHeight w:val="253"/>
        </w:trPr>
        <w:tc>
          <w:tcPr>
            <w:tcW w:w="4145" w:type="dxa"/>
          </w:tcPr>
          <w:p w14:paraId="6CA0F4F2" w14:textId="77777777" w:rsidR="00D3344B" w:rsidRDefault="00143C25">
            <w:pPr>
              <w:pStyle w:val="TableParagraph"/>
              <w:spacing w:line="233" w:lineRule="exact"/>
              <w:ind w:left="50"/>
            </w:pPr>
            <w:r>
              <w:t xml:space="preserve">b) </w:t>
            </w:r>
            <w:r>
              <w:rPr>
                <w:spacing w:val="-2"/>
              </w:rPr>
              <w:t>Oficio,</w:t>
            </w:r>
          </w:p>
        </w:tc>
        <w:tc>
          <w:tcPr>
            <w:tcW w:w="4525" w:type="dxa"/>
          </w:tcPr>
          <w:p w14:paraId="75E1CC9D" w14:textId="77777777" w:rsidR="00D3344B" w:rsidRDefault="00143C25">
            <w:pPr>
              <w:pStyle w:val="TableParagraph"/>
              <w:spacing w:line="233" w:lineRule="exact"/>
              <w:ind w:left="2697" w:right="40"/>
              <w:jc w:val="center"/>
            </w:pPr>
            <w:r>
              <w:t xml:space="preserve">5 </w:t>
            </w:r>
            <w:r>
              <w:rPr>
                <w:spacing w:val="-5"/>
              </w:rPr>
              <w:t>UMA</w:t>
            </w:r>
          </w:p>
        </w:tc>
      </w:tr>
      <w:tr w:rsidR="00D3344B" w14:paraId="129B6A88" w14:textId="77777777">
        <w:trPr>
          <w:trHeight w:val="253"/>
        </w:trPr>
        <w:tc>
          <w:tcPr>
            <w:tcW w:w="4145" w:type="dxa"/>
          </w:tcPr>
          <w:p w14:paraId="5A0224A1" w14:textId="77777777" w:rsidR="00D3344B" w:rsidRDefault="00143C25">
            <w:pPr>
              <w:pStyle w:val="TableParagraph"/>
              <w:spacing w:line="233" w:lineRule="exact"/>
              <w:ind w:left="50"/>
            </w:pPr>
            <w:r>
              <w:t>c)</w:t>
            </w:r>
            <w:r>
              <w:rPr>
                <w:spacing w:val="-2"/>
              </w:rPr>
              <w:t xml:space="preserve"> </w:t>
            </w:r>
            <w:r>
              <w:t>Doble</w:t>
            </w:r>
            <w:r>
              <w:rPr>
                <w:spacing w:val="-2"/>
              </w:rPr>
              <w:t xml:space="preserve"> oficio,</w:t>
            </w:r>
          </w:p>
        </w:tc>
        <w:tc>
          <w:tcPr>
            <w:tcW w:w="4525" w:type="dxa"/>
          </w:tcPr>
          <w:p w14:paraId="1F4419B8" w14:textId="77777777" w:rsidR="00D3344B" w:rsidRDefault="00143C25">
            <w:pPr>
              <w:pStyle w:val="TableParagraph"/>
              <w:spacing w:line="233" w:lineRule="exact"/>
              <w:ind w:left="2697" w:right="40"/>
              <w:jc w:val="center"/>
            </w:pPr>
            <w:r>
              <w:t xml:space="preserve">10 </w:t>
            </w:r>
            <w:r>
              <w:rPr>
                <w:spacing w:val="-5"/>
              </w:rPr>
              <w:t>UMA</w:t>
            </w:r>
          </w:p>
        </w:tc>
      </w:tr>
      <w:tr w:rsidR="00D3344B" w14:paraId="4CA7AD5D" w14:textId="77777777">
        <w:trPr>
          <w:trHeight w:val="249"/>
        </w:trPr>
        <w:tc>
          <w:tcPr>
            <w:tcW w:w="4145" w:type="dxa"/>
          </w:tcPr>
          <w:p w14:paraId="6F52B035" w14:textId="77777777" w:rsidR="00D3344B" w:rsidRDefault="00143C25">
            <w:pPr>
              <w:pStyle w:val="TableParagraph"/>
              <w:spacing w:line="229" w:lineRule="exact"/>
              <w:ind w:left="50"/>
            </w:pPr>
            <w:r>
              <w:t xml:space="preserve">d) </w:t>
            </w:r>
            <w:r>
              <w:rPr>
                <w:spacing w:val="-2"/>
              </w:rPr>
              <w:t>Mapas,</w:t>
            </w:r>
          </w:p>
        </w:tc>
        <w:tc>
          <w:tcPr>
            <w:tcW w:w="4525" w:type="dxa"/>
          </w:tcPr>
          <w:p w14:paraId="523EC20F" w14:textId="77777777" w:rsidR="00D3344B" w:rsidRDefault="00143C25">
            <w:pPr>
              <w:pStyle w:val="TableParagraph"/>
              <w:spacing w:line="229" w:lineRule="exact"/>
              <w:ind w:left="2697" w:right="40"/>
              <w:jc w:val="center"/>
            </w:pPr>
            <w:r>
              <w:t xml:space="preserve">15 </w:t>
            </w:r>
            <w:r>
              <w:rPr>
                <w:spacing w:val="-5"/>
              </w:rPr>
              <w:t>UMA</w:t>
            </w:r>
          </w:p>
        </w:tc>
      </w:tr>
    </w:tbl>
    <w:p w14:paraId="7B12C5EC" w14:textId="77777777" w:rsidR="00D3344B" w:rsidRDefault="00D3344B">
      <w:pPr>
        <w:pStyle w:val="Textoindependiente"/>
        <w:spacing w:before="9"/>
        <w:rPr>
          <w:sz w:val="7"/>
        </w:rPr>
      </w:pPr>
    </w:p>
    <w:tbl>
      <w:tblPr>
        <w:tblStyle w:val="TableNormal"/>
        <w:tblW w:w="8638" w:type="dxa"/>
        <w:tblInd w:w="187" w:type="dxa"/>
        <w:tblLayout w:type="fixed"/>
        <w:tblLook w:val="01E0" w:firstRow="1" w:lastRow="1" w:firstColumn="1" w:lastColumn="1" w:noHBand="0" w:noVBand="0"/>
      </w:tblPr>
      <w:tblGrid>
        <w:gridCol w:w="6785"/>
        <w:gridCol w:w="1853"/>
      </w:tblGrid>
      <w:tr w:rsidR="00D3344B" w14:paraId="35F89BF4" w14:textId="77777777">
        <w:trPr>
          <w:trHeight w:val="630"/>
        </w:trPr>
        <w:tc>
          <w:tcPr>
            <w:tcW w:w="6784" w:type="dxa"/>
          </w:tcPr>
          <w:p w14:paraId="1A3FF29C" w14:textId="77777777" w:rsidR="00D3344B" w:rsidRDefault="00143C25">
            <w:pPr>
              <w:pStyle w:val="TableParagraph"/>
              <w:ind w:left="50"/>
            </w:pPr>
            <w:r>
              <w:t>II.</w:t>
            </w:r>
            <w:r>
              <w:rPr>
                <w:spacing w:val="27"/>
              </w:rPr>
              <w:t xml:space="preserve"> </w:t>
            </w:r>
            <w:r>
              <w:t>Uso</w:t>
            </w:r>
            <w:r>
              <w:rPr>
                <w:spacing w:val="27"/>
              </w:rPr>
              <w:t xml:space="preserve"> </w:t>
            </w:r>
            <w:r>
              <w:t>de imágenes contenidas en</w:t>
            </w:r>
            <w:r>
              <w:rPr>
                <w:spacing w:val="27"/>
              </w:rPr>
              <w:t xml:space="preserve"> </w:t>
            </w:r>
            <w:r>
              <w:t>documentos originales</w:t>
            </w:r>
            <w:r>
              <w:rPr>
                <w:spacing w:val="27"/>
              </w:rPr>
              <w:t xml:space="preserve"> </w:t>
            </w:r>
            <w:r>
              <w:t xml:space="preserve">por parte del </w:t>
            </w:r>
            <w:r>
              <w:rPr>
                <w:spacing w:val="-2"/>
              </w:rPr>
              <w:t>acervo</w:t>
            </w:r>
            <w:r>
              <w:rPr>
                <w:spacing w:val="-9"/>
              </w:rPr>
              <w:t xml:space="preserve"> </w:t>
            </w:r>
            <w:r>
              <w:rPr>
                <w:spacing w:val="-2"/>
              </w:rPr>
              <w:t>y</w:t>
            </w:r>
            <w:r>
              <w:rPr>
                <w:spacing w:val="-8"/>
              </w:rPr>
              <w:t xml:space="preserve"> </w:t>
            </w:r>
            <w:r>
              <w:rPr>
                <w:spacing w:val="-2"/>
              </w:rPr>
              <w:t>propiedad</w:t>
            </w:r>
            <w:r>
              <w:rPr>
                <w:spacing w:val="-7"/>
              </w:rPr>
              <w:t xml:space="preserve"> </w:t>
            </w:r>
            <w:r>
              <w:rPr>
                <w:spacing w:val="-2"/>
              </w:rPr>
              <w:t>del</w:t>
            </w:r>
            <w:r>
              <w:rPr>
                <w:spacing w:val="-7"/>
              </w:rPr>
              <w:t xml:space="preserve"> </w:t>
            </w:r>
            <w:r>
              <w:rPr>
                <w:spacing w:val="-2"/>
              </w:rPr>
              <w:t>Archivo</w:t>
            </w:r>
            <w:r>
              <w:rPr>
                <w:spacing w:val="-8"/>
              </w:rPr>
              <w:t xml:space="preserve"> </w:t>
            </w:r>
            <w:r>
              <w:rPr>
                <w:spacing w:val="-2"/>
              </w:rPr>
              <w:t>General</w:t>
            </w:r>
            <w:r>
              <w:rPr>
                <w:spacing w:val="-7"/>
              </w:rPr>
              <w:t xml:space="preserve"> </w:t>
            </w:r>
            <w:r>
              <w:rPr>
                <w:spacing w:val="-2"/>
              </w:rPr>
              <w:t>e</w:t>
            </w:r>
            <w:r>
              <w:rPr>
                <w:spacing w:val="-6"/>
              </w:rPr>
              <w:t xml:space="preserve"> </w:t>
            </w:r>
            <w:r>
              <w:rPr>
                <w:spacing w:val="-2"/>
              </w:rPr>
              <w:t>Histórico</w:t>
            </w:r>
            <w:r>
              <w:rPr>
                <w:spacing w:val="-7"/>
              </w:rPr>
              <w:t xml:space="preserve"> </w:t>
            </w:r>
            <w:r>
              <w:rPr>
                <w:spacing w:val="-2"/>
              </w:rPr>
              <w:t>del</w:t>
            </w:r>
            <w:r>
              <w:rPr>
                <w:spacing w:val="-10"/>
              </w:rPr>
              <w:t xml:space="preserve"> </w:t>
            </w:r>
            <w:r>
              <w:rPr>
                <w:spacing w:val="-2"/>
              </w:rPr>
              <w:t>Estado</w:t>
            </w:r>
            <w:r>
              <w:rPr>
                <w:spacing w:val="-7"/>
              </w:rPr>
              <w:t xml:space="preserve"> </w:t>
            </w:r>
            <w:r>
              <w:rPr>
                <w:spacing w:val="-2"/>
              </w:rPr>
              <w:t>de</w:t>
            </w:r>
            <w:r>
              <w:rPr>
                <w:spacing w:val="-6"/>
              </w:rPr>
              <w:t xml:space="preserve"> </w:t>
            </w:r>
            <w:r>
              <w:rPr>
                <w:spacing w:val="-2"/>
              </w:rPr>
              <w:t>Tlaxcala;</w:t>
            </w:r>
          </w:p>
        </w:tc>
        <w:tc>
          <w:tcPr>
            <w:tcW w:w="1853" w:type="dxa"/>
          </w:tcPr>
          <w:p w14:paraId="224B1886" w14:textId="77777777" w:rsidR="00D3344B" w:rsidRDefault="00143C25">
            <w:pPr>
              <w:pStyle w:val="TableParagraph"/>
              <w:spacing w:line="244" w:lineRule="exact"/>
              <w:ind w:right="219"/>
              <w:jc w:val="right"/>
            </w:pPr>
            <w:r>
              <w:t xml:space="preserve">15 </w:t>
            </w:r>
            <w:r>
              <w:rPr>
                <w:spacing w:val="-5"/>
              </w:rPr>
              <w:t>UMA</w:t>
            </w:r>
          </w:p>
        </w:tc>
      </w:tr>
      <w:tr w:rsidR="00D3344B" w14:paraId="50B7379B" w14:textId="77777777">
        <w:trPr>
          <w:trHeight w:val="1264"/>
        </w:trPr>
        <w:tc>
          <w:tcPr>
            <w:tcW w:w="6784" w:type="dxa"/>
          </w:tcPr>
          <w:p w14:paraId="1D83C03A" w14:textId="77777777" w:rsidR="00D3344B" w:rsidRDefault="00143C25">
            <w:pPr>
              <w:pStyle w:val="TableParagraph"/>
              <w:spacing w:before="122"/>
              <w:ind w:left="50" w:right="150"/>
              <w:jc w:val="both"/>
            </w:pPr>
            <w:r>
              <w:t>III. Certificación o constancia de distinta unidad documental simple o compuesta</w:t>
            </w:r>
            <w:r>
              <w:rPr>
                <w:spacing w:val="-6"/>
              </w:rPr>
              <w:t xml:space="preserve"> </w:t>
            </w:r>
            <w:r>
              <w:t>de</w:t>
            </w:r>
            <w:r>
              <w:rPr>
                <w:spacing w:val="-6"/>
              </w:rPr>
              <w:t xml:space="preserve"> </w:t>
            </w:r>
            <w:r>
              <w:t>los</w:t>
            </w:r>
            <w:r>
              <w:rPr>
                <w:spacing w:val="-6"/>
              </w:rPr>
              <w:t xml:space="preserve"> </w:t>
            </w:r>
            <w:r>
              <w:t>acervos</w:t>
            </w:r>
            <w:r>
              <w:rPr>
                <w:spacing w:val="-8"/>
              </w:rPr>
              <w:t xml:space="preserve"> </w:t>
            </w:r>
            <w:r>
              <w:t>que</w:t>
            </w:r>
            <w:r>
              <w:rPr>
                <w:spacing w:val="-6"/>
              </w:rPr>
              <w:t xml:space="preserve"> </w:t>
            </w:r>
            <w:r>
              <w:t>resguarda</w:t>
            </w:r>
            <w:r>
              <w:rPr>
                <w:spacing w:val="-9"/>
              </w:rPr>
              <w:t xml:space="preserve"> </w:t>
            </w:r>
            <w:r>
              <w:t>el</w:t>
            </w:r>
            <w:r>
              <w:rPr>
                <w:spacing w:val="-8"/>
              </w:rPr>
              <w:t xml:space="preserve"> </w:t>
            </w:r>
            <w:r>
              <w:t>Archivo</w:t>
            </w:r>
            <w:r>
              <w:rPr>
                <w:spacing w:val="-7"/>
              </w:rPr>
              <w:t xml:space="preserve"> </w:t>
            </w:r>
            <w:r>
              <w:t>General</w:t>
            </w:r>
            <w:r>
              <w:rPr>
                <w:spacing w:val="-6"/>
              </w:rPr>
              <w:t xml:space="preserve"> </w:t>
            </w:r>
            <w:r>
              <w:t>e</w:t>
            </w:r>
            <w:r>
              <w:rPr>
                <w:spacing w:val="-9"/>
              </w:rPr>
              <w:t xml:space="preserve"> </w:t>
            </w:r>
            <w:r>
              <w:t>Histórico</w:t>
            </w:r>
            <w:r>
              <w:rPr>
                <w:spacing w:val="-9"/>
              </w:rPr>
              <w:t xml:space="preserve"> </w:t>
            </w:r>
            <w:r>
              <w:t>del Estado de Tlaxcala (legajo, volumen, expediente, mapa, foto, plano) así como emisión de constancia en referencia a la búsqueda;</w:t>
            </w:r>
          </w:p>
        </w:tc>
        <w:tc>
          <w:tcPr>
            <w:tcW w:w="1853" w:type="dxa"/>
          </w:tcPr>
          <w:p w14:paraId="627229B7" w14:textId="77777777" w:rsidR="00D3344B" w:rsidRDefault="00143C25">
            <w:pPr>
              <w:pStyle w:val="TableParagraph"/>
              <w:spacing w:before="122"/>
              <w:ind w:right="275"/>
              <w:jc w:val="right"/>
            </w:pPr>
            <w:r>
              <w:t xml:space="preserve">1 </w:t>
            </w:r>
            <w:r>
              <w:rPr>
                <w:spacing w:val="-5"/>
              </w:rPr>
              <w:t>UMA</w:t>
            </w:r>
          </w:p>
        </w:tc>
      </w:tr>
      <w:tr w:rsidR="00D3344B" w14:paraId="3A96A329" w14:textId="77777777">
        <w:trPr>
          <w:trHeight w:val="1137"/>
        </w:trPr>
        <w:tc>
          <w:tcPr>
            <w:tcW w:w="6784" w:type="dxa"/>
          </w:tcPr>
          <w:p w14:paraId="1FDD2541" w14:textId="77777777" w:rsidR="00D3344B" w:rsidRDefault="00143C25">
            <w:pPr>
              <w:pStyle w:val="TableParagraph"/>
              <w:spacing w:before="122"/>
              <w:ind w:left="50"/>
            </w:pPr>
            <w:r>
              <w:t>IV. Reproducción certificada a color de unidad documental simple (foto, plano, mapa, foja) de acervos digitalizados;</w:t>
            </w:r>
          </w:p>
        </w:tc>
        <w:tc>
          <w:tcPr>
            <w:tcW w:w="1853" w:type="dxa"/>
          </w:tcPr>
          <w:p w14:paraId="01EAF054" w14:textId="77777777" w:rsidR="00D3344B" w:rsidRDefault="00143C25">
            <w:pPr>
              <w:pStyle w:val="TableParagraph"/>
              <w:spacing w:before="122"/>
              <w:ind w:left="147" w:right="47" w:firstLine="4"/>
              <w:jc w:val="center"/>
            </w:pPr>
            <w:r>
              <w:t>Hasta 19 UMA, debido a los diferentes</w:t>
            </w:r>
            <w:r>
              <w:rPr>
                <w:spacing w:val="-14"/>
              </w:rPr>
              <w:t xml:space="preserve"> </w:t>
            </w:r>
            <w:r>
              <w:t>tamaños</w:t>
            </w:r>
          </w:p>
          <w:p w14:paraId="2D128575" w14:textId="77777777" w:rsidR="00D3344B" w:rsidRDefault="00143C25">
            <w:pPr>
              <w:pStyle w:val="TableParagraph"/>
              <w:spacing w:line="236" w:lineRule="exact"/>
              <w:ind w:left="289" w:right="188"/>
              <w:jc w:val="center"/>
            </w:pPr>
            <w:r>
              <w:t>del</w:t>
            </w:r>
            <w:r>
              <w:rPr>
                <w:spacing w:val="-1"/>
              </w:rPr>
              <w:t xml:space="preserve"> </w:t>
            </w:r>
            <w:r>
              <w:rPr>
                <w:spacing w:val="-2"/>
              </w:rPr>
              <w:t>documento.</w:t>
            </w:r>
          </w:p>
        </w:tc>
      </w:tr>
      <w:tr w:rsidR="00D3344B" w14:paraId="1ED0CCF5" w14:textId="77777777">
        <w:trPr>
          <w:trHeight w:val="379"/>
        </w:trPr>
        <w:tc>
          <w:tcPr>
            <w:tcW w:w="6784" w:type="dxa"/>
          </w:tcPr>
          <w:p w14:paraId="3FFE3B94" w14:textId="77777777" w:rsidR="00D3344B" w:rsidRDefault="00143C25">
            <w:pPr>
              <w:pStyle w:val="TableParagraph"/>
              <w:spacing w:line="248" w:lineRule="exact"/>
              <w:ind w:left="50"/>
            </w:pPr>
            <w:r>
              <w:t>V.</w:t>
            </w:r>
            <w:r>
              <w:rPr>
                <w:spacing w:val="-3"/>
              </w:rPr>
              <w:t xml:space="preserve"> </w:t>
            </w:r>
            <w:r>
              <w:t>Credencial</w:t>
            </w:r>
            <w:r>
              <w:rPr>
                <w:spacing w:val="-2"/>
              </w:rPr>
              <w:t xml:space="preserve"> </w:t>
            </w:r>
            <w:r>
              <w:t>vigencia</w:t>
            </w:r>
            <w:r>
              <w:rPr>
                <w:spacing w:val="-4"/>
              </w:rPr>
              <w:t xml:space="preserve"> </w:t>
            </w:r>
            <w:r>
              <w:t>un</w:t>
            </w:r>
            <w:r>
              <w:rPr>
                <w:spacing w:val="-3"/>
              </w:rPr>
              <w:t xml:space="preserve"> </w:t>
            </w:r>
            <w:r>
              <w:t>año;</w:t>
            </w:r>
            <w:r>
              <w:rPr>
                <w:spacing w:val="-1"/>
              </w:rPr>
              <w:t xml:space="preserve"> </w:t>
            </w:r>
            <w:r>
              <w:rPr>
                <w:spacing w:val="-10"/>
              </w:rPr>
              <w:t>y</w:t>
            </w:r>
          </w:p>
        </w:tc>
        <w:tc>
          <w:tcPr>
            <w:tcW w:w="1853" w:type="dxa"/>
          </w:tcPr>
          <w:p w14:paraId="174074E2" w14:textId="77777777" w:rsidR="00D3344B" w:rsidRDefault="00143C25">
            <w:pPr>
              <w:pStyle w:val="TableParagraph"/>
              <w:spacing w:line="248" w:lineRule="exact"/>
              <w:ind w:right="275"/>
              <w:jc w:val="right"/>
            </w:pPr>
            <w:r>
              <w:t xml:space="preserve">1 </w:t>
            </w:r>
            <w:r>
              <w:rPr>
                <w:spacing w:val="-5"/>
              </w:rPr>
              <w:t>UMA</w:t>
            </w:r>
          </w:p>
        </w:tc>
      </w:tr>
      <w:tr w:rsidR="00D3344B" w14:paraId="1C1A26C2" w14:textId="77777777">
        <w:trPr>
          <w:trHeight w:val="375"/>
        </w:trPr>
        <w:tc>
          <w:tcPr>
            <w:tcW w:w="6784" w:type="dxa"/>
          </w:tcPr>
          <w:p w14:paraId="4B539816" w14:textId="77777777" w:rsidR="00D3344B" w:rsidRDefault="00143C25">
            <w:pPr>
              <w:pStyle w:val="TableParagraph"/>
              <w:spacing w:before="122" w:line="233" w:lineRule="exact"/>
              <w:ind w:left="50"/>
            </w:pPr>
            <w:r>
              <w:t>VI.</w:t>
            </w:r>
            <w:r>
              <w:rPr>
                <w:spacing w:val="-4"/>
              </w:rPr>
              <w:t xml:space="preserve"> </w:t>
            </w:r>
            <w:r>
              <w:t>Búsqueda</w:t>
            </w:r>
            <w:r>
              <w:rPr>
                <w:spacing w:val="-4"/>
              </w:rPr>
              <w:t xml:space="preserve"> </w:t>
            </w:r>
            <w:r>
              <w:t>e</w:t>
            </w:r>
            <w:r>
              <w:rPr>
                <w:spacing w:val="-5"/>
              </w:rPr>
              <w:t xml:space="preserve"> </w:t>
            </w:r>
            <w:r>
              <w:t>identificación</w:t>
            </w:r>
            <w:r>
              <w:rPr>
                <w:spacing w:val="-4"/>
              </w:rPr>
              <w:t xml:space="preserve"> </w:t>
            </w:r>
            <w:r>
              <w:t>de</w:t>
            </w:r>
            <w:r>
              <w:rPr>
                <w:spacing w:val="-4"/>
              </w:rPr>
              <w:t xml:space="preserve"> </w:t>
            </w:r>
            <w:r>
              <w:t>referencias</w:t>
            </w:r>
            <w:r>
              <w:rPr>
                <w:spacing w:val="-3"/>
              </w:rPr>
              <w:t xml:space="preserve"> </w:t>
            </w:r>
            <w:r>
              <w:rPr>
                <w:spacing w:val="-2"/>
              </w:rPr>
              <w:t>documentales.</w:t>
            </w:r>
          </w:p>
        </w:tc>
        <w:tc>
          <w:tcPr>
            <w:tcW w:w="1853" w:type="dxa"/>
          </w:tcPr>
          <w:p w14:paraId="60FE6FF6" w14:textId="77777777" w:rsidR="00D3344B" w:rsidRDefault="00143C25">
            <w:pPr>
              <w:pStyle w:val="TableParagraph"/>
              <w:spacing w:before="122" w:line="233" w:lineRule="exact"/>
              <w:ind w:right="219"/>
              <w:jc w:val="right"/>
            </w:pPr>
            <w:r>
              <w:t xml:space="preserve">15 </w:t>
            </w:r>
            <w:r>
              <w:rPr>
                <w:spacing w:val="-5"/>
              </w:rPr>
              <w:t>UMA</w:t>
            </w:r>
          </w:p>
        </w:tc>
      </w:tr>
    </w:tbl>
    <w:p w14:paraId="324D93A7" w14:textId="77777777" w:rsidR="00D3344B" w:rsidRDefault="00D3344B">
      <w:pPr>
        <w:pStyle w:val="Estilo"/>
        <w:rPr>
          <w:rFonts w:cs="Arial"/>
        </w:rPr>
      </w:pPr>
    </w:p>
    <w:p w14:paraId="652649D4" w14:textId="77777777" w:rsidR="00D3344B" w:rsidRDefault="00143C25">
      <w:pPr>
        <w:pStyle w:val="Estilo"/>
        <w:jc w:val="center"/>
        <w:rPr>
          <w:rFonts w:cs="Arial"/>
          <w:b/>
        </w:rPr>
      </w:pPr>
      <w:r>
        <w:rPr>
          <w:rFonts w:cs="Arial"/>
          <w:b/>
        </w:rPr>
        <w:t>Sección Segunda</w:t>
      </w:r>
    </w:p>
    <w:p w14:paraId="08EB33E5" w14:textId="77777777" w:rsidR="00D3344B" w:rsidRDefault="00143C25">
      <w:pPr>
        <w:pStyle w:val="Estilo"/>
        <w:jc w:val="center"/>
        <w:rPr>
          <w:rFonts w:cs="Arial"/>
        </w:rPr>
      </w:pPr>
      <w:r>
        <w:rPr>
          <w:rFonts w:cs="Arial"/>
          <w:b/>
        </w:rPr>
        <w:t>Derechos por los Servicios Prestados por el Poder Judicial</w:t>
      </w:r>
    </w:p>
    <w:p w14:paraId="42327E8E" w14:textId="77777777" w:rsidR="00D3344B" w:rsidRDefault="00D3344B">
      <w:pPr>
        <w:pStyle w:val="Estilo"/>
        <w:rPr>
          <w:rFonts w:cs="Arial"/>
        </w:rPr>
      </w:pPr>
    </w:p>
    <w:p w14:paraId="262DE76D" w14:textId="77777777" w:rsidR="00D3344B" w:rsidRDefault="00143C25">
      <w:pPr>
        <w:pStyle w:val="Estilo"/>
        <w:rPr>
          <w:rFonts w:cs="Arial"/>
        </w:rPr>
      </w:pPr>
      <w:r>
        <w:rPr>
          <w:rFonts w:cs="Arial"/>
          <w:b/>
        </w:rPr>
        <w:t>Artículo 163.</w:t>
      </w:r>
      <w:r>
        <w:rPr>
          <w:rFonts w:cs="Arial"/>
        </w:rPr>
        <w:t xml:space="preserve"> Los servicios que proporcione el Poder Judicial a través de la Secretaría General de Acuerdos, la Oficialía Mayor, Tesorería, Juzgados de Primera Instancia, Juzgados y la Contraloría del mismo, causarán los derechos siguientes:</w:t>
      </w:r>
    </w:p>
    <w:p w14:paraId="4A141245" w14:textId="77777777" w:rsidR="00D3344B" w:rsidRDefault="00D3344B">
      <w:pPr>
        <w:pStyle w:val="Estilo"/>
        <w:rPr>
          <w:rFonts w:cs="Arial"/>
        </w:rPr>
      </w:pPr>
    </w:p>
    <w:p w14:paraId="7F0DBA74" w14:textId="77777777" w:rsidR="00D3344B" w:rsidRDefault="00D3344B">
      <w:pPr>
        <w:rPr>
          <w:rFonts w:ascii="Arial" w:hAnsi="Arial" w:cs="Arial"/>
        </w:rPr>
      </w:pPr>
    </w:p>
    <w:tbl>
      <w:tblPr>
        <w:tblW w:w="8789" w:type="dxa"/>
        <w:tblLayout w:type="fixed"/>
        <w:tblCellMar>
          <w:left w:w="70" w:type="dxa"/>
          <w:right w:w="70" w:type="dxa"/>
        </w:tblCellMar>
        <w:tblLook w:val="0000" w:firstRow="0" w:lastRow="0" w:firstColumn="0" w:lastColumn="0" w:noHBand="0" w:noVBand="0"/>
      </w:tblPr>
      <w:tblGrid>
        <w:gridCol w:w="566"/>
        <w:gridCol w:w="5669"/>
        <w:gridCol w:w="2554"/>
      </w:tblGrid>
      <w:tr w:rsidR="00D3344B" w14:paraId="541247F9" w14:textId="77777777">
        <w:tc>
          <w:tcPr>
            <w:tcW w:w="566" w:type="dxa"/>
          </w:tcPr>
          <w:p w14:paraId="4CB6E8BB" w14:textId="77777777" w:rsidR="00D3344B" w:rsidRDefault="00D3344B">
            <w:pPr>
              <w:pStyle w:val="Textosinformato"/>
              <w:widowControl w:val="0"/>
              <w:jc w:val="center"/>
              <w:rPr>
                <w:rFonts w:ascii="Arial" w:hAnsi="Arial" w:cs="Arial"/>
                <w:bCs/>
                <w:sz w:val="24"/>
                <w:szCs w:val="24"/>
              </w:rPr>
            </w:pPr>
          </w:p>
        </w:tc>
        <w:tc>
          <w:tcPr>
            <w:tcW w:w="5669" w:type="dxa"/>
          </w:tcPr>
          <w:p w14:paraId="200B19B0" w14:textId="77777777" w:rsidR="00D3344B" w:rsidRDefault="00143C25">
            <w:pPr>
              <w:pStyle w:val="Textosinformato"/>
              <w:widowControl w:val="0"/>
              <w:jc w:val="center"/>
              <w:rPr>
                <w:rFonts w:ascii="Arial" w:hAnsi="Arial" w:cs="Arial"/>
                <w:bCs/>
                <w:sz w:val="24"/>
                <w:szCs w:val="24"/>
              </w:rPr>
            </w:pPr>
            <w:r>
              <w:rPr>
                <w:rFonts w:ascii="Arial" w:hAnsi="Arial" w:cs="Arial"/>
                <w:bCs/>
                <w:sz w:val="24"/>
                <w:szCs w:val="24"/>
              </w:rPr>
              <w:t>CONCEPTO</w:t>
            </w:r>
          </w:p>
        </w:tc>
        <w:tc>
          <w:tcPr>
            <w:tcW w:w="2554" w:type="dxa"/>
          </w:tcPr>
          <w:p w14:paraId="64E540EA" w14:textId="77777777" w:rsidR="00D3344B" w:rsidRDefault="00143C25">
            <w:pPr>
              <w:pStyle w:val="Textosinformato"/>
              <w:widowControl w:val="0"/>
              <w:jc w:val="center"/>
              <w:rPr>
                <w:rFonts w:ascii="Arial" w:hAnsi="Arial" w:cs="Arial"/>
                <w:bCs/>
                <w:sz w:val="24"/>
                <w:szCs w:val="24"/>
              </w:rPr>
            </w:pPr>
            <w:r>
              <w:rPr>
                <w:rFonts w:ascii="Arial" w:hAnsi="Arial" w:cs="Arial"/>
                <w:bCs/>
                <w:sz w:val="24"/>
                <w:szCs w:val="24"/>
              </w:rPr>
              <w:t>DERECHOS</w:t>
            </w:r>
          </w:p>
          <w:p w14:paraId="49F831E4" w14:textId="77777777" w:rsidR="00D3344B" w:rsidRDefault="00143C25">
            <w:pPr>
              <w:pStyle w:val="Textosinformato"/>
              <w:widowControl w:val="0"/>
              <w:jc w:val="center"/>
              <w:rPr>
                <w:rFonts w:ascii="Arial" w:hAnsi="Arial" w:cs="Arial"/>
                <w:bCs/>
                <w:sz w:val="24"/>
                <w:szCs w:val="24"/>
              </w:rPr>
            </w:pPr>
            <w:r>
              <w:rPr>
                <w:rFonts w:ascii="Arial" w:hAnsi="Arial" w:cs="Arial"/>
                <w:bCs/>
                <w:sz w:val="24"/>
                <w:szCs w:val="24"/>
              </w:rPr>
              <w:t>CAUSADOS</w:t>
            </w:r>
          </w:p>
          <w:p w14:paraId="519ECC59" w14:textId="77777777" w:rsidR="00D3344B" w:rsidRDefault="00D3344B">
            <w:pPr>
              <w:pStyle w:val="Textosinformato"/>
              <w:widowControl w:val="0"/>
              <w:jc w:val="center"/>
              <w:rPr>
                <w:rFonts w:ascii="Arial" w:hAnsi="Arial" w:cs="Arial"/>
                <w:bCs/>
                <w:sz w:val="24"/>
                <w:szCs w:val="24"/>
              </w:rPr>
            </w:pPr>
          </w:p>
        </w:tc>
      </w:tr>
      <w:tr w:rsidR="00D3344B" w14:paraId="3DC626FB" w14:textId="77777777">
        <w:tc>
          <w:tcPr>
            <w:tcW w:w="566" w:type="dxa"/>
          </w:tcPr>
          <w:p w14:paraId="5C600CE6" w14:textId="77777777" w:rsidR="00D3344B" w:rsidRDefault="00143C25">
            <w:pPr>
              <w:widowControl w:val="0"/>
              <w:jc w:val="both"/>
              <w:rPr>
                <w:rFonts w:ascii="Arial" w:hAnsi="Arial" w:cs="Arial"/>
                <w:color w:val="000000" w:themeColor="text1"/>
              </w:rPr>
            </w:pPr>
            <w:r>
              <w:rPr>
                <w:rFonts w:ascii="Arial" w:hAnsi="Arial" w:cs="Arial"/>
                <w:color w:val="000000" w:themeColor="text1"/>
              </w:rPr>
              <w:t>I.</w:t>
            </w:r>
          </w:p>
        </w:tc>
        <w:tc>
          <w:tcPr>
            <w:tcW w:w="5669" w:type="dxa"/>
          </w:tcPr>
          <w:p w14:paraId="6BDBAD8B" w14:textId="77777777" w:rsidR="00D3344B" w:rsidRDefault="00143C25">
            <w:pPr>
              <w:widowControl w:val="0"/>
              <w:jc w:val="both"/>
              <w:rPr>
                <w:rFonts w:ascii="Arial" w:hAnsi="Arial" w:cs="Arial"/>
                <w:color w:val="000000" w:themeColor="text1"/>
              </w:rPr>
            </w:pPr>
            <w:r>
              <w:rPr>
                <w:rFonts w:ascii="Arial" w:hAnsi="Arial" w:cs="Arial"/>
                <w:i/>
                <w:color w:val="000000" w:themeColor="text1"/>
                <w:sz w:val="16"/>
              </w:rPr>
              <w:t>(DEROGADA, P.O. 16 DE MAYO DE 2019)</w:t>
            </w:r>
          </w:p>
          <w:p w14:paraId="659D8D1A" w14:textId="77777777" w:rsidR="00D3344B" w:rsidRDefault="00D3344B">
            <w:pPr>
              <w:widowControl w:val="0"/>
              <w:jc w:val="both"/>
              <w:rPr>
                <w:rFonts w:ascii="Arial" w:hAnsi="Arial" w:cs="Arial"/>
                <w:color w:val="000000" w:themeColor="text1"/>
              </w:rPr>
            </w:pPr>
          </w:p>
        </w:tc>
        <w:tc>
          <w:tcPr>
            <w:tcW w:w="2554" w:type="dxa"/>
          </w:tcPr>
          <w:p w14:paraId="683B15F4" w14:textId="77777777" w:rsidR="00D3344B" w:rsidRDefault="00D3344B">
            <w:pPr>
              <w:pStyle w:val="Textosinformato"/>
              <w:widowControl w:val="0"/>
              <w:rPr>
                <w:rFonts w:ascii="Arial" w:hAnsi="Arial" w:cs="Arial"/>
                <w:sz w:val="24"/>
                <w:szCs w:val="24"/>
              </w:rPr>
            </w:pPr>
          </w:p>
        </w:tc>
      </w:tr>
      <w:tr w:rsidR="00D3344B" w14:paraId="7316EB89" w14:textId="77777777">
        <w:tc>
          <w:tcPr>
            <w:tcW w:w="566" w:type="dxa"/>
          </w:tcPr>
          <w:p w14:paraId="75D22FE4" w14:textId="77777777" w:rsidR="00D3344B" w:rsidRDefault="00143C25">
            <w:pPr>
              <w:widowControl w:val="0"/>
              <w:jc w:val="both"/>
              <w:rPr>
                <w:rFonts w:ascii="Arial" w:hAnsi="Arial" w:cs="Arial"/>
                <w:color w:val="000000" w:themeColor="text1"/>
              </w:rPr>
            </w:pPr>
            <w:r>
              <w:rPr>
                <w:rFonts w:ascii="Arial" w:hAnsi="Arial" w:cs="Arial"/>
                <w:color w:val="000000" w:themeColor="text1"/>
              </w:rPr>
              <w:t>II.</w:t>
            </w:r>
          </w:p>
        </w:tc>
        <w:tc>
          <w:tcPr>
            <w:tcW w:w="5669" w:type="dxa"/>
          </w:tcPr>
          <w:p w14:paraId="1B842D53" w14:textId="77777777" w:rsidR="00D3344B" w:rsidRDefault="00143C25">
            <w:pPr>
              <w:widowControl w:val="0"/>
              <w:jc w:val="both"/>
              <w:rPr>
                <w:rFonts w:ascii="Arial" w:hAnsi="Arial" w:cs="Arial"/>
                <w:color w:val="000000" w:themeColor="text1"/>
              </w:rPr>
            </w:pPr>
            <w:r>
              <w:rPr>
                <w:rFonts w:ascii="Arial" w:hAnsi="Arial" w:cs="Arial"/>
                <w:i/>
                <w:color w:val="000000" w:themeColor="text1"/>
                <w:sz w:val="16"/>
              </w:rPr>
              <w:t>(DEROGADA, P.O. 16 DE MAYO DE 2019)</w:t>
            </w:r>
          </w:p>
        </w:tc>
        <w:tc>
          <w:tcPr>
            <w:tcW w:w="2554" w:type="dxa"/>
          </w:tcPr>
          <w:p w14:paraId="38CB876B" w14:textId="77777777" w:rsidR="00D3344B" w:rsidRDefault="00D3344B">
            <w:pPr>
              <w:pStyle w:val="Textosinformato"/>
              <w:widowControl w:val="0"/>
              <w:rPr>
                <w:rFonts w:ascii="Arial" w:hAnsi="Arial" w:cs="Arial"/>
                <w:sz w:val="24"/>
                <w:szCs w:val="24"/>
              </w:rPr>
            </w:pPr>
          </w:p>
        </w:tc>
      </w:tr>
      <w:tr w:rsidR="00D3344B" w14:paraId="57926A69" w14:textId="77777777">
        <w:tc>
          <w:tcPr>
            <w:tcW w:w="566" w:type="dxa"/>
          </w:tcPr>
          <w:p w14:paraId="5156D48A" w14:textId="77777777" w:rsidR="00D3344B" w:rsidRDefault="00143C25">
            <w:pPr>
              <w:pStyle w:val="Textosinformato"/>
              <w:widowControl w:val="0"/>
              <w:rPr>
                <w:rFonts w:ascii="Arial" w:hAnsi="Arial" w:cs="Arial"/>
                <w:color w:val="000000" w:themeColor="text1"/>
                <w:sz w:val="24"/>
                <w:szCs w:val="24"/>
              </w:rPr>
            </w:pPr>
            <w:r>
              <w:rPr>
                <w:rFonts w:ascii="Arial" w:hAnsi="Arial" w:cs="Arial"/>
                <w:color w:val="000000" w:themeColor="text1"/>
              </w:rPr>
              <w:t>III.</w:t>
            </w:r>
          </w:p>
        </w:tc>
        <w:tc>
          <w:tcPr>
            <w:tcW w:w="5669" w:type="dxa"/>
          </w:tcPr>
          <w:p w14:paraId="0B249006" w14:textId="77777777" w:rsidR="00D3344B" w:rsidRDefault="00143C25">
            <w:pPr>
              <w:widowControl w:val="0"/>
              <w:jc w:val="both"/>
              <w:rPr>
                <w:rFonts w:ascii="Arial" w:hAnsi="Arial" w:cs="Arial"/>
                <w:color w:val="000000" w:themeColor="text1"/>
              </w:rPr>
            </w:pPr>
            <w:r>
              <w:rPr>
                <w:rFonts w:ascii="Arial" w:hAnsi="Arial" w:cs="Arial"/>
                <w:i/>
                <w:color w:val="000000" w:themeColor="text1"/>
                <w:sz w:val="16"/>
              </w:rPr>
              <w:t>(DEROGADA, P.O. 16 DE MAYO DE 2019)</w:t>
            </w:r>
          </w:p>
          <w:p w14:paraId="14B5DA26" w14:textId="77777777" w:rsidR="00D3344B" w:rsidRDefault="00D3344B">
            <w:pPr>
              <w:pStyle w:val="Textosinformato"/>
              <w:widowControl w:val="0"/>
              <w:rPr>
                <w:rFonts w:ascii="Arial" w:hAnsi="Arial" w:cs="Arial"/>
                <w:color w:val="000000" w:themeColor="text1"/>
                <w:sz w:val="24"/>
                <w:szCs w:val="24"/>
              </w:rPr>
            </w:pPr>
          </w:p>
        </w:tc>
        <w:tc>
          <w:tcPr>
            <w:tcW w:w="2554" w:type="dxa"/>
          </w:tcPr>
          <w:p w14:paraId="1F7E9E7A" w14:textId="77777777" w:rsidR="00D3344B" w:rsidRDefault="00D3344B">
            <w:pPr>
              <w:pStyle w:val="Textosinformato"/>
              <w:widowControl w:val="0"/>
              <w:rPr>
                <w:rFonts w:ascii="Arial" w:hAnsi="Arial" w:cs="Arial"/>
                <w:sz w:val="24"/>
                <w:szCs w:val="24"/>
              </w:rPr>
            </w:pPr>
          </w:p>
        </w:tc>
      </w:tr>
      <w:tr w:rsidR="00D3344B" w14:paraId="3DEFF9AE" w14:textId="77777777">
        <w:tc>
          <w:tcPr>
            <w:tcW w:w="566" w:type="dxa"/>
          </w:tcPr>
          <w:p w14:paraId="270931E9" w14:textId="77777777" w:rsidR="00D3344B" w:rsidRDefault="00143C25">
            <w:pPr>
              <w:pStyle w:val="Textosinformato"/>
              <w:widowControl w:val="0"/>
              <w:rPr>
                <w:rFonts w:ascii="Arial" w:hAnsi="Arial" w:cs="Arial"/>
                <w:sz w:val="24"/>
                <w:szCs w:val="24"/>
              </w:rPr>
            </w:pPr>
            <w:r>
              <w:rPr>
                <w:rFonts w:ascii="Arial" w:hAnsi="Arial" w:cs="Arial"/>
                <w:sz w:val="24"/>
                <w:szCs w:val="24"/>
              </w:rPr>
              <w:t>IV.</w:t>
            </w:r>
          </w:p>
        </w:tc>
        <w:tc>
          <w:tcPr>
            <w:tcW w:w="5669" w:type="dxa"/>
            <w:vAlign w:val="center"/>
          </w:tcPr>
          <w:p w14:paraId="26CC8379" w14:textId="77777777" w:rsidR="00D3344B" w:rsidRDefault="00143C25">
            <w:pPr>
              <w:pStyle w:val="Textosinformato"/>
              <w:widowControl w:val="0"/>
              <w:rPr>
                <w:rFonts w:ascii="Arial" w:hAnsi="Arial" w:cs="Arial"/>
                <w:sz w:val="24"/>
                <w:szCs w:val="24"/>
              </w:rPr>
            </w:pPr>
            <w:r>
              <w:rPr>
                <w:rFonts w:ascii="Arial" w:hAnsi="Arial" w:cs="Arial"/>
                <w:sz w:val="24"/>
                <w:szCs w:val="24"/>
              </w:rPr>
              <w:t>Registro de título profesional o cédula de licenciado en derecho.</w:t>
            </w:r>
          </w:p>
        </w:tc>
        <w:tc>
          <w:tcPr>
            <w:tcW w:w="2554" w:type="dxa"/>
          </w:tcPr>
          <w:p w14:paraId="0EDC8BE8" w14:textId="77777777" w:rsidR="00D3344B" w:rsidRDefault="00143C25">
            <w:pPr>
              <w:widowControl w:val="0"/>
              <w:spacing w:after="0" w:line="259" w:lineRule="auto"/>
              <w:ind w:left="272"/>
              <w:rPr>
                <w:rFonts w:ascii="Arial" w:hAnsi="Arial" w:cs="Arial"/>
                <w:sz w:val="24"/>
                <w:szCs w:val="24"/>
              </w:rPr>
            </w:pPr>
            <w:r>
              <w:rPr>
                <w:rFonts w:ascii="Arial" w:hAnsi="Arial" w:cs="Arial"/>
                <w:b/>
              </w:rPr>
              <w:t>6 UMA</w:t>
            </w:r>
          </w:p>
        </w:tc>
      </w:tr>
      <w:tr w:rsidR="00D3344B" w14:paraId="2945A079" w14:textId="77777777">
        <w:tc>
          <w:tcPr>
            <w:tcW w:w="566" w:type="dxa"/>
          </w:tcPr>
          <w:p w14:paraId="3A4A5D1B" w14:textId="77777777" w:rsidR="00D3344B" w:rsidRDefault="00143C25">
            <w:pPr>
              <w:pStyle w:val="Textosinformato"/>
              <w:widowControl w:val="0"/>
              <w:rPr>
                <w:rFonts w:ascii="Arial" w:hAnsi="Arial" w:cs="Arial"/>
                <w:sz w:val="24"/>
                <w:szCs w:val="24"/>
              </w:rPr>
            </w:pPr>
            <w:r>
              <w:rPr>
                <w:rFonts w:ascii="Arial" w:hAnsi="Arial" w:cs="Arial"/>
                <w:sz w:val="24"/>
                <w:szCs w:val="24"/>
              </w:rPr>
              <w:t>V.</w:t>
            </w:r>
          </w:p>
        </w:tc>
        <w:tc>
          <w:tcPr>
            <w:tcW w:w="5669" w:type="dxa"/>
          </w:tcPr>
          <w:p w14:paraId="51E2A6EE"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Expedición de constancia de registro del título profesional. </w:t>
            </w:r>
          </w:p>
        </w:tc>
        <w:tc>
          <w:tcPr>
            <w:tcW w:w="2554" w:type="dxa"/>
          </w:tcPr>
          <w:p w14:paraId="7F2AD54B" w14:textId="77777777" w:rsidR="00D3344B" w:rsidRDefault="00143C25">
            <w:pPr>
              <w:widowControl w:val="0"/>
              <w:spacing w:after="0" w:line="259" w:lineRule="auto"/>
              <w:ind w:left="217"/>
              <w:rPr>
                <w:rFonts w:ascii="Arial" w:hAnsi="Arial" w:cs="Arial"/>
                <w:sz w:val="24"/>
                <w:szCs w:val="24"/>
              </w:rPr>
            </w:pPr>
            <w:r>
              <w:rPr>
                <w:rFonts w:ascii="Arial" w:hAnsi="Arial" w:cs="Arial"/>
                <w:b/>
              </w:rPr>
              <w:t xml:space="preserve">  8 UMA </w:t>
            </w:r>
          </w:p>
        </w:tc>
      </w:tr>
      <w:tr w:rsidR="00D3344B" w14:paraId="5E6006B1" w14:textId="77777777">
        <w:tc>
          <w:tcPr>
            <w:tcW w:w="566" w:type="dxa"/>
          </w:tcPr>
          <w:p w14:paraId="6F2A101B" w14:textId="77777777" w:rsidR="00D3344B" w:rsidRDefault="00143C25">
            <w:pPr>
              <w:pStyle w:val="Textosinformato"/>
              <w:widowControl w:val="0"/>
              <w:rPr>
                <w:rFonts w:ascii="Arial" w:hAnsi="Arial" w:cs="Arial"/>
                <w:sz w:val="24"/>
                <w:szCs w:val="24"/>
              </w:rPr>
            </w:pPr>
            <w:r>
              <w:rPr>
                <w:rFonts w:ascii="Arial" w:hAnsi="Arial" w:cs="Arial"/>
                <w:sz w:val="24"/>
                <w:szCs w:val="24"/>
              </w:rPr>
              <w:t>VI.</w:t>
            </w:r>
          </w:p>
        </w:tc>
        <w:tc>
          <w:tcPr>
            <w:tcW w:w="5669" w:type="dxa"/>
          </w:tcPr>
          <w:p w14:paraId="3BB8C6F5"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Refrendo cada dos años de la constancia de inscripción de cédula profesional de abogados postulantes. </w:t>
            </w:r>
          </w:p>
        </w:tc>
        <w:tc>
          <w:tcPr>
            <w:tcW w:w="2554" w:type="dxa"/>
          </w:tcPr>
          <w:p w14:paraId="3AB57541" w14:textId="77777777" w:rsidR="00D3344B" w:rsidRDefault="00143C25">
            <w:pPr>
              <w:widowControl w:val="0"/>
              <w:spacing w:after="0" w:line="259" w:lineRule="auto"/>
              <w:ind w:left="217"/>
              <w:rPr>
                <w:rFonts w:ascii="Arial" w:hAnsi="Arial" w:cs="Arial"/>
                <w:sz w:val="24"/>
                <w:szCs w:val="24"/>
              </w:rPr>
            </w:pPr>
            <w:r>
              <w:rPr>
                <w:rFonts w:ascii="Arial" w:hAnsi="Arial" w:cs="Arial"/>
                <w:b/>
              </w:rPr>
              <w:t xml:space="preserve">11 UMA </w:t>
            </w:r>
          </w:p>
        </w:tc>
      </w:tr>
      <w:tr w:rsidR="00D3344B" w14:paraId="5C378EF3" w14:textId="77777777">
        <w:tc>
          <w:tcPr>
            <w:tcW w:w="566" w:type="dxa"/>
          </w:tcPr>
          <w:p w14:paraId="24EDAA77" w14:textId="77777777" w:rsidR="00D3344B" w:rsidRDefault="00143C25">
            <w:pPr>
              <w:pStyle w:val="Textosinformato"/>
              <w:widowControl w:val="0"/>
              <w:rPr>
                <w:rFonts w:ascii="Arial" w:hAnsi="Arial" w:cs="Arial"/>
                <w:sz w:val="24"/>
                <w:szCs w:val="24"/>
              </w:rPr>
            </w:pPr>
            <w:r>
              <w:rPr>
                <w:rFonts w:ascii="Arial" w:hAnsi="Arial" w:cs="Arial"/>
                <w:sz w:val="24"/>
                <w:szCs w:val="24"/>
              </w:rPr>
              <w:t>VII.</w:t>
            </w:r>
          </w:p>
        </w:tc>
        <w:tc>
          <w:tcPr>
            <w:tcW w:w="5669" w:type="dxa"/>
          </w:tcPr>
          <w:p w14:paraId="4CB15BDD" w14:textId="77777777" w:rsidR="00D3344B" w:rsidRDefault="00143C25">
            <w:pPr>
              <w:pStyle w:val="Textosinformato"/>
              <w:widowControl w:val="0"/>
              <w:rPr>
                <w:rFonts w:ascii="Arial" w:hAnsi="Arial" w:cs="Arial"/>
                <w:sz w:val="24"/>
                <w:szCs w:val="24"/>
              </w:rPr>
            </w:pPr>
            <w:r>
              <w:rPr>
                <w:rFonts w:ascii="Arial" w:hAnsi="Arial" w:cs="Arial"/>
                <w:sz w:val="24"/>
                <w:szCs w:val="24"/>
              </w:rPr>
              <w:t xml:space="preserve">VII. Constancia de inscripción de peritos auxiliares </w:t>
            </w:r>
            <w:r>
              <w:rPr>
                <w:rFonts w:ascii="Arial" w:hAnsi="Arial" w:cs="Arial"/>
                <w:sz w:val="24"/>
                <w:szCs w:val="24"/>
              </w:rPr>
              <w:lastRenderedPageBreak/>
              <w:t xml:space="preserve">en la administración de la justicia, incluye </w:t>
            </w:r>
            <w:proofErr w:type="spellStart"/>
            <w:r>
              <w:rPr>
                <w:rFonts w:ascii="Arial" w:hAnsi="Arial" w:cs="Arial"/>
                <w:sz w:val="24"/>
                <w:szCs w:val="24"/>
              </w:rPr>
              <w:t>redencial</w:t>
            </w:r>
            <w:proofErr w:type="spellEnd"/>
            <w:r>
              <w:rPr>
                <w:rFonts w:ascii="Arial" w:hAnsi="Arial" w:cs="Arial"/>
                <w:sz w:val="24"/>
                <w:szCs w:val="24"/>
              </w:rPr>
              <w:t xml:space="preserve"> enmicada expedida por la Secretaría General de </w:t>
            </w:r>
            <w:proofErr w:type="gramStart"/>
            <w:r>
              <w:rPr>
                <w:rFonts w:ascii="Arial" w:hAnsi="Arial" w:cs="Arial"/>
                <w:sz w:val="24"/>
                <w:szCs w:val="24"/>
              </w:rPr>
              <w:t>Acuerdos..</w:t>
            </w:r>
            <w:proofErr w:type="gramEnd"/>
          </w:p>
        </w:tc>
        <w:tc>
          <w:tcPr>
            <w:tcW w:w="2554" w:type="dxa"/>
          </w:tcPr>
          <w:p w14:paraId="4B1E15CF" w14:textId="77777777" w:rsidR="00D3344B" w:rsidRDefault="00143C25">
            <w:pPr>
              <w:pStyle w:val="Textosinformato"/>
              <w:widowControl w:val="0"/>
              <w:rPr>
                <w:rFonts w:ascii="Arial" w:hAnsi="Arial" w:cs="Arial"/>
                <w:sz w:val="24"/>
                <w:szCs w:val="24"/>
              </w:rPr>
            </w:pPr>
            <w:r>
              <w:rPr>
                <w:rFonts w:ascii="Arial" w:hAnsi="Arial" w:cs="Arial"/>
                <w:sz w:val="24"/>
                <w:szCs w:val="24"/>
              </w:rPr>
              <w:lastRenderedPageBreak/>
              <w:t>2 UMA</w:t>
            </w:r>
          </w:p>
        </w:tc>
      </w:tr>
    </w:tbl>
    <w:p w14:paraId="5A73D791" w14:textId="77777777" w:rsidR="00D3344B" w:rsidRDefault="00D3344B">
      <w:pPr>
        <w:rPr>
          <w:rFonts w:ascii="Arial" w:hAnsi="Arial" w:cs="Arial"/>
        </w:rPr>
      </w:pPr>
    </w:p>
    <w:p w14:paraId="2921C6F8" w14:textId="77777777" w:rsidR="00D3344B" w:rsidRDefault="00143C25">
      <w:pPr>
        <w:pStyle w:val="Estilo"/>
        <w:jc w:val="center"/>
        <w:rPr>
          <w:rFonts w:cs="Arial"/>
          <w:b/>
        </w:rPr>
      </w:pPr>
      <w:r>
        <w:rPr>
          <w:rFonts w:cs="Arial"/>
          <w:b/>
        </w:rPr>
        <w:t>Sección Tercera</w:t>
      </w:r>
    </w:p>
    <w:p w14:paraId="0FDAE426" w14:textId="77777777" w:rsidR="00D3344B" w:rsidRDefault="00143C25">
      <w:pPr>
        <w:pStyle w:val="Estilo"/>
        <w:jc w:val="center"/>
        <w:rPr>
          <w:rFonts w:cs="Arial"/>
          <w:b/>
        </w:rPr>
      </w:pPr>
      <w:r>
        <w:rPr>
          <w:rFonts w:cs="Arial"/>
          <w:b/>
        </w:rPr>
        <w:t>Servicios Generales</w:t>
      </w:r>
    </w:p>
    <w:p w14:paraId="5B6F474A" w14:textId="77777777" w:rsidR="00D3344B" w:rsidRDefault="00D3344B">
      <w:pPr>
        <w:pStyle w:val="Estilo"/>
        <w:rPr>
          <w:rFonts w:cs="Arial"/>
        </w:rPr>
      </w:pPr>
    </w:p>
    <w:p w14:paraId="570ED8A5" w14:textId="77777777" w:rsidR="00D3344B" w:rsidRDefault="00143C25">
      <w:pPr>
        <w:pStyle w:val="Estilo"/>
        <w:rPr>
          <w:rFonts w:cs="Arial"/>
        </w:rPr>
      </w:pPr>
      <w:r>
        <w:rPr>
          <w:rFonts w:cs="Arial"/>
          <w:b/>
        </w:rPr>
        <w:t>Artículo 164.</w:t>
      </w:r>
      <w:r>
        <w:rPr>
          <w:rFonts w:cs="Arial"/>
        </w:rPr>
        <w:t xml:space="preserve"> Los servicios que proporcione cualquier otra dependencia o entidad, de los Poderes del Estado, que no tenga destinada una sección especial en este capítulo, para establecer la cantidad que deberá pagar el interesado por concepto de contraprestación por el servicio recibido, deberá sujetarse a lo establecido en la siguiente:</w:t>
      </w:r>
    </w:p>
    <w:p w14:paraId="6F9A07F5" w14:textId="77777777" w:rsidR="00D3344B" w:rsidRDefault="00D3344B">
      <w:pPr>
        <w:pStyle w:val="Estilo"/>
        <w:rPr>
          <w:rFonts w:cs="Arial"/>
        </w:rPr>
      </w:pPr>
    </w:p>
    <w:p w14:paraId="03302FEE" w14:textId="77777777" w:rsidR="00D3344B" w:rsidRDefault="00143C25">
      <w:pPr>
        <w:pStyle w:val="Estilo"/>
        <w:rPr>
          <w:rFonts w:cs="Arial"/>
        </w:rPr>
      </w:pPr>
      <w:r>
        <w:rPr>
          <w:rFonts w:cs="Arial"/>
        </w:rPr>
        <w:t>TARIFA</w:t>
      </w:r>
    </w:p>
    <w:p w14:paraId="6AAB5C8E" w14:textId="77777777" w:rsidR="00D3344B" w:rsidRDefault="00D3344B">
      <w:pPr>
        <w:pStyle w:val="Estilo"/>
        <w:rPr>
          <w:rFonts w:cs="Arial"/>
        </w:rPr>
      </w:pPr>
    </w:p>
    <w:tbl>
      <w:tblPr>
        <w:tblStyle w:val="Tablaconcuadrcula"/>
        <w:tblW w:w="8691" w:type="dxa"/>
        <w:tblInd w:w="137" w:type="dxa"/>
        <w:tblLayout w:type="fixed"/>
        <w:tblLook w:val="04A0" w:firstRow="1" w:lastRow="0" w:firstColumn="1" w:lastColumn="0" w:noHBand="0" w:noVBand="1"/>
      </w:tblPr>
      <w:tblGrid>
        <w:gridCol w:w="6946"/>
        <w:gridCol w:w="1745"/>
      </w:tblGrid>
      <w:tr w:rsidR="00D3344B" w14:paraId="33EF316F" w14:textId="77777777">
        <w:tc>
          <w:tcPr>
            <w:tcW w:w="6945" w:type="dxa"/>
            <w:tcBorders>
              <w:top w:val="nil"/>
              <w:left w:val="nil"/>
              <w:bottom w:val="nil"/>
              <w:right w:val="nil"/>
            </w:tcBorders>
          </w:tcPr>
          <w:p w14:paraId="4B0A9C0A" w14:textId="77777777" w:rsidR="00D3344B" w:rsidRDefault="00143C25">
            <w:pPr>
              <w:pStyle w:val="Estilo"/>
              <w:rPr>
                <w:rFonts w:cs="Arial"/>
              </w:rPr>
            </w:pPr>
            <w:r>
              <w:rPr>
                <w:rFonts w:eastAsia="Calibri" w:cs="Arial"/>
              </w:rPr>
              <w:t>I.</w:t>
            </w:r>
            <w:r>
              <w:rPr>
                <w:rFonts w:eastAsia="Calibri" w:cs="Arial"/>
              </w:rPr>
              <w:tab/>
              <w:t xml:space="preserve">Copias certificadas de datos o documentos que obren en las dependencias oficiales, por cada foja,  </w:t>
            </w:r>
          </w:p>
        </w:tc>
        <w:tc>
          <w:tcPr>
            <w:tcW w:w="1745" w:type="dxa"/>
            <w:tcBorders>
              <w:top w:val="nil"/>
              <w:left w:val="nil"/>
              <w:bottom w:val="nil"/>
              <w:right w:val="nil"/>
            </w:tcBorders>
          </w:tcPr>
          <w:p w14:paraId="7110FE0D" w14:textId="77777777" w:rsidR="00D3344B" w:rsidRDefault="00143C25">
            <w:pPr>
              <w:pStyle w:val="Estilo"/>
              <w:rPr>
                <w:rFonts w:cs="Arial"/>
              </w:rPr>
            </w:pPr>
            <w:r>
              <w:rPr>
                <w:rFonts w:eastAsia="Calibri" w:cs="Arial"/>
              </w:rPr>
              <w:t>1 UMA</w:t>
            </w:r>
          </w:p>
        </w:tc>
      </w:tr>
      <w:tr w:rsidR="00D3344B" w14:paraId="6A2095FE" w14:textId="77777777">
        <w:tc>
          <w:tcPr>
            <w:tcW w:w="6945" w:type="dxa"/>
            <w:tcBorders>
              <w:top w:val="nil"/>
              <w:left w:val="nil"/>
              <w:bottom w:val="nil"/>
              <w:right w:val="nil"/>
            </w:tcBorders>
          </w:tcPr>
          <w:p w14:paraId="7A483AC6" w14:textId="77777777" w:rsidR="00D3344B" w:rsidRDefault="00143C25">
            <w:pPr>
              <w:pStyle w:val="Estilo"/>
              <w:rPr>
                <w:rFonts w:cs="Arial"/>
              </w:rPr>
            </w:pPr>
            <w:r>
              <w:rPr>
                <w:rFonts w:eastAsia="Calibri" w:cs="Arial"/>
              </w:rPr>
              <w:t>II.</w:t>
            </w:r>
            <w:r>
              <w:rPr>
                <w:rFonts w:eastAsia="Calibri" w:cs="Arial"/>
              </w:rPr>
              <w:tab/>
              <w:t>Copias simples de datos o documentos que obren en las dependencias o entidades oficiales, por cada foja,</w:t>
            </w:r>
          </w:p>
        </w:tc>
        <w:tc>
          <w:tcPr>
            <w:tcW w:w="1745" w:type="dxa"/>
            <w:tcBorders>
              <w:top w:val="nil"/>
              <w:left w:val="nil"/>
              <w:bottom w:val="nil"/>
              <w:right w:val="nil"/>
            </w:tcBorders>
          </w:tcPr>
          <w:p w14:paraId="4003BAC3" w14:textId="77777777" w:rsidR="00D3344B" w:rsidRDefault="00143C25">
            <w:pPr>
              <w:pStyle w:val="Estilo"/>
              <w:rPr>
                <w:rFonts w:cs="Arial"/>
              </w:rPr>
            </w:pPr>
            <w:r>
              <w:rPr>
                <w:rFonts w:eastAsia="Calibri" w:cs="Arial"/>
              </w:rPr>
              <w:t>0.25 UMA.</w:t>
            </w:r>
          </w:p>
        </w:tc>
      </w:tr>
      <w:tr w:rsidR="00D3344B" w14:paraId="4674FB55" w14:textId="77777777">
        <w:tc>
          <w:tcPr>
            <w:tcW w:w="6945" w:type="dxa"/>
            <w:tcBorders>
              <w:top w:val="nil"/>
              <w:left w:val="nil"/>
              <w:bottom w:val="nil"/>
              <w:right w:val="nil"/>
            </w:tcBorders>
          </w:tcPr>
          <w:p w14:paraId="7F27123A" w14:textId="77777777" w:rsidR="00D3344B" w:rsidRDefault="00143C25">
            <w:pPr>
              <w:pStyle w:val="Estilo"/>
              <w:rPr>
                <w:rFonts w:cs="Arial"/>
              </w:rPr>
            </w:pPr>
            <w:r>
              <w:rPr>
                <w:rFonts w:eastAsia="Calibri" w:cs="Arial"/>
              </w:rPr>
              <w:t>III.</w:t>
            </w:r>
            <w:r>
              <w:rPr>
                <w:rFonts w:eastAsia="Calibri" w:cs="Arial"/>
              </w:rPr>
              <w:tab/>
              <w:t>Búsqueda de datos o documentos para la expedición de copias certificadas o simples de que tratan las fracciones anteriores; por cada período de cinco años o fracción del mismo,</w:t>
            </w:r>
          </w:p>
        </w:tc>
        <w:tc>
          <w:tcPr>
            <w:tcW w:w="1745" w:type="dxa"/>
            <w:tcBorders>
              <w:top w:val="nil"/>
              <w:left w:val="nil"/>
              <w:bottom w:val="nil"/>
              <w:right w:val="nil"/>
            </w:tcBorders>
          </w:tcPr>
          <w:p w14:paraId="18F33CEC" w14:textId="77777777" w:rsidR="00D3344B" w:rsidRDefault="00143C25">
            <w:pPr>
              <w:pStyle w:val="Estilo"/>
              <w:rPr>
                <w:rFonts w:cs="Arial"/>
              </w:rPr>
            </w:pPr>
            <w:r>
              <w:rPr>
                <w:rFonts w:eastAsia="Calibri" w:cs="Arial"/>
              </w:rPr>
              <w:t>1 UMA.</w:t>
            </w:r>
          </w:p>
        </w:tc>
      </w:tr>
    </w:tbl>
    <w:p w14:paraId="10DABE4E" w14:textId="77777777" w:rsidR="00D3344B" w:rsidRDefault="00D3344B">
      <w:pPr>
        <w:pStyle w:val="Estilo"/>
        <w:rPr>
          <w:rFonts w:cs="Arial"/>
        </w:rPr>
      </w:pPr>
    </w:p>
    <w:p w14:paraId="32C36252" w14:textId="77777777" w:rsidR="00D3344B" w:rsidRDefault="00143C25">
      <w:pPr>
        <w:pStyle w:val="Estilo"/>
        <w:rPr>
          <w:rFonts w:cs="Arial"/>
        </w:rPr>
      </w:pPr>
      <w:r>
        <w:rPr>
          <w:rFonts w:cs="Arial"/>
        </w:rPr>
        <w:t>Las copias certificadas o certificaciones deberán expedirse siempre y cuando los interesados o sus representantes legales lo soliciten por escrito y expresen el uso o destino que se les vaya a dar, lo cual se hará constar en su texto por la autoridad que las proporcione, si no hubiere ordenamiento legal que lo impida.</w:t>
      </w:r>
    </w:p>
    <w:p w14:paraId="0C9FAF2C" w14:textId="77777777" w:rsidR="00D3344B" w:rsidRDefault="00D3344B">
      <w:pPr>
        <w:pStyle w:val="Estilo"/>
        <w:rPr>
          <w:rFonts w:cs="Arial"/>
        </w:rPr>
      </w:pPr>
    </w:p>
    <w:p w14:paraId="650FD41E" w14:textId="77777777" w:rsidR="00D3344B" w:rsidRDefault="00143C25">
      <w:pPr>
        <w:pStyle w:val="Estilo"/>
        <w:rPr>
          <w:rFonts w:cs="Arial"/>
        </w:rPr>
      </w:pPr>
      <w:r>
        <w:rPr>
          <w:rFonts w:cs="Arial"/>
          <w:b/>
        </w:rPr>
        <w:t>Artículo 165.</w:t>
      </w:r>
      <w:r>
        <w:rPr>
          <w:rFonts w:cs="Arial"/>
        </w:rPr>
        <w:t xml:space="preserve"> Los servicios que proporcionen las dependencias del Poder Ejecutivo en virtud de leyes o decretos que se expidan con posterioridad a este código, se definirán en las propias leyes o decretos y los derechos respectivos se establecerán mediante disposiciones de carácter general.</w:t>
      </w:r>
    </w:p>
    <w:p w14:paraId="2B497863" w14:textId="77777777" w:rsidR="00D3344B" w:rsidRDefault="00D3344B">
      <w:pPr>
        <w:pStyle w:val="Estilo"/>
        <w:rPr>
          <w:rFonts w:cs="Arial"/>
        </w:rPr>
      </w:pPr>
    </w:p>
    <w:p w14:paraId="3C9C409C" w14:textId="77777777" w:rsidR="00D3344B" w:rsidRDefault="00D3344B">
      <w:pPr>
        <w:pStyle w:val="Estilo"/>
        <w:rPr>
          <w:rFonts w:cs="Arial"/>
        </w:rPr>
      </w:pPr>
    </w:p>
    <w:p w14:paraId="516787EC" w14:textId="77777777" w:rsidR="00D3344B" w:rsidRDefault="00143C25">
      <w:pPr>
        <w:pStyle w:val="Estilo"/>
        <w:jc w:val="center"/>
        <w:rPr>
          <w:rFonts w:cs="Arial"/>
          <w:b/>
        </w:rPr>
      </w:pPr>
      <w:r>
        <w:rPr>
          <w:rFonts w:cs="Arial"/>
          <w:b/>
        </w:rPr>
        <w:t>TÍTULO QUINTO</w:t>
      </w:r>
    </w:p>
    <w:p w14:paraId="0BD64E1E" w14:textId="77777777" w:rsidR="00D3344B" w:rsidRDefault="00143C25">
      <w:pPr>
        <w:pStyle w:val="Estilo"/>
        <w:jc w:val="center"/>
        <w:rPr>
          <w:rFonts w:cs="Arial"/>
          <w:b/>
        </w:rPr>
      </w:pPr>
      <w:r>
        <w:rPr>
          <w:rFonts w:cs="Arial"/>
          <w:b/>
        </w:rPr>
        <w:t>INGRESOS NO TRIBUTARIOS DEL ESTADO</w:t>
      </w:r>
    </w:p>
    <w:p w14:paraId="377F7F29" w14:textId="77777777" w:rsidR="00D3344B" w:rsidRDefault="00D3344B">
      <w:pPr>
        <w:pStyle w:val="Estilo"/>
        <w:jc w:val="center"/>
        <w:rPr>
          <w:rFonts w:cs="Arial"/>
          <w:b/>
        </w:rPr>
      </w:pPr>
    </w:p>
    <w:p w14:paraId="313E0C75" w14:textId="77777777" w:rsidR="00D3344B" w:rsidRDefault="00143C25">
      <w:pPr>
        <w:pStyle w:val="Estilo"/>
        <w:jc w:val="center"/>
        <w:rPr>
          <w:rFonts w:cs="Arial"/>
          <w:b/>
        </w:rPr>
      </w:pPr>
      <w:r>
        <w:rPr>
          <w:rFonts w:cs="Arial"/>
          <w:b/>
        </w:rPr>
        <w:t>Capítulo I</w:t>
      </w:r>
    </w:p>
    <w:p w14:paraId="34709FB3" w14:textId="77777777" w:rsidR="00D3344B" w:rsidRDefault="00143C25">
      <w:pPr>
        <w:pStyle w:val="Estilo"/>
        <w:jc w:val="center"/>
        <w:rPr>
          <w:rFonts w:cs="Arial"/>
          <w:b/>
        </w:rPr>
      </w:pPr>
      <w:r>
        <w:rPr>
          <w:rFonts w:cs="Arial"/>
          <w:b/>
        </w:rPr>
        <w:t>Productos</w:t>
      </w:r>
    </w:p>
    <w:p w14:paraId="5FAB5C89" w14:textId="77777777" w:rsidR="00D3344B" w:rsidRDefault="00D3344B">
      <w:pPr>
        <w:pStyle w:val="Estilo"/>
        <w:rPr>
          <w:rFonts w:cs="Arial"/>
        </w:rPr>
      </w:pPr>
    </w:p>
    <w:p w14:paraId="4C09CAB0" w14:textId="77777777" w:rsidR="00D3344B" w:rsidRDefault="00143C25">
      <w:pPr>
        <w:pStyle w:val="Estilo"/>
        <w:rPr>
          <w:rFonts w:cs="Arial"/>
        </w:rPr>
      </w:pPr>
      <w:r>
        <w:rPr>
          <w:rFonts w:cs="Arial"/>
          <w:b/>
        </w:rPr>
        <w:t>Artículo 166.</w:t>
      </w:r>
      <w:r>
        <w:rPr>
          <w:rFonts w:cs="Arial"/>
        </w:rPr>
        <w:t xml:space="preserve"> Se consideran productos a favor del Estado los que obtenga por los conceptos que de manera enunciativa se señalan a continuación:</w:t>
      </w:r>
    </w:p>
    <w:p w14:paraId="2EB19064" w14:textId="77777777" w:rsidR="00D3344B" w:rsidRDefault="00D3344B">
      <w:pPr>
        <w:pStyle w:val="Estilo"/>
        <w:rPr>
          <w:rFonts w:cs="Arial"/>
        </w:rPr>
      </w:pPr>
    </w:p>
    <w:p w14:paraId="6CFD069F" w14:textId="77777777" w:rsidR="00D3344B" w:rsidRDefault="00143C25">
      <w:pPr>
        <w:pStyle w:val="Estilo"/>
        <w:ind w:left="567" w:hanging="567"/>
        <w:rPr>
          <w:rFonts w:cs="Arial"/>
        </w:rPr>
      </w:pPr>
      <w:r>
        <w:rPr>
          <w:rFonts w:cs="Arial"/>
        </w:rPr>
        <w:t xml:space="preserve">I. </w:t>
      </w:r>
      <w:r>
        <w:rPr>
          <w:rFonts w:cs="Arial"/>
        </w:rPr>
        <w:tab/>
        <w:t>Enajenación de bienes muebles e inmuebles propiedad del Estado;</w:t>
      </w:r>
    </w:p>
    <w:p w14:paraId="41F3E7BD" w14:textId="77777777" w:rsidR="00D3344B" w:rsidRDefault="00D3344B">
      <w:pPr>
        <w:pStyle w:val="Estilo"/>
        <w:ind w:left="567" w:hanging="567"/>
        <w:rPr>
          <w:rFonts w:cs="Arial"/>
        </w:rPr>
      </w:pPr>
    </w:p>
    <w:p w14:paraId="450E1FBE" w14:textId="77777777" w:rsidR="00D3344B" w:rsidRDefault="00143C25">
      <w:pPr>
        <w:pStyle w:val="Estilo"/>
        <w:ind w:left="567" w:hanging="567"/>
        <w:rPr>
          <w:rFonts w:cs="Arial"/>
        </w:rPr>
      </w:pPr>
      <w:r>
        <w:rPr>
          <w:rFonts w:cs="Arial"/>
        </w:rPr>
        <w:t xml:space="preserve">II. </w:t>
      </w:r>
      <w:r>
        <w:rPr>
          <w:rFonts w:cs="Arial"/>
        </w:rPr>
        <w:tab/>
        <w:t>El arrendamiento de bienes muebles e inmuebles propiedad del Estado;</w:t>
      </w:r>
    </w:p>
    <w:p w14:paraId="49E48CF2" w14:textId="77777777" w:rsidR="00D3344B" w:rsidRDefault="00D3344B">
      <w:pPr>
        <w:pStyle w:val="Estilo"/>
        <w:ind w:left="567" w:hanging="567"/>
        <w:rPr>
          <w:rFonts w:cs="Arial"/>
        </w:rPr>
      </w:pPr>
    </w:p>
    <w:p w14:paraId="60000058" w14:textId="77777777" w:rsidR="00D3344B" w:rsidRDefault="00143C25">
      <w:pPr>
        <w:pStyle w:val="Estilo"/>
        <w:ind w:left="567" w:hanging="567"/>
        <w:rPr>
          <w:rFonts w:cs="Arial"/>
        </w:rPr>
      </w:pPr>
      <w:r>
        <w:rPr>
          <w:rFonts w:cs="Arial"/>
        </w:rPr>
        <w:t xml:space="preserve">III. </w:t>
      </w:r>
      <w:r>
        <w:rPr>
          <w:rFonts w:cs="Arial"/>
        </w:rPr>
        <w:tab/>
        <w:t>La explotación o enajenación de cualquier naturaleza de los bienes propiedad del Estado;</w:t>
      </w:r>
    </w:p>
    <w:p w14:paraId="7B1A2767" w14:textId="77777777" w:rsidR="00D3344B" w:rsidRDefault="00D3344B">
      <w:pPr>
        <w:pStyle w:val="Estilo"/>
        <w:ind w:left="567" w:hanging="567"/>
        <w:rPr>
          <w:rFonts w:cs="Arial"/>
        </w:rPr>
      </w:pPr>
    </w:p>
    <w:p w14:paraId="356688CA" w14:textId="77777777" w:rsidR="00D3344B" w:rsidRDefault="00143C25">
      <w:pPr>
        <w:pStyle w:val="Estilo"/>
        <w:ind w:left="567" w:hanging="567"/>
        <w:rPr>
          <w:rFonts w:cs="Arial"/>
        </w:rPr>
      </w:pPr>
      <w:r>
        <w:rPr>
          <w:rFonts w:cs="Arial"/>
        </w:rPr>
        <w:t xml:space="preserve">IV. </w:t>
      </w:r>
      <w:r>
        <w:rPr>
          <w:rFonts w:cs="Arial"/>
        </w:rPr>
        <w:tab/>
        <w:t>Explotación de las empresas propiedad del Estado o aquéllas en que tenga participación;</w:t>
      </w:r>
    </w:p>
    <w:p w14:paraId="399A764A" w14:textId="77777777" w:rsidR="00D3344B" w:rsidRDefault="00D3344B">
      <w:pPr>
        <w:pStyle w:val="Estilo"/>
        <w:ind w:left="567" w:hanging="567"/>
        <w:rPr>
          <w:rFonts w:cs="Arial"/>
        </w:rPr>
      </w:pPr>
    </w:p>
    <w:p w14:paraId="75B8C49B" w14:textId="77777777" w:rsidR="00D3344B" w:rsidRDefault="00143C25">
      <w:pPr>
        <w:pStyle w:val="Estilo"/>
        <w:ind w:left="567" w:hanging="567"/>
        <w:rPr>
          <w:rFonts w:cs="Arial"/>
        </w:rPr>
      </w:pPr>
      <w:r>
        <w:rPr>
          <w:rFonts w:cs="Arial"/>
        </w:rPr>
        <w:t xml:space="preserve">V. </w:t>
      </w:r>
      <w:r>
        <w:rPr>
          <w:rFonts w:cs="Arial"/>
        </w:rPr>
        <w:tab/>
        <w:t>Rendimiento o intereses de capitales y valores del Estado;</w:t>
      </w:r>
    </w:p>
    <w:p w14:paraId="4C5B5256" w14:textId="77777777" w:rsidR="00D3344B" w:rsidRDefault="00D3344B">
      <w:pPr>
        <w:pStyle w:val="Estilo"/>
        <w:ind w:left="567" w:hanging="567"/>
        <w:rPr>
          <w:rFonts w:cs="Arial"/>
        </w:rPr>
      </w:pPr>
    </w:p>
    <w:p w14:paraId="667299F6" w14:textId="77777777" w:rsidR="00D3344B" w:rsidRDefault="00143C25">
      <w:pPr>
        <w:pStyle w:val="Estilo"/>
        <w:ind w:left="567" w:hanging="567"/>
        <w:rPr>
          <w:rFonts w:cs="Arial"/>
        </w:rPr>
      </w:pPr>
      <w:r>
        <w:rPr>
          <w:rFonts w:cs="Arial"/>
        </w:rPr>
        <w:t xml:space="preserve">VI. </w:t>
      </w:r>
      <w:r>
        <w:rPr>
          <w:rFonts w:cs="Arial"/>
        </w:rPr>
        <w:tab/>
        <w:t>Venta de publicaciones oficiales, leyes y reglamentos que edite el Gobierno del Estado;</w:t>
      </w:r>
    </w:p>
    <w:p w14:paraId="558961B6" w14:textId="77777777" w:rsidR="00D3344B" w:rsidRDefault="00D3344B">
      <w:pPr>
        <w:pStyle w:val="Estilo"/>
        <w:ind w:left="567" w:hanging="567"/>
        <w:rPr>
          <w:rFonts w:cs="Arial"/>
        </w:rPr>
      </w:pPr>
    </w:p>
    <w:p w14:paraId="127659D0" w14:textId="77777777" w:rsidR="00D3344B" w:rsidRDefault="00143C25">
      <w:pPr>
        <w:pStyle w:val="Estilo"/>
        <w:ind w:left="567" w:hanging="567"/>
        <w:rPr>
          <w:rFonts w:cs="Arial"/>
        </w:rPr>
      </w:pPr>
      <w:r>
        <w:rPr>
          <w:rFonts w:cs="Arial"/>
        </w:rPr>
        <w:t xml:space="preserve">VII. </w:t>
      </w:r>
      <w:r>
        <w:rPr>
          <w:rFonts w:cs="Arial"/>
        </w:rPr>
        <w:tab/>
        <w:t>Venta del Periódico Oficial del Estado;</w:t>
      </w:r>
    </w:p>
    <w:p w14:paraId="61603A1B" w14:textId="77777777" w:rsidR="00D3344B" w:rsidRDefault="00D3344B">
      <w:pPr>
        <w:pStyle w:val="Estilo"/>
        <w:ind w:left="567" w:hanging="567"/>
        <w:rPr>
          <w:rFonts w:cs="Arial"/>
        </w:rPr>
      </w:pPr>
    </w:p>
    <w:p w14:paraId="43A20AD4" w14:textId="77777777" w:rsidR="00D3344B" w:rsidRDefault="00143C25">
      <w:pPr>
        <w:pStyle w:val="Estilo"/>
        <w:ind w:left="567" w:hanging="567"/>
        <w:rPr>
          <w:rFonts w:cs="Arial"/>
        </w:rPr>
      </w:pPr>
      <w:r>
        <w:rPr>
          <w:rFonts w:cs="Arial"/>
        </w:rPr>
        <w:t xml:space="preserve">VIII. </w:t>
      </w:r>
      <w:r>
        <w:rPr>
          <w:rFonts w:cs="Arial"/>
        </w:rPr>
        <w:tab/>
        <w:t>Venta de formas oficiales, incluyendo las hojas para copias de actas de Registro Civil, y</w:t>
      </w:r>
    </w:p>
    <w:p w14:paraId="3A864BDF" w14:textId="77777777" w:rsidR="00D3344B" w:rsidRDefault="00D3344B">
      <w:pPr>
        <w:pStyle w:val="Estilo"/>
        <w:ind w:left="567" w:hanging="567"/>
        <w:rPr>
          <w:rFonts w:cs="Arial"/>
        </w:rPr>
      </w:pPr>
    </w:p>
    <w:p w14:paraId="4D197038" w14:textId="77777777" w:rsidR="00D3344B" w:rsidRDefault="00143C25">
      <w:pPr>
        <w:pStyle w:val="Estilo"/>
        <w:ind w:left="567" w:hanging="567"/>
        <w:rPr>
          <w:rFonts w:cs="Arial"/>
        </w:rPr>
      </w:pPr>
      <w:r>
        <w:rPr>
          <w:rFonts w:cs="Arial"/>
        </w:rPr>
        <w:t xml:space="preserve">IX. </w:t>
      </w:r>
      <w:r>
        <w:rPr>
          <w:rFonts w:cs="Arial"/>
        </w:rPr>
        <w:tab/>
        <w:t>Otros productos no especificados.</w:t>
      </w:r>
    </w:p>
    <w:p w14:paraId="63F2F5C0" w14:textId="77777777" w:rsidR="00D3344B" w:rsidRDefault="00D3344B">
      <w:pPr>
        <w:pStyle w:val="Estilo"/>
        <w:rPr>
          <w:rFonts w:cs="Arial"/>
        </w:rPr>
      </w:pPr>
    </w:p>
    <w:p w14:paraId="7ACAA5AE" w14:textId="77777777" w:rsidR="00D3344B" w:rsidRDefault="00143C25">
      <w:pPr>
        <w:pStyle w:val="Estilo"/>
        <w:rPr>
          <w:rFonts w:cs="Arial"/>
        </w:rPr>
      </w:pPr>
      <w:r>
        <w:rPr>
          <w:rFonts w:cs="Arial"/>
          <w:b/>
        </w:rPr>
        <w:t>Artículo 167.</w:t>
      </w:r>
      <w:r>
        <w:rPr>
          <w:rFonts w:cs="Arial"/>
        </w:rPr>
        <w:t xml:space="preserve"> Los productos a que se refiere este artículo se recaudarán conforme a la tarifa siguiente:</w:t>
      </w:r>
    </w:p>
    <w:p w14:paraId="4B4309BC" w14:textId="77777777" w:rsidR="00D3344B" w:rsidRDefault="00D3344B">
      <w:pPr>
        <w:pStyle w:val="Estilo"/>
        <w:rPr>
          <w:rFonts w:cs="Arial"/>
        </w:rPr>
      </w:pPr>
    </w:p>
    <w:tbl>
      <w:tblPr>
        <w:tblStyle w:val="Tablaconcuadrcula"/>
        <w:tblW w:w="8828" w:type="dxa"/>
        <w:tblLayout w:type="fixed"/>
        <w:tblLook w:val="04A0" w:firstRow="1" w:lastRow="0" w:firstColumn="1" w:lastColumn="0" w:noHBand="0" w:noVBand="1"/>
      </w:tblPr>
      <w:tblGrid>
        <w:gridCol w:w="6786"/>
        <w:gridCol w:w="2042"/>
      </w:tblGrid>
      <w:tr w:rsidR="00D3344B" w14:paraId="0C0433DA" w14:textId="77777777">
        <w:tc>
          <w:tcPr>
            <w:tcW w:w="6785" w:type="dxa"/>
          </w:tcPr>
          <w:p w14:paraId="65D93F25" w14:textId="77777777" w:rsidR="00D3344B" w:rsidRDefault="00143C25">
            <w:pPr>
              <w:pStyle w:val="Estilo"/>
              <w:rPr>
                <w:rFonts w:cs="Arial"/>
              </w:rPr>
            </w:pPr>
            <w:r>
              <w:rPr>
                <w:rFonts w:eastAsia="Calibri" w:cs="Arial"/>
              </w:rPr>
              <w:t>I. Por cada ejemplar del Periódico Oficial que no contenga Ley, de hasta 20 páginas,</w:t>
            </w:r>
          </w:p>
        </w:tc>
        <w:tc>
          <w:tcPr>
            <w:tcW w:w="2042" w:type="dxa"/>
          </w:tcPr>
          <w:p w14:paraId="5A586414" w14:textId="77777777" w:rsidR="00D3344B" w:rsidRDefault="00143C25">
            <w:pPr>
              <w:pStyle w:val="Estilo"/>
              <w:rPr>
                <w:rFonts w:cs="Arial"/>
              </w:rPr>
            </w:pPr>
            <w:r>
              <w:rPr>
                <w:rFonts w:eastAsia="Calibri" w:cs="Arial"/>
              </w:rPr>
              <w:t>0.5 UMA, y por 10 páginas adicionales, 0.25 UMA.</w:t>
            </w:r>
          </w:p>
        </w:tc>
      </w:tr>
      <w:tr w:rsidR="00D3344B" w14:paraId="6F946760" w14:textId="77777777">
        <w:tc>
          <w:tcPr>
            <w:tcW w:w="6785" w:type="dxa"/>
          </w:tcPr>
          <w:p w14:paraId="1845EAD8" w14:textId="77777777" w:rsidR="00D3344B" w:rsidRDefault="00143C25">
            <w:pPr>
              <w:pStyle w:val="Estilo"/>
              <w:rPr>
                <w:rFonts w:cs="Arial"/>
              </w:rPr>
            </w:pPr>
            <w:r>
              <w:rPr>
                <w:rFonts w:eastAsia="Calibri" w:cs="Arial"/>
              </w:rPr>
              <w:t>II. Por cada ejemplar del Periódico Oficial que contenga Ley o Reglamento de hasta 20 páginas,</w:t>
            </w:r>
          </w:p>
        </w:tc>
        <w:tc>
          <w:tcPr>
            <w:tcW w:w="2042" w:type="dxa"/>
          </w:tcPr>
          <w:p w14:paraId="4D4F203B" w14:textId="77777777" w:rsidR="00D3344B" w:rsidRDefault="00143C25">
            <w:pPr>
              <w:pStyle w:val="Estilo"/>
              <w:rPr>
                <w:rFonts w:cs="Arial"/>
              </w:rPr>
            </w:pPr>
            <w:r>
              <w:rPr>
                <w:rFonts w:eastAsia="Calibri" w:cs="Arial"/>
              </w:rPr>
              <w:t>1 UMA, y por cada 10 páginas adicionales 0.5 UMA.</w:t>
            </w:r>
          </w:p>
        </w:tc>
      </w:tr>
      <w:tr w:rsidR="00D3344B" w14:paraId="7536CDA7" w14:textId="77777777">
        <w:tc>
          <w:tcPr>
            <w:tcW w:w="6785" w:type="dxa"/>
          </w:tcPr>
          <w:p w14:paraId="2B4EB5F4" w14:textId="77777777" w:rsidR="00D3344B" w:rsidRDefault="00143C25">
            <w:pPr>
              <w:pStyle w:val="Estilo"/>
              <w:rPr>
                <w:rFonts w:cs="Arial"/>
              </w:rPr>
            </w:pPr>
            <w:r>
              <w:rPr>
                <w:rFonts w:eastAsia="Calibri" w:cs="Arial"/>
              </w:rPr>
              <w:t>III. Por la adquisición de ejemplares del Periódico Oficial de años anteriores, se deberá pagar,</w:t>
            </w:r>
          </w:p>
        </w:tc>
        <w:tc>
          <w:tcPr>
            <w:tcW w:w="2042" w:type="dxa"/>
          </w:tcPr>
          <w:p w14:paraId="05A710A9" w14:textId="77777777" w:rsidR="00D3344B" w:rsidRDefault="00143C25">
            <w:pPr>
              <w:pStyle w:val="Estilo"/>
              <w:rPr>
                <w:rFonts w:cs="Arial"/>
              </w:rPr>
            </w:pPr>
            <w:r>
              <w:rPr>
                <w:rFonts w:eastAsia="Calibri" w:cs="Arial"/>
              </w:rPr>
              <w:t>0.5 UMA, más el precio que le corresponda de acuerdo a las fracciones anteriores.</w:t>
            </w:r>
          </w:p>
        </w:tc>
      </w:tr>
      <w:tr w:rsidR="00D3344B" w14:paraId="54EC6342" w14:textId="77777777">
        <w:tc>
          <w:tcPr>
            <w:tcW w:w="6785" w:type="dxa"/>
            <w:tcBorders>
              <w:bottom w:val="nil"/>
            </w:tcBorders>
          </w:tcPr>
          <w:p w14:paraId="527C6A97" w14:textId="77777777" w:rsidR="00D3344B" w:rsidRDefault="00143C25">
            <w:pPr>
              <w:pStyle w:val="Estilo"/>
              <w:rPr>
                <w:rFonts w:eastAsia="Calibri" w:cs="Arial"/>
                <w:i/>
                <w:iCs/>
                <w:sz w:val="16"/>
                <w:szCs w:val="16"/>
              </w:rPr>
            </w:pPr>
            <w:r>
              <w:rPr>
                <w:rFonts w:eastAsia="Calibri" w:cs="Arial"/>
                <w:i/>
                <w:iCs/>
                <w:sz w:val="16"/>
                <w:szCs w:val="16"/>
              </w:rPr>
              <w:t>(REFORMADA, P.O. 29 DE NOVIEMBRE DE 2023)</w:t>
            </w:r>
          </w:p>
          <w:p w14:paraId="0A12047E" w14:textId="77777777" w:rsidR="00D3344B" w:rsidRDefault="00143C25">
            <w:pPr>
              <w:pStyle w:val="Estilo"/>
              <w:rPr>
                <w:rFonts w:cs="Arial"/>
              </w:rPr>
            </w:pPr>
            <w:r>
              <w:rPr>
                <w:rFonts w:eastAsia="Calibri" w:cs="Arial"/>
              </w:rPr>
              <w:t>IV. Por la suscripción al Periódico Oficial:</w:t>
            </w:r>
          </w:p>
        </w:tc>
        <w:tc>
          <w:tcPr>
            <w:tcW w:w="2042" w:type="dxa"/>
            <w:tcBorders>
              <w:bottom w:val="nil"/>
            </w:tcBorders>
          </w:tcPr>
          <w:p w14:paraId="7042FCE2" w14:textId="77777777" w:rsidR="00D3344B" w:rsidRDefault="00D3344B">
            <w:pPr>
              <w:pStyle w:val="Estilo"/>
              <w:rPr>
                <w:rFonts w:cs="Arial"/>
              </w:rPr>
            </w:pPr>
          </w:p>
        </w:tc>
      </w:tr>
      <w:tr w:rsidR="00D3344B" w14:paraId="306335F5" w14:textId="77777777">
        <w:tc>
          <w:tcPr>
            <w:tcW w:w="6785" w:type="dxa"/>
            <w:tcBorders>
              <w:top w:val="nil"/>
              <w:bottom w:val="nil"/>
            </w:tcBorders>
          </w:tcPr>
          <w:p w14:paraId="0BA8D03E" w14:textId="77777777" w:rsidR="00D3344B" w:rsidRDefault="00143C25">
            <w:pPr>
              <w:pStyle w:val="Estilo"/>
              <w:rPr>
                <w:rFonts w:eastAsia="Calibri" w:cs="Arial"/>
                <w:i/>
                <w:iCs/>
                <w:sz w:val="16"/>
                <w:szCs w:val="16"/>
              </w:rPr>
            </w:pPr>
            <w:r>
              <w:rPr>
                <w:rFonts w:eastAsia="Calibri"/>
              </w:rPr>
              <w:t>a) Anual,</w:t>
            </w:r>
          </w:p>
        </w:tc>
        <w:tc>
          <w:tcPr>
            <w:tcW w:w="2042" w:type="dxa"/>
            <w:tcBorders>
              <w:top w:val="nil"/>
              <w:bottom w:val="nil"/>
            </w:tcBorders>
          </w:tcPr>
          <w:p w14:paraId="66499843" w14:textId="77777777" w:rsidR="00D3344B" w:rsidRDefault="00143C25">
            <w:pPr>
              <w:pStyle w:val="Estilo"/>
              <w:rPr>
                <w:rFonts w:eastAsia="Calibri" w:cs="Arial"/>
              </w:rPr>
            </w:pPr>
            <w:r>
              <w:rPr>
                <w:rFonts w:eastAsia="Calibri"/>
              </w:rPr>
              <w:t>79 UMA</w:t>
            </w:r>
          </w:p>
        </w:tc>
      </w:tr>
      <w:tr w:rsidR="00D3344B" w14:paraId="06967E41" w14:textId="77777777">
        <w:tc>
          <w:tcPr>
            <w:tcW w:w="6785" w:type="dxa"/>
            <w:tcBorders>
              <w:top w:val="nil"/>
            </w:tcBorders>
          </w:tcPr>
          <w:p w14:paraId="6919B5E4" w14:textId="77777777" w:rsidR="00D3344B" w:rsidRDefault="00143C25">
            <w:pPr>
              <w:pStyle w:val="Estilo"/>
              <w:rPr>
                <w:rFonts w:eastAsia="Calibri" w:cs="Arial"/>
                <w:i/>
                <w:iCs/>
                <w:sz w:val="16"/>
                <w:szCs w:val="16"/>
              </w:rPr>
            </w:pPr>
            <w:r>
              <w:rPr>
                <w:rFonts w:eastAsia="Calibri"/>
              </w:rPr>
              <w:t>b) Semestral,</w:t>
            </w:r>
          </w:p>
        </w:tc>
        <w:tc>
          <w:tcPr>
            <w:tcW w:w="2042" w:type="dxa"/>
            <w:tcBorders>
              <w:top w:val="nil"/>
            </w:tcBorders>
          </w:tcPr>
          <w:p w14:paraId="1A63ED62" w14:textId="77777777" w:rsidR="00D3344B" w:rsidRDefault="00143C25">
            <w:pPr>
              <w:pStyle w:val="Estilo"/>
              <w:rPr>
                <w:rFonts w:eastAsia="Calibri" w:cs="Arial"/>
              </w:rPr>
            </w:pPr>
            <w:r>
              <w:rPr>
                <w:rFonts w:eastAsia="Calibri"/>
              </w:rPr>
              <w:t>59.5 UMA</w:t>
            </w:r>
          </w:p>
        </w:tc>
      </w:tr>
      <w:tr w:rsidR="00D3344B" w14:paraId="1C2E5DE0" w14:textId="77777777">
        <w:tc>
          <w:tcPr>
            <w:tcW w:w="6785" w:type="dxa"/>
          </w:tcPr>
          <w:p w14:paraId="56763930" w14:textId="77777777" w:rsidR="00D3344B" w:rsidRDefault="00143C25">
            <w:pPr>
              <w:pStyle w:val="Estilo"/>
              <w:rPr>
                <w:rFonts w:cs="Arial"/>
              </w:rPr>
            </w:pPr>
            <w:r>
              <w:rPr>
                <w:rFonts w:eastAsia="Calibri" w:cs="Arial"/>
              </w:rPr>
              <w:t>V. Hoja especial para el asentamiento de actas de matrimonio, divorcio, reconocimiento de hijos, adopción, así como la inscripción de sentencias y orden de inhumación e inscripción de sociedad de convivencia solidaria,</w:t>
            </w:r>
          </w:p>
        </w:tc>
        <w:tc>
          <w:tcPr>
            <w:tcW w:w="2042" w:type="dxa"/>
          </w:tcPr>
          <w:p w14:paraId="107CBB69" w14:textId="77777777" w:rsidR="00D3344B" w:rsidRDefault="00143C25">
            <w:pPr>
              <w:pStyle w:val="Estilo"/>
              <w:rPr>
                <w:rFonts w:cs="Arial"/>
              </w:rPr>
            </w:pPr>
            <w:r>
              <w:rPr>
                <w:rFonts w:eastAsia="Calibri" w:cs="Arial"/>
              </w:rPr>
              <w:t>1 UMA;</w:t>
            </w:r>
          </w:p>
        </w:tc>
      </w:tr>
      <w:tr w:rsidR="00D3344B" w14:paraId="6D132AAD" w14:textId="77777777">
        <w:tc>
          <w:tcPr>
            <w:tcW w:w="6785" w:type="dxa"/>
          </w:tcPr>
          <w:p w14:paraId="39D40CBA" w14:textId="77777777" w:rsidR="00D3344B" w:rsidRDefault="00143C25">
            <w:pPr>
              <w:pStyle w:val="Estilo"/>
              <w:rPr>
                <w:rFonts w:cs="Arial"/>
              </w:rPr>
            </w:pPr>
            <w:r>
              <w:rPr>
                <w:rFonts w:eastAsia="Calibri" w:cs="Arial"/>
              </w:rPr>
              <w:lastRenderedPageBreak/>
              <w:t>VI. Hoja especial para solicitud de dispensa de publicaciones para contraer matrimonio,</w:t>
            </w:r>
          </w:p>
        </w:tc>
        <w:tc>
          <w:tcPr>
            <w:tcW w:w="2042" w:type="dxa"/>
          </w:tcPr>
          <w:p w14:paraId="16F917CF" w14:textId="77777777" w:rsidR="00D3344B" w:rsidRDefault="00143C25">
            <w:pPr>
              <w:pStyle w:val="Estilo"/>
              <w:rPr>
                <w:rFonts w:cs="Arial"/>
              </w:rPr>
            </w:pPr>
            <w:r>
              <w:rPr>
                <w:rFonts w:eastAsia="Calibri" w:cs="Arial"/>
              </w:rPr>
              <w:t>1 UMA;</w:t>
            </w:r>
          </w:p>
        </w:tc>
      </w:tr>
      <w:tr w:rsidR="00D3344B" w14:paraId="2709D41A" w14:textId="77777777">
        <w:tc>
          <w:tcPr>
            <w:tcW w:w="6785" w:type="dxa"/>
          </w:tcPr>
          <w:p w14:paraId="13591DD2" w14:textId="77777777" w:rsidR="00D3344B" w:rsidRDefault="00143C25">
            <w:pPr>
              <w:pStyle w:val="Estilo"/>
              <w:rPr>
                <w:rFonts w:cs="Arial"/>
              </w:rPr>
            </w:pPr>
            <w:r>
              <w:rPr>
                <w:rFonts w:eastAsia="Calibri" w:cs="Arial"/>
              </w:rPr>
              <w:t>VII. Hoja especial para copias certificadas de actas de nacimiento, matrimonio, defunción, divorcio, reconocimiento de hijos, adopción, inscripción de sentencias y registro, modificaciones o finiquito de sociedad de convivencia solidaria,</w:t>
            </w:r>
          </w:p>
        </w:tc>
        <w:tc>
          <w:tcPr>
            <w:tcW w:w="2042" w:type="dxa"/>
          </w:tcPr>
          <w:p w14:paraId="5CD9B537" w14:textId="77777777" w:rsidR="00D3344B" w:rsidRDefault="00143C25">
            <w:pPr>
              <w:pStyle w:val="Estilo"/>
              <w:rPr>
                <w:rFonts w:cs="Arial"/>
              </w:rPr>
            </w:pPr>
            <w:r>
              <w:rPr>
                <w:rFonts w:eastAsia="Calibri" w:cs="Arial"/>
              </w:rPr>
              <w:t>1 UMA;</w:t>
            </w:r>
          </w:p>
        </w:tc>
      </w:tr>
      <w:tr w:rsidR="00D3344B" w14:paraId="0810CAEE" w14:textId="77777777">
        <w:tc>
          <w:tcPr>
            <w:tcW w:w="6785" w:type="dxa"/>
          </w:tcPr>
          <w:p w14:paraId="3F1AAA1C" w14:textId="77777777" w:rsidR="00D3344B" w:rsidRDefault="00143C25">
            <w:pPr>
              <w:pStyle w:val="Estilo"/>
              <w:rPr>
                <w:rFonts w:cs="Arial"/>
              </w:rPr>
            </w:pPr>
            <w:r>
              <w:rPr>
                <w:rFonts w:eastAsia="Calibri" w:cs="Arial"/>
              </w:rPr>
              <w:t xml:space="preserve">VIII. Por cada ejemplar de las Cartas Síntesis de los Programas </w:t>
            </w:r>
            <w:proofErr w:type="gramStart"/>
            <w:r>
              <w:rPr>
                <w:rFonts w:eastAsia="Calibri" w:cs="Arial"/>
              </w:rPr>
              <w:t>Directores</w:t>
            </w:r>
            <w:proofErr w:type="gramEnd"/>
            <w:r>
              <w:rPr>
                <w:rFonts w:eastAsia="Calibri" w:cs="Arial"/>
              </w:rPr>
              <w:t xml:space="preserve"> Urbanos, se pagará,</w:t>
            </w:r>
          </w:p>
        </w:tc>
        <w:tc>
          <w:tcPr>
            <w:tcW w:w="2042" w:type="dxa"/>
          </w:tcPr>
          <w:p w14:paraId="7CFCC4A4" w14:textId="77777777" w:rsidR="00D3344B" w:rsidRDefault="00143C25">
            <w:pPr>
              <w:pStyle w:val="Estilo"/>
              <w:rPr>
                <w:rFonts w:cs="Arial"/>
              </w:rPr>
            </w:pPr>
            <w:r>
              <w:rPr>
                <w:rFonts w:eastAsia="Calibri" w:cs="Arial"/>
              </w:rPr>
              <w:t>4 UMA;</w:t>
            </w:r>
          </w:p>
        </w:tc>
      </w:tr>
      <w:tr w:rsidR="00D3344B" w14:paraId="1D38F4EA" w14:textId="77777777">
        <w:tc>
          <w:tcPr>
            <w:tcW w:w="6785" w:type="dxa"/>
          </w:tcPr>
          <w:p w14:paraId="0745CFFA" w14:textId="77777777" w:rsidR="00D3344B" w:rsidRDefault="00143C25">
            <w:pPr>
              <w:pStyle w:val="Estilo"/>
              <w:rPr>
                <w:rFonts w:cs="Arial"/>
              </w:rPr>
            </w:pPr>
            <w:r>
              <w:rPr>
                <w:rFonts w:eastAsia="Calibri" w:cs="Arial"/>
              </w:rPr>
              <w:t>IX. Por cada ejemplar de traza urbana de cabecera municipal o localidad,</w:t>
            </w:r>
          </w:p>
        </w:tc>
        <w:tc>
          <w:tcPr>
            <w:tcW w:w="2042" w:type="dxa"/>
          </w:tcPr>
          <w:p w14:paraId="1C485030" w14:textId="77777777" w:rsidR="00D3344B" w:rsidRDefault="00143C25">
            <w:pPr>
              <w:pStyle w:val="Estilo"/>
              <w:rPr>
                <w:rFonts w:cs="Arial"/>
              </w:rPr>
            </w:pPr>
            <w:r>
              <w:rPr>
                <w:rFonts w:eastAsia="Calibri" w:cs="Arial"/>
              </w:rPr>
              <w:t>3 UMA;</w:t>
            </w:r>
          </w:p>
        </w:tc>
      </w:tr>
      <w:tr w:rsidR="00D3344B" w14:paraId="3C7ED42C" w14:textId="77777777">
        <w:tc>
          <w:tcPr>
            <w:tcW w:w="6785" w:type="dxa"/>
          </w:tcPr>
          <w:p w14:paraId="2D1886AE" w14:textId="77777777" w:rsidR="00D3344B" w:rsidRDefault="00143C25">
            <w:pPr>
              <w:pStyle w:val="Estilo"/>
              <w:rPr>
                <w:rFonts w:cs="Arial"/>
              </w:rPr>
            </w:pPr>
            <w:r>
              <w:rPr>
                <w:rFonts w:eastAsia="Calibri" w:cs="Arial"/>
              </w:rPr>
              <w:t xml:space="preserve">X. Por cada ejemplar de fotografía aérea blanco y negro en papel </w:t>
            </w:r>
            <w:proofErr w:type="spellStart"/>
            <w:r>
              <w:rPr>
                <w:rFonts w:eastAsia="Calibri" w:cs="Arial"/>
              </w:rPr>
              <w:t>albanene</w:t>
            </w:r>
            <w:proofErr w:type="spellEnd"/>
            <w:r>
              <w:rPr>
                <w:rFonts w:eastAsia="Calibri" w:cs="Arial"/>
              </w:rPr>
              <w:t>, formatos de 90 x 60 centímetros,</w:t>
            </w:r>
          </w:p>
        </w:tc>
        <w:tc>
          <w:tcPr>
            <w:tcW w:w="2042" w:type="dxa"/>
          </w:tcPr>
          <w:p w14:paraId="20F39A9A" w14:textId="77777777" w:rsidR="00D3344B" w:rsidRDefault="00143C25">
            <w:pPr>
              <w:pStyle w:val="Estilo"/>
              <w:rPr>
                <w:rFonts w:cs="Arial"/>
              </w:rPr>
            </w:pPr>
            <w:r>
              <w:rPr>
                <w:rFonts w:eastAsia="Calibri" w:cs="Arial"/>
              </w:rPr>
              <w:t>3 UMA;</w:t>
            </w:r>
          </w:p>
        </w:tc>
      </w:tr>
      <w:tr w:rsidR="00D3344B" w14:paraId="02F3131A" w14:textId="77777777">
        <w:tc>
          <w:tcPr>
            <w:tcW w:w="6785" w:type="dxa"/>
          </w:tcPr>
          <w:p w14:paraId="689E67BC" w14:textId="77777777" w:rsidR="00D3344B" w:rsidRDefault="00143C25">
            <w:pPr>
              <w:pStyle w:val="Estilo"/>
              <w:rPr>
                <w:rFonts w:cs="Arial"/>
              </w:rPr>
            </w:pPr>
            <w:r>
              <w:rPr>
                <w:rFonts w:eastAsia="Calibri" w:cs="Arial"/>
              </w:rPr>
              <w:t>XI. Por cada fotografía aérea en archivo magnético que abarca 25 kilómetros cuadrados de superficie del Estado, Escala 1:25,000 resolución 600 Dpi,</w:t>
            </w:r>
          </w:p>
        </w:tc>
        <w:tc>
          <w:tcPr>
            <w:tcW w:w="2042" w:type="dxa"/>
          </w:tcPr>
          <w:p w14:paraId="1FFE89A4" w14:textId="77777777" w:rsidR="00D3344B" w:rsidRDefault="00143C25">
            <w:pPr>
              <w:pStyle w:val="Estilo"/>
              <w:rPr>
                <w:rFonts w:cs="Arial"/>
              </w:rPr>
            </w:pPr>
            <w:r>
              <w:rPr>
                <w:rFonts w:eastAsia="Calibri" w:cs="Arial"/>
              </w:rPr>
              <w:t>3 UMA;</w:t>
            </w:r>
          </w:p>
        </w:tc>
      </w:tr>
      <w:tr w:rsidR="00D3344B" w14:paraId="13E6F1F1" w14:textId="77777777">
        <w:tc>
          <w:tcPr>
            <w:tcW w:w="6785" w:type="dxa"/>
          </w:tcPr>
          <w:p w14:paraId="42307A9A" w14:textId="77777777" w:rsidR="00D3344B" w:rsidRDefault="00143C25">
            <w:pPr>
              <w:pStyle w:val="Estilo"/>
              <w:rPr>
                <w:rFonts w:cs="Arial"/>
              </w:rPr>
            </w:pPr>
            <w:r>
              <w:rPr>
                <w:rFonts w:eastAsia="Calibri" w:cs="Arial"/>
              </w:rPr>
              <w:t>XII. Por cada fotografía aérea en archivo magnético que abarca 25 kilómetros cuadrados de superficie del Estado, Escala 1:25,000 resolución 1200 Dpi,</w:t>
            </w:r>
          </w:p>
        </w:tc>
        <w:tc>
          <w:tcPr>
            <w:tcW w:w="2042" w:type="dxa"/>
          </w:tcPr>
          <w:p w14:paraId="58DC3B97" w14:textId="77777777" w:rsidR="00D3344B" w:rsidRDefault="00143C25">
            <w:pPr>
              <w:pStyle w:val="Estilo"/>
              <w:rPr>
                <w:rFonts w:cs="Arial"/>
              </w:rPr>
            </w:pPr>
            <w:r>
              <w:rPr>
                <w:rFonts w:eastAsia="Calibri" w:cs="Arial"/>
              </w:rPr>
              <w:t>6 UMA.</w:t>
            </w:r>
          </w:p>
        </w:tc>
      </w:tr>
    </w:tbl>
    <w:p w14:paraId="1DDC551D" w14:textId="77777777" w:rsidR="00D3344B" w:rsidRDefault="00D3344B">
      <w:pPr>
        <w:pStyle w:val="Estilo"/>
        <w:rPr>
          <w:rFonts w:cs="Arial"/>
        </w:rPr>
      </w:pPr>
    </w:p>
    <w:p w14:paraId="28B9F39B" w14:textId="77777777" w:rsidR="00D3344B" w:rsidRDefault="00D3344B">
      <w:pPr>
        <w:pStyle w:val="Estilo"/>
        <w:rPr>
          <w:rFonts w:cs="Arial"/>
        </w:rPr>
      </w:pPr>
    </w:p>
    <w:p w14:paraId="00C35263" w14:textId="77777777" w:rsidR="00D3344B" w:rsidRDefault="00143C25">
      <w:pPr>
        <w:pStyle w:val="Estilo"/>
        <w:rPr>
          <w:rFonts w:cs="Arial"/>
        </w:rPr>
      </w:pPr>
      <w:r>
        <w:rPr>
          <w:rFonts w:cs="Arial"/>
          <w:b/>
        </w:rPr>
        <w:t>Artículo 168.</w:t>
      </w:r>
      <w:r>
        <w:rPr>
          <w:rFonts w:cs="Arial"/>
        </w:rPr>
        <w:t xml:space="preserve"> El arrendamiento de todo tipo de instalaciones dentro del Centro </w:t>
      </w:r>
      <w:proofErr w:type="gramStart"/>
      <w:r>
        <w:rPr>
          <w:rFonts w:cs="Arial"/>
        </w:rPr>
        <w:t>Expositor</w:t>
      </w:r>
      <w:proofErr w:type="gramEnd"/>
      <w:r>
        <w:rPr>
          <w:rFonts w:cs="Arial"/>
        </w:rPr>
        <w:t xml:space="preserve"> así como de los inmuebles destinados a la realización de espectáculos públicos o culturales, propiedad del Gobierno del Estado, se cobrará considerando la naturaleza del evento y de acuerdo a las características específicas que se establezcan en los contratos correspondientes.</w:t>
      </w:r>
    </w:p>
    <w:p w14:paraId="603C419B" w14:textId="77777777" w:rsidR="00D3344B" w:rsidRDefault="00D3344B">
      <w:pPr>
        <w:pStyle w:val="Estilo"/>
        <w:rPr>
          <w:rFonts w:cs="Arial"/>
          <w:sz w:val="22"/>
        </w:rPr>
      </w:pPr>
    </w:p>
    <w:p w14:paraId="02ADC682" w14:textId="77777777" w:rsidR="00D3344B" w:rsidRDefault="00143C25">
      <w:pPr>
        <w:pStyle w:val="Estilo"/>
        <w:ind w:left="284" w:hanging="284"/>
        <w:rPr>
          <w:rFonts w:cs="Arial"/>
          <w:i/>
          <w:sz w:val="22"/>
        </w:rPr>
      </w:pPr>
      <w:r>
        <w:rPr>
          <w:rFonts w:cs="Arial"/>
          <w:i/>
          <w:sz w:val="22"/>
        </w:rPr>
        <w:t xml:space="preserve">I. </w:t>
      </w:r>
      <w:r>
        <w:rPr>
          <w:rFonts w:cs="Arial"/>
          <w:i/>
          <w:sz w:val="22"/>
        </w:rPr>
        <w:tab/>
        <w:t>Centro Expositor "Adolfo López Mateos":</w:t>
      </w:r>
    </w:p>
    <w:p w14:paraId="5FA51715" w14:textId="77777777" w:rsidR="00D3344B" w:rsidRDefault="00143C25">
      <w:pPr>
        <w:pStyle w:val="Estilo"/>
        <w:ind w:left="567" w:hanging="284"/>
        <w:rPr>
          <w:rFonts w:cs="Arial"/>
          <w:i/>
          <w:sz w:val="22"/>
        </w:rPr>
      </w:pPr>
      <w:r>
        <w:rPr>
          <w:rFonts w:cs="Arial"/>
          <w:i/>
          <w:sz w:val="22"/>
        </w:rPr>
        <w:t>a) Salón Joaquín Cisneros Molina:</w:t>
      </w:r>
    </w:p>
    <w:p w14:paraId="5B7360C3" w14:textId="77777777" w:rsidR="00D3344B" w:rsidRDefault="00143C25">
      <w:pPr>
        <w:pStyle w:val="Estilo"/>
        <w:ind w:left="851" w:hanging="284"/>
        <w:rPr>
          <w:rFonts w:cs="Arial"/>
          <w:i/>
          <w:sz w:val="22"/>
        </w:rPr>
      </w:pPr>
      <w:r>
        <w:rPr>
          <w:rFonts w:cs="Arial"/>
          <w:i/>
          <w:sz w:val="22"/>
        </w:rPr>
        <w:t>1. Cuando se trate de eventos lucrativos, 543 UMA;</w:t>
      </w:r>
    </w:p>
    <w:p w14:paraId="74540B67" w14:textId="77777777" w:rsidR="00D3344B" w:rsidRDefault="00143C25">
      <w:pPr>
        <w:pStyle w:val="Estilo"/>
        <w:ind w:left="851" w:hanging="284"/>
        <w:rPr>
          <w:rFonts w:cs="Arial"/>
          <w:i/>
          <w:sz w:val="22"/>
        </w:rPr>
      </w:pPr>
      <w:r>
        <w:rPr>
          <w:rFonts w:cs="Arial"/>
          <w:i/>
          <w:sz w:val="22"/>
        </w:rPr>
        <w:t>2. Cuando se trate de eventos sociales, 331 UMA, y</w:t>
      </w:r>
    </w:p>
    <w:p w14:paraId="57466434" w14:textId="77777777" w:rsidR="00D3344B" w:rsidRDefault="00143C25">
      <w:pPr>
        <w:pStyle w:val="Estilo"/>
        <w:ind w:left="851" w:hanging="284"/>
        <w:rPr>
          <w:rFonts w:cs="Arial"/>
          <w:i/>
          <w:sz w:val="22"/>
        </w:rPr>
      </w:pPr>
      <w:r>
        <w:rPr>
          <w:rFonts w:cs="Arial"/>
          <w:i/>
          <w:sz w:val="22"/>
        </w:rPr>
        <w:t>3. Cuando se trate de apoyo a instituciones, 211 UMA.</w:t>
      </w:r>
    </w:p>
    <w:p w14:paraId="427F0D69" w14:textId="77777777" w:rsidR="00D3344B" w:rsidRDefault="00143C25">
      <w:pPr>
        <w:pStyle w:val="Estilo"/>
        <w:ind w:left="567" w:hanging="284"/>
        <w:rPr>
          <w:rFonts w:cs="Arial"/>
          <w:i/>
          <w:sz w:val="22"/>
        </w:rPr>
      </w:pPr>
      <w:r>
        <w:rPr>
          <w:rFonts w:cs="Arial"/>
          <w:i/>
          <w:sz w:val="22"/>
        </w:rPr>
        <w:t>b) Restaurante "La Cabaña":</w:t>
      </w:r>
    </w:p>
    <w:p w14:paraId="1F324BEA" w14:textId="77777777" w:rsidR="00D3344B" w:rsidRDefault="00143C25">
      <w:pPr>
        <w:pStyle w:val="Estilo"/>
        <w:ind w:left="851" w:hanging="284"/>
        <w:rPr>
          <w:rFonts w:cs="Arial"/>
          <w:i/>
          <w:sz w:val="22"/>
        </w:rPr>
      </w:pPr>
      <w:r>
        <w:rPr>
          <w:rFonts w:cs="Arial"/>
          <w:i/>
          <w:sz w:val="22"/>
        </w:rPr>
        <w:t>1. Cuando se trate de eventos sociales, 37 UMA, y</w:t>
      </w:r>
    </w:p>
    <w:p w14:paraId="67971085" w14:textId="77777777" w:rsidR="00D3344B" w:rsidRDefault="00143C25">
      <w:pPr>
        <w:pStyle w:val="Estilo"/>
        <w:ind w:left="851" w:hanging="284"/>
        <w:rPr>
          <w:rFonts w:cs="Arial"/>
          <w:i/>
          <w:sz w:val="22"/>
        </w:rPr>
      </w:pPr>
      <w:r>
        <w:rPr>
          <w:rFonts w:cs="Arial"/>
          <w:i/>
          <w:sz w:val="22"/>
        </w:rPr>
        <w:t>2. Cuando se trate de apoyo a instituciones, 27 UMA.</w:t>
      </w:r>
    </w:p>
    <w:p w14:paraId="2961A738" w14:textId="77777777" w:rsidR="00D3344B" w:rsidRDefault="00143C25">
      <w:pPr>
        <w:pStyle w:val="Estilo"/>
        <w:ind w:left="567" w:hanging="284"/>
        <w:rPr>
          <w:rFonts w:cs="Arial"/>
          <w:i/>
          <w:sz w:val="22"/>
        </w:rPr>
      </w:pPr>
      <w:r>
        <w:rPr>
          <w:rFonts w:cs="Arial"/>
          <w:i/>
          <w:sz w:val="22"/>
        </w:rPr>
        <w:t>c) Lienzo Charro:</w:t>
      </w:r>
    </w:p>
    <w:p w14:paraId="2258CE36" w14:textId="77777777" w:rsidR="00D3344B" w:rsidRDefault="00143C25">
      <w:pPr>
        <w:pStyle w:val="Estilo"/>
        <w:ind w:left="851" w:hanging="284"/>
        <w:rPr>
          <w:rFonts w:cs="Arial"/>
          <w:i/>
          <w:sz w:val="22"/>
        </w:rPr>
      </w:pPr>
      <w:r>
        <w:rPr>
          <w:rFonts w:cs="Arial"/>
          <w:i/>
          <w:sz w:val="22"/>
        </w:rPr>
        <w:t>1. Cuando se trate de eventos lucrativos, 199 UMA;</w:t>
      </w:r>
    </w:p>
    <w:p w14:paraId="43EBB04E" w14:textId="77777777" w:rsidR="00D3344B" w:rsidRDefault="00143C25">
      <w:pPr>
        <w:pStyle w:val="Estilo"/>
        <w:ind w:left="851" w:hanging="284"/>
        <w:rPr>
          <w:rFonts w:cs="Arial"/>
          <w:i/>
          <w:sz w:val="22"/>
        </w:rPr>
      </w:pPr>
      <w:r>
        <w:rPr>
          <w:rFonts w:cs="Arial"/>
          <w:i/>
          <w:sz w:val="22"/>
        </w:rPr>
        <w:t>2. Cuando se trate de eventos sociales, 37 UMA, y</w:t>
      </w:r>
    </w:p>
    <w:p w14:paraId="43D76D23" w14:textId="77777777" w:rsidR="00D3344B" w:rsidRDefault="00143C25">
      <w:pPr>
        <w:pStyle w:val="Estilo"/>
        <w:ind w:left="851" w:hanging="284"/>
        <w:rPr>
          <w:rFonts w:cs="Arial"/>
        </w:rPr>
      </w:pPr>
      <w:r>
        <w:rPr>
          <w:rFonts w:cs="Arial"/>
        </w:rPr>
        <w:t>3. Cuando se trate de apoyo a instituciones, 30 UMA.</w:t>
      </w:r>
    </w:p>
    <w:p w14:paraId="3A82B886" w14:textId="77777777" w:rsidR="00D3344B" w:rsidRDefault="00143C25">
      <w:pPr>
        <w:pStyle w:val="Estilo"/>
        <w:ind w:left="567" w:hanging="284"/>
        <w:rPr>
          <w:rFonts w:cs="Arial"/>
        </w:rPr>
      </w:pPr>
      <w:r>
        <w:rPr>
          <w:rFonts w:cs="Arial"/>
        </w:rPr>
        <w:t>d) Salón Huamantla:</w:t>
      </w:r>
    </w:p>
    <w:p w14:paraId="43EDBA3B" w14:textId="77777777" w:rsidR="00D3344B" w:rsidRDefault="00143C25">
      <w:pPr>
        <w:pStyle w:val="Estilo"/>
        <w:ind w:left="851" w:hanging="284"/>
        <w:rPr>
          <w:rFonts w:cs="Arial"/>
        </w:rPr>
      </w:pPr>
      <w:r>
        <w:rPr>
          <w:rFonts w:cs="Arial"/>
        </w:rPr>
        <w:t>1. Cuando se trate de eventos lucrativos, 232 UMA;</w:t>
      </w:r>
    </w:p>
    <w:p w14:paraId="120E4333" w14:textId="77777777" w:rsidR="00D3344B" w:rsidRDefault="00143C25">
      <w:pPr>
        <w:pStyle w:val="Estilo"/>
        <w:ind w:left="851" w:hanging="284"/>
        <w:rPr>
          <w:rFonts w:cs="Arial"/>
        </w:rPr>
      </w:pPr>
      <w:r>
        <w:rPr>
          <w:rFonts w:cs="Arial"/>
        </w:rPr>
        <w:t>2. Cuando se trate de eventos sociales, 179 UMA, y</w:t>
      </w:r>
    </w:p>
    <w:p w14:paraId="4834C63B" w14:textId="77777777" w:rsidR="00D3344B" w:rsidRDefault="00143C25">
      <w:pPr>
        <w:pStyle w:val="Estilo"/>
        <w:ind w:left="851" w:hanging="284"/>
        <w:rPr>
          <w:rFonts w:cs="Arial"/>
        </w:rPr>
      </w:pPr>
      <w:r>
        <w:rPr>
          <w:rFonts w:cs="Arial"/>
        </w:rPr>
        <w:t>3. Cuando se trate de apoyo a instituciones, 119 UMA.</w:t>
      </w:r>
    </w:p>
    <w:p w14:paraId="2BA5A2F2" w14:textId="77777777" w:rsidR="00D3344B" w:rsidRDefault="00143C25">
      <w:pPr>
        <w:pStyle w:val="Estilo"/>
        <w:ind w:left="567" w:hanging="284"/>
        <w:rPr>
          <w:rFonts w:cs="Arial"/>
        </w:rPr>
      </w:pPr>
      <w:r>
        <w:rPr>
          <w:rFonts w:cs="Arial"/>
        </w:rPr>
        <w:t>e) Salón Calpulalpan:</w:t>
      </w:r>
    </w:p>
    <w:p w14:paraId="0C68EBC5" w14:textId="77777777" w:rsidR="00D3344B" w:rsidRDefault="00143C25">
      <w:pPr>
        <w:pStyle w:val="Estilo"/>
        <w:ind w:left="851" w:hanging="284"/>
        <w:rPr>
          <w:rFonts w:cs="Arial"/>
        </w:rPr>
      </w:pPr>
      <w:r>
        <w:rPr>
          <w:rFonts w:cs="Arial"/>
        </w:rPr>
        <w:t>1. Cuando se trate de eventos sociales, 60 UMA, y</w:t>
      </w:r>
    </w:p>
    <w:p w14:paraId="30298D7B" w14:textId="77777777" w:rsidR="00D3344B" w:rsidRDefault="00143C25">
      <w:pPr>
        <w:pStyle w:val="Estilo"/>
        <w:ind w:left="851" w:hanging="284"/>
        <w:rPr>
          <w:rFonts w:cs="Arial"/>
        </w:rPr>
      </w:pPr>
      <w:r>
        <w:rPr>
          <w:rFonts w:cs="Arial"/>
        </w:rPr>
        <w:t>2. Cuando se trate de apoyo a instituciones, 27 UMA.</w:t>
      </w:r>
    </w:p>
    <w:p w14:paraId="452561E7" w14:textId="77777777" w:rsidR="00D3344B" w:rsidRDefault="00143C25">
      <w:pPr>
        <w:pStyle w:val="Estilo"/>
        <w:ind w:left="567" w:hanging="284"/>
        <w:rPr>
          <w:rFonts w:cs="Arial"/>
        </w:rPr>
      </w:pPr>
      <w:r>
        <w:rPr>
          <w:rFonts w:cs="Arial"/>
        </w:rPr>
        <w:t>f) Centro de Convenciones:</w:t>
      </w:r>
    </w:p>
    <w:p w14:paraId="4629B9ED" w14:textId="77777777" w:rsidR="00D3344B" w:rsidRDefault="00143C25">
      <w:pPr>
        <w:pStyle w:val="Estilo"/>
        <w:ind w:left="851" w:hanging="284"/>
        <w:rPr>
          <w:rFonts w:cs="Arial"/>
        </w:rPr>
      </w:pPr>
      <w:r>
        <w:rPr>
          <w:rFonts w:cs="Arial"/>
        </w:rPr>
        <w:lastRenderedPageBreak/>
        <w:t>1. Cuando se trate de eventos lucrativos, 543 UMA;</w:t>
      </w:r>
    </w:p>
    <w:p w14:paraId="49CE9F3A" w14:textId="77777777" w:rsidR="00D3344B" w:rsidRDefault="00143C25">
      <w:pPr>
        <w:pStyle w:val="Estilo"/>
        <w:ind w:left="851" w:hanging="284"/>
        <w:rPr>
          <w:rFonts w:cs="Arial"/>
        </w:rPr>
      </w:pPr>
      <w:r>
        <w:rPr>
          <w:rFonts w:cs="Arial"/>
        </w:rPr>
        <w:t>2. Cuando se trate de eventos sociales, 331 UMA, y</w:t>
      </w:r>
    </w:p>
    <w:p w14:paraId="16BF3DA7" w14:textId="77777777" w:rsidR="00D3344B" w:rsidRDefault="00143C25">
      <w:pPr>
        <w:pStyle w:val="Estilo"/>
        <w:ind w:left="851" w:hanging="284"/>
        <w:rPr>
          <w:rFonts w:cs="Arial"/>
        </w:rPr>
      </w:pPr>
      <w:r>
        <w:rPr>
          <w:rFonts w:cs="Arial"/>
        </w:rPr>
        <w:t>3. Cuando se trate de apoyo a instituciones, 212 UMA.</w:t>
      </w:r>
    </w:p>
    <w:p w14:paraId="41ACF161" w14:textId="77777777" w:rsidR="00D3344B" w:rsidRDefault="00143C25">
      <w:pPr>
        <w:pStyle w:val="Estilo"/>
        <w:ind w:left="567" w:hanging="284"/>
        <w:rPr>
          <w:rFonts w:cs="Arial"/>
        </w:rPr>
      </w:pPr>
      <w:r>
        <w:rPr>
          <w:rFonts w:cs="Arial"/>
        </w:rPr>
        <w:t>Estas cuotas se aplicarán de manera proporcional al área solicitada.</w:t>
      </w:r>
    </w:p>
    <w:p w14:paraId="22B4FB8B" w14:textId="77777777" w:rsidR="00D3344B" w:rsidRDefault="00143C25">
      <w:pPr>
        <w:pStyle w:val="Estilo"/>
        <w:ind w:left="567" w:hanging="284"/>
        <w:rPr>
          <w:rFonts w:cs="Arial"/>
        </w:rPr>
      </w:pPr>
      <w:r>
        <w:rPr>
          <w:rFonts w:cs="Arial"/>
        </w:rPr>
        <w:t>g) Salón Tlaxcala:</w:t>
      </w:r>
    </w:p>
    <w:p w14:paraId="1422CD27" w14:textId="77777777" w:rsidR="00D3344B" w:rsidRDefault="00143C25">
      <w:pPr>
        <w:pStyle w:val="Estilo"/>
        <w:ind w:left="851" w:hanging="284"/>
        <w:rPr>
          <w:rFonts w:cs="Arial"/>
        </w:rPr>
      </w:pPr>
      <w:r>
        <w:rPr>
          <w:rFonts w:cs="Arial"/>
        </w:rPr>
        <w:t>1. Cuando se trate de eventos lucrativos, 239 UMA;</w:t>
      </w:r>
    </w:p>
    <w:p w14:paraId="162519DA" w14:textId="77777777" w:rsidR="00D3344B" w:rsidRDefault="00143C25">
      <w:pPr>
        <w:pStyle w:val="Estilo"/>
        <w:ind w:left="851" w:hanging="284"/>
        <w:rPr>
          <w:rFonts w:cs="Arial"/>
        </w:rPr>
      </w:pPr>
      <w:r>
        <w:rPr>
          <w:rFonts w:cs="Arial"/>
        </w:rPr>
        <w:t>2. Cuando se trate de eventos sociales, 179 UMA, y</w:t>
      </w:r>
    </w:p>
    <w:p w14:paraId="285D7B04" w14:textId="77777777" w:rsidR="00D3344B" w:rsidRDefault="00143C25">
      <w:pPr>
        <w:pStyle w:val="Estilo"/>
        <w:ind w:left="851" w:hanging="284"/>
        <w:rPr>
          <w:rFonts w:cs="Arial"/>
        </w:rPr>
      </w:pPr>
      <w:r>
        <w:rPr>
          <w:rFonts w:cs="Arial"/>
        </w:rPr>
        <w:t>3. Cuando se trate de apoyo a instituciones, 113 UMA.</w:t>
      </w:r>
    </w:p>
    <w:p w14:paraId="2545127C" w14:textId="77777777" w:rsidR="00D3344B" w:rsidRDefault="00143C25">
      <w:pPr>
        <w:pStyle w:val="Estilo"/>
        <w:ind w:left="567" w:hanging="284"/>
        <w:rPr>
          <w:rFonts w:cs="Arial"/>
        </w:rPr>
      </w:pPr>
      <w:r>
        <w:rPr>
          <w:rFonts w:cs="Arial"/>
        </w:rPr>
        <w:t>h) Domo Grande:</w:t>
      </w:r>
    </w:p>
    <w:p w14:paraId="65E2E434" w14:textId="77777777" w:rsidR="00D3344B" w:rsidRDefault="00143C25">
      <w:pPr>
        <w:pStyle w:val="Estilo"/>
        <w:ind w:left="851" w:hanging="284"/>
        <w:rPr>
          <w:rFonts w:cs="Arial"/>
        </w:rPr>
      </w:pPr>
      <w:r>
        <w:rPr>
          <w:rFonts w:cs="Arial"/>
        </w:rPr>
        <w:t>1. Cuando se trate de eventos lucrativos, 445 UMA;</w:t>
      </w:r>
    </w:p>
    <w:p w14:paraId="4C5991D5" w14:textId="77777777" w:rsidR="00D3344B" w:rsidRDefault="00143C25">
      <w:pPr>
        <w:pStyle w:val="Estilo"/>
        <w:ind w:left="851" w:hanging="284"/>
        <w:rPr>
          <w:rFonts w:cs="Arial"/>
        </w:rPr>
      </w:pPr>
      <w:r>
        <w:rPr>
          <w:rFonts w:cs="Arial"/>
        </w:rPr>
        <w:t>2. Cuando se trate de eventos sociales, 238 UMA, y</w:t>
      </w:r>
    </w:p>
    <w:p w14:paraId="233C6449" w14:textId="77777777" w:rsidR="00D3344B" w:rsidRDefault="00143C25">
      <w:pPr>
        <w:pStyle w:val="Estilo"/>
        <w:ind w:left="851" w:hanging="284"/>
        <w:rPr>
          <w:rFonts w:cs="Arial"/>
        </w:rPr>
      </w:pPr>
      <w:r>
        <w:rPr>
          <w:rFonts w:cs="Arial"/>
        </w:rPr>
        <w:t>3. Cuando se trate de apoyo a instituciones, 106 UMA.</w:t>
      </w:r>
    </w:p>
    <w:p w14:paraId="5EDFF812" w14:textId="77777777" w:rsidR="00D3344B" w:rsidRDefault="00143C25">
      <w:pPr>
        <w:pStyle w:val="Estilo"/>
        <w:ind w:left="567" w:hanging="284"/>
        <w:rPr>
          <w:rFonts w:cs="Arial"/>
        </w:rPr>
      </w:pPr>
      <w:r>
        <w:rPr>
          <w:rFonts w:cs="Arial"/>
        </w:rPr>
        <w:t>i) Palenque:</w:t>
      </w:r>
    </w:p>
    <w:p w14:paraId="513CA32E" w14:textId="77777777" w:rsidR="00D3344B" w:rsidRDefault="00143C25">
      <w:pPr>
        <w:pStyle w:val="Estilo"/>
        <w:ind w:left="851" w:hanging="284"/>
        <w:rPr>
          <w:rFonts w:cs="Arial"/>
        </w:rPr>
      </w:pPr>
      <w:r>
        <w:rPr>
          <w:rFonts w:cs="Arial"/>
        </w:rPr>
        <w:t>1. Cuando se trate de eventos lucrativos, 445 UMA;</w:t>
      </w:r>
    </w:p>
    <w:p w14:paraId="1E4CF0FB" w14:textId="77777777" w:rsidR="00D3344B" w:rsidRDefault="00143C25">
      <w:pPr>
        <w:pStyle w:val="Estilo"/>
        <w:ind w:left="851" w:hanging="284"/>
        <w:rPr>
          <w:rFonts w:cs="Arial"/>
        </w:rPr>
      </w:pPr>
      <w:r>
        <w:rPr>
          <w:rFonts w:cs="Arial"/>
        </w:rPr>
        <w:t>2. Cuando se trate de eventos sociales, 238 UMA, y</w:t>
      </w:r>
    </w:p>
    <w:p w14:paraId="08C59BC9" w14:textId="77777777" w:rsidR="00D3344B" w:rsidRDefault="00143C25">
      <w:pPr>
        <w:pStyle w:val="Estilo"/>
        <w:ind w:left="851" w:hanging="284"/>
        <w:rPr>
          <w:rFonts w:cs="Arial"/>
        </w:rPr>
      </w:pPr>
      <w:r>
        <w:rPr>
          <w:rFonts w:cs="Arial"/>
        </w:rPr>
        <w:t>3. Cuando se trate de apoyo a instituciones, 132 UMA.</w:t>
      </w:r>
    </w:p>
    <w:p w14:paraId="1FF63641" w14:textId="77777777" w:rsidR="00D3344B" w:rsidRDefault="00143C25">
      <w:pPr>
        <w:pStyle w:val="Estilo"/>
        <w:ind w:left="567" w:hanging="284"/>
        <w:rPr>
          <w:rFonts w:cs="Arial"/>
        </w:rPr>
      </w:pPr>
      <w:r>
        <w:rPr>
          <w:rFonts w:cs="Arial"/>
        </w:rPr>
        <w:t>j) Explanada 1:</w:t>
      </w:r>
    </w:p>
    <w:p w14:paraId="438C12FC" w14:textId="77777777" w:rsidR="00D3344B" w:rsidRDefault="00143C25">
      <w:pPr>
        <w:pStyle w:val="Estilo"/>
        <w:ind w:left="851" w:hanging="284"/>
        <w:rPr>
          <w:rFonts w:cs="Arial"/>
        </w:rPr>
      </w:pPr>
      <w:r>
        <w:rPr>
          <w:rFonts w:cs="Arial"/>
        </w:rPr>
        <w:t>1. Cuando se trate de eventos lucrativos, 445 UMA;</w:t>
      </w:r>
    </w:p>
    <w:p w14:paraId="6FC1304D" w14:textId="77777777" w:rsidR="00D3344B" w:rsidRDefault="00143C25">
      <w:pPr>
        <w:pStyle w:val="Estilo"/>
        <w:ind w:left="851" w:hanging="284"/>
        <w:rPr>
          <w:rFonts w:cs="Arial"/>
        </w:rPr>
      </w:pPr>
      <w:r>
        <w:rPr>
          <w:rFonts w:cs="Arial"/>
        </w:rPr>
        <w:t>2. Cuando se trate de eventos sociales, 239 UMA, y</w:t>
      </w:r>
    </w:p>
    <w:p w14:paraId="6166E33F" w14:textId="77777777" w:rsidR="00D3344B" w:rsidRDefault="00143C25">
      <w:pPr>
        <w:pStyle w:val="Estilo"/>
        <w:ind w:left="851" w:hanging="284"/>
        <w:rPr>
          <w:rFonts w:cs="Arial"/>
        </w:rPr>
      </w:pPr>
      <w:r>
        <w:rPr>
          <w:rFonts w:cs="Arial"/>
        </w:rPr>
        <w:t>3. Cuando se trate de apoyo a instituciones, 106 UMA.</w:t>
      </w:r>
    </w:p>
    <w:p w14:paraId="4328C9AB" w14:textId="77777777" w:rsidR="00D3344B" w:rsidRDefault="00143C25">
      <w:pPr>
        <w:pStyle w:val="Estilo"/>
        <w:ind w:left="567" w:hanging="284"/>
        <w:rPr>
          <w:rFonts w:cs="Arial"/>
        </w:rPr>
      </w:pPr>
      <w:r>
        <w:rPr>
          <w:rFonts w:cs="Arial"/>
        </w:rPr>
        <w:t>k) Estacionamiento 2:</w:t>
      </w:r>
    </w:p>
    <w:p w14:paraId="0ECD8089" w14:textId="77777777" w:rsidR="00D3344B" w:rsidRDefault="00143C25">
      <w:pPr>
        <w:pStyle w:val="Estilo"/>
        <w:ind w:left="851" w:hanging="284"/>
        <w:rPr>
          <w:rFonts w:cs="Arial"/>
        </w:rPr>
      </w:pPr>
      <w:r>
        <w:rPr>
          <w:rFonts w:cs="Arial"/>
        </w:rPr>
        <w:t>1. Cuando se trate de eventos lucrativos, 291 UMA;</w:t>
      </w:r>
    </w:p>
    <w:p w14:paraId="7CC8D252" w14:textId="77777777" w:rsidR="00D3344B" w:rsidRDefault="00143C25">
      <w:pPr>
        <w:pStyle w:val="Estilo"/>
        <w:ind w:left="851" w:hanging="284"/>
        <w:rPr>
          <w:rFonts w:cs="Arial"/>
        </w:rPr>
      </w:pPr>
      <w:r>
        <w:rPr>
          <w:rFonts w:cs="Arial"/>
        </w:rPr>
        <w:t>2. Cuando se trate de eventos sociales, 212 UMA, y</w:t>
      </w:r>
    </w:p>
    <w:p w14:paraId="3F3989BA" w14:textId="77777777" w:rsidR="00D3344B" w:rsidRDefault="00143C25">
      <w:pPr>
        <w:pStyle w:val="Estilo"/>
        <w:ind w:left="851" w:hanging="284"/>
        <w:rPr>
          <w:rFonts w:cs="Arial"/>
        </w:rPr>
      </w:pPr>
      <w:r>
        <w:rPr>
          <w:rFonts w:cs="Arial"/>
        </w:rPr>
        <w:t>3. Cuando se trate de apoyo a instituciones, 159 UMA.</w:t>
      </w:r>
    </w:p>
    <w:p w14:paraId="1D657AD1" w14:textId="77777777" w:rsidR="00D3344B" w:rsidRDefault="00143C25">
      <w:pPr>
        <w:pStyle w:val="Estilo"/>
        <w:ind w:left="567" w:hanging="284"/>
        <w:rPr>
          <w:rFonts w:cs="Arial"/>
        </w:rPr>
      </w:pPr>
      <w:r>
        <w:rPr>
          <w:rFonts w:cs="Arial"/>
        </w:rPr>
        <w:t>I) Vestíbulo del Centro de Convenciones:</w:t>
      </w:r>
    </w:p>
    <w:p w14:paraId="59255A06" w14:textId="77777777" w:rsidR="00D3344B" w:rsidRDefault="00143C25">
      <w:pPr>
        <w:pStyle w:val="Estilo"/>
        <w:ind w:left="851" w:hanging="284"/>
        <w:rPr>
          <w:rFonts w:cs="Arial"/>
        </w:rPr>
      </w:pPr>
      <w:r>
        <w:rPr>
          <w:rFonts w:cs="Arial"/>
        </w:rPr>
        <w:t>1. Cuando se trate de eventos sociales, 199 UMA, y</w:t>
      </w:r>
    </w:p>
    <w:p w14:paraId="08FB7791" w14:textId="77777777" w:rsidR="00D3344B" w:rsidRDefault="00143C25">
      <w:pPr>
        <w:pStyle w:val="Estilo"/>
        <w:ind w:left="851" w:hanging="284"/>
        <w:rPr>
          <w:rFonts w:cs="Arial"/>
        </w:rPr>
      </w:pPr>
      <w:r>
        <w:rPr>
          <w:rFonts w:cs="Arial"/>
        </w:rPr>
        <w:t>2. Cuando se trate de apoyo a instituciones, 132 UMA.</w:t>
      </w:r>
    </w:p>
    <w:p w14:paraId="3226B1EB" w14:textId="77777777" w:rsidR="00D3344B" w:rsidRDefault="00143C25">
      <w:pPr>
        <w:pStyle w:val="Estilo"/>
        <w:ind w:left="567" w:hanging="284"/>
        <w:rPr>
          <w:rFonts w:cs="Arial"/>
        </w:rPr>
      </w:pPr>
      <w:r>
        <w:rPr>
          <w:rFonts w:cs="Arial"/>
        </w:rPr>
        <w:t>m) Salón Apizaco:</w:t>
      </w:r>
    </w:p>
    <w:p w14:paraId="11845FB6" w14:textId="77777777" w:rsidR="00D3344B" w:rsidRDefault="00143C25">
      <w:pPr>
        <w:pStyle w:val="Estilo"/>
        <w:ind w:left="851" w:hanging="284"/>
        <w:rPr>
          <w:rFonts w:cs="Arial"/>
        </w:rPr>
      </w:pPr>
      <w:r>
        <w:rPr>
          <w:rFonts w:cs="Arial"/>
        </w:rPr>
        <w:t>1. Cuando se trate de eventos lucrativos, 219 UMA;</w:t>
      </w:r>
    </w:p>
    <w:p w14:paraId="1E588CB4" w14:textId="77777777" w:rsidR="00D3344B" w:rsidRDefault="00143C25">
      <w:pPr>
        <w:pStyle w:val="Estilo"/>
        <w:ind w:left="851" w:hanging="284"/>
        <w:rPr>
          <w:rFonts w:cs="Arial"/>
        </w:rPr>
      </w:pPr>
      <w:r>
        <w:rPr>
          <w:rFonts w:cs="Arial"/>
        </w:rPr>
        <w:t>2. Cuando se trate de eventos sociales, 152 UMA, y</w:t>
      </w:r>
    </w:p>
    <w:p w14:paraId="461AA916" w14:textId="77777777" w:rsidR="00D3344B" w:rsidRDefault="00143C25">
      <w:pPr>
        <w:pStyle w:val="Estilo"/>
        <w:ind w:left="851" w:hanging="284"/>
        <w:rPr>
          <w:rFonts w:cs="Arial"/>
        </w:rPr>
      </w:pPr>
      <w:r>
        <w:rPr>
          <w:rFonts w:cs="Arial"/>
        </w:rPr>
        <w:t>3. Cuando se trate de apoyo a instituciones, 99 UMA.</w:t>
      </w:r>
    </w:p>
    <w:p w14:paraId="07D586B7" w14:textId="77777777" w:rsidR="00D3344B" w:rsidRDefault="00143C25">
      <w:pPr>
        <w:pStyle w:val="Estilo"/>
        <w:ind w:left="567" w:hanging="284"/>
        <w:rPr>
          <w:rFonts w:cs="Arial"/>
        </w:rPr>
      </w:pPr>
      <w:r>
        <w:rPr>
          <w:rFonts w:cs="Arial"/>
        </w:rPr>
        <w:t>n) Domo Chico:</w:t>
      </w:r>
    </w:p>
    <w:p w14:paraId="259DC62A" w14:textId="77777777" w:rsidR="00D3344B" w:rsidRDefault="00143C25">
      <w:pPr>
        <w:pStyle w:val="Estilo"/>
        <w:ind w:left="851" w:hanging="284"/>
        <w:rPr>
          <w:rFonts w:cs="Arial"/>
        </w:rPr>
      </w:pPr>
      <w:r>
        <w:rPr>
          <w:rFonts w:cs="Arial"/>
        </w:rPr>
        <w:t>1. Cuando se trate de eventos lucrativos, 66 UMA;</w:t>
      </w:r>
    </w:p>
    <w:p w14:paraId="30C80F20" w14:textId="77777777" w:rsidR="00D3344B" w:rsidRDefault="00143C25">
      <w:pPr>
        <w:pStyle w:val="Estilo"/>
        <w:ind w:left="851" w:hanging="284"/>
        <w:rPr>
          <w:rFonts w:cs="Arial"/>
        </w:rPr>
      </w:pPr>
      <w:r>
        <w:rPr>
          <w:rFonts w:cs="Arial"/>
        </w:rPr>
        <w:t>2. Cuando se trate de eventos sociales, 46 UMA, y</w:t>
      </w:r>
    </w:p>
    <w:p w14:paraId="05F91E9D" w14:textId="77777777" w:rsidR="00D3344B" w:rsidRDefault="00143C25">
      <w:pPr>
        <w:pStyle w:val="Estilo"/>
        <w:ind w:left="851" w:hanging="284"/>
        <w:rPr>
          <w:rFonts w:cs="Arial"/>
        </w:rPr>
      </w:pPr>
      <w:r>
        <w:rPr>
          <w:rFonts w:cs="Arial"/>
        </w:rPr>
        <w:t>3. Cuando se trate de apoyo a instituciones, 27 UMA.</w:t>
      </w:r>
    </w:p>
    <w:p w14:paraId="4118144C" w14:textId="77777777" w:rsidR="00D3344B" w:rsidRDefault="00143C25">
      <w:pPr>
        <w:pStyle w:val="Estilo"/>
        <w:ind w:left="567" w:hanging="284"/>
        <w:rPr>
          <w:rFonts w:cs="Arial"/>
        </w:rPr>
      </w:pPr>
      <w:r>
        <w:rPr>
          <w:rFonts w:cs="Arial"/>
        </w:rPr>
        <w:t>Estas cuotas se aplicarán de manera proporcional al área solicitada.</w:t>
      </w:r>
    </w:p>
    <w:p w14:paraId="53CF8857" w14:textId="77777777" w:rsidR="00D3344B" w:rsidRDefault="00143C25">
      <w:pPr>
        <w:pStyle w:val="Estilo"/>
        <w:ind w:left="567" w:hanging="284"/>
        <w:rPr>
          <w:rFonts w:cs="Arial"/>
        </w:rPr>
      </w:pPr>
      <w:r>
        <w:rPr>
          <w:rFonts w:cs="Arial"/>
        </w:rPr>
        <w:t>o) Otras instalaciones, de 20 a 60 UMA de acuerdo a la naturaleza del evento.</w:t>
      </w:r>
    </w:p>
    <w:p w14:paraId="5BAE5E8D" w14:textId="77777777" w:rsidR="00D3344B" w:rsidRDefault="00D3344B">
      <w:pPr>
        <w:pStyle w:val="Estilo"/>
        <w:ind w:left="567" w:hanging="567"/>
        <w:rPr>
          <w:rFonts w:cs="Arial"/>
        </w:rPr>
      </w:pPr>
    </w:p>
    <w:p w14:paraId="4B6E251C" w14:textId="77777777" w:rsidR="00D3344B" w:rsidRDefault="00143C25">
      <w:pPr>
        <w:pStyle w:val="Estilo"/>
        <w:rPr>
          <w:rFonts w:eastAsia="Calibri" w:cs="Arial"/>
          <w:i/>
          <w:iCs/>
          <w:sz w:val="16"/>
          <w:szCs w:val="16"/>
        </w:rPr>
      </w:pPr>
      <w:r>
        <w:rPr>
          <w:rFonts w:eastAsia="Calibri" w:cs="Arial"/>
          <w:i/>
          <w:iCs/>
          <w:sz w:val="16"/>
          <w:szCs w:val="16"/>
        </w:rPr>
        <w:t>(REFORMADA, P.O. 29 DE NOVIEMBRE DE 2023)</w:t>
      </w:r>
    </w:p>
    <w:p w14:paraId="5B926D80" w14:textId="77777777" w:rsidR="00D3344B" w:rsidRDefault="00143C25">
      <w:pPr>
        <w:pStyle w:val="Estilo"/>
        <w:ind w:left="567" w:hanging="567"/>
        <w:rPr>
          <w:rFonts w:cs="Arial"/>
        </w:rPr>
      </w:pPr>
      <w:r>
        <w:rPr>
          <w:rFonts w:cs="Arial"/>
        </w:rPr>
        <w:t>II. Por la realización de eventos en el “Estadio Tlahuicole”:</w:t>
      </w:r>
    </w:p>
    <w:tbl>
      <w:tblPr>
        <w:tblStyle w:val="TableNormal"/>
        <w:tblW w:w="8680" w:type="dxa"/>
        <w:tblInd w:w="187" w:type="dxa"/>
        <w:tblLayout w:type="fixed"/>
        <w:tblLook w:val="01E0" w:firstRow="1" w:lastRow="1" w:firstColumn="1" w:lastColumn="1" w:noHBand="0" w:noVBand="0"/>
      </w:tblPr>
      <w:tblGrid>
        <w:gridCol w:w="5763"/>
        <w:gridCol w:w="2917"/>
      </w:tblGrid>
      <w:tr w:rsidR="00D3344B" w14:paraId="14782AB0" w14:textId="77777777">
        <w:trPr>
          <w:trHeight w:val="249"/>
        </w:trPr>
        <w:tc>
          <w:tcPr>
            <w:tcW w:w="5762" w:type="dxa"/>
          </w:tcPr>
          <w:p w14:paraId="1B7FA889" w14:textId="77777777" w:rsidR="00D3344B" w:rsidRDefault="00143C25">
            <w:pPr>
              <w:pStyle w:val="TableParagraph"/>
              <w:spacing w:line="229" w:lineRule="exact"/>
              <w:ind w:left="50"/>
            </w:pPr>
            <w:r>
              <w:t>a)</w:t>
            </w:r>
            <w:r>
              <w:rPr>
                <w:spacing w:val="-2"/>
              </w:rPr>
              <w:t xml:space="preserve"> </w:t>
            </w:r>
            <w:r>
              <w:t>Deportivos</w:t>
            </w:r>
            <w:r>
              <w:rPr>
                <w:spacing w:val="-4"/>
              </w:rPr>
              <w:t xml:space="preserve"> </w:t>
            </w:r>
            <w:r>
              <w:t>sin</w:t>
            </w:r>
            <w:r>
              <w:rPr>
                <w:spacing w:val="-2"/>
              </w:rPr>
              <w:t xml:space="preserve"> </w:t>
            </w:r>
            <w:r>
              <w:t>fines</w:t>
            </w:r>
            <w:r>
              <w:rPr>
                <w:spacing w:val="-4"/>
              </w:rPr>
              <w:t xml:space="preserve"> </w:t>
            </w:r>
            <w:r>
              <w:t>de</w:t>
            </w:r>
            <w:r>
              <w:rPr>
                <w:spacing w:val="-5"/>
              </w:rPr>
              <w:t xml:space="preserve"> </w:t>
            </w:r>
            <w:r>
              <w:t>lucro,</w:t>
            </w:r>
            <w:r>
              <w:rPr>
                <w:spacing w:val="-2"/>
              </w:rPr>
              <w:t xml:space="preserve"> </w:t>
            </w:r>
            <w:r>
              <w:t>hasta</w:t>
            </w:r>
            <w:r>
              <w:rPr>
                <w:spacing w:val="-2"/>
              </w:rPr>
              <w:t xml:space="preserve"> </w:t>
            </w:r>
            <w:r>
              <w:t>por</w:t>
            </w:r>
            <w:r>
              <w:rPr>
                <w:spacing w:val="-2"/>
              </w:rPr>
              <w:t xml:space="preserve"> </w:t>
            </w:r>
            <w:r>
              <w:t>dos</w:t>
            </w:r>
            <w:r>
              <w:rPr>
                <w:spacing w:val="-2"/>
              </w:rPr>
              <w:t xml:space="preserve"> horas,</w:t>
            </w:r>
          </w:p>
        </w:tc>
        <w:tc>
          <w:tcPr>
            <w:tcW w:w="2917" w:type="dxa"/>
          </w:tcPr>
          <w:p w14:paraId="0B714BDE" w14:textId="77777777" w:rsidR="00D3344B" w:rsidRDefault="00143C25">
            <w:pPr>
              <w:pStyle w:val="TableParagraph"/>
              <w:spacing w:line="229" w:lineRule="exact"/>
              <w:ind w:left="1087"/>
            </w:pPr>
            <w:r>
              <w:t xml:space="preserve">15 </w:t>
            </w:r>
            <w:r>
              <w:rPr>
                <w:spacing w:val="-5"/>
              </w:rPr>
              <w:t>UMA</w:t>
            </w:r>
          </w:p>
        </w:tc>
      </w:tr>
      <w:tr w:rsidR="00D3344B" w14:paraId="737B4D90" w14:textId="77777777">
        <w:trPr>
          <w:trHeight w:val="253"/>
        </w:trPr>
        <w:tc>
          <w:tcPr>
            <w:tcW w:w="5762" w:type="dxa"/>
          </w:tcPr>
          <w:p w14:paraId="610A6DC3" w14:textId="77777777" w:rsidR="00D3344B" w:rsidRDefault="00143C25">
            <w:pPr>
              <w:pStyle w:val="TableParagraph"/>
              <w:spacing w:line="233" w:lineRule="exact"/>
              <w:ind w:left="50"/>
            </w:pPr>
            <w:r>
              <w:t xml:space="preserve">b) </w:t>
            </w:r>
            <w:r>
              <w:rPr>
                <w:spacing w:val="-2"/>
              </w:rPr>
              <w:t>Institucionales;</w:t>
            </w:r>
          </w:p>
        </w:tc>
        <w:tc>
          <w:tcPr>
            <w:tcW w:w="2917" w:type="dxa"/>
          </w:tcPr>
          <w:p w14:paraId="6821CB26" w14:textId="77777777" w:rsidR="00D3344B" w:rsidRDefault="00143C25">
            <w:pPr>
              <w:pStyle w:val="TableParagraph"/>
              <w:spacing w:line="233" w:lineRule="exact"/>
              <w:ind w:left="1087"/>
            </w:pPr>
            <w:r>
              <w:t>100</w:t>
            </w:r>
            <w:r>
              <w:rPr>
                <w:spacing w:val="-4"/>
              </w:rPr>
              <w:t xml:space="preserve"> </w:t>
            </w:r>
            <w:r>
              <w:t>UMA,</w:t>
            </w:r>
            <w:r>
              <w:rPr>
                <w:spacing w:val="-2"/>
              </w:rPr>
              <w:t xml:space="preserve"> </w:t>
            </w:r>
            <w:r>
              <w:t>por</w:t>
            </w:r>
            <w:r>
              <w:rPr>
                <w:spacing w:val="-1"/>
              </w:rPr>
              <w:t xml:space="preserve"> </w:t>
            </w:r>
            <w:r>
              <w:rPr>
                <w:spacing w:val="-4"/>
              </w:rPr>
              <w:t>día.</w:t>
            </w:r>
          </w:p>
        </w:tc>
      </w:tr>
      <w:tr w:rsidR="00D3344B" w14:paraId="2C88B09A" w14:textId="77777777">
        <w:trPr>
          <w:trHeight w:val="253"/>
        </w:trPr>
        <w:tc>
          <w:tcPr>
            <w:tcW w:w="5762" w:type="dxa"/>
          </w:tcPr>
          <w:p w14:paraId="5C5B8891" w14:textId="77777777" w:rsidR="00D3344B" w:rsidRDefault="00143C25">
            <w:pPr>
              <w:pStyle w:val="TableParagraph"/>
              <w:spacing w:line="233" w:lineRule="exact"/>
              <w:ind w:left="50"/>
            </w:pPr>
            <w:r>
              <w:t>c)</w:t>
            </w:r>
            <w:r>
              <w:rPr>
                <w:spacing w:val="-2"/>
              </w:rPr>
              <w:t xml:space="preserve"> </w:t>
            </w:r>
            <w:r>
              <w:t>Religiosos</w:t>
            </w:r>
            <w:r>
              <w:rPr>
                <w:spacing w:val="-3"/>
              </w:rPr>
              <w:t xml:space="preserve"> </w:t>
            </w:r>
            <w:r>
              <w:t>o</w:t>
            </w:r>
            <w:r>
              <w:rPr>
                <w:spacing w:val="-2"/>
              </w:rPr>
              <w:t xml:space="preserve"> políticos,</w:t>
            </w:r>
          </w:p>
        </w:tc>
        <w:tc>
          <w:tcPr>
            <w:tcW w:w="2917" w:type="dxa"/>
          </w:tcPr>
          <w:p w14:paraId="3E931B3C" w14:textId="77777777" w:rsidR="00D3344B" w:rsidRDefault="00143C25">
            <w:pPr>
              <w:pStyle w:val="TableParagraph"/>
              <w:spacing w:line="233" w:lineRule="exact"/>
              <w:ind w:left="1087"/>
            </w:pPr>
            <w:r>
              <w:t>100</w:t>
            </w:r>
            <w:r>
              <w:rPr>
                <w:spacing w:val="-4"/>
              </w:rPr>
              <w:t xml:space="preserve"> </w:t>
            </w:r>
            <w:r>
              <w:t>UMA</w:t>
            </w:r>
            <w:r>
              <w:rPr>
                <w:spacing w:val="-2"/>
              </w:rPr>
              <w:t xml:space="preserve"> </w:t>
            </w:r>
            <w:r>
              <w:t>por</w:t>
            </w:r>
            <w:r>
              <w:rPr>
                <w:spacing w:val="-1"/>
              </w:rPr>
              <w:t xml:space="preserve"> </w:t>
            </w:r>
            <w:r>
              <w:rPr>
                <w:spacing w:val="-4"/>
              </w:rPr>
              <w:t>día.</w:t>
            </w:r>
          </w:p>
        </w:tc>
      </w:tr>
      <w:tr w:rsidR="00D3344B" w14:paraId="2A067FC1" w14:textId="77777777">
        <w:trPr>
          <w:trHeight w:val="253"/>
        </w:trPr>
        <w:tc>
          <w:tcPr>
            <w:tcW w:w="5762" w:type="dxa"/>
          </w:tcPr>
          <w:p w14:paraId="12EBDBB0" w14:textId="77777777" w:rsidR="00D3344B" w:rsidRDefault="00143C25">
            <w:pPr>
              <w:pStyle w:val="TableParagraph"/>
              <w:spacing w:line="233" w:lineRule="exact"/>
              <w:ind w:left="50"/>
            </w:pPr>
            <w:r>
              <w:t>d)</w:t>
            </w:r>
            <w:r>
              <w:rPr>
                <w:spacing w:val="-3"/>
              </w:rPr>
              <w:t xml:space="preserve"> </w:t>
            </w:r>
            <w:r>
              <w:t>Artísticos</w:t>
            </w:r>
            <w:r>
              <w:rPr>
                <w:spacing w:val="-5"/>
              </w:rPr>
              <w:t xml:space="preserve"> </w:t>
            </w:r>
            <w:r>
              <w:t>con</w:t>
            </w:r>
            <w:r>
              <w:rPr>
                <w:spacing w:val="-2"/>
              </w:rPr>
              <w:t xml:space="preserve"> </w:t>
            </w:r>
            <w:r>
              <w:t>fines</w:t>
            </w:r>
            <w:r>
              <w:rPr>
                <w:spacing w:val="-3"/>
              </w:rPr>
              <w:t xml:space="preserve"> </w:t>
            </w:r>
            <w:r>
              <w:t>de</w:t>
            </w:r>
            <w:r>
              <w:rPr>
                <w:spacing w:val="-4"/>
              </w:rPr>
              <w:t xml:space="preserve"> </w:t>
            </w:r>
            <w:r>
              <w:rPr>
                <w:spacing w:val="-2"/>
              </w:rPr>
              <w:t>lucro,</w:t>
            </w:r>
          </w:p>
        </w:tc>
        <w:tc>
          <w:tcPr>
            <w:tcW w:w="2917" w:type="dxa"/>
          </w:tcPr>
          <w:p w14:paraId="7D57BD4F" w14:textId="77777777" w:rsidR="00D3344B" w:rsidRDefault="00143C25">
            <w:pPr>
              <w:pStyle w:val="TableParagraph"/>
              <w:spacing w:line="233" w:lineRule="exact"/>
              <w:ind w:left="1087"/>
            </w:pPr>
            <w:r>
              <w:t>578</w:t>
            </w:r>
            <w:r>
              <w:rPr>
                <w:spacing w:val="-2"/>
              </w:rPr>
              <w:t xml:space="preserve"> </w:t>
            </w:r>
            <w:r>
              <w:t>UMA</w:t>
            </w:r>
            <w:r>
              <w:rPr>
                <w:spacing w:val="-2"/>
              </w:rPr>
              <w:t xml:space="preserve"> </w:t>
            </w:r>
            <w:r>
              <w:t>por</w:t>
            </w:r>
            <w:r>
              <w:rPr>
                <w:spacing w:val="-2"/>
              </w:rPr>
              <w:t xml:space="preserve"> </w:t>
            </w:r>
            <w:r>
              <w:t>día.</w:t>
            </w:r>
            <w:r>
              <w:rPr>
                <w:spacing w:val="-1"/>
              </w:rPr>
              <w:t xml:space="preserve"> </w:t>
            </w:r>
            <w:r>
              <w:rPr>
                <w:spacing w:val="-10"/>
              </w:rPr>
              <w:t>e</w:t>
            </w:r>
          </w:p>
        </w:tc>
      </w:tr>
      <w:tr w:rsidR="00D3344B" w14:paraId="634CFC98" w14:textId="77777777">
        <w:trPr>
          <w:trHeight w:val="248"/>
        </w:trPr>
        <w:tc>
          <w:tcPr>
            <w:tcW w:w="5762" w:type="dxa"/>
          </w:tcPr>
          <w:p w14:paraId="565FD2EC" w14:textId="77777777" w:rsidR="00D3344B" w:rsidRDefault="00143C25">
            <w:pPr>
              <w:pStyle w:val="TableParagraph"/>
              <w:spacing w:line="228" w:lineRule="exact"/>
              <w:ind w:left="50"/>
            </w:pPr>
            <w:r>
              <w:t>e)</w:t>
            </w:r>
            <w:r>
              <w:rPr>
                <w:spacing w:val="-2"/>
              </w:rPr>
              <w:t xml:space="preserve"> </w:t>
            </w:r>
            <w:r>
              <w:t>Deportivos</w:t>
            </w:r>
            <w:r>
              <w:rPr>
                <w:spacing w:val="-4"/>
              </w:rPr>
              <w:t xml:space="preserve"> </w:t>
            </w:r>
            <w:r>
              <w:t>con</w:t>
            </w:r>
            <w:r>
              <w:rPr>
                <w:spacing w:val="-5"/>
              </w:rPr>
              <w:t xml:space="preserve"> </w:t>
            </w:r>
            <w:r>
              <w:t>fines</w:t>
            </w:r>
            <w:r>
              <w:rPr>
                <w:spacing w:val="-2"/>
              </w:rPr>
              <w:t xml:space="preserve"> </w:t>
            </w:r>
            <w:r>
              <w:t>de</w:t>
            </w:r>
            <w:r>
              <w:rPr>
                <w:spacing w:val="-2"/>
              </w:rPr>
              <w:t xml:space="preserve"> lucro,</w:t>
            </w:r>
          </w:p>
        </w:tc>
        <w:tc>
          <w:tcPr>
            <w:tcW w:w="2917" w:type="dxa"/>
          </w:tcPr>
          <w:p w14:paraId="352B9056" w14:textId="77777777" w:rsidR="00D3344B" w:rsidRDefault="00143C25">
            <w:pPr>
              <w:pStyle w:val="TableParagraph"/>
              <w:spacing w:line="228" w:lineRule="exact"/>
              <w:ind w:left="1087"/>
            </w:pPr>
            <w:r>
              <w:t>100</w:t>
            </w:r>
            <w:r>
              <w:rPr>
                <w:spacing w:val="-4"/>
              </w:rPr>
              <w:t xml:space="preserve"> </w:t>
            </w:r>
            <w:r>
              <w:t>UMA</w:t>
            </w:r>
            <w:r>
              <w:rPr>
                <w:spacing w:val="-2"/>
              </w:rPr>
              <w:t xml:space="preserve"> </w:t>
            </w:r>
            <w:r>
              <w:t>por</w:t>
            </w:r>
            <w:r>
              <w:rPr>
                <w:spacing w:val="-1"/>
              </w:rPr>
              <w:t xml:space="preserve"> </w:t>
            </w:r>
            <w:r>
              <w:rPr>
                <w:spacing w:val="-4"/>
              </w:rPr>
              <w:t>día.</w:t>
            </w:r>
          </w:p>
        </w:tc>
      </w:tr>
    </w:tbl>
    <w:p w14:paraId="1B834CC1" w14:textId="77777777" w:rsidR="00D3344B" w:rsidRDefault="00D3344B">
      <w:pPr>
        <w:pStyle w:val="Estilo"/>
        <w:ind w:left="567" w:hanging="567"/>
        <w:rPr>
          <w:rFonts w:cs="Arial"/>
        </w:rPr>
      </w:pPr>
    </w:p>
    <w:p w14:paraId="1724536B" w14:textId="77777777" w:rsidR="00D3344B" w:rsidRDefault="00143C25">
      <w:pPr>
        <w:pStyle w:val="Estilo"/>
        <w:ind w:left="567" w:hanging="567"/>
        <w:rPr>
          <w:rFonts w:cs="Arial"/>
        </w:rPr>
      </w:pPr>
      <w:r>
        <w:rPr>
          <w:rFonts w:cs="Arial"/>
        </w:rPr>
        <w:t>III. Sala Miguel N. Lira:</w:t>
      </w:r>
    </w:p>
    <w:p w14:paraId="67A0F866" w14:textId="77777777" w:rsidR="00D3344B" w:rsidRDefault="00143C25">
      <w:pPr>
        <w:pStyle w:val="Estilo"/>
        <w:ind w:left="709" w:hanging="425"/>
        <w:rPr>
          <w:rFonts w:cs="Arial"/>
        </w:rPr>
      </w:pPr>
      <w:r>
        <w:rPr>
          <w:rFonts w:cs="Arial"/>
        </w:rPr>
        <w:lastRenderedPageBreak/>
        <w:t xml:space="preserve">a) </w:t>
      </w:r>
      <w:r>
        <w:rPr>
          <w:rFonts w:cs="Arial"/>
        </w:rPr>
        <w:tab/>
        <w:t>Cuando se trate de eventos lucrativos, 68 UMA;</w:t>
      </w:r>
    </w:p>
    <w:p w14:paraId="25665AAA" w14:textId="77777777" w:rsidR="00D3344B" w:rsidRDefault="00143C25">
      <w:pPr>
        <w:pStyle w:val="Estilo"/>
        <w:ind w:left="709" w:hanging="425"/>
        <w:rPr>
          <w:rFonts w:cs="Arial"/>
        </w:rPr>
      </w:pPr>
      <w:r>
        <w:rPr>
          <w:rFonts w:cs="Arial"/>
        </w:rPr>
        <w:t xml:space="preserve">b) </w:t>
      </w:r>
      <w:r>
        <w:rPr>
          <w:rFonts w:cs="Arial"/>
        </w:rPr>
        <w:tab/>
        <w:t>Cuando se trate de eventos sociales, 57 UMA;</w:t>
      </w:r>
    </w:p>
    <w:p w14:paraId="62B0FE07" w14:textId="77777777" w:rsidR="00D3344B" w:rsidRDefault="00143C25">
      <w:pPr>
        <w:pStyle w:val="Estilo"/>
        <w:ind w:left="709" w:hanging="425"/>
        <w:rPr>
          <w:rFonts w:cs="Arial"/>
        </w:rPr>
      </w:pPr>
      <w:r>
        <w:rPr>
          <w:rFonts w:cs="Arial"/>
        </w:rPr>
        <w:t xml:space="preserve">c) </w:t>
      </w:r>
      <w:r>
        <w:rPr>
          <w:rFonts w:cs="Arial"/>
        </w:rPr>
        <w:tab/>
        <w:t>Cuando se trate de eventos culturales, 49 UMA, e</w:t>
      </w:r>
    </w:p>
    <w:p w14:paraId="3B0E3D51" w14:textId="77777777" w:rsidR="00D3344B" w:rsidRDefault="00143C25">
      <w:pPr>
        <w:pStyle w:val="Estilo"/>
        <w:ind w:left="709" w:hanging="425"/>
        <w:rPr>
          <w:rFonts w:cs="Arial"/>
        </w:rPr>
      </w:pPr>
      <w:r>
        <w:rPr>
          <w:rFonts w:cs="Arial"/>
        </w:rPr>
        <w:t xml:space="preserve">d) </w:t>
      </w:r>
      <w:r>
        <w:rPr>
          <w:rFonts w:cs="Arial"/>
        </w:rPr>
        <w:tab/>
        <w:t>Cuando se trate de apoyo a instituciones, 41 UMA.</w:t>
      </w:r>
    </w:p>
    <w:p w14:paraId="2C53200C" w14:textId="77777777" w:rsidR="00D3344B" w:rsidRDefault="00D3344B">
      <w:pPr>
        <w:pStyle w:val="Estilo"/>
        <w:ind w:left="1134" w:hanging="567"/>
        <w:rPr>
          <w:rFonts w:cs="Arial"/>
        </w:rPr>
      </w:pPr>
    </w:p>
    <w:p w14:paraId="0C013B1D" w14:textId="77777777" w:rsidR="00D3344B" w:rsidRDefault="00143C25">
      <w:pPr>
        <w:pStyle w:val="Estilo"/>
        <w:ind w:left="567" w:hanging="567"/>
        <w:rPr>
          <w:rFonts w:cs="Arial"/>
        </w:rPr>
      </w:pPr>
      <w:r>
        <w:rPr>
          <w:rFonts w:cs="Arial"/>
        </w:rPr>
        <w:t>IV. Inscripción a torneos:</w:t>
      </w:r>
    </w:p>
    <w:p w14:paraId="26457757" w14:textId="77777777" w:rsidR="00D3344B" w:rsidRDefault="00143C25">
      <w:pPr>
        <w:pStyle w:val="Estilo"/>
        <w:ind w:left="709" w:hanging="425"/>
        <w:rPr>
          <w:rFonts w:cs="Arial"/>
        </w:rPr>
      </w:pPr>
      <w:r>
        <w:rPr>
          <w:rFonts w:cs="Arial"/>
        </w:rPr>
        <w:t xml:space="preserve">a) </w:t>
      </w:r>
      <w:r>
        <w:rPr>
          <w:rFonts w:cs="Arial"/>
        </w:rPr>
        <w:tab/>
        <w:t>Fútbol categoría master y libre, fútbol rápido, básquetbol, voleibol mixto, fútbol femenil, 4 UMA, e</w:t>
      </w:r>
    </w:p>
    <w:p w14:paraId="52001A19" w14:textId="77777777" w:rsidR="00D3344B" w:rsidRDefault="00143C25">
      <w:pPr>
        <w:pStyle w:val="Estilo"/>
        <w:ind w:left="709" w:hanging="425"/>
        <w:rPr>
          <w:rFonts w:cs="Arial"/>
        </w:rPr>
      </w:pPr>
      <w:r>
        <w:rPr>
          <w:rFonts w:cs="Arial"/>
        </w:rPr>
        <w:t>b) Fútbol infantil y juvenil, 3 UMA.</w:t>
      </w:r>
    </w:p>
    <w:p w14:paraId="68F61496" w14:textId="77777777" w:rsidR="00D3344B" w:rsidRDefault="00D3344B">
      <w:pPr>
        <w:pStyle w:val="Estilo"/>
        <w:ind w:left="426" w:hanging="425"/>
        <w:rPr>
          <w:rFonts w:cs="Arial"/>
        </w:rPr>
      </w:pPr>
    </w:p>
    <w:p w14:paraId="4380A0B9" w14:textId="77777777" w:rsidR="00D3344B" w:rsidRDefault="00143C25">
      <w:pPr>
        <w:pStyle w:val="Estilo"/>
        <w:ind w:left="426" w:hanging="425"/>
        <w:rPr>
          <w:rFonts w:cs="Arial"/>
        </w:rPr>
      </w:pPr>
      <w:r>
        <w:rPr>
          <w:rFonts w:cs="Arial"/>
        </w:rPr>
        <w:t>V. Zoológico del Altiplano:</w:t>
      </w:r>
    </w:p>
    <w:p w14:paraId="38A2B811" w14:textId="77777777" w:rsidR="00D3344B" w:rsidRDefault="00143C25">
      <w:pPr>
        <w:pStyle w:val="Estilo"/>
        <w:ind w:left="709" w:hanging="425"/>
        <w:rPr>
          <w:rFonts w:cs="Arial"/>
        </w:rPr>
      </w:pPr>
      <w:r>
        <w:rPr>
          <w:rFonts w:cs="Arial"/>
        </w:rPr>
        <w:t>a) Ingreso al Zoológico del Altiplano:</w:t>
      </w:r>
    </w:p>
    <w:p w14:paraId="557C3C5E" w14:textId="77777777" w:rsidR="00D3344B" w:rsidRDefault="00D3344B">
      <w:pPr>
        <w:pStyle w:val="Estilo"/>
        <w:rPr>
          <w:rFonts w:eastAsia="Calibri" w:cs="Arial"/>
          <w:i/>
          <w:iCs/>
          <w:sz w:val="16"/>
          <w:szCs w:val="16"/>
        </w:rPr>
      </w:pPr>
    </w:p>
    <w:tbl>
      <w:tblPr>
        <w:tblStyle w:val="TableNormal"/>
        <w:tblW w:w="7655" w:type="dxa"/>
        <w:tblInd w:w="567" w:type="dxa"/>
        <w:tblLayout w:type="fixed"/>
        <w:tblLook w:val="01E0" w:firstRow="1" w:lastRow="1" w:firstColumn="1" w:lastColumn="1" w:noHBand="0" w:noVBand="0"/>
      </w:tblPr>
      <w:tblGrid>
        <w:gridCol w:w="5530"/>
        <w:gridCol w:w="2125"/>
      </w:tblGrid>
      <w:tr w:rsidR="00D3344B" w14:paraId="786409D8" w14:textId="77777777">
        <w:trPr>
          <w:trHeight w:val="249"/>
        </w:trPr>
        <w:tc>
          <w:tcPr>
            <w:tcW w:w="5529" w:type="dxa"/>
          </w:tcPr>
          <w:p w14:paraId="1A24B3F9" w14:textId="77777777" w:rsidR="00D3344B" w:rsidRDefault="00143C25">
            <w:pPr>
              <w:pStyle w:val="TableParagraph"/>
              <w:spacing w:line="229" w:lineRule="exact"/>
              <w:ind w:left="50"/>
              <w:rPr>
                <w:rFonts w:eastAsia="Calibri" w:cs="Arial"/>
                <w:i/>
                <w:iCs/>
                <w:sz w:val="16"/>
                <w:szCs w:val="16"/>
              </w:rPr>
            </w:pPr>
            <w:r>
              <w:rPr>
                <w:rFonts w:eastAsia="Calibri" w:cs="Arial"/>
                <w:i/>
                <w:iCs/>
                <w:sz w:val="16"/>
                <w:szCs w:val="16"/>
              </w:rPr>
              <w:t>(REFORMADO, P.O. 29 DE NOVIEMBRE DE 2023)</w:t>
            </w:r>
          </w:p>
          <w:p w14:paraId="0D19186C" w14:textId="77777777" w:rsidR="00D3344B" w:rsidRDefault="00143C25">
            <w:pPr>
              <w:pStyle w:val="TableParagraph"/>
              <w:spacing w:line="229" w:lineRule="exact"/>
              <w:ind w:left="50"/>
            </w:pPr>
            <w:r>
              <w:t xml:space="preserve">1. </w:t>
            </w:r>
            <w:r>
              <w:rPr>
                <w:spacing w:val="-2"/>
              </w:rPr>
              <w:t>Adultos,</w:t>
            </w:r>
          </w:p>
        </w:tc>
        <w:tc>
          <w:tcPr>
            <w:tcW w:w="2125" w:type="dxa"/>
          </w:tcPr>
          <w:p w14:paraId="16CAAD38" w14:textId="77777777" w:rsidR="00D3344B" w:rsidRDefault="00143C25">
            <w:pPr>
              <w:pStyle w:val="TableParagraph"/>
              <w:spacing w:line="229" w:lineRule="exact"/>
            </w:pPr>
            <w:r>
              <w:t>15.00</w:t>
            </w:r>
            <w:r>
              <w:rPr>
                <w:spacing w:val="-2"/>
              </w:rPr>
              <w:t xml:space="preserve"> pesos;</w:t>
            </w:r>
          </w:p>
        </w:tc>
      </w:tr>
      <w:tr w:rsidR="00D3344B" w14:paraId="78E96562" w14:textId="77777777">
        <w:trPr>
          <w:trHeight w:val="253"/>
        </w:trPr>
        <w:tc>
          <w:tcPr>
            <w:tcW w:w="5529" w:type="dxa"/>
          </w:tcPr>
          <w:p w14:paraId="30DA8EC4" w14:textId="77777777" w:rsidR="00D3344B" w:rsidRDefault="00143C25">
            <w:pPr>
              <w:pStyle w:val="TableParagraph"/>
              <w:spacing w:line="233" w:lineRule="exact"/>
              <w:ind w:left="50"/>
              <w:rPr>
                <w:rFonts w:eastAsia="Calibri" w:cs="Arial"/>
                <w:i/>
                <w:iCs/>
                <w:sz w:val="16"/>
                <w:szCs w:val="16"/>
              </w:rPr>
            </w:pPr>
            <w:r>
              <w:rPr>
                <w:rFonts w:eastAsia="Calibri" w:cs="Arial"/>
                <w:i/>
                <w:iCs/>
                <w:sz w:val="16"/>
                <w:szCs w:val="16"/>
              </w:rPr>
              <w:t>(REFORMADO, P.O. 29 DE NOVIEMBRE DE 2023)</w:t>
            </w:r>
          </w:p>
          <w:p w14:paraId="4BA3D33D" w14:textId="77777777" w:rsidR="00D3344B" w:rsidRDefault="00143C25">
            <w:pPr>
              <w:pStyle w:val="TableParagraph"/>
              <w:spacing w:line="233" w:lineRule="exact"/>
              <w:ind w:left="50"/>
            </w:pPr>
            <w:r>
              <w:t>2.</w:t>
            </w:r>
            <w:r>
              <w:rPr>
                <w:spacing w:val="-3"/>
              </w:rPr>
              <w:t xml:space="preserve"> </w:t>
            </w:r>
            <w:r>
              <w:t>Niños</w:t>
            </w:r>
            <w:r>
              <w:rPr>
                <w:spacing w:val="-2"/>
              </w:rPr>
              <w:t xml:space="preserve"> </w:t>
            </w:r>
            <w:r>
              <w:t>de 2</w:t>
            </w:r>
            <w:r>
              <w:rPr>
                <w:spacing w:val="-1"/>
              </w:rPr>
              <w:t xml:space="preserve"> </w:t>
            </w:r>
            <w:r>
              <w:t>a</w:t>
            </w:r>
            <w:r>
              <w:rPr>
                <w:spacing w:val="-2"/>
              </w:rPr>
              <w:t xml:space="preserve"> </w:t>
            </w:r>
            <w:r>
              <w:t xml:space="preserve">12 </w:t>
            </w:r>
            <w:r>
              <w:rPr>
                <w:spacing w:val="-4"/>
              </w:rPr>
              <w:t>años,</w:t>
            </w:r>
          </w:p>
        </w:tc>
        <w:tc>
          <w:tcPr>
            <w:tcW w:w="2125" w:type="dxa"/>
          </w:tcPr>
          <w:p w14:paraId="66EBA36C" w14:textId="77777777" w:rsidR="00D3344B" w:rsidRDefault="00143C25">
            <w:pPr>
              <w:pStyle w:val="TableParagraph"/>
              <w:spacing w:line="233" w:lineRule="exact"/>
            </w:pPr>
            <w:r>
              <w:t xml:space="preserve">5.00 </w:t>
            </w:r>
            <w:r>
              <w:rPr>
                <w:spacing w:val="-2"/>
              </w:rPr>
              <w:t>pesos;</w:t>
            </w:r>
          </w:p>
        </w:tc>
      </w:tr>
      <w:tr w:rsidR="00D3344B" w14:paraId="684C38F8" w14:textId="77777777">
        <w:trPr>
          <w:trHeight w:val="251"/>
        </w:trPr>
        <w:tc>
          <w:tcPr>
            <w:tcW w:w="5529" w:type="dxa"/>
          </w:tcPr>
          <w:p w14:paraId="2CE36A2C" w14:textId="77777777" w:rsidR="00D3344B" w:rsidRDefault="00143C25">
            <w:pPr>
              <w:pStyle w:val="TableParagraph"/>
              <w:spacing w:line="232" w:lineRule="exact"/>
              <w:ind w:left="50"/>
              <w:rPr>
                <w:rFonts w:eastAsia="Calibri" w:cs="Arial"/>
                <w:i/>
                <w:iCs/>
                <w:sz w:val="16"/>
                <w:szCs w:val="16"/>
              </w:rPr>
            </w:pPr>
            <w:r>
              <w:rPr>
                <w:rFonts w:eastAsia="Calibri" w:cs="Arial"/>
                <w:i/>
                <w:iCs/>
                <w:sz w:val="16"/>
                <w:szCs w:val="16"/>
              </w:rPr>
              <w:t>(REFORMADO, P.O. 29 DE NOVIEMBRE DE 2023)</w:t>
            </w:r>
          </w:p>
          <w:p w14:paraId="2B6CE058" w14:textId="77777777" w:rsidR="00D3344B" w:rsidRDefault="00143C25">
            <w:pPr>
              <w:pStyle w:val="TableParagraph"/>
              <w:spacing w:line="232" w:lineRule="exact"/>
              <w:ind w:left="50"/>
            </w:pPr>
            <w:r>
              <w:t>3.</w:t>
            </w:r>
            <w:r>
              <w:rPr>
                <w:spacing w:val="-3"/>
              </w:rPr>
              <w:t xml:space="preserve"> </w:t>
            </w:r>
            <w:r>
              <w:t>Estudiantes</w:t>
            </w:r>
            <w:r>
              <w:rPr>
                <w:spacing w:val="-2"/>
              </w:rPr>
              <w:t xml:space="preserve"> </w:t>
            </w:r>
            <w:r>
              <w:t>con</w:t>
            </w:r>
            <w:r>
              <w:rPr>
                <w:spacing w:val="-5"/>
              </w:rPr>
              <w:t xml:space="preserve"> </w:t>
            </w:r>
            <w:r>
              <w:rPr>
                <w:spacing w:val="-2"/>
              </w:rPr>
              <w:t>credencial,</w:t>
            </w:r>
          </w:p>
        </w:tc>
        <w:tc>
          <w:tcPr>
            <w:tcW w:w="2125" w:type="dxa"/>
          </w:tcPr>
          <w:p w14:paraId="0AE758F4" w14:textId="77777777" w:rsidR="00D3344B" w:rsidRDefault="00143C25">
            <w:pPr>
              <w:pStyle w:val="TableParagraph"/>
              <w:spacing w:line="232" w:lineRule="exact"/>
            </w:pPr>
            <w:r>
              <w:t>10.00</w:t>
            </w:r>
            <w:r>
              <w:rPr>
                <w:spacing w:val="-2"/>
              </w:rPr>
              <w:t xml:space="preserve"> pesos;</w:t>
            </w:r>
          </w:p>
        </w:tc>
      </w:tr>
      <w:tr w:rsidR="00D3344B" w14:paraId="58D6AFAB" w14:textId="77777777">
        <w:trPr>
          <w:trHeight w:val="248"/>
        </w:trPr>
        <w:tc>
          <w:tcPr>
            <w:tcW w:w="5529" w:type="dxa"/>
          </w:tcPr>
          <w:p w14:paraId="4F326200" w14:textId="77777777" w:rsidR="00D3344B" w:rsidRDefault="00143C25">
            <w:pPr>
              <w:pStyle w:val="TableParagraph"/>
              <w:spacing w:line="228" w:lineRule="exact"/>
              <w:ind w:left="50"/>
            </w:pPr>
            <w:r>
              <w:t xml:space="preserve">4. </w:t>
            </w:r>
            <w:r>
              <w:rPr>
                <w:rFonts w:cs="Arial"/>
              </w:rPr>
              <w:t>Adultos mayores</w:t>
            </w:r>
          </w:p>
        </w:tc>
        <w:tc>
          <w:tcPr>
            <w:tcW w:w="2125" w:type="dxa"/>
          </w:tcPr>
          <w:p w14:paraId="5AE68705" w14:textId="77777777" w:rsidR="00D3344B" w:rsidRDefault="00143C25">
            <w:pPr>
              <w:pStyle w:val="TableParagraph"/>
              <w:spacing w:line="228" w:lineRule="exact"/>
            </w:pPr>
            <w:r>
              <w:rPr>
                <w:rFonts w:cs="Arial"/>
              </w:rPr>
              <w:t>5.00 pesos</w:t>
            </w:r>
          </w:p>
        </w:tc>
      </w:tr>
      <w:tr w:rsidR="00D3344B" w14:paraId="7B2BFF18" w14:textId="77777777">
        <w:trPr>
          <w:trHeight w:val="503"/>
        </w:trPr>
        <w:tc>
          <w:tcPr>
            <w:tcW w:w="5529" w:type="dxa"/>
          </w:tcPr>
          <w:p w14:paraId="3F1E1FB1"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(REFORMADO, P.O. 29 DE NOVIEMBRE DE 2023)</w:t>
            </w:r>
          </w:p>
          <w:p w14:paraId="01B2AAB6" w14:textId="77777777" w:rsidR="00D3344B" w:rsidRDefault="00143C25">
            <w:pPr>
              <w:pStyle w:val="TableParagraph"/>
              <w:spacing w:line="244" w:lineRule="exact"/>
              <w:ind w:left="50"/>
            </w:pPr>
            <w:r>
              <w:t>5.</w:t>
            </w:r>
            <w:r>
              <w:rPr>
                <w:spacing w:val="52"/>
                <w:w w:val="150"/>
              </w:rPr>
              <w:t xml:space="preserve"> </w:t>
            </w:r>
            <w:r>
              <w:t>Grupos</w:t>
            </w:r>
            <w:r>
              <w:rPr>
                <w:spacing w:val="54"/>
                <w:w w:val="150"/>
              </w:rPr>
              <w:t xml:space="preserve"> </w:t>
            </w:r>
            <w:r>
              <w:t>de</w:t>
            </w:r>
            <w:r>
              <w:rPr>
                <w:spacing w:val="78"/>
              </w:rPr>
              <w:t xml:space="preserve"> </w:t>
            </w:r>
            <w:r>
              <w:t>estudiantes</w:t>
            </w:r>
            <w:r>
              <w:rPr>
                <w:spacing w:val="79"/>
              </w:rPr>
              <w:t xml:space="preserve"> </w:t>
            </w:r>
            <w:r>
              <w:t>de</w:t>
            </w:r>
            <w:r>
              <w:rPr>
                <w:spacing w:val="54"/>
                <w:w w:val="150"/>
              </w:rPr>
              <w:t xml:space="preserve"> </w:t>
            </w:r>
            <w:r>
              <w:t>instituciones</w:t>
            </w:r>
            <w:r>
              <w:rPr>
                <w:spacing w:val="53"/>
                <w:w w:val="150"/>
              </w:rPr>
              <w:t xml:space="preserve"> </w:t>
            </w:r>
            <w:r>
              <w:t>públicas</w:t>
            </w:r>
            <w:r>
              <w:rPr>
                <w:spacing w:val="54"/>
                <w:w w:val="150"/>
              </w:rPr>
              <w:t xml:space="preserve"> </w:t>
            </w:r>
            <w:r>
              <w:t>los</w:t>
            </w:r>
            <w:r>
              <w:rPr>
                <w:spacing w:val="53"/>
                <w:w w:val="150"/>
              </w:rPr>
              <w:t xml:space="preserve"> </w:t>
            </w:r>
            <w:r>
              <w:t>días</w:t>
            </w:r>
            <w:r>
              <w:rPr>
                <w:spacing w:val="52"/>
                <w:w w:val="150"/>
              </w:rPr>
              <w:t xml:space="preserve"> </w:t>
            </w:r>
            <w:r>
              <w:rPr>
                <w:spacing w:val="-2"/>
              </w:rPr>
              <w:t xml:space="preserve">martes, </w:t>
            </w:r>
            <w:r>
              <w:t>miércoles</w:t>
            </w:r>
            <w:r>
              <w:rPr>
                <w:spacing w:val="-3"/>
              </w:rPr>
              <w:t xml:space="preserve"> </w:t>
            </w:r>
            <w:r>
              <w:t>y</w:t>
            </w:r>
            <w:r>
              <w:rPr>
                <w:spacing w:val="-5"/>
              </w:rPr>
              <w:t xml:space="preserve"> </w:t>
            </w:r>
            <w:r>
              <w:t>jueves</w:t>
            </w:r>
            <w:r>
              <w:rPr>
                <w:spacing w:val="-2"/>
              </w:rPr>
              <w:t xml:space="preserve"> </w:t>
            </w:r>
            <w:r>
              <w:t>acompañados</w:t>
            </w:r>
            <w:r>
              <w:rPr>
                <w:spacing w:val="-3"/>
              </w:rPr>
              <w:t xml:space="preserve"> </w:t>
            </w:r>
            <w:r>
              <w:t>de</w:t>
            </w:r>
            <w:r>
              <w:rPr>
                <w:spacing w:val="-3"/>
              </w:rPr>
              <w:t xml:space="preserve"> </w:t>
            </w:r>
            <w:r>
              <w:t>un</w:t>
            </w:r>
            <w:r>
              <w:rPr>
                <w:spacing w:val="-2"/>
              </w:rPr>
              <w:t xml:space="preserve"> Profesor,</w:t>
            </w:r>
          </w:p>
        </w:tc>
        <w:tc>
          <w:tcPr>
            <w:tcW w:w="2125" w:type="dxa"/>
          </w:tcPr>
          <w:p w14:paraId="3E4BC0B0" w14:textId="77777777" w:rsidR="00D3344B" w:rsidRDefault="00143C25">
            <w:pPr>
              <w:pStyle w:val="TableParagraph"/>
              <w:spacing w:line="244" w:lineRule="exact"/>
              <w:ind w:right="36"/>
              <w:jc w:val="center"/>
            </w:pPr>
            <w:r>
              <w:t xml:space="preserve">Sin </w:t>
            </w:r>
            <w:r>
              <w:rPr>
                <w:spacing w:val="-2"/>
              </w:rPr>
              <w:t>Costo.</w:t>
            </w:r>
          </w:p>
        </w:tc>
      </w:tr>
      <w:tr w:rsidR="00D3344B" w14:paraId="703A349C" w14:textId="77777777">
        <w:trPr>
          <w:trHeight w:val="248"/>
        </w:trPr>
        <w:tc>
          <w:tcPr>
            <w:tcW w:w="5529" w:type="dxa"/>
          </w:tcPr>
          <w:p w14:paraId="61E646C9" w14:textId="77777777" w:rsidR="00D3344B" w:rsidRDefault="00143C25">
            <w:pPr>
              <w:pStyle w:val="TableParagraph"/>
              <w:spacing w:line="228" w:lineRule="exact"/>
              <w:ind w:left="50"/>
              <w:rPr>
                <w:rFonts w:eastAsia="Calibri" w:cs="Arial"/>
                <w:i/>
                <w:iCs/>
                <w:sz w:val="16"/>
                <w:szCs w:val="16"/>
              </w:rPr>
            </w:pPr>
            <w:r>
              <w:rPr>
                <w:rFonts w:eastAsia="Calibri" w:cs="Arial"/>
                <w:i/>
                <w:iCs/>
                <w:sz w:val="16"/>
                <w:szCs w:val="16"/>
              </w:rPr>
              <w:t>(ADICIONADO, P.O. 29 DE NOVIEMBRE DE 2023)</w:t>
            </w:r>
          </w:p>
          <w:p w14:paraId="5A366BA7" w14:textId="77777777" w:rsidR="00D3344B" w:rsidRDefault="00143C25">
            <w:pPr>
              <w:pStyle w:val="TableParagraph"/>
              <w:spacing w:line="228" w:lineRule="exact"/>
              <w:ind w:left="50"/>
            </w:pPr>
            <w:r>
              <w:t>6.</w:t>
            </w:r>
            <w:r>
              <w:rPr>
                <w:spacing w:val="-1"/>
              </w:rPr>
              <w:t xml:space="preserve"> </w:t>
            </w:r>
            <w:r>
              <w:t>Personas</w:t>
            </w:r>
            <w:r>
              <w:rPr>
                <w:spacing w:val="-3"/>
              </w:rPr>
              <w:t xml:space="preserve"> </w:t>
            </w:r>
            <w:r>
              <w:t xml:space="preserve">con </w:t>
            </w:r>
            <w:r>
              <w:rPr>
                <w:spacing w:val="-2"/>
              </w:rPr>
              <w:t>discapacidad,</w:t>
            </w:r>
          </w:p>
        </w:tc>
        <w:tc>
          <w:tcPr>
            <w:tcW w:w="2125" w:type="dxa"/>
          </w:tcPr>
          <w:p w14:paraId="74CCCF50" w14:textId="77777777" w:rsidR="00D3344B" w:rsidRDefault="00143C25">
            <w:pPr>
              <w:pStyle w:val="TableParagraph"/>
              <w:spacing w:line="228" w:lineRule="exact"/>
              <w:ind w:right="36"/>
              <w:jc w:val="center"/>
            </w:pPr>
            <w:r>
              <w:t xml:space="preserve">Sin </w:t>
            </w:r>
            <w:r>
              <w:rPr>
                <w:spacing w:val="-2"/>
              </w:rPr>
              <w:t>Costo.</w:t>
            </w:r>
          </w:p>
        </w:tc>
      </w:tr>
    </w:tbl>
    <w:p w14:paraId="04012AF4" w14:textId="77777777" w:rsidR="00D3344B" w:rsidRDefault="00D3344B">
      <w:pPr>
        <w:pStyle w:val="Estilo"/>
        <w:ind w:left="993" w:hanging="425"/>
        <w:rPr>
          <w:rFonts w:cs="Arial"/>
        </w:rPr>
      </w:pPr>
    </w:p>
    <w:p w14:paraId="3BD983DE"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(ADICIONADO, P.O. 29 DE NOVIEMBRE DE 2023)</w:t>
      </w:r>
    </w:p>
    <w:p w14:paraId="22A4C274" w14:textId="77777777" w:rsidR="00D3344B" w:rsidRDefault="00143C25">
      <w:pPr>
        <w:pStyle w:val="TableParagraph"/>
        <w:spacing w:line="244" w:lineRule="exact"/>
        <w:ind w:left="50"/>
        <w:rPr>
          <w:rFonts w:ascii="Arial" w:eastAsia="Calibri" w:hAnsi="Arial" w:cs="Arial"/>
        </w:rPr>
      </w:pPr>
      <w:r>
        <w:rPr>
          <w:rFonts w:ascii="Arial" w:eastAsia="Calibri" w:hAnsi="Arial" w:cs="Arial"/>
        </w:rPr>
        <w:t>Se exceptúa del pago del derecho a ingresar al Zoológico a los grupos de estudiantes que lo hayan solicitado de forma previa y que dicha solicitud se presente por escrito y se firme por el titular de alguna de las Instituciones Escolares de Gobierno o bien por el titular de alguna Dependencia del ejecutivo estatal o los titulares de la Presidencia Municipal o de Comunidad.</w:t>
      </w:r>
    </w:p>
    <w:p w14:paraId="25C497B6" w14:textId="77777777" w:rsidR="00D3344B" w:rsidRDefault="00D3344B">
      <w:pPr>
        <w:pStyle w:val="TableParagraph"/>
        <w:spacing w:line="244" w:lineRule="exact"/>
        <w:ind w:left="50"/>
        <w:rPr>
          <w:rFonts w:eastAsia="Calibri" w:cs="Arial"/>
          <w:i/>
          <w:iCs/>
          <w:sz w:val="16"/>
          <w:szCs w:val="16"/>
        </w:rPr>
      </w:pPr>
    </w:p>
    <w:p w14:paraId="01FCE41B"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(REFORMADO, P.O. 29 DE NOVIEMBRE DE 2023)</w:t>
      </w:r>
    </w:p>
    <w:p w14:paraId="5DC7A21E" w14:textId="77777777" w:rsidR="00D3344B" w:rsidRDefault="00143C25">
      <w:pPr>
        <w:pStyle w:val="Prrafodelista"/>
        <w:widowControl w:val="0"/>
        <w:tabs>
          <w:tab w:val="left" w:pos="394"/>
        </w:tabs>
        <w:suppressAutoHyphens w:val="0"/>
        <w:spacing w:after="0" w:line="240" w:lineRule="auto"/>
        <w:ind w:left="122" w:right="230"/>
        <w:contextualSpacing w:val="0"/>
        <w:jc w:val="both"/>
        <w:rPr>
          <w:rFonts w:ascii="Arial" w:hAnsi="Arial" w:cs="Arial"/>
        </w:rPr>
      </w:pPr>
      <w:r>
        <w:rPr>
          <w:rFonts w:ascii="Arial" w:hAnsi="Arial" w:cs="Arial"/>
        </w:rPr>
        <w:t xml:space="preserve">b) </w:t>
      </w:r>
      <w:r>
        <w:rPr>
          <w:rFonts w:ascii="Arial" w:hAnsi="Arial" w:cs="Arial"/>
        </w:rPr>
        <w:tab/>
        <w:t>Arrendamiento de locales y espacios al interior del Zoológico del Altiplano previa firma del contrato anual respectivo con el Instituto de Fauna Silvestre para el Estado de Tlaxcala. Los particulares</w:t>
      </w:r>
      <w:r>
        <w:rPr>
          <w:rFonts w:ascii="Arial" w:hAnsi="Arial" w:cs="Arial"/>
          <w:spacing w:val="-12"/>
        </w:rPr>
        <w:t xml:space="preserve"> </w:t>
      </w:r>
      <w:r>
        <w:rPr>
          <w:rFonts w:ascii="Arial" w:hAnsi="Arial" w:cs="Arial"/>
        </w:rPr>
        <w:t>interesados</w:t>
      </w:r>
      <w:r>
        <w:rPr>
          <w:rFonts w:ascii="Arial" w:hAnsi="Arial" w:cs="Arial"/>
          <w:spacing w:val="-12"/>
        </w:rPr>
        <w:t xml:space="preserve"> </w:t>
      </w:r>
      <w:r>
        <w:rPr>
          <w:rFonts w:ascii="Arial" w:hAnsi="Arial" w:cs="Arial"/>
        </w:rPr>
        <w:t>en</w:t>
      </w:r>
      <w:r>
        <w:rPr>
          <w:rFonts w:ascii="Arial" w:hAnsi="Arial" w:cs="Arial"/>
          <w:spacing w:val="-13"/>
        </w:rPr>
        <w:t xml:space="preserve"> </w:t>
      </w:r>
      <w:r>
        <w:rPr>
          <w:rFonts w:ascii="Arial" w:hAnsi="Arial" w:cs="Arial"/>
        </w:rPr>
        <w:t>el</w:t>
      </w:r>
      <w:r>
        <w:rPr>
          <w:rFonts w:ascii="Arial" w:hAnsi="Arial" w:cs="Arial"/>
          <w:spacing w:val="-9"/>
        </w:rPr>
        <w:t xml:space="preserve"> </w:t>
      </w:r>
      <w:r>
        <w:rPr>
          <w:rFonts w:ascii="Arial" w:hAnsi="Arial" w:cs="Arial"/>
        </w:rPr>
        <w:t>arrendamiento</w:t>
      </w:r>
      <w:r>
        <w:rPr>
          <w:rFonts w:ascii="Arial" w:hAnsi="Arial" w:cs="Arial"/>
          <w:spacing w:val="-11"/>
        </w:rPr>
        <w:t xml:space="preserve"> </w:t>
      </w:r>
      <w:r>
        <w:rPr>
          <w:rFonts w:ascii="Arial" w:hAnsi="Arial" w:cs="Arial"/>
        </w:rPr>
        <w:t>deberán</w:t>
      </w:r>
      <w:r>
        <w:rPr>
          <w:rFonts w:ascii="Arial" w:hAnsi="Arial" w:cs="Arial"/>
          <w:spacing w:val="-11"/>
        </w:rPr>
        <w:t xml:space="preserve"> </w:t>
      </w:r>
      <w:r>
        <w:rPr>
          <w:rFonts w:ascii="Arial" w:hAnsi="Arial" w:cs="Arial"/>
        </w:rPr>
        <w:t>cubrir</w:t>
      </w:r>
      <w:r>
        <w:rPr>
          <w:rFonts w:ascii="Arial" w:hAnsi="Arial" w:cs="Arial"/>
          <w:spacing w:val="-10"/>
        </w:rPr>
        <w:t xml:space="preserve"> </w:t>
      </w:r>
      <w:r>
        <w:rPr>
          <w:rFonts w:ascii="Arial" w:hAnsi="Arial" w:cs="Arial"/>
        </w:rPr>
        <w:t>de</w:t>
      </w:r>
      <w:r>
        <w:rPr>
          <w:rFonts w:ascii="Arial" w:hAnsi="Arial" w:cs="Arial"/>
          <w:spacing w:val="-13"/>
        </w:rPr>
        <w:t xml:space="preserve"> </w:t>
      </w:r>
      <w:r>
        <w:rPr>
          <w:rFonts w:ascii="Arial" w:hAnsi="Arial" w:cs="Arial"/>
        </w:rPr>
        <w:t>manera</w:t>
      </w:r>
      <w:r>
        <w:rPr>
          <w:rFonts w:ascii="Arial" w:hAnsi="Arial" w:cs="Arial"/>
          <w:spacing w:val="-13"/>
        </w:rPr>
        <w:t xml:space="preserve"> </w:t>
      </w:r>
      <w:r>
        <w:rPr>
          <w:rFonts w:ascii="Arial" w:hAnsi="Arial" w:cs="Arial"/>
        </w:rPr>
        <w:t>mensual,</w:t>
      </w:r>
      <w:r>
        <w:rPr>
          <w:rFonts w:ascii="Arial" w:hAnsi="Arial" w:cs="Arial"/>
          <w:spacing w:val="-11"/>
        </w:rPr>
        <w:t xml:space="preserve"> </w:t>
      </w:r>
      <w:r>
        <w:rPr>
          <w:rFonts w:ascii="Arial" w:hAnsi="Arial" w:cs="Arial"/>
        </w:rPr>
        <w:t>durante</w:t>
      </w:r>
      <w:r>
        <w:rPr>
          <w:rFonts w:ascii="Arial" w:hAnsi="Arial" w:cs="Arial"/>
          <w:spacing w:val="-13"/>
        </w:rPr>
        <w:t xml:space="preserve"> </w:t>
      </w:r>
      <w:r>
        <w:rPr>
          <w:rFonts w:ascii="Arial" w:hAnsi="Arial" w:cs="Arial"/>
        </w:rPr>
        <w:t>los</w:t>
      </w:r>
      <w:r>
        <w:rPr>
          <w:rFonts w:ascii="Arial" w:hAnsi="Arial" w:cs="Arial"/>
          <w:spacing w:val="-10"/>
        </w:rPr>
        <w:t xml:space="preserve"> </w:t>
      </w:r>
      <w:r>
        <w:rPr>
          <w:rFonts w:ascii="Arial" w:hAnsi="Arial" w:cs="Arial"/>
        </w:rPr>
        <w:t>primeros cinco días hábiles del mes que corresponda las cuotas establecidas en la tabla siguiente:</w:t>
      </w:r>
    </w:p>
    <w:p w14:paraId="4EA34F96" w14:textId="77777777" w:rsidR="00D3344B" w:rsidRDefault="00D3344B">
      <w:pPr>
        <w:pStyle w:val="Textoindependiente"/>
        <w:rPr>
          <w:rFonts w:ascii="Arial" w:hAnsi="Arial" w:cs="Arial"/>
          <w:sz w:val="23"/>
        </w:rPr>
      </w:pPr>
    </w:p>
    <w:tbl>
      <w:tblPr>
        <w:tblStyle w:val="TableNormal"/>
        <w:tblW w:w="8460" w:type="dxa"/>
        <w:tblInd w:w="187" w:type="dxa"/>
        <w:tblLayout w:type="fixed"/>
        <w:tblLook w:val="01E0" w:firstRow="1" w:lastRow="1" w:firstColumn="1" w:lastColumn="1" w:noHBand="0" w:noVBand="0"/>
      </w:tblPr>
      <w:tblGrid>
        <w:gridCol w:w="7327"/>
        <w:gridCol w:w="1133"/>
      </w:tblGrid>
      <w:tr w:rsidR="00D3344B" w14:paraId="5782D94F" w14:textId="77777777">
        <w:trPr>
          <w:trHeight w:val="775"/>
        </w:trPr>
        <w:tc>
          <w:tcPr>
            <w:tcW w:w="7326" w:type="dxa"/>
          </w:tcPr>
          <w:p w14:paraId="6A31138B"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(REFORMADO, P.O. 29 DE NOVIEMBRE DE 2023)</w:t>
            </w:r>
          </w:p>
          <w:p w14:paraId="77C7A478" w14:textId="77777777" w:rsidR="00D3344B" w:rsidRDefault="00143C25">
            <w:pPr>
              <w:pStyle w:val="TableParagraph"/>
              <w:ind w:left="50"/>
              <w:rPr>
                <w:rFonts w:ascii="Arial" w:hAnsi="Arial" w:cs="Arial"/>
              </w:rPr>
            </w:pPr>
            <w:r>
              <w:rPr>
                <w:rFonts w:ascii="Arial" w:hAnsi="Arial" w:cs="Arial"/>
              </w:rPr>
              <w:t>1.</w:t>
            </w:r>
            <w:r>
              <w:rPr>
                <w:rFonts w:ascii="Arial" w:hAnsi="Arial" w:cs="Arial"/>
                <w:spacing w:val="72"/>
              </w:rPr>
              <w:t xml:space="preserve"> </w:t>
            </w:r>
            <w:r>
              <w:rPr>
                <w:rFonts w:ascii="Arial" w:hAnsi="Arial" w:cs="Arial"/>
              </w:rPr>
              <w:t>Establecimientos</w:t>
            </w:r>
            <w:r>
              <w:rPr>
                <w:rFonts w:ascii="Arial" w:hAnsi="Arial" w:cs="Arial"/>
                <w:spacing w:val="40"/>
              </w:rPr>
              <w:t xml:space="preserve"> </w:t>
            </w:r>
            <w:r>
              <w:rPr>
                <w:rFonts w:ascii="Arial" w:hAnsi="Arial" w:cs="Arial"/>
              </w:rPr>
              <w:t>fijos</w:t>
            </w:r>
            <w:r>
              <w:rPr>
                <w:rFonts w:ascii="Arial" w:hAnsi="Arial" w:cs="Arial"/>
                <w:spacing w:val="40"/>
              </w:rPr>
              <w:t xml:space="preserve"> </w:t>
            </w:r>
            <w:r>
              <w:rPr>
                <w:rFonts w:ascii="Arial" w:hAnsi="Arial" w:cs="Arial"/>
              </w:rPr>
              <w:t>(Son</w:t>
            </w:r>
            <w:r>
              <w:rPr>
                <w:rFonts w:ascii="Arial" w:hAnsi="Arial" w:cs="Arial"/>
                <w:spacing w:val="72"/>
              </w:rPr>
              <w:t xml:space="preserve"> </w:t>
            </w:r>
            <w:r>
              <w:rPr>
                <w:rFonts w:ascii="Arial" w:hAnsi="Arial" w:cs="Arial"/>
              </w:rPr>
              <w:t>los</w:t>
            </w:r>
            <w:r>
              <w:rPr>
                <w:rFonts w:ascii="Arial" w:hAnsi="Arial" w:cs="Arial"/>
                <w:spacing w:val="73"/>
              </w:rPr>
              <w:t xml:space="preserve"> </w:t>
            </w:r>
            <w:r>
              <w:rPr>
                <w:rFonts w:ascii="Arial" w:hAnsi="Arial" w:cs="Arial"/>
              </w:rPr>
              <w:t>que</w:t>
            </w:r>
            <w:r>
              <w:rPr>
                <w:rFonts w:ascii="Arial" w:hAnsi="Arial" w:cs="Arial"/>
                <w:spacing w:val="73"/>
              </w:rPr>
              <w:t xml:space="preserve"> </w:t>
            </w:r>
            <w:r>
              <w:rPr>
                <w:rFonts w:ascii="Arial" w:hAnsi="Arial" w:cs="Arial"/>
              </w:rPr>
              <w:t>están</w:t>
            </w:r>
            <w:r>
              <w:rPr>
                <w:rFonts w:ascii="Arial" w:hAnsi="Arial" w:cs="Arial"/>
                <w:spacing w:val="40"/>
              </w:rPr>
              <w:t xml:space="preserve"> </w:t>
            </w:r>
            <w:r>
              <w:rPr>
                <w:rFonts w:ascii="Arial" w:hAnsi="Arial" w:cs="Arial"/>
              </w:rPr>
              <w:t>construidos</w:t>
            </w:r>
            <w:r>
              <w:rPr>
                <w:rFonts w:ascii="Arial" w:hAnsi="Arial" w:cs="Arial"/>
                <w:spacing w:val="73"/>
              </w:rPr>
              <w:t xml:space="preserve"> </w:t>
            </w:r>
            <w:r>
              <w:rPr>
                <w:rFonts w:ascii="Arial" w:hAnsi="Arial" w:cs="Arial"/>
              </w:rPr>
              <w:t>dentro</w:t>
            </w:r>
            <w:r>
              <w:rPr>
                <w:rFonts w:ascii="Arial" w:hAnsi="Arial" w:cs="Arial"/>
                <w:spacing w:val="72"/>
              </w:rPr>
              <w:t xml:space="preserve"> </w:t>
            </w:r>
            <w:r>
              <w:rPr>
                <w:rFonts w:ascii="Arial" w:hAnsi="Arial" w:cs="Arial"/>
              </w:rPr>
              <w:t>del zoológico, para vender comida, dulces, botanas, bebidas y/o utilitarios),</w:t>
            </w:r>
          </w:p>
        </w:tc>
        <w:tc>
          <w:tcPr>
            <w:tcW w:w="1133" w:type="dxa"/>
          </w:tcPr>
          <w:p w14:paraId="40FD7BCA" w14:textId="77777777" w:rsidR="00D3344B" w:rsidRDefault="00143C25">
            <w:pPr>
              <w:pStyle w:val="TableParagraph"/>
              <w:spacing w:line="244" w:lineRule="exact"/>
              <w:ind w:left="122" w:right="39"/>
              <w:jc w:val="center"/>
              <w:rPr>
                <w:rFonts w:ascii="Arial" w:hAnsi="Arial" w:cs="Arial"/>
              </w:rPr>
            </w:pPr>
            <w:r>
              <w:rPr>
                <w:rFonts w:ascii="Arial" w:hAnsi="Arial" w:cs="Arial"/>
              </w:rPr>
              <w:t xml:space="preserve">38 </w:t>
            </w:r>
            <w:r>
              <w:rPr>
                <w:rFonts w:ascii="Arial" w:hAnsi="Arial" w:cs="Arial"/>
                <w:spacing w:val="-4"/>
              </w:rPr>
              <w:t>UMA.</w:t>
            </w:r>
          </w:p>
        </w:tc>
      </w:tr>
      <w:tr w:rsidR="00D3344B" w14:paraId="6FC369ED" w14:textId="77777777">
        <w:trPr>
          <w:trHeight w:val="1153"/>
        </w:trPr>
        <w:tc>
          <w:tcPr>
            <w:tcW w:w="7326" w:type="dxa"/>
          </w:tcPr>
          <w:p w14:paraId="51D79F3D"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(REFORMADO, P.O. 29 DE NOVIEMBRE DE 2023)</w:t>
            </w:r>
          </w:p>
          <w:p w14:paraId="5804C472" w14:textId="77777777" w:rsidR="00D3344B" w:rsidRDefault="00143C25">
            <w:pPr>
              <w:pStyle w:val="TableParagraph"/>
              <w:ind w:left="50" w:right="132"/>
              <w:jc w:val="both"/>
              <w:rPr>
                <w:rFonts w:ascii="Arial" w:hAnsi="Arial" w:cs="Arial"/>
              </w:rPr>
            </w:pPr>
            <w:r>
              <w:rPr>
                <w:rFonts w:ascii="Arial" w:hAnsi="Arial" w:cs="Arial"/>
              </w:rPr>
              <w:t>2. Establecimientos semifijos (Son los que se instalan</w:t>
            </w:r>
            <w:r>
              <w:rPr>
                <w:rFonts w:ascii="Arial" w:hAnsi="Arial" w:cs="Arial"/>
                <w:spacing w:val="-1"/>
              </w:rPr>
              <w:t xml:space="preserve"> </w:t>
            </w:r>
            <w:r>
              <w:rPr>
                <w:rFonts w:ascii="Arial" w:hAnsi="Arial" w:cs="Arial"/>
              </w:rPr>
              <w:t>y retiran al término de</w:t>
            </w:r>
            <w:r>
              <w:rPr>
                <w:rFonts w:ascii="Arial" w:hAnsi="Arial" w:cs="Arial"/>
                <w:spacing w:val="-8"/>
              </w:rPr>
              <w:t xml:space="preserve"> </w:t>
            </w:r>
            <w:r>
              <w:rPr>
                <w:rFonts w:ascii="Arial" w:hAnsi="Arial" w:cs="Arial"/>
              </w:rPr>
              <w:t>su</w:t>
            </w:r>
            <w:r>
              <w:rPr>
                <w:rFonts w:ascii="Arial" w:hAnsi="Arial" w:cs="Arial"/>
                <w:spacing w:val="-11"/>
              </w:rPr>
              <w:t xml:space="preserve"> </w:t>
            </w:r>
            <w:r>
              <w:rPr>
                <w:rFonts w:ascii="Arial" w:hAnsi="Arial" w:cs="Arial"/>
              </w:rPr>
              <w:t>jornada,</w:t>
            </w:r>
            <w:r>
              <w:rPr>
                <w:rFonts w:ascii="Arial" w:hAnsi="Arial" w:cs="Arial"/>
                <w:spacing w:val="-11"/>
              </w:rPr>
              <w:t xml:space="preserve"> </w:t>
            </w:r>
            <w:r>
              <w:rPr>
                <w:rFonts w:ascii="Arial" w:hAnsi="Arial" w:cs="Arial"/>
              </w:rPr>
              <w:t>para</w:t>
            </w:r>
            <w:r>
              <w:rPr>
                <w:rFonts w:ascii="Arial" w:hAnsi="Arial" w:cs="Arial"/>
                <w:spacing w:val="-10"/>
              </w:rPr>
              <w:t xml:space="preserve"> </w:t>
            </w:r>
            <w:r>
              <w:rPr>
                <w:rFonts w:ascii="Arial" w:hAnsi="Arial" w:cs="Arial"/>
              </w:rPr>
              <w:t>dar</w:t>
            </w:r>
            <w:r>
              <w:rPr>
                <w:rFonts w:ascii="Arial" w:hAnsi="Arial" w:cs="Arial"/>
                <w:spacing w:val="-8"/>
              </w:rPr>
              <w:t xml:space="preserve"> </w:t>
            </w:r>
            <w:r>
              <w:rPr>
                <w:rFonts w:ascii="Arial" w:hAnsi="Arial" w:cs="Arial"/>
              </w:rPr>
              <w:t>un</w:t>
            </w:r>
            <w:r>
              <w:rPr>
                <w:rFonts w:ascii="Arial" w:hAnsi="Arial" w:cs="Arial"/>
                <w:spacing w:val="-8"/>
              </w:rPr>
              <w:t xml:space="preserve"> </w:t>
            </w:r>
            <w:r>
              <w:rPr>
                <w:rFonts w:ascii="Arial" w:hAnsi="Arial" w:cs="Arial"/>
              </w:rPr>
              <w:t>servicio</w:t>
            </w:r>
            <w:r>
              <w:rPr>
                <w:rFonts w:ascii="Arial" w:hAnsi="Arial" w:cs="Arial"/>
                <w:spacing w:val="-11"/>
              </w:rPr>
              <w:t xml:space="preserve"> </w:t>
            </w:r>
            <w:r>
              <w:rPr>
                <w:rFonts w:ascii="Arial" w:hAnsi="Arial" w:cs="Arial"/>
              </w:rPr>
              <w:t>de</w:t>
            </w:r>
            <w:r>
              <w:rPr>
                <w:rFonts w:ascii="Arial" w:hAnsi="Arial" w:cs="Arial"/>
                <w:spacing w:val="-8"/>
              </w:rPr>
              <w:t xml:space="preserve"> </w:t>
            </w:r>
            <w:r>
              <w:rPr>
                <w:rFonts w:ascii="Arial" w:hAnsi="Arial" w:cs="Arial"/>
              </w:rPr>
              <w:t>entretenimiento,</w:t>
            </w:r>
            <w:r>
              <w:rPr>
                <w:rFonts w:ascii="Arial" w:hAnsi="Arial" w:cs="Arial"/>
                <w:spacing w:val="-11"/>
              </w:rPr>
              <w:t xml:space="preserve"> </w:t>
            </w:r>
            <w:r>
              <w:rPr>
                <w:rFonts w:ascii="Arial" w:hAnsi="Arial" w:cs="Arial"/>
              </w:rPr>
              <w:t>comida,</w:t>
            </w:r>
            <w:r>
              <w:rPr>
                <w:rFonts w:ascii="Arial" w:hAnsi="Arial" w:cs="Arial"/>
                <w:spacing w:val="-10"/>
              </w:rPr>
              <w:t xml:space="preserve"> </w:t>
            </w:r>
            <w:r>
              <w:rPr>
                <w:rFonts w:ascii="Arial" w:hAnsi="Arial" w:cs="Arial"/>
              </w:rPr>
              <w:t>bebidas</w:t>
            </w:r>
            <w:r>
              <w:rPr>
                <w:rFonts w:ascii="Arial" w:hAnsi="Arial" w:cs="Arial"/>
                <w:spacing w:val="-10"/>
              </w:rPr>
              <w:t xml:space="preserve"> </w:t>
            </w:r>
            <w:r>
              <w:rPr>
                <w:rFonts w:ascii="Arial" w:hAnsi="Arial" w:cs="Arial"/>
              </w:rPr>
              <w:t xml:space="preserve">y/o </w:t>
            </w:r>
            <w:r>
              <w:rPr>
                <w:rFonts w:ascii="Arial" w:hAnsi="Arial" w:cs="Arial"/>
                <w:spacing w:val="-2"/>
              </w:rPr>
              <w:t>utilitarios),</w:t>
            </w:r>
          </w:p>
        </w:tc>
        <w:tc>
          <w:tcPr>
            <w:tcW w:w="1133" w:type="dxa"/>
          </w:tcPr>
          <w:p w14:paraId="49F128B9" w14:textId="77777777" w:rsidR="00D3344B" w:rsidRDefault="00D3344B">
            <w:pPr>
              <w:pStyle w:val="TableParagraph"/>
              <w:spacing w:before="5"/>
              <w:rPr>
                <w:rFonts w:ascii="Arial" w:hAnsi="Arial" w:cs="Arial"/>
                <w:sz w:val="23"/>
              </w:rPr>
            </w:pPr>
          </w:p>
          <w:p w14:paraId="43B41CD8" w14:textId="77777777" w:rsidR="00D3344B" w:rsidRDefault="00143C25">
            <w:pPr>
              <w:pStyle w:val="TableParagraph"/>
              <w:ind w:left="122" w:right="39"/>
              <w:jc w:val="center"/>
              <w:rPr>
                <w:rFonts w:ascii="Arial" w:hAnsi="Arial" w:cs="Arial"/>
              </w:rPr>
            </w:pPr>
            <w:r>
              <w:rPr>
                <w:rFonts w:ascii="Arial" w:hAnsi="Arial" w:cs="Arial"/>
              </w:rPr>
              <w:t xml:space="preserve">15 </w:t>
            </w:r>
            <w:r>
              <w:rPr>
                <w:rFonts w:ascii="Arial" w:hAnsi="Arial" w:cs="Arial"/>
                <w:spacing w:val="-4"/>
              </w:rPr>
              <w:t>UMA.</w:t>
            </w:r>
          </w:p>
        </w:tc>
      </w:tr>
      <w:tr w:rsidR="00D3344B" w14:paraId="74FA7EC2" w14:textId="77777777">
        <w:trPr>
          <w:trHeight w:val="454"/>
        </w:trPr>
        <w:tc>
          <w:tcPr>
            <w:tcW w:w="7326" w:type="dxa"/>
          </w:tcPr>
          <w:p w14:paraId="36C392AC"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(REFORMADO, P.O. 29 DE NOVIEMBRE DE 2023)</w:t>
            </w:r>
          </w:p>
          <w:p w14:paraId="07DEA7C8" w14:textId="77777777" w:rsidR="00D3344B" w:rsidRDefault="00143C25">
            <w:pPr>
              <w:pStyle w:val="TableParagraph"/>
              <w:spacing w:before="115"/>
              <w:ind w:left="50"/>
              <w:rPr>
                <w:rFonts w:ascii="Arial" w:hAnsi="Arial" w:cs="Arial"/>
              </w:rPr>
            </w:pPr>
            <w:r>
              <w:rPr>
                <w:rFonts w:ascii="Arial" w:hAnsi="Arial" w:cs="Arial"/>
              </w:rPr>
              <w:t>3.</w:t>
            </w:r>
            <w:r>
              <w:rPr>
                <w:rFonts w:ascii="Arial" w:hAnsi="Arial" w:cs="Arial"/>
                <w:spacing w:val="-3"/>
              </w:rPr>
              <w:t xml:space="preserve"> </w:t>
            </w:r>
            <w:r>
              <w:rPr>
                <w:rFonts w:ascii="Arial" w:hAnsi="Arial" w:cs="Arial"/>
              </w:rPr>
              <w:t>Concesión</w:t>
            </w:r>
            <w:r>
              <w:rPr>
                <w:rFonts w:ascii="Arial" w:hAnsi="Arial" w:cs="Arial"/>
                <w:spacing w:val="-5"/>
              </w:rPr>
              <w:t xml:space="preserve"> </w:t>
            </w:r>
            <w:r>
              <w:rPr>
                <w:rFonts w:ascii="Arial" w:hAnsi="Arial" w:cs="Arial"/>
              </w:rPr>
              <w:t>de</w:t>
            </w:r>
            <w:r>
              <w:rPr>
                <w:rFonts w:ascii="Arial" w:hAnsi="Arial" w:cs="Arial"/>
                <w:spacing w:val="-2"/>
              </w:rPr>
              <w:t xml:space="preserve"> </w:t>
            </w:r>
            <w:r>
              <w:rPr>
                <w:rFonts w:ascii="Arial" w:hAnsi="Arial" w:cs="Arial"/>
              </w:rPr>
              <w:t>servicios</w:t>
            </w:r>
            <w:r>
              <w:rPr>
                <w:rFonts w:ascii="Arial" w:hAnsi="Arial" w:cs="Arial"/>
                <w:spacing w:val="-2"/>
              </w:rPr>
              <w:t xml:space="preserve"> sanitarios,</w:t>
            </w:r>
          </w:p>
        </w:tc>
        <w:tc>
          <w:tcPr>
            <w:tcW w:w="1133" w:type="dxa"/>
          </w:tcPr>
          <w:p w14:paraId="03D7483A" w14:textId="77777777" w:rsidR="00D3344B" w:rsidRDefault="00143C25">
            <w:pPr>
              <w:pStyle w:val="TableParagraph"/>
              <w:spacing w:before="115"/>
              <w:ind w:left="67" w:right="39"/>
              <w:jc w:val="center"/>
              <w:rPr>
                <w:rFonts w:ascii="Arial" w:hAnsi="Arial" w:cs="Arial"/>
              </w:rPr>
            </w:pPr>
            <w:r>
              <w:rPr>
                <w:rFonts w:ascii="Arial" w:hAnsi="Arial" w:cs="Arial"/>
              </w:rPr>
              <w:t xml:space="preserve">45 </w:t>
            </w:r>
            <w:r>
              <w:rPr>
                <w:rFonts w:ascii="Arial" w:hAnsi="Arial" w:cs="Arial"/>
                <w:spacing w:val="-5"/>
              </w:rPr>
              <w:t>UMA</w:t>
            </w:r>
          </w:p>
        </w:tc>
      </w:tr>
      <w:tr w:rsidR="00D3344B" w14:paraId="7FDF6907" w14:textId="77777777">
        <w:trPr>
          <w:trHeight w:val="427"/>
        </w:trPr>
        <w:tc>
          <w:tcPr>
            <w:tcW w:w="7326" w:type="dxa"/>
          </w:tcPr>
          <w:p w14:paraId="48DDC054"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lastRenderedPageBreak/>
              <w:t>(REFORMADO, P.O. 29 DE NOVIEMBRE DE 2023)</w:t>
            </w:r>
          </w:p>
          <w:p w14:paraId="7E28270F" w14:textId="77777777" w:rsidR="00D3344B" w:rsidRDefault="00143C25">
            <w:pPr>
              <w:pStyle w:val="TableParagraph"/>
              <w:spacing w:before="78"/>
              <w:ind w:left="50"/>
              <w:rPr>
                <w:rFonts w:ascii="Arial" w:hAnsi="Arial" w:cs="Arial"/>
              </w:rPr>
            </w:pPr>
            <w:r>
              <w:rPr>
                <w:rFonts w:ascii="Arial" w:hAnsi="Arial" w:cs="Arial"/>
              </w:rPr>
              <w:t>4.</w:t>
            </w:r>
            <w:r>
              <w:rPr>
                <w:rFonts w:ascii="Arial" w:hAnsi="Arial" w:cs="Arial"/>
                <w:spacing w:val="-3"/>
              </w:rPr>
              <w:t xml:space="preserve"> </w:t>
            </w:r>
            <w:r>
              <w:rPr>
                <w:rFonts w:ascii="Arial" w:hAnsi="Arial" w:cs="Arial"/>
              </w:rPr>
              <w:t>Servicios</w:t>
            </w:r>
            <w:r>
              <w:rPr>
                <w:rFonts w:ascii="Arial" w:hAnsi="Arial" w:cs="Arial"/>
                <w:spacing w:val="-3"/>
              </w:rPr>
              <w:t xml:space="preserve"> </w:t>
            </w:r>
            <w:r>
              <w:rPr>
                <w:rFonts w:ascii="Arial" w:hAnsi="Arial" w:cs="Arial"/>
              </w:rPr>
              <w:t>de</w:t>
            </w:r>
            <w:r>
              <w:rPr>
                <w:rFonts w:ascii="Arial" w:hAnsi="Arial" w:cs="Arial"/>
                <w:spacing w:val="-2"/>
              </w:rPr>
              <w:t xml:space="preserve"> </w:t>
            </w:r>
            <w:r>
              <w:rPr>
                <w:rFonts w:ascii="Arial" w:hAnsi="Arial" w:cs="Arial"/>
              </w:rPr>
              <w:t>diversión</w:t>
            </w:r>
            <w:r>
              <w:rPr>
                <w:rFonts w:ascii="Arial" w:hAnsi="Arial" w:cs="Arial"/>
                <w:spacing w:val="-3"/>
              </w:rPr>
              <w:t xml:space="preserve"> </w:t>
            </w:r>
            <w:r>
              <w:rPr>
                <w:rFonts w:ascii="Arial" w:hAnsi="Arial" w:cs="Arial"/>
              </w:rPr>
              <w:t>y</w:t>
            </w:r>
            <w:r>
              <w:rPr>
                <w:rFonts w:ascii="Arial" w:hAnsi="Arial" w:cs="Arial"/>
                <w:spacing w:val="-3"/>
              </w:rPr>
              <w:t xml:space="preserve"> </w:t>
            </w:r>
            <w:r>
              <w:rPr>
                <w:rFonts w:ascii="Arial" w:hAnsi="Arial" w:cs="Arial"/>
                <w:spacing w:val="-2"/>
              </w:rPr>
              <w:t>entretenimiento,</w:t>
            </w:r>
          </w:p>
        </w:tc>
        <w:tc>
          <w:tcPr>
            <w:tcW w:w="1133" w:type="dxa"/>
          </w:tcPr>
          <w:p w14:paraId="656F74C4" w14:textId="77777777" w:rsidR="00D3344B" w:rsidRDefault="00143C25">
            <w:pPr>
              <w:pStyle w:val="TableParagraph"/>
              <w:spacing w:before="78"/>
              <w:ind w:left="67" w:right="39"/>
              <w:jc w:val="center"/>
              <w:rPr>
                <w:rFonts w:ascii="Arial" w:hAnsi="Arial" w:cs="Arial"/>
              </w:rPr>
            </w:pPr>
            <w:r>
              <w:rPr>
                <w:rFonts w:ascii="Arial" w:hAnsi="Arial" w:cs="Arial"/>
              </w:rPr>
              <w:t xml:space="preserve">45 </w:t>
            </w:r>
            <w:r>
              <w:rPr>
                <w:rFonts w:ascii="Arial" w:hAnsi="Arial" w:cs="Arial"/>
                <w:spacing w:val="-5"/>
              </w:rPr>
              <w:t>UMA</w:t>
            </w:r>
          </w:p>
        </w:tc>
      </w:tr>
      <w:tr w:rsidR="00D3344B" w14:paraId="14122080" w14:textId="77777777">
        <w:trPr>
          <w:trHeight w:val="340"/>
        </w:trPr>
        <w:tc>
          <w:tcPr>
            <w:tcW w:w="7326" w:type="dxa"/>
          </w:tcPr>
          <w:p w14:paraId="38CD2BFA"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(ADICIONADO, P.O. 29 DE NOVIEMBRE DE 2023)</w:t>
            </w:r>
          </w:p>
          <w:p w14:paraId="321CE82B" w14:textId="77777777" w:rsidR="00D3344B" w:rsidRDefault="00143C25">
            <w:pPr>
              <w:pStyle w:val="TableParagraph"/>
              <w:spacing w:before="87" w:line="233" w:lineRule="exact"/>
              <w:ind w:left="50"/>
              <w:rPr>
                <w:rFonts w:ascii="Arial" w:hAnsi="Arial" w:cs="Arial"/>
              </w:rPr>
            </w:pPr>
            <w:r>
              <w:rPr>
                <w:rFonts w:ascii="Arial" w:hAnsi="Arial" w:cs="Arial"/>
              </w:rPr>
              <w:t>5.</w:t>
            </w:r>
            <w:r>
              <w:rPr>
                <w:rFonts w:ascii="Arial" w:hAnsi="Arial" w:cs="Arial"/>
                <w:spacing w:val="-2"/>
              </w:rPr>
              <w:t xml:space="preserve"> </w:t>
            </w:r>
            <w:r>
              <w:rPr>
                <w:rFonts w:ascii="Arial" w:hAnsi="Arial" w:cs="Arial"/>
              </w:rPr>
              <w:t>Concesión</w:t>
            </w:r>
            <w:r>
              <w:rPr>
                <w:rFonts w:ascii="Arial" w:hAnsi="Arial" w:cs="Arial"/>
                <w:spacing w:val="-3"/>
              </w:rPr>
              <w:t xml:space="preserve"> </w:t>
            </w:r>
            <w:r>
              <w:rPr>
                <w:rFonts w:ascii="Arial" w:hAnsi="Arial" w:cs="Arial"/>
              </w:rPr>
              <w:t>de</w:t>
            </w:r>
            <w:r>
              <w:rPr>
                <w:rFonts w:ascii="Arial" w:hAnsi="Arial" w:cs="Arial"/>
                <w:spacing w:val="-1"/>
              </w:rPr>
              <w:t xml:space="preserve"> </w:t>
            </w:r>
            <w:r>
              <w:rPr>
                <w:rFonts w:ascii="Arial" w:hAnsi="Arial" w:cs="Arial"/>
                <w:spacing w:val="-2"/>
              </w:rPr>
              <w:t>estacionamiento,</w:t>
            </w:r>
          </w:p>
        </w:tc>
        <w:tc>
          <w:tcPr>
            <w:tcW w:w="1133" w:type="dxa"/>
          </w:tcPr>
          <w:p w14:paraId="1A038500" w14:textId="77777777" w:rsidR="00D3344B" w:rsidRDefault="00143C25">
            <w:pPr>
              <w:pStyle w:val="TableParagraph"/>
              <w:spacing w:before="87" w:line="233" w:lineRule="exact"/>
              <w:ind w:left="67" w:right="39"/>
              <w:jc w:val="center"/>
              <w:rPr>
                <w:rFonts w:ascii="Arial" w:hAnsi="Arial" w:cs="Arial"/>
              </w:rPr>
            </w:pPr>
            <w:r>
              <w:rPr>
                <w:rFonts w:ascii="Arial" w:hAnsi="Arial" w:cs="Arial"/>
              </w:rPr>
              <w:t xml:space="preserve">45 </w:t>
            </w:r>
            <w:r>
              <w:rPr>
                <w:rFonts w:ascii="Arial" w:hAnsi="Arial" w:cs="Arial"/>
                <w:spacing w:val="-5"/>
              </w:rPr>
              <w:t>UMA</w:t>
            </w:r>
          </w:p>
        </w:tc>
      </w:tr>
    </w:tbl>
    <w:p w14:paraId="16759DA1" w14:textId="77777777" w:rsidR="00D3344B" w:rsidRDefault="00D3344B">
      <w:pPr>
        <w:pStyle w:val="Estilo"/>
        <w:ind w:left="709" w:hanging="425"/>
        <w:rPr>
          <w:rFonts w:cs="Arial"/>
        </w:rPr>
      </w:pPr>
    </w:p>
    <w:p w14:paraId="392CD5C6" w14:textId="77777777" w:rsidR="00D3344B" w:rsidRDefault="00143C25">
      <w:pPr>
        <w:pStyle w:val="TableParagraph"/>
        <w:spacing w:line="244" w:lineRule="exact"/>
        <w:ind w:left="50"/>
        <w:rPr>
          <w:rFonts w:eastAsia="Calibri" w:cs="Arial"/>
          <w:i/>
          <w:iCs/>
          <w:sz w:val="16"/>
          <w:szCs w:val="16"/>
        </w:rPr>
      </w:pPr>
      <w:r>
        <w:rPr>
          <w:rFonts w:eastAsia="Calibri" w:cs="Arial"/>
          <w:i/>
          <w:iCs/>
          <w:sz w:val="16"/>
          <w:szCs w:val="16"/>
        </w:rPr>
        <w:t>(ADICIONADA, P.O. 29 DE NOVIEMBRE DE 2023)</w:t>
      </w:r>
    </w:p>
    <w:p w14:paraId="0811CDD2" w14:textId="77777777" w:rsidR="00D3344B" w:rsidRDefault="00143C25">
      <w:pPr>
        <w:pStyle w:val="Textoindependiente"/>
        <w:ind w:left="122"/>
        <w:jc w:val="both"/>
      </w:pPr>
      <w:r>
        <w:t>VI.</w:t>
      </w:r>
      <w:r>
        <w:rPr>
          <w:spacing w:val="-2"/>
        </w:rPr>
        <w:t xml:space="preserve"> </w:t>
      </w:r>
      <w:r>
        <w:t>Museo</w:t>
      </w:r>
      <w:r>
        <w:rPr>
          <w:spacing w:val="-1"/>
        </w:rPr>
        <w:t xml:space="preserve"> </w:t>
      </w:r>
      <w:r>
        <w:t>de</w:t>
      </w:r>
      <w:r>
        <w:rPr>
          <w:spacing w:val="-3"/>
        </w:rPr>
        <w:t xml:space="preserve"> </w:t>
      </w:r>
      <w:r>
        <w:t>la</w:t>
      </w:r>
      <w:r>
        <w:rPr>
          <w:spacing w:val="-2"/>
        </w:rPr>
        <w:t xml:space="preserve"> Memoria:</w:t>
      </w:r>
    </w:p>
    <w:tbl>
      <w:tblPr>
        <w:tblStyle w:val="TableNormal"/>
        <w:tblW w:w="8665" w:type="dxa"/>
        <w:tblInd w:w="187" w:type="dxa"/>
        <w:tblLayout w:type="fixed"/>
        <w:tblLook w:val="01E0" w:firstRow="1" w:lastRow="1" w:firstColumn="1" w:lastColumn="1" w:noHBand="0" w:noVBand="0"/>
      </w:tblPr>
      <w:tblGrid>
        <w:gridCol w:w="6718"/>
        <w:gridCol w:w="1947"/>
      </w:tblGrid>
      <w:tr w:rsidR="00D3344B" w14:paraId="20EB51EE" w14:textId="77777777">
        <w:trPr>
          <w:trHeight w:val="355"/>
        </w:trPr>
        <w:tc>
          <w:tcPr>
            <w:tcW w:w="6717" w:type="dxa"/>
          </w:tcPr>
          <w:p w14:paraId="2E11B04E" w14:textId="77777777" w:rsidR="00D3344B" w:rsidRDefault="00143C25">
            <w:pPr>
              <w:pStyle w:val="TableParagraph"/>
              <w:spacing w:line="244" w:lineRule="exact"/>
              <w:ind w:left="50"/>
            </w:pPr>
            <w:r>
              <w:t>a)</w:t>
            </w:r>
            <w:r>
              <w:rPr>
                <w:spacing w:val="-2"/>
              </w:rPr>
              <w:t xml:space="preserve"> </w:t>
            </w:r>
            <w:r>
              <w:t>Renta</w:t>
            </w:r>
            <w:r>
              <w:rPr>
                <w:spacing w:val="-2"/>
              </w:rPr>
              <w:t xml:space="preserve"> </w:t>
            </w:r>
            <w:r>
              <w:t>de</w:t>
            </w:r>
            <w:r>
              <w:rPr>
                <w:spacing w:val="-3"/>
              </w:rPr>
              <w:t xml:space="preserve"> </w:t>
            </w:r>
            <w:r>
              <w:t>espacio,</w:t>
            </w:r>
            <w:r>
              <w:rPr>
                <w:spacing w:val="-2"/>
              </w:rPr>
              <w:t xml:space="preserve"> </w:t>
            </w:r>
            <w:r>
              <w:t>Patio</w:t>
            </w:r>
            <w:r>
              <w:rPr>
                <w:spacing w:val="-7"/>
              </w:rPr>
              <w:t xml:space="preserve"> </w:t>
            </w:r>
            <w:r>
              <w:rPr>
                <w:spacing w:val="-2"/>
              </w:rPr>
              <w:t>Central,</w:t>
            </w:r>
          </w:p>
        </w:tc>
        <w:tc>
          <w:tcPr>
            <w:tcW w:w="1947" w:type="dxa"/>
          </w:tcPr>
          <w:p w14:paraId="77A570F5" w14:textId="77777777" w:rsidR="00D3344B" w:rsidRDefault="00143C25">
            <w:pPr>
              <w:pStyle w:val="TableParagraph"/>
              <w:spacing w:line="244" w:lineRule="exact"/>
              <w:ind w:right="1022"/>
              <w:jc w:val="right"/>
            </w:pPr>
            <w:r>
              <w:t xml:space="preserve">13 </w:t>
            </w:r>
            <w:r>
              <w:rPr>
                <w:spacing w:val="-5"/>
              </w:rPr>
              <w:t>UMA</w:t>
            </w:r>
          </w:p>
        </w:tc>
      </w:tr>
      <w:tr w:rsidR="00D3344B" w14:paraId="35B41817" w14:textId="77777777">
        <w:trPr>
          <w:trHeight w:val="465"/>
        </w:trPr>
        <w:tc>
          <w:tcPr>
            <w:tcW w:w="6717" w:type="dxa"/>
          </w:tcPr>
          <w:p w14:paraId="7EB2D2BA" w14:textId="77777777" w:rsidR="00D3344B" w:rsidRDefault="00143C25">
            <w:pPr>
              <w:pStyle w:val="TableParagraph"/>
              <w:spacing w:before="102"/>
              <w:ind w:left="50"/>
            </w:pPr>
            <w:r>
              <w:t>b)</w:t>
            </w:r>
            <w:r>
              <w:rPr>
                <w:spacing w:val="-3"/>
              </w:rPr>
              <w:t xml:space="preserve"> </w:t>
            </w:r>
            <w:r>
              <w:t>Renta</w:t>
            </w:r>
            <w:r>
              <w:rPr>
                <w:spacing w:val="-2"/>
              </w:rPr>
              <w:t xml:space="preserve"> </w:t>
            </w:r>
            <w:r>
              <w:t>de</w:t>
            </w:r>
            <w:r>
              <w:rPr>
                <w:spacing w:val="-4"/>
              </w:rPr>
              <w:t xml:space="preserve"> </w:t>
            </w:r>
            <w:r>
              <w:t>espacio,</w:t>
            </w:r>
            <w:r>
              <w:rPr>
                <w:spacing w:val="-2"/>
              </w:rPr>
              <w:t xml:space="preserve"> </w:t>
            </w:r>
            <w:r>
              <w:t>Salas</w:t>
            </w:r>
            <w:r>
              <w:rPr>
                <w:spacing w:val="-4"/>
              </w:rPr>
              <w:t xml:space="preserve"> </w:t>
            </w:r>
            <w:r>
              <w:rPr>
                <w:spacing w:val="-2"/>
              </w:rPr>
              <w:t>Temporales,</w:t>
            </w:r>
          </w:p>
        </w:tc>
        <w:tc>
          <w:tcPr>
            <w:tcW w:w="1947" w:type="dxa"/>
          </w:tcPr>
          <w:p w14:paraId="2D4B1D69" w14:textId="77777777" w:rsidR="00D3344B" w:rsidRDefault="00143C25">
            <w:pPr>
              <w:pStyle w:val="TableParagraph"/>
              <w:spacing w:before="102"/>
              <w:ind w:right="967"/>
              <w:jc w:val="right"/>
            </w:pPr>
            <w:r>
              <w:t xml:space="preserve">5 </w:t>
            </w:r>
            <w:r>
              <w:rPr>
                <w:spacing w:val="-5"/>
              </w:rPr>
              <w:t>UMA</w:t>
            </w:r>
          </w:p>
        </w:tc>
      </w:tr>
      <w:tr w:rsidR="00D3344B" w14:paraId="452DE3DE" w14:textId="77777777">
        <w:trPr>
          <w:trHeight w:val="609"/>
        </w:trPr>
        <w:tc>
          <w:tcPr>
            <w:tcW w:w="6717" w:type="dxa"/>
          </w:tcPr>
          <w:p w14:paraId="590D071E" w14:textId="77777777" w:rsidR="00D3344B" w:rsidRDefault="00143C25">
            <w:pPr>
              <w:pStyle w:val="TableParagraph"/>
              <w:spacing w:before="83" w:line="250" w:lineRule="atLeast"/>
              <w:ind w:left="50"/>
            </w:pPr>
            <w:r>
              <w:t>c)</w:t>
            </w:r>
            <w:r>
              <w:rPr>
                <w:spacing w:val="37"/>
              </w:rPr>
              <w:t xml:space="preserve"> </w:t>
            </w:r>
            <w:r>
              <w:t>Acceso</w:t>
            </w:r>
            <w:r>
              <w:rPr>
                <w:spacing w:val="34"/>
              </w:rPr>
              <w:t xml:space="preserve"> </w:t>
            </w:r>
            <w:r>
              <w:t>a</w:t>
            </w:r>
            <w:r>
              <w:rPr>
                <w:spacing w:val="34"/>
              </w:rPr>
              <w:t xml:space="preserve"> </w:t>
            </w:r>
            <w:r>
              <w:t>las</w:t>
            </w:r>
            <w:r>
              <w:rPr>
                <w:spacing w:val="37"/>
              </w:rPr>
              <w:t xml:space="preserve"> </w:t>
            </w:r>
            <w:r>
              <w:t>instalaciones</w:t>
            </w:r>
            <w:r>
              <w:rPr>
                <w:spacing w:val="37"/>
              </w:rPr>
              <w:t xml:space="preserve"> </w:t>
            </w:r>
            <w:r>
              <w:t>del</w:t>
            </w:r>
            <w:r>
              <w:rPr>
                <w:spacing w:val="35"/>
              </w:rPr>
              <w:t xml:space="preserve"> </w:t>
            </w:r>
            <w:r>
              <w:t>Museo</w:t>
            </w:r>
            <w:r>
              <w:rPr>
                <w:spacing w:val="37"/>
              </w:rPr>
              <w:t xml:space="preserve"> </w:t>
            </w:r>
            <w:r>
              <w:t>de</w:t>
            </w:r>
            <w:r>
              <w:rPr>
                <w:spacing w:val="34"/>
              </w:rPr>
              <w:t xml:space="preserve"> </w:t>
            </w:r>
            <w:r>
              <w:t>la</w:t>
            </w:r>
            <w:r>
              <w:rPr>
                <w:spacing w:val="34"/>
              </w:rPr>
              <w:t xml:space="preserve"> </w:t>
            </w:r>
            <w:r>
              <w:t>Memoria</w:t>
            </w:r>
            <w:r>
              <w:rPr>
                <w:spacing w:val="39"/>
              </w:rPr>
              <w:t xml:space="preserve"> </w:t>
            </w:r>
            <w:r>
              <w:t>propiedad</w:t>
            </w:r>
            <w:r>
              <w:rPr>
                <w:spacing w:val="37"/>
              </w:rPr>
              <w:t xml:space="preserve"> </w:t>
            </w:r>
            <w:r>
              <w:t>del Gobierno del Estado,</w:t>
            </w:r>
          </w:p>
        </w:tc>
        <w:tc>
          <w:tcPr>
            <w:tcW w:w="1947" w:type="dxa"/>
          </w:tcPr>
          <w:p w14:paraId="63D6DECA" w14:textId="77777777" w:rsidR="00D3344B" w:rsidRDefault="00143C25">
            <w:pPr>
              <w:pStyle w:val="TableParagraph"/>
              <w:tabs>
                <w:tab w:val="left" w:pos="804"/>
                <w:tab w:val="left" w:pos="1603"/>
              </w:tabs>
              <w:spacing w:before="83" w:line="250" w:lineRule="atLeast"/>
              <w:ind w:left="133" w:right="47"/>
            </w:pPr>
            <w:r>
              <w:rPr>
                <w:spacing w:val="-4"/>
              </w:rPr>
              <w:t>0.29</w:t>
            </w:r>
            <w:r>
              <w:tab/>
            </w:r>
            <w:r>
              <w:rPr>
                <w:spacing w:val="-4"/>
              </w:rPr>
              <w:t>UMA</w:t>
            </w:r>
            <w:r>
              <w:tab/>
            </w:r>
            <w:r>
              <w:rPr>
                <w:spacing w:val="-4"/>
              </w:rPr>
              <w:t xml:space="preserve">por </w:t>
            </w:r>
            <w:r>
              <w:rPr>
                <w:spacing w:val="-2"/>
              </w:rPr>
              <w:t>persona.</w:t>
            </w:r>
          </w:p>
        </w:tc>
      </w:tr>
    </w:tbl>
    <w:p w14:paraId="0C8B987D" w14:textId="77777777" w:rsidR="00D3344B" w:rsidRDefault="00D3344B">
      <w:pPr>
        <w:pStyle w:val="Estilo"/>
        <w:rPr>
          <w:rFonts w:cs="Arial"/>
        </w:rPr>
      </w:pPr>
    </w:p>
    <w:p w14:paraId="6265A8E8" w14:textId="77777777" w:rsidR="00D3344B" w:rsidRDefault="00143C25">
      <w:pPr>
        <w:pStyle w:val="Estilo"/>
        <w:rPr>
          <w:rFonts w:cs="Arial"/>
        </w:rPr>
      </w:pPr>
      <w:r>
        <w:rPr>
          <w:rFonts w:cs="Arial"/>
          <w:b/>
        </w:rPr>
        <w:t>Artículo 169.</w:t>
      </w:r>
      <w:r>
        <w:rPr>
          <w:rFonts w:cs="Arial"/>
        </w:rPr>
        <w:t xml:space="preserve"> Los productos no especificados en este capítulo se recaudarán de conformidad a los lineamientos que expida la Secretaría.</w:t>
      </w:r>
    </w:p>
    <w:p w14:paraId="710DC0A4" w14:textId="77777777" w:rsidR="00D3344B" w:rsidRDefault="00D3344B">
      <w:pPr>
        <w:pStyle w:val="Estilo"/>
        <w:rPr>
          <w:rFonts w:cs="Arial"/>
        </w:rPr>
      </w:pPr>
    </w:p>
    <w:p w14:paraId="37A45727" w14:textId="77777777" w:rsidR="00D3344B" w:rsidRDefault="00D3344B">
      <w:pPr>
        <w:pStyle w:val="Estilo"/>
        <w:rPr>
          <w:rFonts w:cs="Arial"/>
        </w:rPr>
      </w:pPr>
    </w:p>
    <w:p w14:paraId="36B04B82" w14:textId="77777777" w:rsidR="00D3344B" w:rsidRDefault="00143C25">
      <w:pPr>
        <w:pStyle w:val="Estilo"/>
        <w:jc w:val="center"/>
        <w:rPr>
          <w:rFonts w:cs="Arial"/>
          <w:b/>
        </w:rPr>
      </w:pPr>
      <w:r>
        <w:rPr>
          <w:rFonts w:cs="Arial"/>
          <w:b/>
        </w:rPr>
        <w:t>Capítulo II</w:t>
      </w:r>
    </w:p>
    <w:p w14:paraId="244D99FD" w14:textId="77777777" w:rsidR="00D3344B" w:rsidRDefault="00143C25">
      <w:pPr>
        <w:pStyle w:val="Estilo"/>
        <w:jc w:val="center"/>
        <w:rPr>
          <w:rFonts w:cs="Arial"/>
          <w:b/>
        </w:rPr>
      </w:pPr>
      <w:r>
        <w:rPr>
          <w:rFonts w:cs="Arial"/>
          <w:b/>
        </w:rPr>
        <w:t>Aprovechamientos en Favor del Estado</w:t>
      </w:r>
    </w:p>
    <w:p w14:paraId="501937A1" w14:textId="77777777" w:rsidR="00D3344B" w:rsidRDefault="00D3344B">
      <w:pPr>
        <w:pStyle w:val="Estilo"/>
        <w:rPr>
          <w:rFonts w:cs="Arial"/>
        </w:rPr>
      </w:pPr>
    </w:p>
    <w:p w14:paraId="72780895" w14:textId="77777777" w:rsidR="00D3344B" w:rsidRDefault="00143C25">
      <w:pPr>
        <w:pStyle w:val="Estilo"/>
        <w:rPr>
          <w:rFonts w:cs="Arial"/>
        </w:rPr>
      </w:pPr>
      <w:r>
        <w:rPr>
          <w:rFonts w:cs="Arial"/>
          <w:b/>
        </w:rPr>
        <w:t>Artículo 170.</w:t>
      </w:r>
      <w:r>
        <w:rPr>
          <w:rFonts w:cs="Arial"/>
        </w:rPr>
        <w:t xml:space="preserve"> Se considerarán aprovechamientos, los ingresos que el Estado obtenga, derivados de:</w:t>
      </w:r>
    </w:p>
    <w:p w14:paraId="01EE27F4" w14:textId="77777777" w:rsidR="00D3344B" w:rsidRDefault="00D3344B">
      <w:pPr>
        <w:pStyle w:val="Estilo"/>
        <w:rPr>
          <w:rFonts w:cs="Arial"/>
        </w:rPr>
      </w:pPr>
    </w:p>
    <w:p w14:paraId="287F7DCE" w14:textId="77777777" w:rsidR="00D3344B" w:rsidRDefault="00143C25">
      <w:pPr>
        <w:pStyle w:val="Estilo"/>
        <w:ind w:left="567" w:hanging="567"/>
        <w:rPr>
          <w:rFonts w:cs="Arial"/>
        </w:rPr>
      </w:pPr>
      <w:r>
        <w:rPr>
          <w:rFonts w:cs="Arial"/>
        </w:rPr>
        <w:t xml:space="preserve">I. </w:t>
      </w:r>
      <w:r>
        <w:rPr>
          <w:rFonts w:cs="Arial"/>
        </w:rPr>
        <w:tab/>
        <w:t>Recargos;</w:t>
      </w:r>
    </w:p>
    <w:p w14:paraId="3E0A0A3A" w14:textId="77777777" w:rsidR="00D3344B" w:rsidRDefault="00D3344B">
      <w:pPr>
        <w:pStyle w:val="Estilo"/>
        <w:ind w:left="567" w:hanging="567"/>
        <w:rPr>
          <w:rFonts w:cs="Arial"/>
        </w:rPr>
      </w:pPr>
    </w:p>
    <w:p w14:paraId="22371B01" w14:textId="77777777" w:rsidR="00D3344B" w:rsidRDefault="00143C25">
      <w:pPr>
        <w:pStyle w:val="Estilo"/>
        <w:ind w:left="567" w:hanging="567"/>
        <w:rPr>
          <w:rFonts w:cs="Arial"/>
        </w:rPr>
      </w:pPr>
      <w:r>
        <w:rPr>
          <w:rFonts w:cs="Arial"/>
        </w:rPr>
        <w:t xml:space="preserve">II. </w:t>
      </w:r>
      <w:r>
        <w:rPr>
          <w:rFonts w:cs="Arial"/>
        </w:rPr>
        <w:tab/>
        <w:t>Multas;</w:t>
      </w:r>
    </w:p>
    <w:p w14:paraId="3713B73A" w14:textId="77777777" w:rsidR="00D3344B" w:rsidRDefault="00D3344B">
      <w:pPr>
        <w:pStyle w:val="Estilo"/>
        <w:ind w:left="567" w:hanging="567"/>
        <w:rPr>
          <w:rFonts w:cs="Arial"/>
        </w:rPr>
      </w:pPr>
    </w:p>
    <w:p w14:paraId="0A68F8F3" w14:textId="77777777" w:rsidR="00D3344B" w:rsidRDefault="00143C25">
      <w:pPr>
        <w:pStyle w:val="Estilo"/>
        <w:ind w:left="567" w:hanging="567"/>
        <w:rPr>
          <w:rFonts w:cs="Arial"/>
        </w:rPr>
      </w:pPr>
      <w:r>
        <w:rPr>
          <w:rFonts w:cs="Arial"/>
        </w:rPr>
        <w:t xml:space="preserve">III. </w:t>
      </w:r>
      <w:r>
        <w:rPr>
          <w:rFonts w:cs="Arial"/>
        </w:rPr>
        <w:tab/>
        <w:t>Gastos de ejecución;</w:t>
      </w:r>
    </w:p>
    <w:p w14:paraId="782343B0" w14:textId="77777777" w:rsidR="00D3344B" w:rsidRDefault="00D3344B">
      <w:pPr>
        <w:pStyle w:val="Estilo"/>
        <w:ind w:left="567" w:hanging="567"/>
        <w:rPr>
          <w:rFonts w:cs="Arial"/>
        </w:rPr>
      </w:pPr>
    </w:p>
    <w:p w14:paraId="7BE8A6BA" w14:textId="77777777" w:rsidR="00D3344B" w:rsidRDefault="00143C25">
      <w:pPr>
        <w:pStyle w:val="Estilo"/>
        <w:ind w:left="567" w:hanging="567"/>
        <w:rPr>
          <w:rFonts w:cs="Arial"/>
        </w:rPr>
      </w:pPr>
      <w:r>
        <w:rPr>
          <w:rFonts w:cs="Arial"/>
        </w:rPr>
        <w:t xml:space="preserve">IV. </w:t>
      </w:r>
      <w:r>
        <w:rPr>
          <w:rFonts w:cs="Arial"/>
        </w:rPr>
        <w:tab/>
        <w:t>Actualizaciones;</w:t>
      </w:r>
    </w:p>
    <w:p w14:paraId="27512E13" w14:textId="77777777" w:rsidR="00D3344B" w:rsidRDefault="00D3344B">
      <w:pPr>
        <w:pStyle w:val="Estilo"/>
        <w:ind w:left="567" w:hanging="567"/>
        <w:rPr>
          <w:rFonts w:cs="Arial"/>
        </w:rPr>
      </w:pPr>
    </w:p>
    <w:p w14:paraId="70615628" w14:textId="77777777" w:rsidR="00D3344B" w:rsidRDefault="00143C25">
      <w:pPr>
        <w:pStyle w:val="Estilo"/>
        <w:ind w:left="567" w:hanging="567"/>
        <w:rPr>
          <w:rFonts w:cs="Arial"/>
        </w:rPr>
      </w:pPr>
      <w:r>
        <w:rPr>
          <w:rFonts w:cs="Arial"/>
        </w:rPr>
        <w:t xml:space="preserve">V. </w:t>
      </w:r>
      <w:r>
        <w:rPr>
          <w:rFonts w:cs="Arial"/>
        </w:rPr>
        <w:tab/>
        <w:t>Donaciones, herencias y legados;</w:t>
      </w:r>
    </w:p>
    <w:p w14:paraId="613332C4" w14:textId="77777777" w:rsidR="00D3344B" w:rsidRDefault="00D3344B">
      <w:pPr>
        <w:pStyle w:val="Estilo"/>
        <w:ind w:left="567" w:hanging="567"/>
        <w:rPr>
          <w:rFonts w:cs="Arial"/>
        </w:rPr>
      </w:pPr>
    </w:p>
    <w:p w14:paraId="042F7B53" w14:textId="77777777" w:rsidR="00D3344B" w:rsidRDefault="00143C25">
      <w:pPr>
        <w:pStyle w:val="Estilo"/>
        <w:ind w:left="567" w:hanging="567"/>
        <w:rPr>
          <w:rFonts w:cs="Arial"/>
        </w:rPr>
      </w:pPr>
      <w:r>
        <w:rPr>
          <w:rFonts w:cs="Arial"/>
        </w:rPr>
        <w:t xml:space="preserve">VI. </w:t>
      </w:r>
      <w:r>
        <w:rPr>
          <w:rFonts w:cs="Arial"/>
        </w:rPr>
        <w:tab/>
        <w:t>Tesoros;</w:t>
      </w:r>
    </w:p>
    <w:p w14:paraId="2C9AC4C5" w14:textId="77777777" w:rsidR="00D3344B" w:rsidRDefault="00D3344B">
      <w:pPr>
        <w:pStyle w:val="Estilo"/>
        <w:ind w:left="567" w:hanging="567"/>
        <w:rPr>
          <w:rFonts w:cs="Arial"/>
        </w:rPr>
      </w:pPr>
    </w:p>
    <w:p w14:paraId="487B7416" w14:textId="77777777" w:rsidR="00D3344B" w:rsidRDefault="00143C25">
      <w:pPr>
        <w:pStyle w:val="Estilo"/>
        <w:ind w:left="567" w:hanging="567"/>
        <w:rPr>
          <w:rFonts w:cs="Arial"/>
        </w:rPr>
      </w:pPr>
      <w:r>
        <w:rPr>
          <w:rFonts w:cs="Arial"/>
        </w:rPr>
        <w:t xml:space="preserve">VII. </w:t>
      </w:r>
      <w:r>
        <w:rPr>
          <w:rFonts w:cs="Arial"/>
        </w:rPr>
        <w:tab/>
        <w:t>Subsidios;</w:t>
      </w:r>
    </w:p>
    <w:p w14:paraId="43214483" w14:textId="77777777" w:rsidR="00D3344B" w:rsidRDefault="00D3344B">
      <w:pPr>
        <w:pStyle w:val="Estilo"/>
        <w:ind w:left="567" w:hanging="567"/>
        <w:rPr>
          <w:rFonts w:cs="Arial"/>
        </w:rPr>
      </w:pPr>
    </w:p>
    <w:p w14:paraId="6E4E2B3B" w14:textId="77777777" w:rsidR="00D3344B" w:rsidRDefault="00143C25">
      <w:pPr>
        <w:pStyle w:val="Estilo"/>
        <w:ind w:left="567" w:hanging="567"/>
        <w:rPr>
          <w:rFonts w:cs="Arial"/>
        </w:rPr>
      </w:pPr>
      <w:r>
        <w:rPr>
          <w:rFonts w:cs="Arial"/>
        </w:rPr>
        <w:t xml:space="preserve">VIII. </w:t>
      </w:r>
      <w:r>
        <w:rPr>
          <w:rFonts w:cs="Arial"/>
        </w:rPr>
        <w:tab/>
        <w:t>Fianzas que se hagan efectivas;</w:t>
      </w:r>
    </w:p>
    <w:p w14:paraId="47DD67E0" w14:textId="77777777" w:rsidR="00D3344B" w:rsidRDefault="00D3344B">
      <w:pPr>
        <w:pStyle w:val="Estilo"/>
        <w:ind w:left="567" w:hanging="567"/>
        <w:rPr>
          <w:rFonts w:cs="Arial"/>
        </w:rPr>
      </w:pPr>
    </w:p>
    <w:p w14:paraId="13E6D684" w14:textId="77777777" w:rsidR="00D3344B" w:rsidRDefault="00143C25">
      <w:pPr>
        <w:pStyle w:val="Estilo"/>
        <w:ind w:left="567" w:hanging="567"/>
        <w:rPr>
          <w:rFonts w:cs="Arial"/>
        </w:rPr>
      </w:pPr>
      <w:r>
        <w:rPr>
          <w:rFonts w:cs="Arial"/>
        </w:rPr>
        <w:t xml:space="preserve">IX. </w:t>
      </w:r>
      <w:r>
        <w:rPr>
          <w:rFonts w:cs="Arial"/>
        </w:rPr>
        <w:tab/>
        <w:t>Indemnizaciones, y</w:t>
      </w:r>
    </w:p>
    <w:p w14:paraId="19C04D23" w14:textId="77777777" w:rsidR="00D3344B" w:rsidRDefault="00D3344B">
      <w:pPr>
        <w:pStyle w:val="Estilo"/>
        <w:ind w:left="567" w:hanging="567"/>
        <w:rPr>
          <w:rFonts w:cs="Arial"/>
        </w:rPr>
      </w:pPr>
    </w:p>
    <w:p w14:paraId="015C00A0" w14:textId="77777777" w:rsidR="00D3344B" w:rsidRDefault="00143C25">
      <w:pPr>
        <w:pStyle w:val="Estilo"/>
        <w:ind w:left="567" w:hanging="567"/>
        <w:rPr>
          <w:rFonts w:cs="Arial"/>
        </w:rPr>
      </w:pPr>
      <w:r>
        <w:rPr>
          <w:rFonts w:cs="Arial"/>
        </w:rPr>
        <w:t xml:space="preserve">X. </w:t>
      </w:r>
      <w:r>
        <w:rPr>
          <w:rFonts w:cs="Arial"/>
        </w:rPr>
        <w:tab/>
        <w:t>Los demás ingresos no clasificables, que se obtengan, derivados de financiamientos o por las dependencias y entidades del Gobierno del Estado.</w:t>
      </w:r>
    </w:p>
    <w:p w14:paraId="4190A37C" w14:textId="77777777" w:rsidR="00D3344B" w:rsidRDefault="00D3344B">
      <w:pPr>
        <w:pStyle w:val="Estilo"/>
        <w:rPr>
          <w:rFonts w:cs="Arial"/>
        </w:rPr>
      </w:pPr>
    </w:p>
    <w:p w14:paraId="64DCB013" w14:textId="77777777" w:rsidR="00D3344B" w:rsidRDefault="00143C25">
      <w:pPr>
        <w:pStyle w:val="Estilo"/>
        <w:rPr>
          <w:rFonts w:cs="Arial"/>
        </w:rPr>
      </w:pPr>
      <w:r>
        <w:rPr>
          <w:rFonts w:cs="Arial"/>
          <w:b/>
        </w:rPr>
        <w:lastRenderedPageBreak/>
        <w:t>Artículo 171.</w:t>
      </w:r>
      <w:r>
        <w:rPr>
          <w:rFonts w:cs="Arial"/>
        </w:rPr>
        <w:t xml:space="preserve"> La Secretaría y las tesorerías en el ámbito de sus competencias administrarán los ingresos considerados como aprovechamientos, aun cuando se les designe como cuotas o donativos en favor de las dependencias, órganos desconcentrados y entidades del Gobierno del Estado y municipios.</w:t>
      </w:r>
    </w:p>
    <w:p w14:paraId="015BC104" w14:textId="77777777" w:rsidR="00D3344B" w:rsidRDefault="00D3344B">
      <w:pPr>
        <w:pStyle w:val="Estilo"/>
        <w:rPr>
          <w:rFonts w:cs="Arial"/>
        </w:rPr>
      </w:pPr>
    </w:p>
    <w:p w14:paraId="38087073" w14:textId="77777777" w:rsidR="00D3344B" w:rsidRDefault="00143C25">
      <w:pPr>
        <w:pStyle w:val="Estilo"/>
        <w:rPr>
          <w:rFonts w:cs="Arial"/>
        </w:rPr>
      </w:pPr>
      <w:r>
        <w:rPr>
          <w:rFonts w:cs="Arial"/>
          <w:b/>
        </w:rPr>
        <w:t>Artículo 172.</w:t>
      </w:r>
      <w:r>
        <w:rPr>
          <w:rFonts w:cs="Arial"/>
        </w:rPr>
        <w:t xml:space="preserve"> Los aprovechamientos derivados del ejercicio de las áreas administrativas que los generen, deberán destinarse a la operación de dichas áreas, previa autorización de la Secretaría, de conformidad con las reglas generales que la propia autoridad emita. Estas reglas deberán publicarse en el Periódico Oficial del Gobierno del Estado.</w:t>
      </w:r>
    </w:p>
    <w:p w14:paraId="36CEB5E2" w14:textId="77777777" w:rsidR="00D3344B" w:rsidRDefault="00D3344B">
      <w:pPr>
        <w:pStyle w:val="Estilo"/>
        <w:rPr>
          <w:rFonts w:cs="Arial"/>
        </w:rPr>
      </w:pPr>
    </w:p>
    <w:p w14:paraId="332476B2" w14:textId="77777777" w:rsidR="00D3344B" w:rsidRDefault="00D3344B">
      <w:pPr>
        <w:pStyle w:val="Estilo"/>
        <w:rPr>
          <w:rFonts w:cs="Arial"/>
        </w:rPr>
      </w:pPr>
    </w:p>
    <w:p w14:paraId="18EA4B1B" w14:textId="77777777" w:rsidR="00D3344B" w:rsidRDefault="00143C25">
      <w:pPr>
        <w:pStyle w:val="Estilo"/>
        <w:jc w:val="center"/>
        <w:rPr>
          <w:rFonts w:cs="Arial"/>
          <w:b/>
        </w:rPr>
      </w:pPr>
      <w:r>
        <w:rPr>
          <w:rFonts w:cs="Arial"/>
          <w:b/>
        </w:rPr>
        <w:t>TÍTULO SEXTO</w:t>
      </w:r>
    </w:p>
    <w:p w14:paraId="6F500660" w14:textId="77777777" w:rsidR="00D3344B" w:rsidRDefault="00143C25">
      <w:pPr>
        <w:pStyle w:val="Estilo"/>
        <w:jc w:val="center"/>
        <w:rPr>
          <w:rFonts w:cs="Arial"/>
          <w:b/>
        </w:rPr>
      </w:pPr>
      <w:r>
        <w:rPr>
          <w:rFonts w:cs="Arial"/>
          <w:b/>
        </w:rPr>
        <w:t>INGRESOS TRIBUTARIOS DE LOS MUNICIPIOS</w:t>
      </w:r>
    </w:p>
    <w:p w14:paraId="6C117A39" w14:textId="77777777" w:rsidR="00D3344B" w:rsidRDefault="00D3344B">
      <w:pPr>
        <w:pStyle w:val="Estilo"/>
        <w:jc w:val="center"/>
        <w:rPr>
          <w:rFonts w:cs="Arial"/>
          <w:b/>
        </w:rPr>
      </w:pPr>
    </w:p>
    <w:p w14:paraId="758AC587" w14:textId="77777777" w:rsidR="00D3344B" w:rsidRDefault="00143C25">
      <w:pPr>
        <w:pStyle w:val="Estilo"/>
        <w:jc w:val="center"/>
        <w:rPr>
          <w:rFonts w:cs="Arial"/>
          <w:b/>
        </w:rPr>
      </w:pPr>
      <w:r>
        <w:rPr>
          <w:rFonts w:cs="Arial"/>
          <w:b/>
        </w:rPr>
        <w:t>Capítulo I</w:t>
      </w:r>
    </w:p>
    <w:p w14:paraId="67C8D0BD" w14:textId="77777777" w:rsidR="00D3344B" w:rsidRDefault="00143C25">
      <w:pPr>
        <w:pStyle w:val="Estilo"/>
        <w:jc w:val="center"/>
        <w:rPr>
          <w:rFonts w:cs="Arial"/>
          <w:b/>
        </w:rPr>
      </w:pPr>
      <w:r>
        <w:rPr>
          <w:rFonts w:cs="Arial"/>
          <w:b/>
        </w:rPr>
        <w:t>Impuesto Predial</w:t>
      </w:r>
    </w:p>
    <w:p w14:paraId="1DFCD6E0" w14:textId="77777777" w:rsidR="00D3344B" w:rsidRDefault="00D3344B">
      <w:pPr>
        <w:pStyle w:val="Estilo"/>
        <w:rPr>
          <w:rFonts w:cs="Arial"/>
        </w:rPr>
      </w:pPr>
    </w:p>
    <w:p w14:paraId="07CC1EA7" w14:textId="77777777" w:rsidR="00D3344B" w:rsidRDefault="00143C25">
      <w:pPr>
        <w:pStyle w:val="Estilo"/>
        <w:rPr>
          <w:rFonts w:cs="Arial"/>
        </w:rPr>
      </w:pPr>
      <w:r>
        <w:rPr>
          <w:rFonts w:cs="Arial"/>
          <w:b/>
        </w:rPr>
        <w:t>Artículo 173.</w:t>
      </w:r>
      <w:r>
        <w:rPr>
          <w:rFonts w:cs="Arial"/>
        </w:rPr>
        <w:t xml:space="preserve"> Son objeto de este impuesto, la propiedad o posesión de los predios urbanos y rústicos ubicados en el territorio de los municipios del Estado y de las construcciones permanentes edificadas sobre los mismos.</w:t>
      </w:r>
    </w:p>
    <w:p w14:paraId="3CC0A6E3" w14:textId="77777777" w:rsidR="00D3344B" w:rsidRDefault="00D3344B">
      <w:pPr>
        <w:pStyle w:val="Estilo"/>
        <w:rPr>
          <w:rFonts w:cs="Arial"/>
        </w:rPr>
      </w:pPr>
    </w:p>
    <w:p w14:paraId="45CF3179" w14:textId="77777777" w:rsidR="00D3344B" w:rsidRDefault="00143C25">
      <w:pPr>
        <w:pStyle w:val="Estilo"/>
        <w:rPr>
          <w:rFonts w:cs="Arial"/>
        </w:rPr>
      </w:pPr>
      <w:r>
        <w:rPr>
          <w:rFonts w:cs="Arial"/>
          <w:b/>
        </w:rPr>
        <w:t>Artículo 174.</w:t>
      </w:r>
      <w:r>
        <w:rPr>
          <w:rFonts w:cs="Arial"/>
        </w:rPr>
        <w:t xml:space="preserve"> Son sujetos de este impuesto:</w:t>
      </w:r>
    </w:p>
    <w:p w14:paraId="38A9D516" w14:textId="77777777" w:rsidR="00D3344B" w:rsidRDefault="00D3344B">
      <w:pPr>
        <w:pStyle w:val="Estilo"/>
        <w:rPr>
          <w:rFonts w:cs="Arial"/>
        </w:rPr>
      </w:pPr>
    </w:p>
    <w:p w14:paraId="66607692" w14:textId="77777777" w:rsidR="00D3344B" w:rsidRDefault="00143C25">
      <w:pPr>
        <w:pStyle w:val="Estilo"/>
        <w:ind w:left="567" w:hanging="567"/>
        <w:rPr>
          <w:rFonts w:cs="Arial"/>
        </w:rPr>
      </w:pPr>
      <w:r>
        <w:rPr>
          <w:rFonts w:cs="Arial"/>
        </w:rPr>
        <w:t xml:space="preserve">I. </w:t>
      </w:r>
      <w:r>
        <w:rPr>
          <w:rFonts w:cs="Arial"/>
        </w:rPr>
        <w:tab/>
        <w:t>Los propietarios, poseedores civiles o precarios de predios ubicados en el territorio de los municipios del Estado;</w:t>
      </w:r>
    </w:p>
    <w:p w14:paraId="1DB1A71E" w14:textId="77777777" w:rsidR="00D3344B" w:rsidRDefault="00D3344B">
      <w:pPr>
        <w:pStyle w:val="Estilo"/>
        <w:ind w:left="567" w:hanging="567"/>
        <w:rPr>
          <w:rFonts w:cs="Arial"/>
        </w:rPr>
      </w:pPr>
    </w:p>
    <w:p w14:paraId="4364E8D7" w14:textId="77777777" w:rsidR="00D3344B" w:rsidRDefault="00143C25">
      <w:pPr>
        <w:pStyle w:val="Estilo"/>
        <w:ind w:left="567" w:hanging="567"/>
        <w:rPr>
          <w:rFonts w:cs="Arial"/>
        </w:rPr>
      </w:pPr>
      <w:r>
        <w:rPr>
          <w:rFonts w:cs="Arial"/>
        </w:rPr>
        <w:t xml:space="preserve">II. </w:t>
      </w:r>
      <w:r>
        <w:rPr>
          <w:rFonts w:cs="Arial"/>
        </w:rPr>
        <w:tab/>
        <w:t>Los fideicomitentes, mientras el fiduciario no transmita la propiedad, y</w:t>
      </w:r>
    </w:p>
    <w:p w14:paraId="114549C3" w14:textId="77777777" w:rsidR="00D3344B" w:rsidRDefault="00D3344B">
      <w:pPr>
        <w:pStyle w:val="Estilo"/>
        <w:ind w:left="567" w:hanging="567"/>
        <w:rPr>
          <w:rFonts w:cs="Arial"/>
        </w:rPr>
      </w:pPr>
    </w:p>
    <w:p w14:paraId="2A2B8686" w14:textId="77777777" w:rsidR="00D3344B" w:rsidRDefault="00143C25">
      <w:pPr>
        <w:pStyle w:val="Estilo"/>
        <w:ind w:left="567" w:hanging="567"/>
        <w:rPr>
          <w:rFonts w:cs="Arial"/>
        </w:rPr>
      </w:pPr>
      <w:r>
        <w:rPr>
          <w:rFonts w:cs="Arial"/>
        </w:rPr>
        <w:t xml:space="preserve">III. </w:t>
      </w:r>
      <w:r>
        <w:rPr>
          <w:rFonts w:cs="Arial"/>
        </w:rPr>
        <w:tab/>
        <w:t>Los propietarios de solares urbanos, en los núcleos de población ejidal.</w:t>
      </w:r>
    </w:p>
    <w:p w14:paraId="62D47D7F" w14:textId="77777777" w:rsidR="00D3344B" w:rsidRDefault="00D3344B">
      <w:pPr>
        <w:pStyle w:val="Estilo"/>
        <w:rPr>
          <w:rFonts w:cs="Arial"/>
        </w:rPr>
      </w:pPr>
    </w:p>
    <w:p w14:paraId="0CDF6188" w14:textId="77777777" w:rsidR="00D3344B" w:rsidRDefault="00143C25">
      <w:pPr>
        <w:pStyle w:val="Estilo"/>
        <w:rPr>
          <w:rFonts w:cs="Arial"/>
        </w:rPr>
      </w:pPr>
      <w:r>
        <w:rPr>
          <w:rFonts w:cs="Arial"/>
          <w:b/>
        </w:rPr>
        <w:t>Artículo 175.</w:t>
      </w:r>
      <w:r>
        <w:rPr>
          <w:rFonts w:cs="Arial"/>
        </w:rPr>
        <w:t xml:space="preserve"> Son responsables solidarios del pago de este impuesto:</w:t>
      </w:r>
    </w:p>
    <w:p w14:paraId="70AD6390" w14:textId="77777777" w:rsidR="00D3344B" w:rsidRDefault="00D3344B">
      <w:pPr>
        <w:pStyle w:val="Estilo"/>
        <w:rPr>
          <w:rFonts w:cs="Arial"/>
        </w:rPr>
      </w:pPr>
    </w:p>
    <w:p w14:paraId="46D17E41" w14:textId="77777777" w:rsidR="00D3344B" w:rsidRDefault="00143C25">
      <w:pPr>
        <w:pStyle w:val="Estilo"/>
        <w:ind w:left="567" w:hanging="567"/>
        <w:rPr>
          <w:rFonts w:cs="Arial"/>
        </w:rPr>
      </w:pPr>
      <w:r>
        <w:rPr>
          <w:rFonts w:cs="Arial"/>
        </w:rPr>
        <w:t xml:space="preserve">I. </w:t>
      </w:r>
      <w:r>
        <w:rPr>
          <w:rFonts w:cs="Arial"/>
        </w:rPr>
        <w:tab/>
        <w:t>Los poseedores, cuando no se encuentre registrado el propietario;</w:t>
      </w:r>
    </w:p>
    <w:p w14:paraId="6DE54FAA" w14:textId="77777777" w:rsidR="00D3344B" w:rsidRDefault="00D3344B">
      <w:pPr>
        <w:pStyle w:val="Estilo"/>
        <w:ind w:left="567" w:hanging="567"/>
        <w:rPr>
          <w:rFonts w:cs="Arial"/>
        </w:rPr>
      </w:pPr>
    </w:p>
    <w:p w14:paraId="112E149D" w14:textId="77777777" w:rsidR="00D3344B" w:rsidRDefault="00143C25">
      <w:pPr>
        <w:pStyle w:val="Estilo"/>
        <w:ind w:left="567" w:hanging="567"/>
        <w:rPr>
          <w:rFonts w:cs="Arial"/>
        </w:rPr>
      </w:pPr>
      <w:r>
        <w:rPr>
          <w:rFonts w:cs="Arial"/>
        </w:rPr>
        <w:t xml:space="preserve">II. </w:t>
      </w:r>
      <w:r>
        <w:rPr>
          <w:rFonts w:cs="Arial"/>
        </w:rPr>
        <w:tab/>
        <w:t>Los copropietarios o coposeedores;</w:t>
      </w:r>
    </w:p>
    <w:p w14:paraId="2FD97539" w14:textId="77777777" w:rsidR="00D3344B" w:rsidRDefault="00D3344B">
      <w:pPr>
        <w:pStyle w:val="Estilo"/>
        <w:ind w:left="567" w:hanging="567"/>
        <w:rPr>
          <w:rFonts w:cs="Arial"/>
        </w:rPr>
      </w:pPr>
    </w:p>
    <w:p w14:paraId="4472C94C" w14:textId="77777777" w:rsidR="00D3344B" w:rsidRDefault="00143C25">
      <w:pPr>
        <w:pStyle w:val="Estilo"/>
        <w:ind w:left="567" w:hanging="567"/>
        <w:rPr>
          <w:rFonts w:cs="Arial"/>
        </w:rPr>
      </w:pPr>
      <w:r>
        <w:rPr>
          <w:rFonts w:cs="Arial"/>
        </w:rPr>
        <w:t xml:space="preserve">III. </w:t>
      </w:r>
      <w:r>
        <w:rPr>
          <w:rFonts w:cs="Arial"/>
        </w:rPr>
        <w:tab/>
        <w:t>Los fideicomisarios;</w:t>
      </w:r>
    </w:p>
    <w:p w14:paraId="02A14E4B" w14:textId="77777777" w:rsidR="00D3344B" w:rsidRDefault="00D3344B">
      <w:pPr>
        <w:pStyle w:val="Estilo"/>
        <w:ind w:left="567" w:hanging="567"/>
        <w:rPr>
          <w:rFonts w:cs="Arial"/>
        </w:rPr>
      </w:pPr>
    </w:p>
    <w:p w14:paraId="01453305" w14:textId="77777777" w:rsidR="00D3344B" w:rsidRDefault="00143C25">
      <w:pPr>
        <w:pStyle w:val="Estilo"/>
        <w:ind w:left="567" w:hanging="567"/>
        <w:rPr>
          <w:rFonts w:cs="Arial"/>
        </w:rPr>
      </w:pPr>
      <w:r>
        <w:rPr>
          <w:rFonts w:cs="Arial"/>
        </w:rPr>
        <w:t xml:space="preserve">IV. </w:t>
      </w:r>
      <w:r>
        <w:rPr>
          <w:rFonts w:cs="Arial"/>
        </w:rPr>
        <w:tab/>
        <w:t>Los notarios públicos que autoricen escrituras sin cerciorarse previamente de que se está al corriente del pago del impuesto predial, hasta por el importe del impuesto omitido y sus accesorios, y</w:t>
      </w:r>
    </w:p>
    <w:p w14:paraId="56C2FAE5" w14:textId="77777777" w:rsidR="00D3344B" w:rsidRDefault="00D3344B">
      <w:pPr>
        <w:pStyle w:val="Estilo"/>
        <w:ind w:left="567" w:hanging="567"/>
        <w:rPr>
          <w:rFonts w:cs="Arial"/>
        </w:rPr>
      </w:pPr>
    </w:p>
    <w:p w14:paraId="111FF6E2" w14:textId="77777777" w:rsidR="00D3344B" w:rsidRDefault="00143C25">
      <w:pPr>
        <w:pStyle w:val="Estilo"/>
        <w:ind w:left="567" w:hanging="567"/>
        <w:rPr>
          <w:rFonts w:cs="Arial"/>
        </w:rPr>
      </w:pPr>
      <w:r>
        <w:rPr>
          <w:rFonts w:cs="Arial"/>
        </w:rPr>
        <w:t xml:space="preserve">V. </w:t>
      </w:r>
      <w:r>
        <w:rPr>
          <w:rFonts w:cs="Arial"/>
        </w:rPr>
        <w:tab/>
        <w:t>Los servidores públicos que alteren los datos que sirvan de base para el cobro del impuesto o expidan o autoricen comprobantes de pago de este impuesto o los trámites relativos al traslado de dominio.</w:t>
      </w:r>
    </w:p>
    <w:p w14:paraId="124EFEB7" w14:textId="77777777" w:rsidR="00D3344B" w:rsidRDefault="00D3344B">
      <w:pPr>
        <w:pStyle w:val="Estilo"/>
        <w:rPr>
          <w:rFonts w:cs="Arial"/>
        </w:rPr>
      </w:pPr>
    </w:p>
    <w:p w14:paraId="7B8E784F"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23AA79FE" w14:textId="77777777" w:rsidR="00D3344B" w:rsidRDefault="00143C25">
      <w:pPr>
        <w:pStyle w:val="Estilo"/>
        <w:rPr>
          <w:rFonts w:cs="Arial"/>
        </w:rPr>
      </w:pPr>
      <w:r>
        <w:rPr>
          <w:rFonts w:cs="Arial"/>
          <w:b/>
        </w:rPr>
        <w:t>Artículo 176.</w:t>
      </w:r>
      <w:r>
        <w:rPr>
          <w:rFonts w:cs="Arial"/>
        </w:rPr>
        <w:t xml:space="preserve"> Los sujetos de este impuesto, tramitarán ante el Instituto de Catastro, los avalúos catastrales de los predios de su propiedad o posesión; salvo que el Municipio cuente con tabla de valores en un periodo no mayor de dos años retroactivos, en este caso se podrá solicitar indistintamente a la Tesorería correspondiente.</w:t>
      </w:r>
    </w:p>
    <w:p w14:paraId="5E16D286" w14:textId="77777777" w:rsidR="00D3344B" w:rsidRDefault="00D3344B">
      <w:pPr>
        <w:pStyle w:val="Estilo"/>
        <w:rPr>
          <w:rFonts w:cs="Arial"/>
        </w:rPr>
      </w:pPr>
    </w:p>
    <w:p w14:paraId="2C9742EF" w14:textId="77777777" w:rsidR="00D3344B" w:rsidRDefault="00143C25">
      <w:pPr>
        <w:pStyle w:val="Estilo"/>
        <w:rPr>
          <w:rFonts w:cs="Arial"/>
        </w:rPr>
      </w:pPr>
      <w:r>
        <w:rPr>
          <w:rFonts w:cs="Arial"/>
        </w:rPr>
        <w:t>Los avalúos para predios urbanos o rústicos tendrán vigencia de un año. Para que el municipio pueda emitir los avalúos catastrales, deberá cumplir con lo siguiente:</w:t>
      </w:r>
    </w:p>
    <w:p w14:paraId="41EFA603" w14:textId="77777777" w:rsidR="00D3344B" w:rsidRDefault="00D3344B">
      <w:pPr>
        <w:pStyle w:val="Estilo"/>
        <w:rPr>
          <w:rFonts w:cs="Arial"/>
        </w:rPr>
      </w:pPr>
    </w:p>
    <w:p w14:paraId="21C09D1B" w14:textId="77777777" w:rsidR="00D3344B" w:rsidRDefault="00143C25">
      <w:pPr>
        <w:pStyle w:val="Estilo"/>
        <w:ind w:left="567" w:hanging="567"/>
        <w:rPr>
          <w:rFonts w:cs="Arial"/>
        </w:rPr>
      </w:pPr>
      <w:r>
        <w:rPr>
          <w:rFonts w:cs="Arial"/>
        </w:rPr>
        <w:t>I.</w:t>
      </w:r>
      <w:r>
        <w:rPr>
          <w:rFonts w:cs="Arial"/>
        </w:rPr>
        <w:tab/>
        <w:t>Crear la Comisión Consultiva Municipal;</w:t>
      </w:r>
    </w:p>
    <w:p w14:paraId="7557CA61" w14:textId="77777777" w:rsidR="00D3344B" w:rsidRDefault="00D3344B">
      <w:pPr>
        <w:pStyle w:val="Estilo"/>
        <w:ind w:left="567" w:hanging="567"/>
        <w:rPr>
          <w:rFonts w:cs="Arial"/>
        </w:rPr>
      </w:pPr>
    </w:p>
    <w:p w14:paraId="43FBE692" w14:textId="77777777" w:rsidR="00D3344B" w:rsidRDefault="00143C25">
      <w:pPr>
        <w:pStyle w:val="Estilo"/>
        <w:ind w:left="567" w:hanging="567"/>
        <w:rPr>
          <w:rFonts w:cs="Arial"/>
        </w:rPr>
      </w:pPr>
      <w:r>
        <w:rPr>
          <w:rFonts w:cs="Arial"/>
        </w:rPr>
        <w:t>II.</w:t>
      </w:r>
      <w:r>
        <w:rPr>
          <w:rFonts w:cs="Arial"/>
        </w:rPr>
        <w:tab/>
        <w:t>Actualizar las tablas de valores y planos cartográficos sectoriales, validados por la Comisión Consultiva Municipal, aprobados por el Congreso del Estado y publicados en el Periódico Oficial del Gobierno del Estado de Tlaxcala; y</w:t>
      </w:r>
    </w:p>
    <w:p w14:paraId="31C94848" w14:textId="77777777" w:rsidR="00D3344B" w:rsidRDefault="00143C25">
      <w:pPr>
        <w:pStyle w:val="Estilo"/>
        <w:ind w:left="567" w:hanging="567"/>
        <w:rPr>
          <w:rFonts w:cs="Arial"/>
        </w:rPr>
      </w:pPr>
      <w:r>
        <w:rPr>
          <w:rFonts w:cs="Arial"/>
        </w:rPr>
        <w:t xml:space="preserve"> </w:t>
      </w:r>
    </w:p>
    <w:p w14:paraId="11E6B273" w14:textId="77777777" w:rsidR="00D3344B" w:rsidRDefault="00143C25">
      <w:pPr>
        <w:pStyle w:val="Estilo"/>
        <w:ind w:left="567" w:hanging="567"/>
        <w:rPr>
          <w:rFonts w:cs="Arial"/>
        </w:rPr>
      </w:pPr>
      <w:r>
        <w:rPr>
          <w:rFonts w:cs="Arial"/>
        </w:rPr>
        <w:t>III.</w:t>
      </w:r>
      <w:r>
        <w:rPr>
          <w:rFonts w:cs="Arial"/>
        </w:rPr>
        <w:tab/>
        <w:t>Cumplir con el procedimiento establecido en la Ley de Catastro del Estado, en materia de operaciones y la valuación catastral.</w:t>
      </w:r>
    </w:p>
    <w:p w14:paraId="5A589368" w14:textId="77777777" w:rsidR="00D3344B" w:rsidRDefault="00D3344B">
      <w:pPr>
        <w:pStyle w:val="Estilo"/>
        <w:rPr>
          <w:rFonts w:cs="Arial"/>
        </w:rPr>
      </w:pPr>
    </w:p>
    <w:p w14:paraId="131BEE60" w14:textId="77777777" w:rsidR="00D3344B" w:rsidRDefault="00143C25">
      <w:pPr>
        <w:pStyle w:val="Estilo"/>
        <w:rPr>
          <w:rFonts w:cs="Arial"/>
        </w:rPr>
      </w:pPr>
      <w:r>
        <w:rPr>
          <w:rFonts w:cs="Arial"/>
          <w:b/>
        </w:rPr>
        <w:t>Artículo 177.</w:t>
      </w:r>
      <w:r>
        <w:rPr>
          <w:rFonts w:cs="Arial"/>
        </w:rPr>
        <w:t xml:space="preserve"> La base de este impuesto será el valor catastral de los predios y de las construcciones, si las hubiere, de conformidad con lo que disponga este código.</w:t>
      </w:r>
    </w:p>
    <w:p w14:paraId="31949A70" w14:textId="77777777" w:rsidR="00D3344B" w:rsidRDefault="00D3344B">
      <w:pPr>
        <w:pStyle w:val="Estilo"/>
        <w:rPr>
          <w:rFonts w:cs="Arial"/>
        </w:rPr>
      </w:pPr>
    </w:p>
    <w:p w14:paraId="2CF5920E" w14:textId="77777777" w:rsidR="00D3344B" w:rsidRDefault="00143C25">
      <w:pPr>
        <w:pStyle w:val="Estilo"/>
        <w:rPr>
          <w:rFonts w:cs="Arial"/>
        </w:rPr>
      </w:pPr>
      <w:r>
        <w:rPr>
          <w:rFonts w:cs="Arial"/>
        </w:rPr>
        <w:t>En cuanto a las tierras destinadas al asentamiento humano, en el régimen ejidal, la base se determinará en razón de la superficie construida para casa habitación.</w:t>
      </w:r>
    </w:p>
    <w:p w14:paraId="63F0F4FB" w14:textId="77777777" w:rsidR="00D3344B" w:rsidRDefault="00D3344B">
      <w:pPr>
        <w:pStyle w:val="Estilo"/>
        <w:rPr>
          <w:rFonts w:cs="Arial"/>
        </w:rPr>
      </w:pPr>
    </w:p>
    <w:p w14:paraId="2DF32F7B" w14:textId="77777777" w:rsidR="00D3344B" w:rsidRDefault="00143C25">
      <w:pPr>
        <w:pStyle w:val="Estilo"/>
        <w:rPr>
          <w:rFonts w:cs="Arial"/>
        </w:rPr>
      </w:pPr>
      <w:r>
        <w:rPr>
          <w:rFonts w:cs="Arial"/>
          <w:b/>
        </w:rPr>
        <w:t>Artículo 178.</w:t>
      </w:r>
      <w:r>
        <w:rPr>
          <w:rFonts w:cs="Arial"/>
        </w:rPr>
        <w:t xml:space="preserve"> La base de este impuesto se modificará de acuerdo a la ley correspondiente, cuando se produzca alguna de las causas siguientes:</w:t>
      </w:r>
    </w:p>
    <w:p w14:paraId="6571438B" w14:textId="77777777" w:rsidR="00D3344B" w:rsidRDefault="00D3344B">
      <w:pPr>
        <w:pStyle w:val="Estilo"/>
        <w:rPr>
          <w:rFonts w:cs="Arial"/>
        </w:rPr>
      </w:pPr>
    </w:p>
    <w:p w14:paraId="45391EBC" w14:textId="77777777" w:rsidR="00D3344B" w:rsidRDefault="00143C25">
      <w:pPr>
        <w:pStyle w:val="Estilo"/>
        <w:rPr>
          <w:rFonts w:cs="Arial"/>
        </w:rPr>
      </w:pPr>
      <w:r>
        <w:rPr>
          <w:rFonts w:cs="Arial"/>
          <w:i/>
          <w:sz w:val="16"/>
        </w:rPr>
        <w:t>(REFORMADA, P.O. 31 DE DICIEMBRE DE 2007)</w:t>
      </w:r>
    </w:p>
    <w:p w14:paraId="3B5CFA13" w14:textId="77777777" w:rsidR="00D3344B" w:rsidRDefault="00143C25">
      <w:pPr>
        <w:pStyle w:val="Estilo"/>
        <w:ind w:left="567" w:hanging="567"/>
        <w:rPr>
          <w:rFonts w:cs="Arial"/>
        </w:rPr>
      </w:pPr>
      <w:r>
        <w:rPr>
          <w:rFonts w:cs="Arial"/>
        </w:rPr>
        <w:t xml:space="preserve">I. </w:t>
      </w:r>
      <w:r>
        <w:rPr>
          <w:rFonts w:cs="Arial"/>
        </w:rPr>
        <w:tab/>
        <w:t>Cuando el último avalúo practicado tenga más de un año, tratándose de predios urbanos o rústicos, excepto en el caso de avalúos provisionales, los cuales tendrán la vigencia que en los mismos se determine;</w:t>
      </w:r>
    </w:p>
    <w:p w14:paraId="78F27454" w14:textId="77777777" w:rsidR="00D3344B" w:rsidRDefault="00D3344B">
      <w:pPr>
        <w:pStyle w:val="Estilo"/>
        <w:ind w:left="567" w:hanging="567"/>
        <w:rPr>
          <w:rFonts w:cs="Arial"/>
        </w:rPr>
      </w:pPr>
    </w:p>
    <w:p w14:paraId="0865BB05" w14:textId="77777777" w:rsidR="00D3344B" w:rsidRDefault="00143C25">
      <w:pPr>
        <w:pStyle w:val="Estilo"/>
        <w:ind w:left="567" w:hanging="567"/>
        <w:rPr>
          <w:rFonts w:cs="Arial"/>
        </w:rPr>
      </w:pPr>
      <w:r>
        <w:rPr>
          <w:rFonts w:cs="Arial"/>
        </w:rPr>
        <w:t xml:space="preserve">II. </w:t>
      </w:r>
      <w:r>
        <w:rPr>
          <w:rFonts w:cs="Arial"/>
        </w:rPr>
        <w:tab/>
        <w:t>Cuando en el predio se hagan construcciones, reconstrucciones, ampliaciones o demoliciones de las construcciones ya existentes;</w:t>
      </w:r>
    </w:p>
    <w:p w14:paraId="41C47613" w14:textId="77777777" w:rsidR="00D3344B" w:rsidRDefault="00D3344B">
      <w:pPr>
        <w:pStyle w:val="Estilo"/>
        <w:ind w:left="567" w:hanging="567"/>
        <w:rPr>
          <w:rFonts w:cs="Arial"/>
        </w:rPr>
      </w:pPr>
    </w:p>
    <w:p w14:paraId="28F286C7" w14:textId="77777777" w:rsidR="00D3344B" w:rsidRDefault="00143C25">
      <w:pPr>
        <w:pStyle w:val="Estilo"/>
        <w:ind w:left="567" w:hanging="567"/>
        <w:rPr>
          <w:rFonts w:cs="Arial"/>
        </w:rPr>
      </w:pPr>
      <w:r>
        <w:rPr>
          <w:rFonts w:cs="Arial"/>
        </w:rPr>
        <w:t xml:space="preserve">III. </w:t>
      </w:r>
      <w:r>
        <w:rPr>
          <w:rFonts w:cs="Arial"/>
        </w:rPr>
        <w:tab/>
        <w:t>Cuando se fusionen o fraccionen, dividan, lotifiquen o subdividan los predios, y</w:t>
      </w:r>
    </w:p>
    <w:p w14:paraId="7B294BE4" w14:textId="77777777" w:rsidR="00D3344B" w:rsidRDefault="00D3344B">
      <w:pPr>
        <w:pStyle w:val="Estilo"/>
        <w:ind w:left="567" w:hanging="567"/>
        <w:rPr>
          <w:rFonts w:cs="Arial"/>
        </w:rPr>
      </w:pPr>
    </w:p>
    <w:p w14:paraId="7A517498" w14:textId="77777777" w:rsidR="00D3344B" w:rsidRDefault="00143C25">
      <w:pPr>
        <w:pStyle w:val="Estilo"/>
        <w:ind w:left="567" w:hanging="567"/>
        <w:rPr>
          <w:rFonts w:cs="Arial"/>
        </w:rPr>
      </w:pPr>
      <w:r>
        <w:rPr>
          <w:rFonts w:cs="Arial"/>
        </w:rPr>
        <w:t xml:space="preserve">IV. </w:t>
      </w:r>
      <w:r>
        <w:rPr>
          <w:rFonts w:cs="Arial"/>
        </w:rPr>
        <w:tab/>
        <w:t>Cuando el predio sufra un cambio físico que modifique su valor.</w:t>
      </w:r>
    </w:p>
    <w:p w14:paraId="21F2D458" w14:textId="77777777" w:rsidR="00D3344B" w:rsidRDefault="00D3344B">
      <w:pPr>
        <w:pStyle w:val="Estilo"/>
        <w:rPr>
          <w:rFonts w:cs="Arial"/>
        </w:rPr>
      </w:pPr>
    </w:p>
    <w:p w14:paraId="7BC907CF"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6A3D9A37" w14:textId="77777777" w:rsidR="00D3344B" w:rsidRDefault="00143C25">
      <w:pPr>
        <w:pStyle w:val="Estilo"/>
        <w:rPr>
          <w:rFonts w:cs="Arial"/>
        </w:rPr>
      </w:pPr>
      <w:r>
        <w:rPr>
          <w:rFonts w:cs="Arial"/>
        </w:rPr>
        <w:t>El plazo para hacer las manifestaciones de las modificaciones será de noventa días posteriores a que se concluyan las obras u ocurra el hecho que dé lugar a la modificación, las cuales tendrán vigencia de un año contado a partir de la fecha de expedición.</w:t>
      </w:r>
    </w:p>
    <w:p w14:paraId="5852204C" w14:textId="77777777" w:rsidR="00D3344B" w:rsidRDefault="00D3344B">
      <w:pPr>
        <w:pStyle w:val="Estilo"/>
        <w:rPr>
          <w:rFonts w:cs="Arial"/>
        </w:rPr>
      </w:pPr>
    </w:p>
    <w:p w14:paraId="61ADE829" w14:textId="77777777" w:rsidR="00D3344B" w:rsidRDefault="00143C25">
      <w:pPr>
        <w:pStyle w:val="Estilo"/>
        <w:rPr>
          <w:rFonts w:cs="Arial"/>
        </w:rPr>
      </w:pPr>
      <w:r>
        <w:rPr>
          <w:rFonts w:cs="Arial"/>
          <w:b/>
        </w:rPr>
        <w:t>Artículo 179.</w:t>
      </w:r>
      <w:r>
        <w:rPr>
          <w:rFonts w:cs="Arial"/>
        </w:rPr>
        <w:t xml:space="preserve"> El nuevo valor catastral surtirá sus efectos a partir del bimestre en que se produzca el hecho o acto que de origen a la modificación o a partir del bimestre siguiente al en que se notifique el nuevo avalúo, cuando éste se practique por la autoridad en vista de haber transcurrido el plazo de vigencia del mismo.</w:t>
      </w:r>
    </w:p>
    <w:p w14:paraId="67B063F4" w14:textId="77777777" w:rsidR="00D3344B" w:rsidRDefault="00D3344B">
      <w:pPr>
        <w:pStyle w:val="Estilo"/>
        <w:rPr>
          <w:rFonts w:cs="Arial"/>
        </w:rPr>
      </w:pPr>
    </w:p>
    <w:p w14:paraId="74F77987" w14:textId="77777777" w:rsidR="00D3344B" w:rsidRDefault="00143C25">
      <w:pPr>
        <w:pStyle w:val="Estilo"/>
        <w:rPr>
          <w:rFonts w:cs="Arial"/>
        </w:rPr>
      </w:pPr>
      <w:r>
        <w:rPr>
          <w:rFonts w:cs="Arial"/>
          <w:b/>
        </w:rPr>
        <w:t>Artículo 180.</w:t>
      </w:r>
      <w:r>
        <w:rPr>
          <w:rFonts w:cs="Arial"/>
        </w:rPr>
        <w:t xml:space="preserve"> Tratándose de fraccionamientos o condominios, el impuesto se causará por cada fracción, departamento, piso, vivienda o local que resulte, a partir del bimestre siguiente a la fecha en que se autorice su constitución.</w:t>
      </w:r>
    </w:p>
    <w:p w14:paraId="54FE33D7" w14:textId="77777777" w:rsidR="00D3344B" w:rsidRDefault="00D3344B">
      <w:pPr>
        <w:pStyle w:val="Estilo"/>
        <w:rPr>
          <w:rFonts w:cs="Arial"/>
        </w:rPr>
      </w:pPr>
    </w:p>
    <w:p w14:paraId="3717AC6D" w14:textId="77777777" w:rsidR="00D3344B" w:rsidRDefault="00143C25">
      <w:pPr>
        <w:pStyle w:val="Estilo"/>
        <w:rPr>
          <w:rFonts w:cs="Arial"/>
        </w:rPr>
      </w:pPr>
      <w:r>
        <w:rPr>
          <w:rFonts w:cs="Arial"/>
          <w:b/>
        </w:rPr>
        <w:t>Artículo 181.</w:t>
      </w:r>
      <w:r>
        <w:rPr>
          <w:rFonts w:cs="Arial"/>
        </w:rPr>
        <w:t xml:space="preserve"> Cada Municipio del Estado contará con una Comisión Consultiva Municipal, que tendrá el carácter de organismo permanente de regulación en materia del impuesto predial, encargada de la elaboración y actualización permanente de las tablas de valores unitarios.</w:t>
      </w:r>
    </w:p>
    <w:p w14:paraId="223EABF7" w14:textId="77777777" w:rsidR="00D3344B" w:rsidRDefault="00D3344B">
      <w:pPr>
        <w:pStyle w:val="Estilo"/>
        <w:rPr>
          <w:rFonts w:cs="Arial"/>
        </w:rPr>
      </w:pPr>
    </w:p>
    <w:p w14:paraId="5957D874" w14:textId="77777777" w:rsidR="00D3344B" w:rsidRDefault="00143C25">
      <w:pPr>
        <w:pStyle w:val="Estilo"/>
        <w:rPr>
          <w:rFonts w:cs="Arial"/>
        </w:rPr>
      </w:pPr>
      <w:r>
        <w:rPr>
          <w:rFonts w:cs="Arial"/>
          <w:b/>
        </w:rPr>
        <w:t>Artículo 182.</w:t>
      </w:r>
      <w:r>
        <w:rPr>
          <w:rFonts w:cs="Arial"/>
        </w:rPr>
        <w:t xml:space="preserve"> La Comisión Consultiva Municipal estará constituida de la manera siguiente:</w:t>
      </w:r>
    </w:p>
    <w:p w14:paraId="1A17BD0C" w14:textId="77777777" w:rsidR="00D3344B" w:rsidRDefault="00D3344B">
      <w:pPr>
        <w:pStyle w:val="Estilo"/>
        <w:rPr>
          <w:rFonts w:cs="Arial"/>
        </w:rPr>
      </w:pPr>
    </w:p>
    <w:p w14:paraId="1BBC4636" w14:textId="77777777" w:rsidR="00D3344B" w:rsidRDefault="00143C25">
      <w:pPr>
        <w:pStyle w:val="Estilo"/>
        <w:ind w:left="567" w:hanging="567"/>
        <w:rPr>
          <w:rFonts w:cs="Arial"/>
        </w:rPr>
      </w:pPr>
      <w:r>
        <w:rPr>
          <w:rFonts w:cs="Arial"/>
        </w:rPr>
        <w:t xml:space="preserve">I. </w:t>
      </w:r>
      <w:r>
        <w:rPr>
          <w:rFonts w:cs="Arial"/>
        </w:rPr>
        <w:tab/>
        <w:t xml:space="preserve">Un </w:t>
      </w:r>
      <w:proofErr w:type="gramStart"/>
      <w:r>
        <w:rPr>
          <w:rFonts w:cs="Arial"/>
        </w:rPr>
        <w:t>Presidente</w:t>
      </w:r>
      <w:proofErr w:type="gramEnd"/>
      <w:r>
        <w:rPr>
          <w:rFonts w:cs="Arial"/>
        </w:rPr>
        <w:t>, que será el Presidente Municipal, o quien lo sustituya en sus funciones;</w:t>
      </w:r>
    </w:p>
    <w:p w14:paraId="20DE38B8" w14:textId="77777777" w:rsidR="00D3344B" w:rsidRDefault="00D3344B">
      <w:pPr>
        <w:pStyle w:val="Estilo"/>
        <w:ind w:left="567" w:hanging="567"/>
        <w:rPr>
          <w:rFonts w:cs="Arial"/>
        </w:rPr>
      </w:pPr>
    </w:p>
    <w:p w14:paraId="0832C00A" w14:textId="77777777" w:rsidR="00D3344B" w:rsidRDefault="00143C25">
      <w:pPr>
        <w:pStyle w:val="Estilo"/>
        <w:ind w:left="567" w:hanging="567"/>
        <w:rPr>
          <w:rFonts w:cs="Arial"/>
        </w:rPr>
      </w:pPr>
      <w:r>
        <w:rPr>
          <w:rFonts w:cs="Arial"/>
        </w:rPr>
        <w:t xml:space="preserve">II. </w:t>
      </w:r>
      <w:r>
        <w:rPr>
          <w:rFonts w:cs="Arial"/>
        </w:rPr>
        <w:tab/>
        <w:t xml:space="preserve">Un </w:t>
      </w:r>
      <w:proofErr w:type="gramStart"/>
      <w:r>
        <w:rPr>
          <w:rFonts w:cs="Arial"/>
        </w:rPr>
        <w:t>Secretario</w:t>
      </w:r>
      <w:proofErr w:type="gramEnd"/>
      <w:r>
        <w:rPr>
          <w:rFonts w:cs="Arial"/>
        </w:rPr>
        <w:t>, que será el representante del Instituto de Catastro del Estado;</w:t>
      </w:r>
    </w:p>
    <w:p w14:paraId="1DFE0744" w14:textId="77777777" w:rsidR="00D3344B" w:rsidRDefault="00D3344B">
      <w:pPr>
        <w:pStyle w:val="Estilo"/>
        <w:ind w:left="567" w:hanging="567"/>
        <w:rPr>
          <w:rFonts w:cs="Arial"/>
        </w:rPr>
      </w:pPr>
    </w:p>
    <w:p w14:paraId="3569880E" w14:textId="77777777" w:rsidR="00D3344B" w:rsidRDefault="00143C25">
      <w:pPr>
        <w:pStyle w:val="Estilo"/>
        <w:ind w:left="567" w:hanging="567"/>
        <w:rPr>
          <w:rFonts w:cs="Arial"/>
        </w:rPr>
      </w:pPr>
      <w:r>
        <w:rPr>
          <w:rFonts w:cs="Arial"/>
        </w:rPr>
        <w:t xml:space="preserve">III. </w:t>
      </w:r>
      <w:r>
        <w:rPr>
          <w:rFonts w:cs="Arial"/>
        </w:rPr>
        <w:tab/>
        <w:t xml:space="preserve">Los </w:t>
      </w:r>
      <w:proofErr w:type="gramStart"/>
      <w:r>
        <w:rPr>
          <w:rFonts w:cs="Arial"/>
        </w:rPr>
        <w:t>Presidentes</w:t>
      </w:r>
      <w:proofErr w:type="gramEnd"/>
      <w:r>
        <w:rPr>
          <w:rFonts w:cs="Arial"/>
        </w:rPr>
        <w:t xml:space="preserve"> de comunidad;</w:t>
      </w:r>
    </w:p>
    <w:p w14:paraId="2C955E73" w14:textId="77777777" w:rsidR="00D3344B" w:rsidRDefault="00D3344B">
      <w:pPr>
        <w:pStyle w:val="Estilo"/>
        <w:ind w:left="567" w:hanging="567"/>
        <w:rPr>
          <w:rFonts w:cs="Arial"/>
        </w:rPr>
      </w:pPr>
    </w:p>
    <w:p w14:paraId="795521B0" w14:textId="77777777" w:rsidR="00D3344B" w:rsidRDefault="00143C25">
      <w:pPr>
        <w:pStyle w:val="Estilo"/>
        <w:ind w:left="567" w:hanging="567"/>
        <w:rPr>
          <w:rFonts w:cs="Arial"/>
        </w:rPr>
      </w:pPr>
      <w:r>
        <w:rPr>
          <w:rFonts w:cs="Arial"/>
        </w:rPr>
        <w:t xml:space="preserve">IV. </w:t>
      </w:r>
      <w:r>
        <w:rPr>
          <w:rFonts w:cs="Arial"/>
        </w:rPr>
        <w:tab/>
        <w:t>Un representante de los propietarios de predios urbanos;</w:t>
      </w:r>
    </w:p>
    <w:p w14:paraId="51FA5AD1" w14:textId="77777777" w:rsidR="00D3344B" w:rsidRDefault="00D3344B">
      <w:pPr>
        <w:pStyle w:val="Estilo"/>
        <w:ind w:left="567" w:hanging="567"/>
        <w:rPr>
          <w:rFonts w:cs="Arial"/>
        </w:rPr>
      </w:pPr>
    </w:p>
    <w:p w14:paraId="0C7AE3C3" w14:textId="77777777" w:rsidR="00D3344B" w:rsidRDefault="00143C25">
      <w:pPr>
        <w:pStyle w:val="Estilo"/>
        <w:ind w:left="567" w:hanging="567"/>
        <w:rPr>
          <w:rFonts w:cs="Arial"/>
        </w:rPr>
      </w:pPr>
      <w:r>
        <w:rPr>
          <w:rFonts w:cs="Arial"/>
        </w:rPr>
        <w:t xml:space="preserve">V. </w:t>
      </w:r>
      <w:r>
        <w:rPr>
          <w:rFonts w:cs="Arial"/>
        </w:rPr>
        <w:tab/>
        <w:t>Un representante de los propietarios de predios rústicos;</w:t>
      </w:r>
    </w:p>
    <w:p w14:paraId="61806F87" w14:textId="77777777" w:rsidR="00D3344B" w:rsidRDefault="00D3344B">
      <w:pPr>
        <w:pStyle w:val="Estilo"/>
        <w:ind w:left="567" w:hanging="567"/>
        <w:rPr>
          <w:rFonts w:cs="Arial"/>
        </w:rPr>
      </w:pPr>
    </w:p>
    <w:p w14:paraId="17437705" w14:textId="77777777" w:rsidR="00D3344B" w:rsidRDefault="00143C25">
      <w:pPr>
        <w:pStyle w:val="Estilo"/>
        <w:ind w:left="567" w:hanging="567"/>
        <w:rPr>
          <w:rFonts w:cs="Arial"/>
        </w:rPr>
      </w:pPr>
      <w:r>
        <w:rPr>
          <w:rFonts w:cs="Arial"/>
        </w:rPr>
        <w:t xml:space="preserve">VI. </w:t>
      </w:r>
      <w:r>
        <w:rPr>
          <w:rFonts w:cs="Arial"/>
        </w:rPr>
        <w:tab/>
        <w:t>Un representante de los ejidatarios y de los campesinos, y</w:t>
      </w:r>
    </w:p>
    <w:p w14:paraId="1239C0A7" w14:textId="77777777" w:rsidR="00D3344B" w:rsidRDefault="00D3344B">
      <w:pPr>
        <w:pStyle w:val="Estilo"/>
        <w:ind w:left="567" w:hanging="567"/>
        <w:rPr>
          <w:rFonts w:cs="Arial"/>
        </w:rPr>
      </w:pPr>
    </w:p>
    <w:p w14:paraId="4CA0853C" w14:textId="77777777" w:rsidR="00D3344B" w:rsidRDefault="00143C25">
      <w:pPr>
        <w:pStyle w:val="Estilo"/>
        <w:ind w:left="567" w:hanging="567"/>
        <w:rPr>
          <w:rFonts w:cs="Arial"/>
        </w:rPr>
      </w:pPr>
      <w:r>
        <w:rPr>
          <w:rFonts w:cs="Arial"/>
        </w:rPr>
        <w:t xml:space="preserve">VII. </w:t>
      </w:r>
      <w:r>
        <w:rPr>
          <w:rFonts w:cs="Arial"/>
        </w:rPr>
        <w:tab/>
        <w:t>Un representante de los propietarios de las industrias establecidas en el Municipio.</w:t>
      </w:r>
    </w:p>
    <w:p w14:paraId="45241BF9" w14:textId="77777777" w:rsidR="00D3344B" w:rsidRDefault="00D3344B">
      <w:pPr>
        <w:pStyle w:val="Estilo"/>
        <w:rPr>
          <w:rFonts w:cs="Arial"/>
        </w:rPr>
      </w:pPr>
    </w:p>
    <w:p w14:paraId="1551FCBF" w14:textId="77777777" w:rsidR="00D3344B" w:rsidRDefault="00143C25">
      <w:pPr>
        <w:pStyle w:val="Estilo"/>
        <w:rPr>
          <w:rFonts w:cs="Arial"/>
        </w:rPr>
      </w:pPr>
      <w:r>
        <w:rPr>
          <w:rFonts w:cs="Arial"/>
        </w:rPr>
        <w:t>Los integrantes de las comisiones consultivas del impuesto predial a que se refieren las fracciones IV a VII de este artículo, serán nombrados por el Ayuntamiento correspondiente, bajo su responsabilidad, por insaculación, con base en el padrón de contribuyentes del impuesto.</w:t>
      </w:r>
    </w:p>
    <w:p w14:paraId="0559E456" w14:textId="77777777" w:rsidR="00D3344B" w:rsidRDefault="00D3344B">
      <w:pPr>
        <w:pStyle w:val="Estilo"/>
        <w:rPr>
          <w:rFonts w:cs="Arial"/>
        </w:rPr>
      </w:pPr>
    </w:p>
    <w:p w14:paraId="64996C84" w14:textId="77777777" w:rsidR="00D3344B" w:rsidRDefault="00143C25">
      <w:pPr>
        <w:pStyle w:val="Estilo"/>
        <w:rPr>
          <w:rFonts w:cs="Arial"/>
        </w:rPr>
      </w:pPr>
      <w:r>
        <w:rPr>
          <w:rFonts w:cs="Arial"/>
        </w:rPr>
        <w:t>Los cargos dentro de estas comisiones serán de carácter honorífico.</w:t>
      </w:r>
    </w:p>
    <w:p w14:paraId="6CE4E369" w14:textId="77777777" w:rsidR="00D3344B" w:rsidRDefault="00D3344B">
      <w:pPr>
        <w:pStyle w:val="Estilo"/>
        <w:rPr>
          <w:rFonts w:cs="Arial"/>
        </w:rPr>
      </w:pPr>
    </w:p>
    <w:p w14:paraId="23F51CB8" w14:textId="77777777" w:rsidR="00D3344B" w:rsidRDefault="00143C25">
      <w:pPr>
        <w:pStyle w:val="Estilo"/>
        <w:rPr>
          <w:rFonts w:cs="Arial"/>
        </w:rPr>
      </w:pPr>
      <w:r>
        <w:rPr>
          <w:rFonts w:cs="Arial"/>
          <w:b/>
        </w:rPr>
        <w:t>Artículo 183.</w:t>
      </w:r>
      <w:r>
        <w:rPr>
          <w:rFonts w:cs="Arial"/>
        </w:rPr>
        <w:t xml:space="preserve"> Las comisiones consultivas tendrán las siguientes facultades y obligaciones:</w:t>
      </w:r>
    </w:p>
    <w:p w14:paraId="0D5B9623" w14:textId="77777777" w:rsidR="00D3344B" w:rsidRDefault="00D3344B">
      <w:pPr>
        <w:pStyle w:val="Estilo"/>
        <w:rPr>
          <w:rFonts w:cs="Arial"/>
        </w:rPr>
      </w:pPr>
    </w:p>
    <w:p w14:paraId="0D9B87A6" w14:textId="77777777" w:rsidR="00D3344B" w:rsidRDefault="00143C25">
      <w:pPr>
        <w:pStyle w:val="Estilo"/>
        <w:ind w:left="567" w:hanging="567"/>
        <w:rPr>
          <w:rFonts w:cs="Arial"/>
        </w:rPr>
      </w:pPr>
      <w:r>
        <w:rPr>
          <w:rFonts w:cs="Arial"/>
        </w:rPr>
        <w:lastRenderedPageBreak/>
        <w:t xml:space="preserve">I. </w:t>
      </w:r>
      <w:r>
        <w:rPr>
          <w:rFonts w:cs="Arial"/>
        </w:rPr>
        <w:tab/>
        <w:t>Mantener actualizada la tabla de valores para establecer los precios unitarios de los terrenos urbanos y rústicos y las construcciones, de acuerdo a sus características;</w:t>
      </w:r>
    </w:p>
    <w:p w14:paraId="22AF90FF" w14:textId="77777777" w:rsidR="00D3344B" w:rsidRDefault="00D3344B">
      <w:pPr>
        <w:pStyle w:val="Estilo"/>
        <w:ind w:left="567" w:hanging="567"/>
        <w:rPr>
          <w:rFonts w:cs="Arial"/>
        </w:rPr>
      </w:pPr>
    </w:p>
    <w:p w14:paraId="445A4820" w14:textId="77777777" w:rsidR="00D3344B" w:rsidRDefault="00143C25">
      <w:pPr>
        <w:pStyle w:val="Estilo"/>
        <w:ind w:left="567" w:hanging="567"/>
        <w:rPr>
          <w:rFonts w:cs="Arial"/>
        </w:rPr>
      </w:pPr>
      <w:r>
        <w:rPr>
          <w:rFonts w:cs="Arial"/>
        </w:rPr>
        <w:t xml:space="preserve">II. </w:t>
      </w:r>
      <w:r>
        <w:rPr>
          <w:rFonts w:cs="Arial"/>
        </w:rPr>
        <w:tab/>
        <w:t>Solicitar al Instituto de Catastro del Estado, los estudios de valores catastrales, con los soportes técnicos que en cada caso procedan, y</w:t>
      </w:r>
    </w:p>
    <w:p w14:paraId="568DC406" w14:textId="77777777" w:rsidR="00D3344B" w:rsidRDefault="00D3344B">
      <w:pPr>
        <w:pStyle w:val="Estilo"/>
        <w:ind w:left="567" w:hanging="567"/>
        <w:rPr>
          <w:rFonts w:cs="Arial"/>
        </w:rPr>
      </w:pPr>
    </w:p>
    <w:p w14:paraId="17A5F033" w14:textId="77777777" w:rsidR="00D3344B" w:rsidRDefault="00143C25">
      <w:pPr>
        <w:pStyle w:val="Estilo"/>
        <w:ind w:left="567" w:hanging="567"/>
        <w:rPr>
          <w:rFonts w:cs="Arial"/>
        </w:rPr>
      </w:pPr>
      <w:r>
        <w:rPr>
          <w:rFonts w:cs="Arial"/>
        </w:rPr>
        <w:t xml:space="preserve">III. </w:t>
      </w:r>
      <w:r>
        <w:rPr>
          <w:rFonts w:cs="Arial"/>
        </w:rPr>
        <w:tab/>
        <w:t>Turnar a la Secretaría, las tablas de valores o coeficientes de incremento o demérito de los predios y de las construcciones para que ésta los remita a la dependencia correspondiente para su debida publicación en el Periódico Oficial del Gobierno del Estado.</w:t>
      </w:r>
    </w:p>
    <w:p w14:paraId="53FC9C15" w14:textId="77777777" w:rsidR="00D3344B" w:rsidRDefault="00D3344B">
      <w:pPr>
        <w:pStyle w:val="Estilo"/>
        <w:rPr>
          <w:rFonts w:cs="Arial"/>
        </w:rPr>
      </w:pPr>
    </w:p>
    <w:p w14:paraId="1CFCBD61" w14:textId="77777777" w:rsidR="00D3344B" w:rsidRDefault="00143C25">
      <w:pPr>
        <w:pStyle w:val="Estilo"/>
        <w:rPr>
          <w:rFonts w:cs="Arial"/>
        </w:rPr>
      </w:pPr>
      <w:r>
        <w:rPr>
          <w:rFonts w:cs="Arial"/>
          <w:b/>
        </w:rPr>
        <w:t>Artículo 184.</w:t>
      </w:r>
      <w:r>
        <w:rPr>
          <w:rFonts w:cs="Arial"/>
        </w:rPr>
        <w:t xml:space="preserve"> La organización y funcionamiento de las comisiones consultivas se regirá por lo que disponga el reglamento que expida el Ayuntamiento que corresponda.</w:t>
      </w:r>
    </w:p>
    <w:p w14:paraId="26F9ED5C" w14:textId="77777777" w:rsidR="00D3344B" w:rsidRDefault="00D3344B">
      <w:pPr>
        <w:pStyle w:val="Estilo"/>
        <w:rPr>
          <w:rFonts w:cs="Arial"/>
        </w:rPr>
      </w:pPr>
    </w:p>
    <w:p w14:paraId="5D13A1F6" w14:textId="77777777" w:rsidR="00D3344B" w:rsidRDefault="00143C25">
      <w:pPr>
        <w:pStyle w:val="Estilo"/>
        <w:rPr>
          <w:rFonts w:cs="Arial"/>
        </w:rPr>
      </w:pPr>
      <w:r>
        <w:rPr>
          <w:rFonts w:cs="Arial"/>
          <w:b/>
        </w:rPr>
        <w:t>Artículo 185.</w:t>
      </w:r>
      <w:r>
        <w:rPr>
          <w:rFonts w:cs="Arial"/>
        </w:rPr>
        <w:t xml:space="preserve"> Las tablas de valores tienen por objeto asignar valor catastral a los predios ubicados en el territorio del municipio que corresponda, para efectos del cobro del impuesto predial.</w:t>
      </w:r>
    </w:p>
    <w:p w14:paraId="55393567" w14:textId="77777777" w:rsidR="00D3344B" w:rsidRDefault="00D3344B">
      <w:pPr>
        <w:pStyle w:val="Estilo"/>
        <w:rPr>
          <w:rFonts w:cs="Arial"/>
        </w:rPr>
      </w:pPr>
    </w:p>
    <w:p w14:paraId="0EC2A4DC" w14:textId="77777777" w:rsidR="00D3344B" w:rsidRDefault="00143C25">
      <w:pPr>
        <w:pStyle w:val="Estilo"/>
        <w:rPr>
          <w:rFonts w:cs="Arial"/>
        </w:rPr>
      </w:pPr>
      <w:r>
        <w:rPr>
          <w:rFonts w:cs="Arial"/>
          <w:b/>
        </w:rPr>
        <w:t>Artículo 186.</w:t>
      </w:r>
      <w:r>
        <w:rPr>
          <w:rFonts w:cs="Arial"/>
        </w:rPr>
        <w:t xml:space="preserve"> La valoración se fundará en el valor del terreno y de las construcciones, así como en los demás elementos que modifiquen el valor de los predios.</w:t>
      </w:r>
    </w:p>
    <w:p w14:paraId="5C3B49BC" w14:textId="77777777" w:rsidR="00D3344B" w:rsidRDefault="00D3344B">
      <w:pPr>
        <w:pStyle w:val="Estilo"/>
        <w:rPr>
          <w:rFonts w:cs="Arial"/>
        </w:rPr>
      </w:pPr>
    </w:p>
    <w:p w14:paraId="6988ABE1" w14:textId="77777777" w:rsidR="00D3344B" w:rsidRDefault="00143C25">
      <w:pPr>
        <w:pStyle w:val="Estilo"/>
        <w:rPr>
          <w:rFonts w:cs="Arial"/>
        </w:rPr>
      </w:pPr>
      <w:r>
        <w:rPr>
          <w:rFonts w:cs="Arial"/>
          <w:b/>
        </w:rPr>
        <w:t>Artículo 187.</w:t>
      </w:r>
      <w:r>
        <w:rPr>
          <w:rFonts w:cs="Arial"/>
        </w:rPr>
        <w:t xml:space="preserve"> Para la determinación de los valores unitarios de predios, se considerará:</w:t>
      </w:r>
    </w:p>
    <w:p w14:paraId="3B36B6DF" w14:textId="77777777" w:rsidR="00D3344B" w:rsidRDefault="00D3344B">
      <w:pPr>
        <w:pStyle w:val="Estilo"/>
        <w:rPr>
          <w:rFonts w:cs="Arial"/>
        </w:rPr>
      </w:pPr>
    </w:p>
    <w:p w14:paraId="3D126493" w14:textId="77777777" w:rsidR="00D3344B" w:rsidRDefault="00143C25">
      <w:pPr>
        <w:pStyle w:val="Estilo"/>
        <w:ind w:left="567" w:hanging="567"/>
        <w:rPr>
          <w:rFonts w:cs="Arial"/>
        </w:rPr>
      </w:pPr>
      <w:r>
        <w:rPr>
          <w:rFonts w:cs="Arial"/>
        </w:rPr>
        <w:t xml:space="preserve">I. </w:t>
      </w:r>
      <w:r>
        <w:rPr>
          <w:rFonts w:cs="Arial"/>
        </w:rPr>
        <w:tab/>
        <w:t xml:space="preserve">Tratándose de predios urbanos, el valor unitario por calle o zona, </w:t>
      </w:r>
      <w:proofErr w:type="gramStart"/>
      <w:r>
        <w:rPr>
          <w:rFonts w:cs="Arial"/>
        </w:rPr>
        <w:t>considerando</w:t>
      </w:r>
      <w:proofErr w:type="gramEnd"/>
      <w:r>
        <w:rPr>
          <w:rFonts w:cs="Arial"/>
        </w:rPr>
        <w:t xml:space="preserve"> además:</w:t>
      </w:r>
    </w:p>
    <w:p w14:paraId="05A933E6" w14:textId="77777777" w:rsidR="00D3344B" w:rsidRDefault="00D3344B">
      <w:pPr>
        <w:pStyle w:val="Estilo"/>
        <w:ind w:left="567" w:hanging="567"/>
        <w:rPr>
          <w:rFonts w:cs="Arial"/>
        </w:rPr>
      </w:pPr>
    </w:p>
    <w:p w14:paraId="47389F86" w14:textId="77777777" w:rsidR="00D3344B" w:rsidRDefault="00143C25">
      <w:pPr>
        <w:pStyle w:val="Estilo"/>
        <w:ind w:left="1134" w:hanging="567"/>
        <w:rPr>
          <w:rFonts w:cs="Arial"/>
        </w:rPr>
      </w:pPr>
      <w:r>
        <w:rPr>
          <w:rFonts w:cs="Arial"/>
        </w:rPr>
        <w:t xml:space="preserve">a) </w:t>
      </w:r>
      <w:r>
        <w:rPr>
          <w:rFonts w:cs="Arial"/>
        </w:rPr>
        <w:tab/>
        <w:t>Los servicios municipales existentes;</w:t>
      </w:r>
    </w:p>
    <w:p w14:paraId="624CAE85" w14:textId="77777777" w:rsidR="00D3344B" w:rsidRDefault="00D3344B">
      <w:pPr>
        <w:pStyle w:val="Estilo"/>
        <w:ind w:left="1134" w:hanging="567"/>
        <w:rPr>
          <w:rFonts w:cs="Arial"/>
        </w:rPr>
      </w:pPr>
    </w:p>
    <w:p w14:paraId="32D0122A" w14:textId="77777777" w:rsidR="00D3344B" w:rsidRDefault="00143C25">
      <w:pPr>
        <w:pStyle w:val="Estilo"/>
        <w:ind w:left="1134" w:hanging="567"/>
        <w:rPr>
          <w:rFonts w:cs="Arial"/>
        </w:rPr>
      </w:pPr>
      <w:r>
        <w:rPr>
          <w:rFonts w:cs="Arial"/>
        </w:rPr>
        <w:t xml:space="preserve">b) </w:t>
      </w:r>
      <w:r>
        <w:rPr>
          <w:rFonts w:cs="Arial"/>
        </w:rPr>
        <w:tab/>
        <w:t>Las vías de comunicación;</w:t>
      </w:r>
    </w:p>
    <w:p w14:paraId="735593AC" w14:textId="77777777" w:rsidR="00D3344B" w:rsidRDefault="00D3344B">
      <w:pPr>
        <w:pStyle w:val="Estilo"/>
        <w:ind w:left="1134" w:hanging="567"/>
        <w:rPr>
          <w:rFonts w:cs="Arial"/>
        </w:rPr>
      </w:pPr>
    </w:p>
    <w:p w14:paraId="350F1317" w14:textId="77777777" w:rsidR="00D3344B" w:rsidRDefault="00143C25">
      <w:pPr>
        <w:pStyle w:val="Estilo"/>
        <w:ind w:left="1134" w:hanging="567"/>
        <w:rPr>
          <w:rFonts w:cs="Arial"/>
        </w:rPr>
      </w:pPr>
      <w:r>
        <w:rPr>
          <w:rFonts w:cs="Arial"/>
        </w:rPr>
        <w:t xml:space="preserve">c) </w:t>
      </w:r>
      <w:r>
        <w:rPr>
          <w:rFonts w:cs="Arial"/>
        </w:rPr>
        <w:tab/>
        <w:t>La cercanía con centros de abasto, y</w:t>
      </w:r>
    </w:p>
    <w:p w14:paraId="1E5C1886" w14:textId="77777777" w:rsidR="00D3344B" w:rsidRDefault="00D3344B">
      <w:pPr>
        <w:pStyle w:val="Estilo"/>
        <w:ind w:left="1134" w:hanging="567"/>
        <w:rPr>
          <w:rFonts w:cs="Arial"/>
        </w:rPr>
      </w:pPr>
    </w:p>
    <w:p w14:paraId="4E2584E0" w14:textId="77777777" w:rsidR="00D3344B" w:rsidRDefault="00143C25">
      <w:pPr>
        <w:pStyle w:val="Estilo"/>
        <w:ind w:left="1134" w:hanging="567"/>
        <w:rPr>
          <w:rFonts w:cs="Arial"/>
        </w:rPr>
      </w:pPr>
      <w:r>
        <w:rPr>
          <w:rFonts w:cs="Arial"/>
        </w:rPr>
        <w:t xml:space="preserve">d) </w:t>
      </w:r>
      <w:r>
        <w:rPr>
          <w:rFonts w:cs="Arial"/>
        </w:rPr>
        <w:tab/>
        <w:t>La cercanía con centros comerciales establecidos.</w:t>
      </w:r>
    </w:p>
    <w:p w14:paraId="1067680F" w14:textId="77777777" w:rsidR="00D3344B" w:rsidRDefault="00D3344B">
      <w:pPr>
        <w:pStyle w:val="Estilo"/>
        <w:ind w:left="567" w:hanging="567"/>
        <w:rPr>
          <w:rFonts w:cs="Arial"/>
        </w:rPr>
      </w:pPr>
    </w:p>
    <w:p w14:paraId="6A0FC364" w14:textId="77777777" w:rsidR="00D3344B" w:rsidRDefault="00143C25">
      <w:pPr>
        <w:pStyle w:val="Estilo"/>
        <w:ind w:left="567" w:hanging="567"/>
        <w:rPr>
          <w:rFonts w:cs="Arial"/>
        </w:rPr>
      </w:pPr>
      <w:r>
        <w:rPr>
          <w:rFonts w:cs="Arial"/>
        </w:rPr>
        <w:t xml:space="preserve">II. Para predios rústicos, los valores unitarios de la zona, tomando en </w:t>
      </w:r>
      <w:proofErr w:type="gramStart"/>
      <w:r>
        <w:rPr>
          <w:rFonts w:cs="Arial"/>
        </w:rPr>
        <w:t>cuenta</w:t>
      </w:r>
      <w:proofErr w:type="gramEnd"/>
      <w:r>
        <w:rPr>
          <w:rFonts w:cs="Arial"/>
        </w:rPr>
        <w:t xml:space="preserve"> además:</w:t>
      </w:r>
    </w:p>
    <w:p w14:paraId="79C7B927" w14:textId="77777777" w:rsidR="00D3344B" w:rsidRDefault="00D3344B">
      <w:pPr>
        <w:pStyle w:val="Estilo"/>
        <w:ind w:left="567" w:hanging="567"/>
        <w:rPr>
          <w:rFonts w:cs="Arial"/>
        </w:rPr>
      </w:pPr>
    </w:p>
    <w:p w14:paraId="7E170799" w14:textId="77777777" w:rsidR="00D3344B" w:rsidRDefault="00143C25">
      <w:pPr>
        <w:pStyle w:val="Estilo"/>
        <w:ind w:left="1134" w:hanging="567"/>
        <w:rPr>
          <w:rFonts w:cs="Arial"/>
        </w:rPr>
      </w:pPr>
      <w:r>
        <w:rPr>
          <w:rFonts w:cs="Arial"/>
        </w:rPr>
        <w:t xml:space="preserve">a) </w:t>
      </w:r>
      <w:r>
        <w:rPr>
          <w:rFonts w:cs="Arial"/>
        </w:rPr>
        <w:tab/>
        <w:t>El tipo o clase de tierra;</w:t>
      </w:r>
    </w:p>
    <w:p w14:paraId="548B714A" w14:textId="77777777" w:rsidR="00D3344B" w:rsidRDefault="00D3344B">
      <w:pPr>
        <w:pStyle w:val="Estilo"/>
        <w:ind w:left="1134" w:hanging="567"/>
        <w:rPr>
          <w:rFonts w:cs="Arial"/>
        </w:rPr>
      </w:pPr>
    </w:p>
    <w:p w14:paraId="048615B4" w14:textId="77777777" w:rsidR="00D3344B" w:rsidRDefault="00143C25">
      <w:pPr>
        <w:pStyle w:val="Estilo"/>
        <w:ind w:left="1134" w:hanging="567"/>
        <w:rPr>
          <w:rFonts w:cs="Arial"/>
        </w:rPr>
      </w:pPr>
      <w:r>
        <w:rPr>
          <w:rFonts w:cs="Arial"/>
        </w:rPr>
        <w:t xml:space="preserve">b) </w:t>
      </w:r>
      <w:r>
        <w:rPr>
          <w:rFonts w:cs="Arial"/>
        </w:rPr>
        <w:tab/>
        <w:t>La calidad, condiciones hidrológicas, humedad relativa y cualquier otra característica que pueda influir en los mismos, y</w:t>
      </w:r>
    </w:p>
    <w:p w14:paraId="26FB4A7F" w14:textId="77777777" w:rsidR="00D3344B" w:rsidRDefault="00D3344B">
      <w:pPr>
        <w:pStyle w:val="Estilo"/>
        <w:ind w:left="1134" w:hanging="567"/>
        <w:rPr>
          <w:rFonts w:cs="Arial"/>
        </w:rPr>
      </w:pPr>
    </w:p>
    <w:p w14:paraId="1165B525" w14:textId="77777777" w:rsidR="00D3344B" w:rsidRDefault="00143C25">
      <w:pPr>
        <w:pStyle w:val="Estilo"/>
        <w:ind w:left="1134" w:hanging="567"/>
        <w:rPr>
          <w:rFonts w:cs="Arial"/>
        </w:rPr>
      </w:pPr>
      <w:r>
        <w:rPr>
          <w:rFonts w:cs="Arial"/>
        </w:rPr>
        <w:lastRenderedPageBreak/>
        <w:t xml:space="preserve">c) </w:t>
      </w:r>
      <w:r>
        <w:rPr>
          <w:rFonts w:cs="Arial"/>
        </w:rPr>
        <w:tab/>
        <w:t>La ubicación y cercanía a las vías de comunicación y centros de población.</w:t>
      </w:r>
    </w:p>
    <w:p w14:paraId="05E2F91A" w14:textId="77777777" w:rsidR="00D3344B" w:rsidRDefault="00D3344B">
      <w:pPr>
        <w:pStyle w:val="Estilo"/>
        <w:rPr>
          <w:rFonts w:cs="Arial"/>
        </w:rPr>
      </w:pPr>
    </w:p>
    <w:p w14:paraId="6F7B17CF" w14:textId="77777777" w:rsidR="00D3344B" w:rsidRDefault="00143C25">
      <w:pPr>
        <w:pStyle w:val="Estilo"/>
        <w:rPr>
          <w:rFonts w:cs="Arial"/>
        </w:rPr>
      </w:pPr>
      <w:r>
        <w:rPr>
          <w:rFonts w:cs="Arial"/>
        </w:rPr>
        <w:t>(REFORMADO, P.O. 21 JUNIO 2021)</w:t>
      </w:r>
    </w:p>
    <w:p w14:paraId="604D5755" w14:textId="77777777" w:rsidR="00D3344B" w:rsidRDefault="00143C25">
      <w:pPr>
        <w:pStyle w:val="Estilo"/>
        <w:rPr>
          <w:rFonts w:cs="Arial"/>
        </w:rPr>
      </w:pPr>
      <w:r>
        <w:rPr>
          <w:rFonts w:cs="Arial"/>
        </w:rPr>
        <w:t>Las personas que sean propietarias de un solo predio destinado para su casa habitación, demostrarán ante la autoridad competente que tienen ingresos familiares equivalentes hasta 2 UMA como máximo para los efectos de la fracción I de este artículo, y 1 UMA tratándose de la fracción II, tendrá tasa cero en el impuesto, en tanto no se modifique dicha percepción, para lo cual cada año presentarán el sustento correspondiente.</w:t>
      </w:r>
    </w:p>
    <w:p w14:paraId="121C50E4" w14:textId="77777777" w:rsidR="00D3344B" w:rsidRDefault="00D3344B">
      <w:pPr>
        <w:pStyle w:val="Estilo"/>
        <w:rPr>
          <w:rFonts w:cs="Arial"/>
        </w:rPr>
      </w:pPr>
    </w:p>
    <w:p w14:paraId="6357FBB7" w14:textId="77777777" w:rsidR="00D3344B" w:rsidRDefault="00143C25">
      <w:pPr>
        <w:pStyle w:val="Estilo"/>
        <w:rPr>
          <w:rFonts w:cs="Arial"/>
        </w:rPr>
      </w:pPr>
      <w:r>
        <w:rPr>
          <w:rFonts w:cs="Arial"/>
          <w:b/>
        </w:rPr>
        <w:t>Artículo 188.</w:t>
      </w:r>
      <w:r>
        <w:rPr>
          <w:rFonts w:cs="Arial"/>
        </w:rPr>
        <w:t xml:space="preserve"> Para los efectos de este título, se entenderá por:</w:t>
      </w:r>
    </w:p>
    <w:p w14:paraId="416080DC" w14:textId="77777777" w:rsidR="00D3344B" w:rsidRDefault="00D3344B">
      <w:pPr>
        <w:pStyle w:val="Estilo"/>
        <w:rPr>
          <w:rFonts w:cs="Arial"/>
        </w:rPr>
      </w:pPr>
    </w:p>
    <w:p w14:paraId="2E3C488C" w14:textId="77777777" w:rsidR="00D3344B" w:rsidRDefault="00143C25">
      <w:pPr>
        <w:pStyle w:val="Estilo"/>
        <w:ind w:left="567" w:hanging="567"/>
        <w:rPr>
          <w:rFonts w:cs="Arial"/>
        </w:rPr>
      </w:pPr>
      <w:r>
        <w:rPr>
          <w:rFonts w:cs="Arial"/>
        </w:rPr>
        <w:t xml:space="preserve">I. </w:t>
      </w:r>
      <w:r>
        <w:rPr>
          <w:rFonts w:cs="Arial"/>
        </w:rPr>
        <w:tab/>
        <w:t>Predio, la porción de terreno comprendida dentro de un perímetro cerrado, con construcciones o sin ellas, que pertenezca en propiedad o posesión a una o varias personas;</w:t>
      </w:r>
    </w:p>
    <w:p w14:paraId="59B7E76B" w14:textId="77777777" w:rsidR="00D3344B" w:rsidRDefault="00D3344B">
      <w:pPr>
        <w:pStyle w:val="Estilo"/>
        <w:ind w:left="567" w:hanging="567"/>
        <w:rPr>
          <w:rFonts w:cs="Arial"/>
        </w:rPr>
      </w:pPr>
    </w:p>
    <w:p w14:paraId="7F35D56D" w14:textId="77777777" w:rsidR="00D3344B" w:rsidRDefault="00143C25">
      <w:pPr>
        <w:pStyle w:val="Estilo"/>
        <w:ind w:left="567" w:hanging="567"/>
        <w:rPr>
          <w:rFonts w:cs="Arial"/>
        </w:rPr>
      </w:pPr>
      <w:r>
        <w:rPr>
          <w:rFonts w:cs="Arial"/>
        </w:rPr>
        <w:t xml:space="preserve">II. </w:t>
      </w:r>
      <w:r>
        <w:rPr>
          <w:rFonts w:cs="Arial"/>
        </w:rPr>
        <w:tab/>
        <w:t>Predio urbano, el que se encuentra dentro de los límites del área de influencia de las ciudades o poblaciones y cuente como mínimo con los servicios de agua y electricidad, y se localice sobre calles trazadas;</w:t>
      </w:r>
    </w:p>
    <w:p w14:paraId="4F49A378" w14:textId="77777777" w:rsidR="00D3344B" w:rsidRDefault="00D3344B">
      <w:pPr>
        <w:pStyle w:val="Estilo"/>
        <w:ind w:left="567" w:hanging="567"/>
        <w:rPr>
          <w:rFonts w:cs="Arial"/>
        </w:rPr>
      </w:pPr>
    </w:p>
    <w:p w14:paraId="57110996" w14:textId="77777777" w:rsidR="00D3344B" w:rsidRDefault="00143C25">
      <w:pPr>
        <w:pStyle w:val="Estilo"/>
        <w:ind w:left="567" w:hanging="567"/>
        <w:rPr>
          <w:rFonts w:cs="Arial"/>
        </w:rPr>
      </w:pPr>
      <w:r>
        <w:rPr>
          <w:rFonts w:cs="Arial"/>
        </w:rPr>
        <w:t xml:space="preserve">III. </w:t>
      </w:r>
      <w:r>
        <w:rPr>
          <w:rFonts w:cs="Arial"/>
        </w:rPr>
        <w:tab/>
        <w:t>Predio rústico, el que estando fuera de los límites a que se refiere la fracción anterior, sea, por su naturaleza, susceptible de actividades agropecuarias, o en general de cualquier otra actividad económica primaria, y</w:t>
      </w:r>
    </w:p>
    <w:p w14:paraId="43A994E9" w14:textId="77777777" w:rsidR="00D3344B" w:rsidRDefault="00D3344B">
      <w:pPr>
        <w:pStyle w:val="Estilo"/>
        <w:ind w:left="567" w:hanging="567"/>
        <w:rPr>
          <w:rFonts w:cs="Arial"/>
        </w:rPr>
      </w:pPr>
    </w:p>
    <w:p w14:paraId="5BC28B2E" w14:textId="77777777" w:rsidR="00D3344B" w:rsidRDefault="00143C25">
      <w:pPr>
        <w:pStyle w:val="Estilo"/>
        <w:ind w:left="567" w:hanging="567"/>
        <w:rPr>
          <w:rFonts w:cs="Arial"/>
        </w:rPr>
      </w:pPr>
      <w:r>
        <w:rPr>
          <w:rFonts w:cs="Arial"/>
        </w:rPr>
        <w:t xml:space="preserve">IV. </w:t>
      </w:r>
      <w:r>
        <w:rPr>
          <w:rFonts w:cs="Arial"/>
        </w:rPr>
        <w:tab/>
        <w:t>Valores unitarios, los que permitan realizar un avalúo general de la propiedad raíz en el Estado, tomando en cuenta los elementos físicos, económicos o cualquier otro que influya o pudiera influir en el valor de los precios y las construcciones.</w:t>
      </w:r>
    </w:p>
    <w:p w14:paraId="51624A10" w14:textId="77777777" w:rsidR="00D3344B" w:rsidRDefault="00D3344B">
      <w:pPr>
        <w:pStyle w:val="Estilo"/>
        <w:rPr>
          <w:rFonts w:cs="Arial"/>
        </w:rPr>
      </w:pPr>
    </w:p>
    <w:p w14:paraId="42C0264C" w14:textId="77777777" w:rsidR="00D3344B" w:rsidRDefault="00143C25">
      <w:pPr>
        <w:pStyle w:val="Estilo"/>
        <w:rPr>
          <w:rFonts w:cs="Arial"/>
        </w:rPr>
      </w:pPr>
      <w:r>
        <w:rPr>
          <w:rFonts w:cs="Arial"/>
          <w:b/>
        </w:rPr>
        <w:t>Artículo 189.</w:t>
      </w:r>
      <w:r>
        <w:rPr>
          <w:rFonts w:cs="Arial"/>
        </w:rPr>
        <w:t xml:space="preserve"> Para la determinación de valores unitarios de los diferentes tipos de construcciones, se observarán las reglas siguientes:</w:t>
      </w:r>
    </w:p>
    <w:p w14:paraId="608A0D52" w14:textId="77777777" w:rsidR="00D3344B" w:rsidRDefault="00D3344B">
      <w:pPr>
        <w:pStyle w:val="Estilo"/>
        <w:rPr>
          <w:rFonts w:cs="Arial"/>
        </w:rPr>
      </w:pPr>
    </w:p>
    <w:p w14:paraId="2B2DE938" w14:textId="77777777" w:rsidR="00D3344B" w:rsidRDefault="00143C25">
      <w:pPr>
        <w:pStyle w:val="Estilo"/>
        <w:ind w:left="567" w:hanging="567"/>
        <w:rPr>
          <w:rFonts w:cs="Arial"/>
        </w:rPr>
      </w:pPr>
      <w:r>
        <w:rPr>
          <w:rFonts w:cs="Arial"/>
        </w:rPr>
        <w:t xml:space="preserve">I. </w:t>
      </w:r>
      <w:r>
        <w:rPr>
          <w:rFonts w:cs="Arial"/>
        </w:rPr>
        <w:tab/>
        <w:t>Se clasificarán los diferentes tipos de edificaciones tomando en cuenta su estructura y materiales empleados;</w:t>
      </w:r>
    </w:p>
    <w:p w14:paraId="1B58C870" w14:textId="77777777" w:rsidR="00D3344B" w:rsidRDefault="00D3344B">
      <w:pPr>
        <w:pStyle w:val="Estilo"/>
        <w:ind w:left="567" w:hanging="567"/>
        <w:rPr>
          <w:rFonts w:cs="Arial"/>
        </w:rPr>
      </w:pPr>
    </w:p>
    <w:p w14:paraId="380E21EB" w14:textId="77777777" w:rsidR="00D3344B" w:rsidRDefault="00143C25">
      <w:pPr>
        <w:pStyle w:val="Estilo"/>
        <w:ind w:left="567" w:hanging="567"/>
        <w:rPr>
          <w:rFonts w:cs="Arial"/>
        </w:rPr>
      </w:pPr>
      <w:r>
        <w:rPr>
          <w:rFonts w:cs="Arial"/>
        </w:rPr>
        <w:t xml:space="preserve">II. </w:t>
      </w:r>
      <w:r>
        <w:rPr>
          <w:rFonts w:cs="Arial"/>
        </w:rPr>
        <w:tab/>
        <w:t>Para cada uno de los tipos de construcción resultantes se fijarán valores unitarios conforme al estado de conservación de las construcciones, y</w:t>
      </w:r>
    </w:p>
    <w:p w14:paraId="1137F4D0" w14:textId="77777777" w:rsidR="00D3344B" w:rsidRDefault="00D3344B">
      <w:pPr>
        <w:pStyle w:val="Estilo"/>
        <w:ind w:left="567" w:hanging="567"/>
        <w:rPr>
          <w:rFonts w:cs="Arial"/>
        </w:rPr>
      </w:pPr>
    </w:p>
    <w:p w14:paraId="2AB78B22" w14:textId="77777777" w:rsidR="00D3344B" w:rsidRDefault="00143C25">
      <w:pPr>
        <w:pStyle w:val="Estilo"/>
        <w:ind w:left="567" w:hanging="567"/>
        <w:rPr>
          <w:rFonts w:cs="Arial"/>
        </w:rPr>
      </w:pPr>
      <w:r>
        <w:rPr>
          <w:rFonts w:cs="Arial"/>
        </w:rPr>
        <w:t xml:space="preserve">III. </w:t>
      </w:r>
      <w:r>
        <w:rPr>
          <w:rFonts w:cs="Arial"/>
        </w:rPr>
        <w:tab/>
        <w:t>Los valores unitarios determinados conforme a la fracción anterior, se modificarán de acuerdo con las tablas de coeficientes de incrementos o deméritos.</w:t>
      </w:r>
    </w:p>
    <w:p w14:paraId="5E615A56" w14:textId="77777777" w:rsidR="00D3344B" w:rsidRDefault="00D3344B">
      <w:pPr>
        <w:pStyle w:val="Estilo"/>
        <w:rPr>
          <w:rFonts w:cs="Arial"/>
        </w:rPr>
      </w:pPr>
    </w:p>
    <w:p w14:paraId="57D37DEA" w14:textId="77777777" w:rsidR="00D3344B" w:rsidRDefault="00143C25">
      <w:pPr>
        <w:pStyle w:val="Estilo"/>
        <w:rPr>
          <w:rFonts w:cs="Arial"/>
        </w:rPr>
      </w:pPr>
      <w:r>
        <w:rPr>
          <w:rFonts w:cs="Arial"/>
          <w:b/>
        </w:rPr>
        <w:t>Artículo 190.</w:t>
      </w:r>
      <w:r>
        <w:rPr>
          <w:rFonts w:cs="Arial"/>
        </w:rPr>
        <w:t xml:space="preserve"> En los casos de edificaciones construidas bajo el régimen de condominio, deberá fijarse valor a cada uno de los departamentos, despachos o cualquier otro tipo de locales, comprendiéndose en la valuación la parte proporcional </w:t>
      </w:r>
      <w:r>
        <w:rPr>
          <w:rFonts w:cs="Arial"/>
        </w:rPr>
        <w:lastRenderedPageBreak/>
        <w:t>indivisa de los bienes comunes, de conformidad con lo que establece este código y los ordenamientos relativos.</w:t>
      </w:r>
    </w:p>
    <w:p w14:paraId="679270B1" w14:textId="77777777" w:rsidR="00D3344B" w:rsidRDefault="00D3344B">
      <w:pPr>
        <w:pStyle w:val="Estilo"/>
        <w:rPr>
          <w:rFonts w:cs="Arial"/>
        </w:rPr>
      </w:pPr>
    </w:p>
    <w:p w14:paraId="77FA2BB6" w14:textId="77777777" w:rsidR="00D3344B" w:rsidRDefault="00143C25">
      <w:pPr>
        <w:pStyle w:val="Estilo"/>
        <w:rPr>
          <w:rFonts w:cs="Arial"/>
        </w:rPr>
      </w:pPr>
      <w:r>
        <w:rPr>
          <w:rFonts w:cs="Arial"/>
        </w:rPr>
        <w:t>En tales casos, cada local se empadronará con número de cuenta y clave catastral por separado, para efectos del pago del Impuesto Predial en los términos de este código.</w:t>
      </w:r>
    </w:p>
    <w:p w14:paraId="536BD728" w14:textId="77777777" w:rsidR="00D3344B" w:rsidRDefault="00D3344B">
      <w:pPr>
        <w:pStyle w:val="Estilo"/>
        <w:rPr>
          <w:rFonts w:cs="Arial"/>
        </w:rPr>
      </w:pPr>
    </w:p>
    <w:p w14:paraId="6B2A050D" w14:textId="77777777" w:rsidR="00D3344B" w:rsidRDefault="00143C25">
      <w:pPr>
        <w:pStyle w:val="Estilo"/>
        <w:rPr>
          <w:rFonts w:cs="Arial"/>
        </w:rPr>
      </w:pPr>
      <w:r>
        <w:rPr>
          <w:rFonts w:cs="Arial"/>
          <w:b/>
        </w:rPr>
        <w:t>Artículo 191.</w:t>
      </w:r>
      <w:r>
        <w:rPr>
          <w:rFonts w:cs="Arial"/>
        </w:rPr>
        <w:t xml:space="preserve"> Tratándose de fraccionamientos, respecto a los predios que no hayan sido objeto de traslación de dominio al momento de ser recibidas las obras de urbanización por el ayuntamiento respectivo, se procederá a la asignación de valores, de acuerdo con los precios de venta establecidos por el fraccionador o consignados en las últimas operaciones traslativas de dominio.</w:t>
      </w:r>
    </w:p>
    <w:p w14:paraId="4610B6AA" w14:textId="77777777" w:rsidR="00D3344B" w:rsidRDefault="00D3344B">
      <w:pPr>
        <w:pStyle w:val="Estilo"/>
        <w:rPr>
          <w:rFonts w:cs="Arial"/>
        </w:rPr>
      </w:pPr>
    </w:p>
    <w:p w14:paraId="0A3C63D0" w14:textId="77777777" w:rsidR="00D3344B" w:rsidRDefault="00143C25">
      <w:pPr>
        <w:pStyle w:val="Estilo"/>
        <w:rPr>
          <w:rFonts w:cs="Arial"/>
        </w:rPr>
      </w:pPr>
      <w:r>
        <w:rPr>
          <w:rFonts w:cs="Arial"/>
          <w:b/>
        </w:rPr>
        <w:t>Artículo 192.</w:t>
      </w:r>
      <w:r>
        <w:rPr>
          <w:rFonts w:cs="Arial"/>
        </w:rPr>
        <w:t xml:space="preserve"> El avalúo practicado por la autoridad fiscal, cuando el contribuyente omita solicitar su actualización, será notificado al contribuyente, de conformidad con los lineamientos de este código. En caso de inconformidad, el contribuyente podrá hacer uso del recurso previsto por este ordenamiento.</w:t>
      </w:r>
    </w:p>
    <w:p w14:paraId="49CDE40D" w14:textId="77777777" w:rsidR="00D3344B" w:rsidRDefault="00D3344B">
      <w:pPr>
        <w:pStyle w:val="Estilo"/>
        <w:rPr>
          <w:rFonts w:cs="Arial"/>
        </w:rPr>
      </w:pPr>
    </w:p>
    <w:p w14:paraId="7AB2971E" w14:textId="77777777" w:rsidR="00D3344B" w:rsidRDefault="00143C25">
      <w:pPr>
        <w:pStyle w:val="Estilo"/>
        <w:rPr>
          <w:rFonts w:cs="Arial"/>
        </w:rPr>
      </w:pPr>
      <w:r>
        <w:rPr>
          <w:rFonts w:cs="Arial"/>
          <w:b/>
        </w:rPr>
        <w:t>Artículo 193.</w:t>
      </w:r>
      <w:r>
        <w:rPr>
          <w:rFonts w:cs="Arial"/>
        </w:rPr>
        <w:t xml:space="preserve"> El impuesto predial se calculará por períodos bimestrales, aplicando al valor catastral la tarifa que determine la Ley de Ingresos del Municipio que corresponda.</w:t>
      </w:r>
    </w:p>
    <w:p w14:paraId="305C5648" w14:textId="77777777" w:rsidR="00D3344B" w:rsidRDefault="00D3344B">
      <w:pPr>
        <w:pStyle w:val="Estilo"/>
        <w:rPr>
          <w:rFonts w:cs="Arial"/>
        </w:rPr>
      </w:pPr>
    </w:p>
    <w:p w14:paraId="6166CFB6" w14:textId="77777777" w:rsidR="00D3344B" w:rsidRDefault="00143C25">
      <w:pPr>
        <w:pStyle w:val="Estilo"/>
        <w:rPr>
          <w:rFonts w:cs="Arial"/>
        </w:rPr>
      </w:pPr>
      <w:r>
        <w:rPr>
          <w:rFonts w:cs="Arial"/>
          <w:b/>
        </w:rPr>
        <w:t>Artículo 194.</w:t>
      </w:r>
      <w:r>
        <w:rPr>
          <w:rFonts w:cs="Arial"/>
        </w:rPr>
        <w:t xml:space="preserve"> El pago de este impuesto deberá hacerse dentro de los primeros quince días naturales del bimestre. Las cuotas mínimas a que se refiere la Ley de Ingresos correspondiente deberán pagarse anualmente dentro del primer bimestre, en la Tesorería Municipal que corresponda.</w:t>
      </w:r>
    </w:p>
    <w:p w14:paraId="403B64DD" w14:textId="77777777" w:rsidR="00D3344B" w:rsidRDefault="00D3344B">
      <w:pPr>
        <w:pStyle w:val="Estilo"/>
        <w:rPr>
          <w:rFonts w:cs="Arial"/>
        </w:rPr>
      </w:pPr>
    </w:p>
    <w:p w14:paraId="419953C4" w14:textId="77777777" w:rsidR="00D3344B" w:rsidRDefault="00143C25">
      <w:pPr>
        <w:pStyle w:val="Estilo"/>
        <w:rPr>
          <w:rFonts w:cs="Arial"/>
        </w:rPr>
      </w:pPr>
      <w:r>
        <w:rPr>
          <w:rFonts w:cs="Arial"/>
          <w:b/>
        </w:rPr>
        <w:t>Artículo 195.</w:t>
      </w:r>
      <w:r>
        <w:rPr>
          <w:rFonts w:cs="Arial"/>
        </w:rPr>
        <w:t xml:space="preserve"> Las Leyes de Ingresos de los municipios podrán fijar anualmente el porcentaje de bonificación por pago anticipado, que se otorgará a los contribuyentes obligados al pago bimestral del impuesto, cuando hagan el pago de la anualidad completa, dentro del primer bimestre del ejercicio fiscal correspondiente.</w:t>
      </w:r>
    </w:p>
    <w:p w14:paraId="322F6C1B" w14:textId="77777777" w:rsidR="00D3344B" w:rsidRDefault="00D3344B">
      <w:pPr>
        <w:pStyle w:val="Estilo"/>
        <w:rPr>
          <w:rFonts w:cs="Arial"/>
        </w:rPr>
      </w:pPr>
    </w:p>
    <w:p w14:paraId="605322D8" w14:textId="77777777" w:rsidR="00D3344B" w:rsidRDefault="00143C25">
      <w:pPr>
        <w:pStyle w:val="Estilo"/>
        <w:rPr>
          <w:rFonts w:cs="Arial"/>
        </w:rPr>
      </w:pPr>
      <w:r>
        <w:rPr>
          <w:rFonts w:cs="Arial"/>
          <w:b/>
        </w:rPr>
        <w:t>Artículo 196.</w:t>
      </w:r>
      <w:r>
        <w:rPr>
          <w:rFonts w:cs="Arial"/>
        </w:rPr>
        <w:t xml:space="preserve"> Los contribuyentes de este impuesto tendrán las siguientes obligaciones específicas:</w:t>
      </w:r>
    </w:p>
    <w:p w14:paraId="706CACE8" w14:textId="77777777" w:rsidR="00D3344B" w:rsidRDefault="00D3344B">
      <w:pPr>
        <w:pStyle w:val="Estilo"/>
        <w:rPr>
          <w:rFonts w:cs="Arial"/>
        </w:rPr>
      </w:pPr>
    </w:p>
    <w:p w14:paraId="14322477" w14:textId="77777777" w:rsidR="00D3344B" w:rsidRDefault="00143C25">
      <w:pPr>
        <w:pStyle w:val="Estilo"/>
        <w:rPr>
          <w:rFonts w:eastAsia="Calibri" w:cs="Arial"/>
          <w:i/>
          <w:iCs/>
          <w:sz w:val="16"/>
          <w:szCs w:val="16"/>
        </w:rPr>
      </w:pPr>
      <w:r>
        <w:rPr>
          <w:rFonts w:eastAsia="Calibri" w:cs="Arial"/>
          <w:i/>
          <w:iCs/>
          <w:sz w:val="16"/>
          <w:szCs w:val="16"/>
        </w:rPr>
        <w:t>(REFORMADA, P.O. 29 DE NOVIEMBRE DE 2023)</w:t>
      </w:r>
    </w:p>
    <w:p w14:paraId="62AD9729" w14:textId="77777777" w:rsidR="00D3344B" w:rsidRDefault="00143C25">
      <w:pPr>
        <w:pStyle w:val="Estilo"/>
        <w:ind w:left="567" w:hanging="567"/>
        <w:rPr>
          <w:rFonts w:cs="Arial"/>
        </w:rPr>
      </w:pPr>
      <w:r>
        <w:rPr>
          <w:rFonts w:cs="Arial"/>
        </w:rPr>
        <w:t xml:space="preserve">I. </w:t>
      </w:r>
      <w:r>
        <w:rPr>
          <w:rFonts w:cs="Arial"/>
        </w:rPr>
        <w:tab/>
        <w:t>Presentar anualmente los avisos y manifestaciones por cada uno de los predios urbanos o rústicos, que sean de su propiedad o posean, en los términos que dispone este Código, y</w:t>
      </w:r>
    </w:p>
    <w:p w14:paraId="388CE6FF" w14:textId="77777777" w:rsidR="00D3344B" w:rsidRDefault="00D3344B">
      <w:pPr>
        <w:pStyle w:val="Estilo"/>
        <w:ind w:left="567" w:hanging="567"/>
        <w:rPr>
          <w:rFonts w:cs="Arial"/>
        </w:rPr>
      </w:pPr>
    </w:p>
    <w:p w14:paraId="10869C15" w14:textId="77777777" w:rsidR="00D3344B" w:rsidRDefault="00143C25">
      <w:pPr>
        <w:pStyle w:val="Estilo"/>
        <w:ind w:left="567" w:hanging="567"/>
        <w:rPr>
          <w:rFonts w:cs="Arial"/>
        </w:rPr>
      </w:pPr>
      <w:r>
        <w:rPr>
          <w:rFonts w:cs="Arial"/>
        </w:rPr>
        <w:t xml:space="preserve">II. </w:t>
      </w:r>
      <w:r>
        <w:rPr>
          <w:rFonts w:cs="Arial"/>
        </w:rPr>
        <w:tab/>
        <w:t>Proporcionar a la autoridad fiscal los datos e informes que le soliciten, así como permitir el libre acceso a los predios para la realización de los trabajos catastrales.</w:t>
      </w:r>
    </w:p>
    <w:p w14:paraId="171E8422" w14:textId="77777777" w:rsidR="00D3344B" w:rsidRDefault="00D3344B">
      <w:pPr>
        <w:pStyle w:val="Estilo"/>
        <w:rPr>
          <w:rFonts w:cs="Arial"/>
        </w:rPr>
      </w:pPr>
    </w:p>
    <w:p w14:paraId="08BFD02A" w14:textId="77777777" w:rsidR="00D3344B" w:rsidRDefault="00143C25">
      <w:pPr>
        <w:pStyle w:val="Estilo"/>
        <w:rPr>
          <w:rFonts w:cs="Arial"/>
        </w:rPr>
      </w:pPr>
      <w:r>
        <w:rPr>
          <w:rFonts w:cs="Arial"/>
          <w:b/>
        </w:rPr>
        <w:lastRenderedPageBreak/>
        <w:t>Artículo 197.</w:t>
      </w:r>
      <w:r>
        <w:rPr>
          <w:rFonts w:cs="Arial"/>
        </w:rPr>
        <w:t xml:space="preserve"> Cuando se modifique la base del impuesto, durante un ejercicio fiscal que hubiese sido pagado por anticipado, al aplicar la nueva base, se cobrarán, devolverán o compensarán las diferencias que resulten.</w:t>
      </w:r>
    </w:p>
    <w:p w14:paraId="41A19D7F" w14:textId="77777777" w:rsidR="00D3344B" w:rsidRDefault="00D3344B">
      <w:pPr>
        <w:pStyle w:val="Estilo"/>
        <w:rPr>
          <w:rFonts w:cs="Arial"/>
        </w:rPr>
      </w:pPr>
    </w:p>
    <w:p w14:paraId="7023DA7D" w14:textId="77777777" w:rsidR="00D3344B" w:rsidRDefault="00143C25">
      <w:pPr>
        <w:pStyle w:val="Estilo"/>
        <w:rPr>
          <w:rFonts w:cs="Arial"/>
        </w:rPr>
      </w:pPr>
      <w:r>
        <w:rPr>
          <w:rFonts w:cs="Arial"/>
          <w:b/>
        </w:rPr>
        <w:t>Artículo 198.</w:t>
      </w:r>
      <w:r>
        <w:rPr>
          <w:rFonts w:cs="Arial"/>
        </w:rPr>
        <w:t xml:space="preserve"> </w:t>
      </w:r>
      <w:r>
        <w:rPr>
          <w:rFonts w:cs="Arial"/>
          <w:i/>
          <w:sz w:val="16"/>
        </w:rPr>
        <w:t>(DEROGADO, P.O. 16 DE MARZO DE 2021)</w:t>
      </w:r>
    </w:p>
    <w:p w14:paraId="2A81E6F2" w14:textId="77777777" w:rsidR="00D3344B" w:rsidRDefault="00D3344B">
      <w:pPr>
        <w:pStyle w:val="Estilo"/>
        <w:rPr>
          <w:rFonts w:cs="Arial"/>
        </w:rPr>
      </w:pPr>
    </w:p>
    <w:p w14:paraId="54859D5E"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24F2F59E" w14:textId="77777777" w:rsidR="00D3344B" w:rsidRDefault="00143C25">
      <w:pPr>
        <w:pStyle w:val="Estilo"/>
        <w:rPr>
          <w:rFonts w:cs="Arial"/>
        </w:rPr>
      </w:pPr>
      <w:r>
        <w:rPr>
          <w:rFonts w:cs="Arial"/>
          <w:b/>
        </w:rPr>
        <w:t>Artículo 199.</w:t>
      </w:r>
      <w:r>
        <w:rPr>
          <w:rFonts w:cs="Arial"/>
        </w:rPr>
        <w:t xml:space="preserve"> La Dirección de Notarías y Registros Públicos del Estado, no procederá a la inscripción, por otra parte, los notarios y corredores públicos, no expedirán los testimonios o cualquier documento referente a la transmisión de los derechos sobre un inmueble, sin que el contribuyente justifique el pago de este impuesto ante aquellos y se haya asignado al predio la clave única catastral (31 dígitos), conforme se establece en la normatividad Instituto Nacional de Estadística, Geografía e Informática.</w:t>
      </w:r>
    </w:p>
    <w:p w14:paraId="17C57968" w14:textId="77777777" w:rsidR="00D3344B" w:rsidRDefault="00D3344B">
      <w:pPr>
        <w:pStyle w:val="Estilo"/>
        <w:rPr>
          <w:rFonts w:cs="Arial"/>
        </w:rPr>
      </w:pPr>
    </w:p>
    <w:p w14:paraId="0DCF3771" w14:textId="77777777" w:rsidR="00D3344B" w:rsidRDefault="00143C25">
      <w:pPr>
        <w:pStyle w:val="Estilo"/>
        <w:rPr>
          <w:rFonts w:cs="Arial"/>
        </w:rPr>
      </w:pPr>
      <w:r>
        <w:rPr>
          <w:rFonts w:cs="Arial"/>
          <w:b/>
        </w:rPr>
        <w:t>Artículo 200.</w:t>
      </w:r>
      <w:r>
        <w:rPr>
          <w:rFonts w:cs="Arial"/>
        </w:rPr>
        <w:t xml:space="preserve"> No estarán obligados al pago de este impuesto, los bienes de dominio público de la Federación, del Estado, de los municipios e instituciones de educación pública, salvo que tales bienes sean utilizados por entidades paraestatales o por particulares, bajo cualquier título para fines administrativos o propósitos distintos a los de su objeto público.</w:t>
      </w:r>
    </w:p>
    <w:p w14:paraId="618EA76A" w14:textId="77777777" w:rsidR="00D3344B" w:rsidRDefault="00D3344B">
      <w:pPr>
        <w:pStyle w:val="Estilo"/>
        <w:rPr>
          <w:rFonts w:cs="Arial"/>
        </w:rPr>
      </w:pPr>
    </w:p>
    <w:p w14:paraId="38B984A5" w14:textId="77777777" w:rsidR="00D3344B" w:rsidRDefault="00143C25">
      <w:pPr>
        <w:pStyle w:val="Estilo"/>
        <w:rPr>
          <w:rFonts w:cs="Arial"/>
        </w:rPr>
      </w:pPr>
      <w:r>
        <w:rPr>
          <w:rFonts w:cs="Arial"/>
          <w:i/>
          <w:sz w:val="16"/>
        </w:rPr>
        <w:t>(REFORMADO PRIMER PÁRRAFO, P.O. 21 DE OCTUBRE DE 2011)</w:t>
      </w:r>
    </w:p>
    <w:p w14:paraId="40228070" w14:textId="77777777" w:rsidR="00D3344B" w:rsidRDefault="00143C25">
      <w:pPr>
        <w:pStyle w:val="Estilo"/>
        <w:rPr>
          <w:rFonts w:cs="Arial"/>
        </w:rPr>
      </w:pPr>
      <w:r>
        <w:rPr>
          <w:rFonts w:cs="Arial"/>
          <w:b/>
        </w:rPr>
        <w:t>Artículo 201.</w:t>
      </w:r>
      <w:r>
        <w:rPr>
          <w:rFonts w:cs="Arial"/>
        </w:rPr>
        <w:t xml:space="preserve"> Los ayuntamientos, mediante acuerdos de carácter general, podrán conceder durante cada ejercicio fiscal, subsidios y estímulos a los contribuyentes hasta por el setenta y cinco por ciento del importe de este impuesto, tratándose de casos justificados, de notoria pobreza o de interés social, sin que en ningún caso el importe resultante a pagar, sea inferior a la cuota mínima correspondiente. Dichos acuerdos no deberán estar previstos en las respectivas leyes de ingresos municipales, para estos efectos.</w:t>
      </w:r>
    </w:p>
    <w:p w14:paraId="06A62201" w14:textId="77777777" w:rsidR="00D3344B" w:rsidRDefault="00D3344B">
      <w:pPr>
        <w:pStyle w:val="Estilo"/>
        <w:rPr>
          <w:rFonts w:cs="Arial"/>
        </w:rPr>
      </w:pPr>
    </w:p>
    <w:p w14:paraId="2E73479F" w14:textId="77777777" w:rsidR="00D3344B" w:rsidRDefault="00143C25">
      <w:pPr>
        <w:pStyle w:val="Estilo"/>
        <w:rPr>
          <w:rFonts w:cs="Arial"/>
        </w:rPr>
      </w:pPr>
      <w:r>
        <w:rPr>
          <w:rFonts w:cs="Arial"/>
        </w:rPr>
        <w:t>En todo caso, los contribuyentes, previo convenio con los ayuntamientos, podrán pagar el impuesto de que se trata mediante aportaciones en materiales y mano de obra para obras públicas de beneficio colectivo.</w:t>
      </w:r>
    </w:p>
    <w:p w14:paraId="178F6EA3" w14:textId="77777777" w:rsidR="00D3344B" w:rsidRDefault="00D3344B">
      <w:pPr>
        <w:pStyle w:val="Estilo"/>
        <w:rPr>
          <w:rFonts w:cs="Arial"/>
        </w:rPr>
      </w:pPr>
    </w:p>
    <w:p w14:paraId="74942ED1" w14:textId="77777777" w:rsidR="00D3344B" w:rsidRDefault="00D3344B">
      <w:pPr>
        <w:pStyle w:val="Estilo"/>
        <w:rPr>
          <w:rFonts w:cs="Arial"/>
        </w:rPr>
      </w:pPr>
    </w:p>
    <w:p w14:paraId="73D4EC54" w14:textId="77777777" w:rsidR="00D3344B" w:rsidRDefault="00143C25">
      <w:pPr>
        <w:pStyle w:val="Estilo"/>
        <w:jc w:val="center"/>
        <w:rPr>
          <w:rFonts w:cs="Arial"/>
          <w:b/>
        </w:rPr>
      </w:pPr>
      <w:r>
        <w:rPr>
          <w:rFonts w:cs="Arial"/>
          <w:b/>
        </w:rPr>
        <w:t>Capítulo II</w:t>
      </w:r>
    </w:p>
    <w:p w14:paraId="4A7B3BA4" w14:textId="77777777" w:rsidR="00D3344B" w:rsidRDefault="00143C25">
      <w:pPr>
        <w:pStyle w:val="Estilo"/>
        <w:jc w:val="center"/>
        <w:rPr>
          <w:rFonts w:cs="Arial"/>
          <w:b/>
        </w:rPr>
      </w:pPr>
      <w:r>
        <w:rPr>
          <w:rFonts w:cs="Arial"/>
          <w:b/>
        </w:rPr>
        <w:t>Impuesto Sobre Transmisión de Bienes Inmuebles</w:t>
      </w:r>
    </w:p>
    <w:p w14:paraId="74ABD66C" w14:textId="77777777" w:rsidR="00D3344B" w:rsidRDefault="00D3344B">
      <w:pPr>
        <w:pStyle w:val="Estilo"/>
        <w:jc w:val="center"/>
        <w:rPr>
          <w:rFonts w:cs="Arial"/>
          <w:b/>
        </w:rPr>
      </w:pPr>
    </w:p>
    <w:p w14:paraId="7F4DD0E3" w14:textId="77777777" w:rsidR="00D3344B" w:rsidRDefault="00143C25">
      <w:pPr>
        <w:pStyle w:val="Estilo"/>
        <w:rPr>
          <w:rFonts w:cs="Arial"/>
        </w:rPr>
      </w:pPr>
      <w:r>
        <w:rPr>
          <w:rFonts w:cs="Arial"/>
          <w:b/>
        </w:rPr>
        <w:t>Artículo 202.</w:t>
      </w:r>
      <w:r>
        <w:rPr>
          <w:rFonts w:cs="Arial"/>
        </w:rPr>
        <w:t xml:space="preserve"> Es objeto de este impuesto, la celebración de todo convenio o contrato que impliquen traslación de dominio de bienes inmuebles ubicados dentro del territorio de cualesquiera de los municipios del Estado, así como de los derechos relacionados con dichos inmuebles.</w:t>
      </w:r>
    </w:p>
    <w:p w14:paraId="675384C8" w14:textId="77777777" w:rsidR="00D3344B" w:rsidRDefault="00D3344B">
      <w:pPr>
        <w:pStyle w:val="Estilo"/>
        <w:rPr>
          <w:rFonts w:cs="Arial"/>
        </w:rPr>
      </w:pPr>
    </w:p>
    <w:p w14:paraId="0A19D14A" w14:textId="77777777" w:rsidR="00D3344B" w:rsidRDefault="00143C25">
      <w:pPr>
        <w:pStyle w:val="Estilo"/>
        <w:rPr>
          <w:rFonts w:cs="Arial"/>
        </w:rPr>
      </w:pPr>
      <w:r>
        <w:rPr>
          <w:rFonts w:cs="Arial"/>
          <w:b/>
        </w:rPr>
        <w:t>Artículo 203.</w:t>
      </w:r>
      <w:r>
        <w:rPr>
          <w:rFonts w:cs="Arial"/>
        </w:rPr>
        <w:t xml:space="preserve"> Para los efectos de este código, se entenderá por traslación de dominio de bienes inmuebles, todo acto por el cual:</w:t>
      </w:r>
    </w:p>
    <w:p w14:paraId="1B7EB530" w14:textId="77777777" w:rsidR="00D3344B" w:rsidRDefault="00D3344B">
      <w:pPr>
        <w:pStyle w:val="Estilo"/>
        <w:rPr>
          <w:rFonts w:cs="Arial"/>
        </w:rPr>
      </w:pPr>
    </w:p>
    <w:p w14:paraId="66F9B9D8" w14:textId="77777777" w:rsidR="00D3344B" w:rsidRDefault="00143C25">
      <w:pPr>
        <w:pStyle w:val="Estilo"/>
        <w:ind w:left="567" w:hanging="567"/>
        <w:rPr>
          <w:rFonts w:cs="Arial"/>
        </w:rPr>
      </w:pPr>
      <w:r>
        <w:rPr>
          <w:rFonts w:cs="Arial"/>
        </w:rPr>
        <w:lastRenderedPageBreak/>
        <w:t xml:space="preserve">I. </w:t>
      </w:r>
      <w:r>
        <w:rPr>
          <w:rFonts w:cs="Arial"/>
        </w:rPr>
        <w:tab/>
        <w:t>Se transmita la propiedad, incluyendo la donación y la aportación a toda clase de sociedades, asociaciones y fideicomisos;</w:t>
      </w:r>
    </w:p>
    <w:p w14:paraId="155B7148" w14:textId="77777777" w:rsidR="00D3344B" w:rsidRDefault="00D3344B">
      <w:pPr>
        <w:pStyle w:val="Estilo"/>
        <w:ind w:left="567" w:hanging="567"/>
        <w:rPr>
          <w:rFonts w:cs="Arial"/>
        </w:rPr>
      </w:pPr>
    </w:p>
    <w:p w14:paraId="70159A84" w14:textId="77777777" w:rsidR="00D3344B" w:rsidRDefault="00143C25">
      <w:pPr>
        <w:pStyle w:val="Estilo"/>
        <w:ind w:left="567" w:hanging="567"/>
        <w:rPr>
          <w:rFonts w:cs="Arial"/>
        </w:rPr>
      </w:pPr>
      <w:r>
        <w:rPr>
          <w:rFonts w:cs="Arial"/>
        </w:rPr>
        <w:t xml:space="preserve">II. </w:t>
      </w:r>
      <w:r>
        <w:rPr>
          <w:rFonts w:cs="Arial"/>
        </w:rPr>
        <w:tab/>
        <w:t>Se prometa o celebre la compraventa con reserva de dominio, o se pacte que el adquirente entrará en posesión del bien antes de satisfacer el precio;</w:t>
      </w:r>
    </w:p>
    <w:p w14:paraId="07D59F1C" w14:textId="77777777" w:rsidR="00D3344B" w:rsidRDefault="00D3344B">
      <w:pPr>
        <w:pStyle w:val="Estilo"/>
        <w:ind w:left="567" w:hanging="567"/>
        <w:rPr>
          <w:rFonts w:cs="Arial"/>
        </w:rPr>
      </w:pPr>
    </w:p>
    <w:p w14:paraId="2945B10B" w14:textId="77777777" w:rsidR="00D3344B" w:rsidRDefault="00143C25">
      <w:pPr>
        <w:pStyle w:val="Estilo"/>
        <w:ind w:left="567" w:hanging="567"/>
        <w:rPr>
          <w:rFonts w:cs="Arial"/>
        </w:rPr>
      </w:pPr>
      <w:r>
        <w:rPr>
          <w:rFonts w:cs="Arial"/>
        </w:rPr>
        <w:t xml:space="preserve">III. </w:t>
      </w:r>
      <w:r>
        <w:rPr>
          <w:rFonts w:cs="Arial"/>
        </w:rPr>
        <w:tab/>
        <w:t>Se dé en pago, se liquide o reduzca el capital social, pague en especie utilidades o dividendos de asociaciones o sociedades civiles o mercantiles;</w:t>
      </w:r>
    </w:p>
    <w:p w14:paraId="71A5AB7D" w14:textId="77777777" w:rsidR="00D3344B" w:rsidRDefault="00D3344B">
      <w:pPr>
        <w:pStyle w:val="Estilo"/>
        <w:ind w:left="567" w:hanging="567"/>
        <w:rPr>
          <w:rFonts w:cs="Arial"/>
        </w:rPr>
      </w:pPr>
    </w:p>
    <w:p w14:paraId="7BB0D8F6" w14:textId="77777777" w:rsidR="00D3344B" w:rsidRDefault="00143C25">
      <w:pPr>
        <w:pStyle w:val="Estilo"/>
        <w:ind w:left="567" w:hanging="567"/>
        <w:rPr>
          <w:rFonts w:cs="Arial"/>
        </w:rPr>
      </w:pPr>
      <w:r>
        <w:rPr>
          <w:rFonts w:cs="Arial"/>
        </w:rPr>
        <w:t xml:space="preserve">IV. </w:t>
      </w:r>
      <w:r>
        <w:rPr>
          <w:rFonts w:cs="Arial"/>
        </w:rPr>
        <w:tab/>
        <w:t>Se adjudiquen los derechos al heredero o legatario, o se declare la usucapión;</w:t>
      </w:r>
    </w:p>
    <w:p w14:paraId="4A804DA0" w14:textId="77777777" w:rsidR="00D3344B" w:rsidRDefault="00D3344B">
      <w:pPr>
        <w:pStyle w:val="Estilo"/>
        <w:ind w:left="567" w:hanging="567"/>
        <w:rPr>
          <w:rFonts w:cs="Arial"/>
        </w:rPr>
      </w:pPr>
    </w:p>
    <w:p w14:paraId="372EE17F" w14:textId="77777777" w:rsidR="00D3344B" w:rsidRDefault="00143C25">
      <w:pPr>
        <w:pStyle w:val="Estilo"/>
        <w:ind w:left="567" w:hanging="567"/>
        <w:rPr>
          <w:rFonts w:cs="Arial"/>
        </w:rPr>
      </w:pPr>
      <w:r>
        <w:rPr>
          <w:rFonts w:cs="Arial"/>
        </w:rPr>
        <w:t xml:space="preserve">V. </w:t>
      </w:r>
      <w:r>
        <w:rPr>
          <w:rFonts w:cs="Arial"/>
        </w:rPr>
        <w:tab/>
        <w:t>Se cedan los derechos de posesión, a título oneroso o gratuito;</w:t>
      </w:r>
    </w:p>
    <w:p w14:paraId="1C8D8DF8" w14:textId="77777777" w:rsidR="00D3344B" w:rsidRDefault="00D3344B">
      <w:pPr>
        <w:pStyle w:val="Estilo"/>
        <w:ind w:left="567" w:hanging="567"/>
        <w:rPr>
          <w:rFonts w:cs="Arial"/>
        </w:rPr>
      </w:pPr>
    </w:p>
    <w:p w14:paraId="7D8C2BD8" w14:textId="77777777" w:rsidR="00D3344B" w:rsidRDefault="00143C25">
      <w:pPr>
        <w:pStyle w:val="Estilo"/>
        <w:ind w:left="567" w:hanging="567"/>
        <w:rPr>
          <w:rFonts w:cs="Arial"/>
        </w:rPr>
      </w:pPr>
      <w:r>
        <w:rPr>
          <w:rFonts w:cs="Arial"/>
        </w:rPr>
        <w:t xml:space="preserve">VI. </w:t>
      </w:r>
      <w:r>
        <w:rPr>
          <w:rFonts w:cs="Arial"/>
        </w:rPr>
        <w:tab/>
        <w:t>Se enajenen bienes a través de fideicomiso o asociaciones en participación, en los términos de ley;</w:t>
      </w:r>
    </w:p>
    <w:p w14:paraId="057B0BFC" w14:textId="77777777" w:rsidR="00D3344B" w:rsidRDefault="00D3344B">
      <w:pPr>
        <w:pStyle w:val="Estilo"/>
        <w:ind w:left="567" w:hanging="567"/>
        <w:rPr>
          <w:rFonts w:cs="Arial"/>
        </w:rPr>
      </w:pPr>
    </w:p>
    <w:p w14:paraId="5C87889A" w14:textId="77777777" w:rsidR="00D3344B" w:rsidRDefault="00143C25">
      <w:pPr>
        <w:pStyle w:val="Estilo"/>
        <w:ind w:left="567" w:hanging="567"/>
        <w:rPr>
          <w:rFonts w:cs="Arial"/>
        </w:rPr>
      </w:pPr>
      <w:r>
        <w:rPr>
          <w:rFonts w:cs="Arial"/>
        </w:rPr>
        <w:t xml:space="preserve">VII. </w:t>
      </w:r>
      <w:r>
        <w:rPr>
          <w:rFonts w:cs="Arial"/>
        </w:rPr>
        <w:tab/>
        <w:t>Se constituya o transmita el usufructo o la nuda propiedad o se extinga el usufructo temporal;</w:t>
      </w:r>
    </w:p>
    <w:p w14:paraId="569075C7" w14:textId="77777777" w:rsidR="00D3344B" w:rsidRDefault="00D3344B">
      <w:pPr>
        <w:pStyle w:val="Estilo"/>
        <w:ind w:left="567" w:hanging="567"/>
        <w:rPr>
          <w:rFonts w:cs="Arial"/>
        </w:rPr>
      </w:pPr>
    </w:p>
    <w:p w14:paraId="7F033A77" w14:textId="77777777" w:rsidR="00D3344B" w:rsidRDefault="00143C25">
      <w:pPr>
        <w:pStyle w:val="Estilo"/>
        <w:ind w:left="567" w:hanging="567"/>
        <w:rPr>
          <w:rFonts w:cs="Arial"/>
        </w:rPr>
      </w:pPr>
      <w:r>
        <w:rPr>
          <w:rFonts w:cs="Arial"/>
        </w:rPr>
        <w:t xml:space="preserve">VIII. </w:t>
      </w:r>
      <w:r>
        <w:rPr>
          <w:rFonts w:cs="Arial"/>
        </w:rPr>
        <w:tab/>
        <w:t>Se transmitan derechos sobre inmuebles por fusión o escisión de sociedades mercantiles;</w:t>
      </w:r>
    </w:p>
    <w:p w14:paraId="39E6EC01" w14:textId="77777777" w:rsidR="00D3344B" w:rsidRDefault="00D3344B">
      <w:pPr>
        <w:pStyle w:val="Estilo"/>
        <w:ind w:left="567" w:hanging="567"/>
        <w:rPr>
          <w:rFonts w:cs="Arial"/>
        </w:rPr>
      </w:pPr>
    </w:p>
    <w:p w14:paraId="6AF8B71B" w14:textId="77777777" w:rsidR="00D3344B" w:rsidRDefault="00143C25">
      <w:pPr>
        <w:pStyle w:val="Estilo"/>
        <w:ind w:left="567" w:hanging="567"/>
        <w:rPr>
          <w:rFonts w:cs="Arial"/>
        </w:rPr>
      </w:pPr>
      <w:r>
        <w:rPr>
          <w:rFonts w:cs="Arial"/>
        </w:rPr>
        <w:t xml:space="preserve">IX. </w:t>
      </w:r>
      <w:r>
        <w:rPr>
          <w:rFonts w:cs="Arial"/>
        </w:rPr>
        <w:tab/>
        <w:t>Se permuten bienes, en cuyo caso se considerará que existen dos adquisiciones, y</w:t>
      </w:r>
    </w:p>
    <w:p w14:paraId="6295715B" w14:textId="77777777" w:rsidR="00D3344B" w:rsidRDefault="00D3344B">
      <w:pPr>
        <w:pStyle w:val="Estilo"/>
        <w:ind w:left="567" w:hanging="567"/>
        <w:rPr>
          <w:rFonts w:cs="Arial"/>
        </w:rPr>
      </w:pPr>
    </w:p>
    <w:p w14:paraId="1A2A954A" w14:textId="77777777" w:rsidR="00D3344B" w:rsidRDefault="00143C25">
      <w:pPr>
        <w:pStyle w:val="Estilo"/>
        <w:ind w:left="567" w:hanging="567"/>
        <w:rPr>
          <w:rFonts w:cs="Arial"/>
        </w:rPr>
      </w:pPr>
      <w:r>
        <w:rPr>
          <w:rFonts w:cs="Arial"/>
        </w:rPr>
        <w:t xml:space="preserve">X. </w:t>
      </w:r>
      <w:r>
        <w:rPr>
          <w:rFonts w:cs="Arial"/>
        </w:rPr>
        <w:tab/>
        <w:t>Se adquiera la propiedad de bienes inmuebles en virtud de remate judicial o administrativo.</w:t>
      </w:r>
    </w:p>
    <w:p w14:paraId="6EADFA91" w14:textId="77777777" w:rsidR="00D3344B" w:rsidRDefault="00D3344B">
      <w:pPr>
        <w:pStyle w:val="Estilo"/>
        <w:rPr>
          <w:rFonts w:cs="Arial"/>
        </w:rPr>
      </w:pPr>
    </w:p>
    <w:p w14:paraId="23727FD8" w14:textId="77777777" w:rsidR="00D3344B" w:rsidRDefault="00143C25">
      <w:pPr>
        <w:pStyle w:val="Estilo"/>
        <w:rPr>
          <w:rFonts w:cs="Arial"/>
        </w:rPr>
      </w:pPr>
      <w:r>
        <w:rPr>
          <w:rFonts w:cs="Arial"/>
          <w:b/>
        </w:rPr>
        <w:t>Artículo 204.</w:t>
      </w:r>
      <w:r>
        <w:rPr>
          <w:rFonts w:cs="Arial"/>
        </w:rPr>
        <w:t xml:space="preserve"> Son sujetos de este impuesto, las personas físicas o morales que realicen alguno de los actos enumerados en el artículo anterior, por virtud del cual se les traslade el dominio de un bien inmueble.</w:t>
      </w:r>
    </w:p>
    <w:p w14:paraId="7A9F3BFC" w14:textId="77777777" w:rsidR="00D3344B" w:rsidRDefault="00D3344B">
      <w:pPr>
        <w:pStyle w:val="Estilo"/>
        <w:rPr>
          <w:rFonts w:cs="Arial"/>
        </w:rPr>
      </w:pPr>
    </w:p>
    <w:p w14:paraId="49CD2D6E" w14:textId="77777777" w:rsidR="00D3344B" w:rsidRDefault="00143C25">
      <w:pPr>
        <w:pStyle w:val="Estilo"/>
        <w:rPr>
          <w:rFonts w:cs="Arial"/>
        </w:rPr>
      </w:pPr>
      <w:r>
        <w:rPr>
          <w:rFonts w:cs="Arial"/>
          <w:b/>
        </w:rPr>
        <w:t>Artículo 205.</w:t>
      </w:r>
      <w:r>
        <w:rPr>
          <w:rFonts w:cs="Arial"/>
        </w:rPr>
        <w:t xml:space="preserve"> Son responsables solidarios:</w:t>
      </w:r>
    </w:p>
    <w:p w14:paraId="5F54AA9A" w14:textId="77777777" w:rsidR="00D3344B" w:rsidRDefault="00D3344B">
      <w:pPr>
        <w:pStyle w:val="Estilo"/>
        <w:rPr>
          <w:rFonts w:cs="Arial"/>
        </w:rPr>
      </w:pPr>
    </w:p>
    <w:p w14:paraId="4E21C763" w14:textId="77777777" w:rsidR="00D3344B" w:rsidRDefault="00143C25">
      <w:pPr>
        <w:pStyle w:val="Estilo"/>
        <w:ind w:left="567" w:hanging="567"/>
        <w:rPr>
          <w:rFonts w:cs="Arial"/>
        </w:rPr>
      </w:pPr>
      <w:r>
        <w:rPr>
          <w:rFonts w:cs="Arial"/>
        </w:rPr>
        <w:t xml:space="preserve">I. </w:t>
      </w:r>
      <w:r>
        <w:rPr>
          <w:rFonts w:cs="Arial"/>
        </w:rPr>
        <w:tab/>
        <w:t>Quienes transmitan los bienes a que se refieren los dos artículos anteriores, según el caso;</w:t>
      </w:r>
    </w:p>
    <w:p w14:paraId="00EAFAF5" w14:textId="77777777" w:rsidR="00D3344B" w:rsidRDefault="00D3344B">
      <w:pPr>
        <w:pStyle w:val="Estilo"/>
        <w:ind w:left="567" w:hanging="567"/>
        <w:rPr>
          <w:rFonts w:cs="Arial"/>
        </w:rPr>
      </w:pPr>
    </w:p>
    <w:p w14:paraId="51AA4240" w14:textId="77777777" w:rsidR="00D3344B" w:rsidRDefault="00143C25">
      <w:pPr>
        <w:pStyle w:val="Estilo"/>
        <w:ind w:left="567" w:hanging="567"/>
        <w:rPr>
          <w:rFonts w:cs="Arial"/>
        </w:rPr>
      </w:pPr>
      <w:r>
        <w:rPr>
          <w:rFonts w:cs="Arial"/>
        </w:rPr>
        <w:t xml:space="preserve">II. </w:t>
      </w:r>
      <w:r>
        <w:rPr>
          <w:rFonts w:cs="Arial"/>
        </w:rPr>
        <w:tab/>
        <w:t>Los notarios y corredores públicos que, sin cerciorarse previamente del pago de este impuesto, expidan testimonios en los cuales se consignen actos, convenios, contratos u operaciones con cualquier denominación, que sean objeto de este impuesto, y</w:t>
      </w:r>
    </w:p>
    <w:p w14:paraId="0BBC6267" w14:textId="77777777" w:rsidR="00D3344B" w:rsidRDefault="00D3344B">
      <w:pPr>
        <w:pStyle w:val="Estilo"/>
        <w:ind w:left="567" w:hanging="567"/>
        <w:rPr>
          <w:rFonts w:cs="Arial"/>
        </w:rPr>
      </w:pPr>
    </w:p>
    <w:p w14:paraId="5517BD7E" w14:textId="77777777" w:rsidR="00D3344B" w:rsidRDefault="00143C25">
      <w:pPr>
        <w:pStyle w:val="Estilo"/>
        <w:ind w:left="567" w:hanging="567"/>
        <w:rPr>
          <w:rFonts w:cs="Arial"/>
        </w:rPr>
      </w:pPr>
      <w:r>
        <w:rPr>
          <w:rFonts w:cs="Arial"/>
        </w:rPr>
        <w:t xml:space="preserve">III. </w:t>
      </w:r>
      <w:r>
        <w:rPr>
          <w:rFonts w:cs="Arial"/>
        </w:rPr>
        <w:tab/>
        <w:t>Los servidores públicos que intervengan en la tramitación de los documentos a que se refiere la fracción anterior, cuando el impuesto no se haya cubierto.</w:t>
      </w:r>
    </w:p>
    <w:p w14:paraId="0ACD6DD5" w14:textId="77777777" w:rsidR="00D3344B" w:rsidRDefault="00D3344B">
      <w:pPr>
        <w:pStyle w:val="Estilo"/>
        <w:rPr>
          <w:rFonts w:cs="Arial"/>
        </w:rPr>
      </w:pPr>
    </w:p>
    <w:p w14:paraId="05FB3CCE" w14:textId="77777777" w:rsidR="00D3344B" w:rsidRDefault="00143C25">
      <w:pPr>
        <w:pStyle w:val="Estilo"/>
        <w:rPr>
          <w:rFonts w:cs="Arial"/>
        </w:rPr>
      </w:pPr>
      <w:r>
        <w:rPr>
          <w:rFonts w:cs="Arial"/>
          <w:b/>
        </w:rPr>
        <w:lastRenderedPageBreak/>
        <w:t>Artículo 206.</w:t>
      </w:r>
      <w:r>
        <w:rPr>
          <w:rFonts w:cs="Arial"/>
        </w:rPr>
        <w:t xml:space="preserve"> Los notarios y corredores públicos, deberán solicitar a las tesorerías previamente, en los formatos oficiales correspondientes, se les informe si el inmueble materia del acto de que se trate, se encuentra registrado fiscalmente, el nombre y domicilio del titular y si está al corriente del pago del impuesto predial. Un tanto de la solicitud y contestación se insertará, debidamente autorizada, en el testimonio o documento correspondiente.</w:t>
      </w:r>
    </w:p>
    <w:p w14:paraId="125855B3" w14:textId="77777777" w:rsidR="00D3344B" w:rsidRDefault="00D3344B">
      <w:pPr>
        <w:pStyle w:val="Estilo"/>
        <w:rPr>
          <w:rFonts w:cs="Arial"/>
        </w:rPr>
      </w:pPr>
    </w:p>
    <w:p w14:paraId="61DC639B" w14:textId="77777777" w:rsidR="00D3344B" w:rsidRDefault="00143C25">
      <w:pPr>
        <w:pStyle w:val="Estilo"/>
        <w:rPr>
          <w:rFonts w:cs="Arial"/>
        </w:rPr>
      </w:pPr>
      <w:r>
        <w:rPr>
          <w:rFonts w:cs="Arial"/>
          <w:b/>
        </w:rPr>
        <w:t>Artículo 207.</w:t>
      </w:r>
      <w:r>
        <w:rPr>
          <w:rFonts w:cs="Arial"/>
        </w:rPr>
        <w:t xml:space="preserve"> Las personas físicas o morales cuya actividad sea la venta de inmuebles, tendrán las obligaciones siguientes:</w:t>
      </w:r>
    </w:p>
    <w:p w14:paraId="5EE61842" w14:textId="77777777" w:rsidR="00D3344B" w:rsidRDefault="00D3344B">
      <w:pPr>
        <w:pStyle w:val="Estilo"/>
        <w:rPr>
          <w:rFonts w:cs="Arial"/>
        </w:rPr>
      </w:pPr>
    </w:p>
    <w:p w14:paraId="3C3D8BD8" w14:textId="77777777" w:rsidR="00D3344B" w:rsidRDefault="00143C25">
      <w:pPr>
        <w:pStyle w:val="Estilo"/>
        <w:ind w:left="567" w:hanging="567"/>
        <w:rPr>
          <w:rFonts w:cs="Arial"/>
        </w:rPr>
      </w:pPr>
      <w:r>
        <w:rPr>
          <w:rFonts w:cs="Arial"/>
        </w:rPr>
        <w:t xml:space="preserve">I. </w:t>
      </w:r>
      <w:r>
        <w:rPr>
          <w:rFonts w:cs="Arial"/>
        </w:rPr>
        <w:tab/>
        <w:t xml:space="preserve">Presentar para su autorización, ante la oficina recaudadora que corresponda, los contratos debidamente </w:t>
      </w:r>
      <w:proofErr w:type="spellStart"/>
      <w:r>
        <w:rPr>
          <w:rFonts w:cs="Arial"/>
        </w:rPr>
        <w:t>prenumerados</w:t>
      </w:r>
      <w:proofErr w:type="spellEnd"/>
      <w:r>
        <w:rPr>
          <w:rFonts w:cs="Arial"/>
        </w:rPr>
        <w:t>;</w:t>
      </w:r>
    </w:p>
    <w:p w14:paraId="202ABE94" w14:textId="77777777" w:rsidR="00D3344B" w:rsidRDefault="00D3344B">
      <w:pPr>
        <w:pStyle w:val="Estilo"/>
        <w:ind w:left="567" w:hanging="567"/>
        <w:rPr>
          <w:rFonts w:cs="Arial"/>
        </w:rPr>
      </w:pPr>
    </w:p>
    <w:p w14:paraId="22DDF6D4" w14:textId="77777777" w:rsidR="00D3344B" w:rsidRDefault="00143C25">
      <w:pPr>
        <w:pStyle w:val="Estilo"/>
        <w:ind w:left="567" w:hanging="567"/>
        <w:rPr>
          <w:rFonts w:cs="Arial"/>
        </w:rPr>
      </w:pPr>
      <w:r>
        <w:rPr>
          <w:rFonts w:cs="Arial"/>
        </w:rPr>
        <w:t xml:space="preserve">II. </w:t>
      </w:r>
      <w:r>
        <w:rPr>
          <w:rFonts w:cs="Arial"/>
        </w:rPr>
        <w:tab/>
        <w:t>Conservar copia de los contratos, facturas y recibos de cobranza que originen las ventas;</w:t>
      </w:r>
    </w:p>
    <w:p w14:paraId="3852EC4C" w14:textId="77777777" w:rsidR="00D3344B" w:rsidRDefault="00D3344B">
      <w:pPr>
        <w:pStyle w:val="Estilo"/>
        <w:ind w:left="567" w:hanging="567"/>
        <w:rPr>
          <w:rFonts w:cs="Arial"/>
        </w:rPr>
      </w:pPr>
    </w:p>
    <w:p w14:paraId="603FEBCF" w14:textId="77777777" w:rsidR="00D3344B" w:rsidRDefault="00143C25">
      <w:pPr>
        <w:pStyle w:val="Estilo"/>
        <w:ind w:left="567" w:hanging="567"/>
        <w:rPr>
          <w:rFonts w:cs="Arial"/>
        </w:rPr>
      </w:pPr>
      <w:r>
        <w:rPr>
          <w:rFonts w:cs="Arial"/>
        </w:rPr>
        <w:t xml:space="preserve">III. </w:t>
      </w:r>
      <w:r>
        <w:rPr>
          <w:rFonts w:cs="Arial"/>
        </w:rPr>
        <w:tab/>
        <w:t>Llevar un registro, por cada operación que consigne como mínimo los datos siguientes:</w:t>
      </w:r>
    </w:p>
    <w:p w14:paraId="0F4659FD" w14:textId="77777777" w:rsidR="00D3344B" w:rsidRDefault="00D3344B">
      <w:pPr>
        <w:pStyle w:val="Estilo"/>
        <w:ind w:left="567" w:hanging="567"/>
        <w:rPr>
          <w:rFonts w:cs="Arial"/>
        </w:rPr>
      </w:pPr>
    </w:p>
    <w:p w14:paraId="18F70712" w14:textId="77777777" w:rsidR="00D3344B" w:rsidRDefault="00143C25">
      <w:pPr>
        <w:pStyle w:val="Estilo"/>
        <w:ind w:left="1134" w:hanging="567"/>
        <w:rPr>
          <w:rFonts w:cs="Arial"/>
        </w:rPr>
      </w:pPr>
      <w:r>
        <w:rPr>
          <w:rFonts w:cs="Arial"/>
        </w:rPr>
        <w:t xml:space="preserve">a) </w:t>
      </w:r>
      <w:r>
        <w:rPr>
          <w:rFonts w:cs="Arial"/>
        </w:rPr>
        <w:tab/>
        <w:t>Nombre del comprador.</w:t>
      </w:r>
    </w:p>
    <w:p w14:paraId="57D6EDF1" w14:textId="77777777" w:rsidR="00D3344B" w:rsidRDefault="00D3344B">
      <w:pPr>
        <w:pStyle w:val="Estilo"/>
        <w:ind w:left="1134" w:hanging="567"/>
        <w:rPr>
          <w:rFonts w:cs="Arial"/>
        </w:rPr>
      </w:pPr>
    </w:p>
    <w:p w14:paraId="6B731D6D" w14:textId="77777777" w:rsidR="00D3344B" w:rsidRDefault="00143C25">
      <w:pPr>
        <w:pStyle w:val="Estilo"/>
        <w:ind w:left="1134" w:hanging="567"/>
        <w:rPr>
          <w:rFonts w:cs="Arial"/>
        </w:rPr>
      </w:pPr>
      <w:r>
        <w:rPr>
          <w:rFonts w:cs="Arial"/>
        </w:rPr>
        <w:t xml:space="preserve">b) </w:t>
      </w:r>
      <w:r>
        <w:rPr>
          <w:rFonts w:cs="Arial"/>
        </w:rPr>
        <w:tab/>
        <w:t>Domicilio.</w:t>
      </w:r>
    </w:p>
    <w:p w14:paraId="3A3CC77F" w14:textId="77777777" w:rsidR="00D3344B" w:rsidRDefault="00D3344B">
      <w:pPr>
        <w:pStyle w:val="Estilo"/>
        <w:ind w:left="1134" w:hanging="567"/>
        <w:rPr>
          <w:rFonts w:cs="Arial"/>
        </w:rPr>
      </w:pPr>
    </w:p>
    <w:p w14:paraId="48BE385D" w14:textId="77777777" w:rsidR="00D3344B" w:rsidRDefault="00143C25">
      <w:pPr>
        <w:pStyle w:val="Estilo"/>
        <w:ind w:left="1134" w:hanging="567"/>
        <w:rPr>
          <w:rFonts w:cs="Arial"/>
        </w:rPr>
      </w:pPr>
      <w:r>
        <w:rPr>
          <w:rFonts w:cs="Arial"/>
        </w:rPr>
        <w:t xml:space="preserve">c) </w:t>
      </w:r>
      <w:r>
        <w:rPr>
          <w:rFonts w:cs="Arial"/>
        </w:rPr>
        <w:tab/>
        <w:t>Número de contrato.</w:t>
      </w:r>
    </w:p>
    <w:p w14:paraId="448530D6" w14:textId="77777777" w:rsidR="00D3344B" w:rsidRDefault="00D3344B">
      <w:pPr>
        <w:pStyle w:val="Estilo"/>
        <w:ind w:left="1134" w:hanging="567"/>
        <w:rPr>
          <w:rFonts w:cs="Arial"/>
        </w:rPr>
      </w:pPr>
    </w:p>
    <w:p w14:paraId="44AF4E8B" w14:textId="77777777" w:rsidR="00D3344B" w:rsidRDefault="00143C25">
      <w:pPr>
        <w:pStyle w:val="Estilo"/>
        <w:ind w:left="1134" w:hanging="567"/>
        <w:rPr>
          <w:rFonts w:cs="Arial"/>
        </w:rPr>
      </w:pPr>
      <w:r>
        <w:rPr>
          <w:rFonts w:cs="Arial"/>
        </w:rPr>
        <w:t xml:space="preserve">d) </w:t>
      </w:r>
      <w:r>
        <w:rPr>
          <w:rFonts w:cs="Arial"/>
        </w:rPr>
        <w:tab/>
        <w:t>Manzana y lote.</w:t>
      </w:r>
    </w:p>
    <w:p w14:paraId="14650B4E" w14:textId="77777777" w:rsidR="00D3344B" w:rsidRDefault="00D3344B">
      <w:pPr>
        <w:pStyle w:val="Estilo"/>
        <w:ind w:left="1134" w:hanging="567"/>
        <w:rPr>
          <w:rFonts w:cs="Arial"/>
        </w:rPr>
      </w:pPr>
    </w:p>
    <w:p w14:paraId="036F7CE4" w14:textId="77777777" w:rsidR="00D3344B" w:rsidRDefault="00143C25">
      <w:pPr>
        <w:pStyle w:val="Estilo"/>
        <w:ind w:left="1134" w:hanging="567"/>
        <w:rPr>
          <w:rFonts w:cs="Arial"/>
        </w:rPr>
      </w:pPr>
      <w:r>
        <w:rPr>
          <w:rFonts w:cs="Arial"/>
        </w:rPr>
        <w:t xml:space="preserve">e) </w:t>
      </w:r>
      <w:r>
        <w:rPr>
          <w:rFonts w:cs="Arial"/>
        </w:rPr>
        <w:tab/>
        <w:t>Monto total de la operación e importe de cada una de las mensualidades.</w:t>
      </w:r>
    </w:p>
    <w:p w14:paraId="6716EA3A" w14:textId="77777777" w:rsidR="00D3344B" w:rsidRDefault="00D3344B">
      <w:pPr>
        <w:pStyle w:val="Estilo"/>
        <w:ind w:left="1134" w:hanging="567"/>
        <w:rPr>
          <w:rFonts w:cs="Arial"/>
        </w:rPr>
      </w:pPr>
    </w:p>
    <w:p w14:paraId="7524A422" w14:textId="77777777" w:rsidR="00D3344B" w:rsidRDefault="00143C25">
      <w:pPr>
        <w:pStyle w:val="Estilo"/>
        <w:ind w:left="1134" w:hanging="567"/>
        <w:rPr>
          <w:rFonts w:cs="Arial"/>
        </w:rPr>
      </w:pPr>
      <w:r>
        <w:rPr>
          <w:rFonts w:cs="Arial"/>
        </w:rPr>
        <w:t xml:space="preserve">f) </w:t>
      </w:r>
      <w:r>
        <w:rPr>
          <w:rFonts w:cs="Arial"/>
        </w:rPr>
        <w:tab/>
        <w:t>Fecha y número del recibo de abono.</w:t>
      </w:r>
    </w:p>
    <w:p w14:paraId="19B9B03A" w14:textId="77777777" w:rsidR="00D3344B" w:rsidRDefault="00D3344B">
      <w:pPr>
        <w:pStyle w:val="Estilo"/>
        <w:ind w:left="1134" w:hanging="567"/>
        <w:rPr>
          <w:rFonts w:cs="Arial"/>
        </w:rPr>
      </w:pPr>
    </w:p>
    <w:p w14:paraId="03AA6EED" w14:textId="77777777" w:rsidR="00D3344B" w:rsidRDefault="00143C25">
      <w:pPr>
        <w:pStyle w:val="Estilo"/>
        <w:ind w:left="1134" w:hanging="567"/>
        <w:rPr>
          <w:rFonts w:cs="Arial"/>
        </w:rPr>
      </w:pPr>
      <w:r>
        <w:rPr>
          <w:rFonts w:cs="Arial"/>
        </w:rPr>
        <w:t xml:space="preserve">g) </w:t>
      </w:r>
      <w:r>
        <w:rPr>
          <w:rFonts w:cs="Arial"/>
        </w:rPr>
        <w:tab/>
        <w:t>Saldo por amortizar, incluyendo capital e interés, determinado mensualmente, y</w:t>
      </w:r>
    </w:p>
    <w:p w14:paraId="3C6E2302" w14:textId="77777777" w:rsidR="00D3344B" w:rsidRDefault="00D3344B">
      <w:pPr>
        <w:pStyle w:val="Estilo"/>
        <w:ind w:left="567" w:hanging="567"/>
        <w:rPr>
          <w:rFonts w:cs="Arial"/>
        </w:rPr>
      </w:pPr>
    </w:p>
    <w:p w14:paraId="6841E44F" w14:textId="77777777" w:rsidR="00D3344B" w:rsidRDefault="00143C25">
      <w:pPr>
        <w:pStyle w:val="Estilo"/>
        <w:ind w:left="567" w:hanging="567"/>
        <w:rPr>
          <w:rFonts w:cs="Arial"/>
        </w:rPr>
      </w:pPr>
      <w:r>
        <w:rPr>
          <w:rFonts w:cs="Arial"/>
        </w:rPr>
        <w:t xml:space="preserve">IV. </w:t>
      </w:r>
      <w:r>
        <w:rPr>
          <w:rFonts w:cs="Arial"/>
        </w:rPr>
        <w:tab/>
        <w:t>Deberá formular una declaración mensual, para el pago de este impuesto en las formas oficiales, dentro de los primeros quince días siguientes al mes en que se realizaron las operaciones. Estas declaraciones deberán presentarse en la oficina recaudadora que corresponda al contribuyente, adjuntando copia de los contratos celebrados.</w:t>
      </w:r>
    </w:p>
    <w:p w14:paraId="42E089B5" w14:textId="77777777" w:rsidR="00D3344B" w:rsidRDefault="00D3344B">
      <w:pPr>
        <w:pStyle w:val="Estilo"/>
        <w:rPr>
          <w:rFonts w:cs="Arial"/>
        </w:rPr>
      </w:pPr>
    </w:p>
    <w:p w14:paraId="3B0FCAE2" w14:textId="77777777" w:rsidR="00D3344B" w:rsidRDefault="00143C25">
      <w:pPr>
        <w:pStyle w:val="Estilo"/>
        <w:rPr>
          <w:rFonts w:cs="Arial"/>
        </w:rPr>
      </w:pPr>
      <w:r>
        <w:rPr>
          <w:rFonts w:cs="Arial"/>
        </w:rPr>
        <w:t>La oficina recaudadora al recibir el pago del impuesto a que se refiere este Capítulo, deberá entregar al contribuyente, un recibo por cada predio, que contendrá la clave catastral, número del contrato, nombre del comprador, número de lote, número de manzana e importe de la operación.</w:t>
      </w:r>
    </w:p>
    <w:p w14:paraId="67E709AE" w14:textId="77777777" w:rsidR="00D3344B" w:rsidRDefault="00D3344B">
      <w:pPr>
        <w:pStyle w:val="Estilo"/>
        <w:rPr>
          <w:rFonts w:cs="Arial"/>
        </w:rPr>
      </w:pPr>
    </w:p>
    <w:p w14:paraId="256B404A" w14:textId="77777777" w:rsidR="00D3344B" w:rsidRDefault="00143C25">
      <w:pPr>
        <w:pStyle w:val="Estilo"/>
        <w:rPr>
          <w:rFonts w:cs="Arial"/>
        </w:rPr>
      </w:pPr>
      <w:r>
        <w:rPr>
          <w:rFonts w:cs="Arial"/>
        </w:rPr>
        <w:lastRenderedPageBreak/>
        <w:t>Los fraccionadores que cumplan con lo establecido en la fracción anterior, dejarán de ser solidarios responsables del pago del impuesto predial, de los inmuebles por ellos enajenados.</w:t>
      </w:r>
    </w:p>
    <w:p w14:paraId="1E8E15D3" w14:textId="77777777" w:rsidR="00D3344B" w:rsidRDefault="00D3344B">
      <w:pPr>
        <w:pStyle w:val="Estilo"/>
        <w:rPr>
          <w:rFonts w:cs="Arial"/>
        </w:rPr>
      </w:pPr>
    </w:p>
    <w:p w14:paraId="4BE8094E" w14:textId="77777777" w:rsidR="00D3344B" w:rsidRDefault="00143C25">
      <w:pPr>
        <w:pStyle w:val="Estilo"/>
        <w:rPr>
          <w:rFonts w:cs="Arial"/>
        </w:rPr>
      </w:pPr>
      <w:r>
        <w:rPr>
          <w:rFonts w:cs="Arial"/>
          <w:i/>
          <w:sz w:val="16"/>
        </w:rPr>
        <w:t>(REFORMADO, P.O. 16 DE MARZO DE 2011)</w:t>
      </w:r>
    </w:p>
    <w:p w14:paraId="1FB9E462" w14:textId="77777777" w:rsidR="00D3344B" w:rsidRDefault="00143C25">
      <w:pPr>
        <w:pStyle w:val="Estilo"/>
        <w:rPr>
          <w:rFonts w:cs="Arial"/>
        </w:rPr>
      </w:pPr>
      <w:r>
        <w:rPr>
          <w:rFonts w:cs="Arial"/>
          <w:b/>
        </w:rPr>
        <w:t>Artículo 208.</w:t>
      </w:r>
      <w:r>
        <w:rPr>
          <w:rFonts w:cs="Arial"/>
        </w:rPr>
        <w:t xml:space="preserve"> La base de este impuesto será el valor mayor que resulte de comparar el precio de la transmisión, el valor catastral y el valor fiscal.</w:t>
      </w:r>
    </w:p>
    <w:p w14:paraId="397B3E6C" w14:textId="77777777" w:rsidR="00D3344B" w:rsidRDefault="00D3344B">
      <w:pPr>
        <w:pStyle w:val="Estilo"/>
        <w:rPr>
          <w:rFonts w:cs="Arial"/>
        </w:rPr>
      </w:pPr>
    </w:p>
    <w:p w14:paraId="48167F43" w14:textId="77777777" w:rsidR="00D3344B" w:rsidRDefault="00143C25">
      <w:pPr>
        <w:pStyle w:val="Estilo"/>
        <w:rPr>
          <w:rFonts w:cs="Arial"/>
        </w:rPr>
      </w:pPr>
      <w:r>
        <w:rPr>
          <w:rFonts w:cs="Arial"/>
        </w:rPr>
        <w:t>(REFORMADO, P.O. 16 DE MARZO DE 2021)</w:t>
      </w:r>
    </w:p>
    <w:p w14:paraId="221D18DD" w14:textId="77777777" w:rsidR="00D3344B" w:rsidRDefault="00143C25">
      <w:pPr>
        <w:pStyle w:val="Estilo"/>
        <w:rPr>
          <w:rFonts w:cs="Arial"/>
        </w:rPr>
      </w:pPr>
      <w:r>
        <w:rPr>
          <w:rFonts w:cs="Arial"/>
          <w:b/>
        </w:rPr>
        <w:t>Artículo 209.</w:t>
      </w:r>
      <w:r>
        <w:rPr>
          <w:rFonts w:cs="Arial"/>
        </w:rPr>
        <w:t xml:space="preserve"> Este impuesto se pagará aplicando una tasa del dos por ciento sobre el valor que resulte mayor de los señalados en el artículo 208 del Código Financiero, en los sesenta municipios del Estado de Tlaxcala.</w:t>
      </w:r>
    </w:p>
    <w:p w14:paraId="514FA2DC" w14:textId="77777777" w:rsidR="00D3344B" w:rsidRDefault="00D3344B">
      <w:pPr>
        <w:pStyle w:val="Estilo"/>
        <w:rPr>
          <w:rFonts w:cs="Arial"/>
        </w:rPr>
      </w:pPr>
    </w:p>
    <w:p w14:paraId="7727C42F" w14:textId="77777777" w:rsidR="00D3344B" w:rsidRDefault="00143C25">
      <w:pPr>
        <w:pStyle w:val="Estilo"/>
        <w:rPr>
          <w:rFonts w:cs="Arial"/>
        </w:rPr>
      </w:pPr>
      <w:r>
        <w:rPr>
          <w:rFonts w:cs="Arial"/>
        </w:rPr>
        <w:t>Si al aplicar la tasa a la base, resultare un impuesto inferior a ocho veces el valor diario de la Unidad de Medida y Actualización, o no resultare, se cobrará esta cantidad como mínimo del impuesto sobre transmisión de bienes inmuebles en los sesenta municipios del Estado de Tlaxcala.</w:t>
      </w:r>
    </w:p>
    <w:p w14:paraId="4B9E3F5A" w14:textId="77777777" w:rsidR="00D3344B" w:rsidRDefault="00D3344B">
      <w:pPr>
        <w:pStyle w:val="Estilo"/>
        <w:rPr>
          <w:rFonts w:cs="Arial"/>
        </w:rPr>
      </w:pPr>
    </w:p>
    <w:p w14:paraId="10F13857" w14:textId="77777777" w:rsidR="00D3344B" w:rsidRDefault="00143C25">
      <w:pPr>
        <w:pStyle w:val="Estilo"/>
        <w:rPr>
          <w:rFonts w:cs="Arial"/>
          <w:i/>
          <w:iCs/>
          <w:sz w:val="16"/>
          <w:szCs w:val="16"/>
        </w:rPr>
      </w:pPr>
      <w:r>
        <w:rPr>
          <w:rFonts w:cs="Arial"/>
          <w:b/>
        </w:rPr>
        <w:t>Artículo 209 Bis.</w:t>
      </w:r>
      <w:r>
        <w:rPr>
          <w:rFonts w:cs="Arial"/>
        </w:rPr>
        <w:t xml:space="preserve">  </w:t>
      </w:r>
      <w:r>
        <w:rPr>
          <w:rFonts w:cs="Arial"/>
          <w:i/>
          <w:iCs/>
          <w:sz w:val="16"/>
          <w:szCs w:val="16"/>
        </w:rPr>
        <w:t>(DEROGADO, P.O. 22 DE DICIEMBRE DE 2021)</w:t>
      </w:r>
    </w:p>
    <w:p w14:paraId="110B1084" w14:textId="77777777" w:rsidR="00D3344B" w:rsidRDefault="00D3344B">
      <w:pPr>
        <w:pStyle w:val="Estilo"/>
        <w:rPr>
          <w:rFonts w:cs="Arial"/>
        </w:rPr>
      </w:pPr>
    </w:p>
    <w:p w14:paraId="70854030" w14:textId="77777777" w:rsidR="00D3344B" w:rsidRDefault="00D3344B">
      <w:pPr>
        <w:pStyle w:val="Estilo"/>
        <w:rPr>
          <w:rFonts w:cs="Arial"/>
        </w:rPr>
      </w:pPr>
    </w:p>
    <w:p w14:paraId="42FC6008" w14:textId="77777777" w:rsidR="00D3344B" w:rsidRDefault="00143C25">
      <w:pPr>
        <w:pStyle w:val="Estilo"/>
        <w:rPr>
          <w:rFonts w:cs="Arial"/>
          <w:i/>
          <w:sz w:val="16"/>
          <w:szCs w:val="16"/>
        </w:rPr>
      </w:pPr>
      <w:r>
        <w:rPr>
          <w:rFonts w:cs="Arial"/>
          <w:i/>
          <w:sz w:val="16"/>
          <w:szCs w:val="16"/>
        </w:rPr>
        <w:t>(REFORMADO, P.O. 21 DE JUNIO DE 2021)</w:t>
      </w:r>
    </w:p>
    <w:p w14:paraId="66FCF0A4" w14:textId="77777777" w:rsidR="00D3344B" w:rsidRDefault="00143C25">
      <w:pPr>
        <w:pStyle w:val="Estilo"/>
        <w:rPr>
          <w:rFonts w:cs="Arial"/>
        </w:rPr>
      </w:pPr>
      <w:r>
        <w:rPr>
          <w:rFonts w:cs="Arial"/>
          <w:b/>
        </w:rPr>
        <w:t xml:space="preserve">Artículo 210. </w:t>
      </w:r>
      <w:r>
        <w:rPr>
          <w:rFonts w:cs="Arial"/>
        </w:rPr>
        <w:t>Sin perjuicio de lo previsto en el artículo anterior, no habrá obligación de pago de este impuesto, cuando se trate de traslación de dominio de inmuebles que reciban instituciones de beneficencia pública; respecto de vivienda de interés social o popular se estará a la cuota mínima que al efecto se señale. Se considera vivienda de interés social, aquella cuyo valor no exceda en el momento de su adquisición, de 15 UMA anual y se considerará vivienda popular, aquella cuyo valor al término de su edificación no exceda de la suma que resulte de multiplicar por 25, el UMA anual.</w:t>
      </w:r>
    </w:p>
    <w:p w14:paraId="10A8A656" w14:textId="77777777" w:rsidR="00D3344B" w:rsidRDefault="00D3344B">
      <w:pPr>
        <w:pStyle w:val="Estilo"/>
        <w:rPr>
          <w:rFonts w:cs="Arial"/>
        </w:rPr>
      </w:pPr>
    </w:p>
    <w:p w14:paraId="3101F428" w14:textId="77777777" w:rsidR="00D3344B" w:rsidRDefault="00143C25">
      <w:pPr>
        <w:pStyle w:val="Estilo"/>
        <w:rPr>
          <w:rFonts w:cs="Arial"/>
        </w:rPr>
      </w:pPr>
      <w:r>
        <w:rPr>
          <w:rFonts w:cs="Arial"/>
          <w:b/>
        </w:rPr>
        <w:t>Artículo 211.</w:t>
      </w:r>
      <w:r>
        <w:rPr>
          <w:rFonts w:cs="Arial"/>
        </w:rPr>
        <w:t xml:space="preserve"> El pago del impuesto sobre adquisición de inmuebles, deberá hacerse dentro de los quince días siguientes a aquél en que se realice, cualquiera de los supuestos siguientes:</w:t>
      </w:r>
    </w:p>
    <w:p w14:paraId="33005DE0" w14:textId="77777777" w:rsidR="00D3344B" w:rsidRDefault="00D3344B">
      <w:pPr>
        <w:pStyle w:val="Estilo"/>
        <w:rPr>
          <w:rFonts w:cs="Arial"/>
        </w:rPr>
      </w:pPr>
    </w:p>
    <w:p w14:paraId="301E2ED2" w14:textId="77777777" w:rsidR="00D3344B" w:rsidRDefault="00143C25">
      <w:pPr>
        <w:pStyle w:val="Estilo"/>
        <w:ind w:left="567" w:hanging="567"/>
        <w:rPr>
          <w:rFonts w:cs="Arial"/>
        </w:rPr>
      </w:pPr>
      <w:r>
        <w:rPr>
          <w:rFonts w:cs="Arial"/>
        </w:rPr>
        <w:t xml:space="preserve">I. </w:t>
      </w:r>
      <w:r>
        <w:rPr>
          <w:rFonts w:cs="Arial"/>
        </w:rPr>
        <w:tab/>
        <w:t>Cuando se adquiera o constituya el usufructo o la nuda propiedad y en el caso de usufructo temporal, cuando se extinga;</w:t>
      </w:r>
    </w:p>
    <w:p w14:paraId="10F6FCF8" w14:textId="77777777" w:rsidR="00D3344B" w:rsidRDefault="00D3344B">
      <w:pPr>
        <w:pStyle w:val="Estilo"/>
        <w:ind w:left="567" w:hanging="567"/>
        <w:rPr>
          <w:rFonts w:cs="Arial"/>
        </w:rPr>
      </w:pPr>
    </w:p>
    <w:p w14:paraId="6E535EED" w14:textId="77777777" w:rsidR="00D3344B" w:rsidRDefault="00143C25">
      <w:pPr>
        <w:pStyle w:val="Estilo"/>
        <w:ind w:left="567" w:hanging="567"/>
        <w:rPr>
          <w:rFonts w:cs="Arial"/>
        </w:rPr>
      </w:pPr>
      <w:r>
        <w:rPr>
          <w:rFonts w:cs="Arial"/>
        </w:rPr>
        <w:t xml:space="preserve">II. </w:t>
      </w:r>
      <w:r>
        <w:rPr>
          <w:rFonts w:cs="Arial"/>
        </w:rPr>
        <w:tab/>
        <w:t>Cuando se adjudiquen los bienes de la sucesión;</w:t>
      </w:r>
    </w:p>
    <w:p w14:paraId="0F6DAA14" w14:textId="77777777" w:rsidR="00D3344B" w:rsidRDefault="00D3344B">
      <w:pPr>
        <w:pStyle w:val="Estilo"/>
        <w:ind w:left="567" w:hanging="567"/>
        <w:rPr>
          <w:rFonts w:cs="Arial"/>
        </w:rPr>
      </w:pPr>
    </w:p>
    <w:p w14:paraId="7D227E07" w14:textId="77777777" w:rsidR="00D3344B" w:rsidRDefault="00143C25">
      <w:pPr>
        <w:pStyle w:val="Estilo"/>
        <w:ind w:left="567" w:hanging="567"/>
        <w:rPr>
          <w:rFonts w:cs="Arial"/>
        </w:rPr>
      </w:pPr>
      <w:r>
        <w:rPr>
          <w:rFonts w:cs="Arial"/>
        </w:rPr>
        <w:t xml:space="preserve">III. </w:t>
      </w:r>
      <w:r>
        <w:rPr>
          <w:rFonts w:cs="Arial"/>
        </w:rPr>
        <w:tab/>
        <w:t>Cuando se realicen los supuestos de la enajenación a través de fideicomiso;</w:t>
      </w:r>
    </w:p>
    <w:p w14:paraId="2F49DEA9" w14:textId="77777777" w:rsidR="00D3344B" w:rsidRDefault="00D3344B">
      <w:pPr>
        <w:pStyle w:val="Estilo"/>
        <w:ind w:left="567" w:hanging="567"/>
        <w:rPr>
          <w:rFonts w:cs="Arial"/>
        </w:rPr>
      </w:pPr>
    </w:p>
    <w:p w14:paraId="3FEFC6A5" w14:textId="77777777" w:rsidR="00D3344B" w:rsidRDefault="00143C25">
      <w:pPr>
        <w:pStyle w:val="Estilo"/>
        <w:ind w:left="567" w:hanging="567"/>
        <w:rPr>
          <w:rFonts w:cs="Arial"/>
        </w:rPr>
      </w:pPr>
      <w:r>
        <w:rPr>
          <w:rFonts w:cs="Arial"/>
        </w:rPr>
        <w:t xml:space="preserve">IV. </w:t>
      </w:r>
      <w:r>
        <w:rPr>
          <w:rFonts w:cs="Arial"/>
        </w:rPr>
        <w:tab/>
        <w:t>Cuando se declare ejecutoriada la resolución por la cual se adjudiquen inmuebles, por remate judicial o por haber operado la usucapión;</w:t>
      </w:r>
    </w:p>
    <w:p w14:paraId="6CA48C31" w14:textId="77777777" w:rsidR="00D3344B" w:rsidRDefault="00D3344B">
      <w:pPr>
        <w:pStyle w:val="Estilo"/>
        <w:ind w:left="567" w:hanging="567"/>
        <w:rPr>
          <w:rFonts w:cs="Arial"/>
        </w:rPr>
      </w:pPr>
    </w:p>
    <w:p w14:paraId="7FA33559" w14:textId="77777777" w:rsidR="00D3344B" w:rsidRDefault="00143C25">
      <w:pPr>
        <w:pStyle w:val="Estilo"/>
        <w:ind w:left="567" w:hanging="567"/>
        <w:rPr>
          <w:rFonts w:cs="Arial"/>
        </w:rPr>
      </w:pPr>
      <w:r>
        <w:rPr>
          <w:rFonts w:cs="Arial"/>
        </w:rPr>
        <w:t xml:space="preserve">V. </w:t>
      </w:r>
      <w:r>
        <w:rPr>
          <w:rFonts w:cs="Arial"/>
        </w:rPr>
        <w:tab/>
        <w:t>En los contratos de compraventa con reserva de dominio o de promesa de venta, cuando se celebre el contrato respectivo, y</w:t>
      </w:r>
    </w:p>
    <w:p w14:paraId="334299C9" w14:textId="77777777" w:rsidR="00D3344B" w:rsidRDefault="00D3344B">
      <w:pPr>
        <w:pStyle w:val="Estilo"/>
        <w:ind w:left="567" w:hanging="567"/>
        <w:rPr>
          <w:rFonts w:cs="Arial"/>
        </w:rPr>
      </w:pPr>
    </w:p>
    <w:p w14:paraId="1D1270A4" w14:textId="77777777" w:rsidR="00D3344B" w:rsidRDefault="00143C25">
      <w:pPr>
        <w:pStyle w:val="Estilo"/>
        <w:ind w:left="567" w:hanging="567"/>
        <w:rPr>
          <w:rFonts w:cs="Arial"/>
        </w:rPr>
      </w:pPr>
      <w:r>
        <w:rPr>
          <w:rFonts w:cs="Arial"/>
        </w:rPr>
        <w:t xml:space="preserve">VI. </w:t>
      </w:r>
      <w:r>
        <w:rPr>
          <w:rFonts w:cs="Arial"/>
        </w:rPr>
        <w:tab/>
        <w:t>En los casos no previstos en las fracciones anteriores, cuando los actos de que se trate se eleven a escritura pública o si se trata de documentos privados, cuando se inscriban en el Registro Público de la Propiedad y del Comercio.</w:t>
      </w:r>
    </w:p>
    <w:p w14:paraId="6777F507" w14:textId="77777777" w:rsidR="00D3344B" w:rsidRDefault="00D3344B">
      <w:pPr>
        <w:pStyle w:val="Estilo"/>
        <w:rPr>
          <w:rFonts w:cs="Arial"/>
        </w:rPr>
      </w:pPr>
    </w:p>
    <w:p w14:paraId="00000941" w14:textId="77777777" w:rsidR="00D3344B" w:rsidRDefault="00143C25">
      <w:pPr>
        <w:pStyle w:val="Estilo"/>
        <w:rPr>
          <w:rFonts w:cs="Arial"/>
        </w:rPr>
      </w:pPr>
      <w:r>
        <w:rPr>
          <w:rFonts w:cs="Arial"/>
          <w:b/>
        </w:rPr>
        <w:t>Artículo 212.</w:t>
      </w:r>
      <w:r>
        <w:rPr>
          <w:rFonts w:cs="Arial"/>
        </w:rPr>
        <w:t xml:space="preserve"> Si la adquisición opera en virtud de actos o contratos celebrados fuera del Estado, el impuesto deberá ser cubierto dentro del plazo de noventa días contados a partir de la celebración del acto o contrato.</w:t>
      </w:r>
    </w:p>
    <w:p w14:paraId="1C6FB1D2" w14:textId="77777777" w:rsidR="00D3344B" w:rsidRDefault="00D3344B">
      <w:pPr>
        <w:pStyle w:val="Estilo"/>
        <w:rPr>
          <w:rFonts w:cs="Arial"/>
        </w:rPr>
      </w:pPr>
    </w:p>
    <w:p w14:paraId="04058967" w14:textId="77777777" w:rsidR="00D3344B" w:rsidRDefault="00143C25">
      <w:pPr>
        <w:pStyle w:val="Estilo"/>
        <w:rPr>
          <w:rFonts w:cs="Arial"/>
        </w:rPr>
      </w:pPr>
      <w:r>
        <w:rPr>
          <w:rFonts w:cs="Arial"/>
          <w:b/>
        </w:rPr>
        <w:t>Artículo 213.</w:t>
      </w:r>
      <w:r>
        <w:rPr>
          <w:rFonts w:cs="Arial"/>
        </w:rPr>
        <w:t xml:space="preserve"> Cuando la adquisición de los bienes inmuebles opere por resoluciones de autoridades no ubicadas dentro del territorio del Estado, el pago de este impuesto se hará dentro del plazo de treinta días contados a partir de la fecha en que haya causado ejecutoria la resolución respectiva.</w:t>
      </w:r>
    </w:p>
    <w:p w14:paraId="6374F9F3" w14:textId="77777777" w:rsidR="00D3344B" w:rsidRDefault="00D3344B">
      <w:pPr>
        <w:pStyle w:val="Estilo"/>
        <w:rPr>
          <w:rFonts w:cs="Arial"/>
        </w:rPr>
      </w:pPr>
    </w:p>
    <w:p w14:paraId="19A5CEB3" w14:textId="77777777" w:rsidR="00D3344B" w:rsidRDefault="00143C25">
      <w:pPr>
        <w:pStyle w:val="Estilo"/>
        <w:rPr>
          <w:rFonts w:cs="Arial"/>
        </w:rPr>
      </w:pPr>
      <w:r>
        <w:rPr>
          <w:rFonts w:cs="Arial"/>
          <w:b/>
        </w:rPr>
        <w:t>Artículo 214.</w:t>
      </w:r>
      <w:r>
        <w:rPr>
          <w:rFonts w:cs="Arial"/>
        </w:rPr>
        <w:t xml:space="preserve"> Si el impuesto no se cubre dentro de los plazos establecidos en los artículos anteriores, se constituirá el crédito fiscal relativo y la multa correspondiente, con las consecuencias legales previstas por este código para el contribuyente. En todo caso, los bienes sobre los que se realicen las situaciones jurídicas o de hecho que generen este impuesto, quedarán afectos preferentemente al pago del mismo.</w:t>
      </w:r>
    </w:p>
    <w:p w14:paraId="08F76054" w14:textId="77777777" w:rsidR="00D3344B" w:rsidRDefault="00D3344B">
      <w:pPr>
        <w:pStyle w:val="Estilo"/>
        <w:rPr>
          <w:rFonts w:cs="Arial"/>
        </w:rPr>
      </w:pPr>
    </w:p>
    <w:p w14:paraId="15372BF1" w14:textId="77777777" w:rsidR="00D3344B" w:rsidRDefault="00143C25">
      <w:pPr>
        <w:pStyle w:val="Estilo"/>
        <w:rPr>
          <w:rFonts w:cs="Arial"/>
        </w:rPr>
      </w:pPr>
      <w:r>
        <w:rPr>
          <w:rFonts w:cs="Arial"/>
          <w:b/>
        </w:rPr>
        <w:t>Artículo 215.</w:t>
      </w:r>
      <w:r>
        <w:rPr>
          <w:rFonts w:cs="Arial"/>
        </w:rPr>
        <w:t xml:space="preserve"> Cuando el impuesto se cause por contratos de promesa de venta, de compraventa con reserva de dominio o traslativo de dominio sujetos a condición suspensiva o resolutiva, al perfeccionarse las operaciones, los contribuyentes deberán dar nuevo aviso, relacionándolo con el primero para evitar doble pago. En los casos en que </w:t>
      </w:r>
      <w:proofErr w:type="gramStart"/>
      <w:r>
        <w:rPr>
          <w:rFonts w:cs="Arial"/>
        </w:rPr>
        <w:t>estas operaciones no llegue</w:t>
      </w:r>
      <w:proofErr w:type="gramEnd"/>
      <w:r>
        <w:rPr>
          <w:rFonts w:cs="Arial"/>
        </w:rPr>
        <w:t xml:space="preserve"> (sic) a perfeccionarse, se devolverá el impuesto causado, siempre y cuando se exhiba el contrato y demás documentación comprobatoria del hecho.</w:t>
      </w:r>
    </w:p>
    <w:p w14:paraId="009D8396" w14:textId="77777777" w:rsidR="00D3344B" w:rsidRDefault="00D3344B">
      <w:pPr>
        <w:pStyle w:val="Estilo"/>
        <w:rPr>
          <w:rFonts w:cs="Arial"/>
        </w:rPr>
      </w:pPr>
    </w:p>
    <w:p w14:paraId="35CDCC76" w14:textId="77777777" w:rsidR="00D3344B" w:rsidRDefault="00143C25">
      <w:pPr>
        <w:pStyle w:val="Estilo"/>
        <w:rPr>
          <w:rFonts w:cs="Arial"/>
        </w:rPr>
      </w:pPr>
      <w:r>
        <w:rPr>
          <w:rFonts w:cs="Arial"/>
        </w:rPr>
        <w:t>Cuando la transmisión sea consecuencia de una resolución judicial, el adquirente tendrá las obligaciones que establece el artículo 212 de este código y además deberá acompañar copia certificada de la resolución y del auto en virtud del cual ésta haya causado ejecutoria.</w:t>
      </w:r>
    </w:p>
    <w:p w14:paraId="3329A2D6" w14:textId="77777777" w:rsidR="00D3344B" w:rsidRDefault="00D3344B">
      <w:pPr>
        <w:pStyle w:val="Estilo"/>
        <w:rPr>
          <w:rFonts w:cs="Arial"/>
        </w:rPr>
      </w:pPr>
    </w:p>
    <w:p w14:paraId="5F58B41F" w14:textId="77777777" w:rsidR="00D3344B" w:rsidRDefault="00D3344B">
      <w:pPr>
        <w:pStyle w:val="Estilo"/>
        <w:rPr>
          <w:rFonts w:cs="Arial"/>
        </w:rPr>
      </w:pPr>
    </w:p>
    <w:p w14:paraId="6902F4EE" w14:textId="77777777" w:rsidR="00D3344B" w:rsidRDefault="00143C25">
      <w:pPr>
        <w:pStyle w:val="Estilo"/>
        <w:jc w:val="center"/>
        <w:rPr>
          <w:rFonts w:cs="Arial"/>
          <w:b/>
        </w:rPr>
      </w:pPr>
      <w:r>
        <w:rPr>
          <w:rFonts w:cs="Arial"/>
          <w:b/>
        </w:rPr>
        <w:t>Capítulo III</w:t>
      </w:r>
    </w:p>
    <w:p w14:paraId="317B4F57" w14:textId="77777777" w:rsidR="00D3344B" w:rsidRDefault="00143C25">
      <w:pPr>
        <w:pStyle w:val="Estilo"/>
        <w:jc w:val="center"/>
        <w:rPr>
          <w:rFonts w:cs="Arial"/>
          <w:b/>
        </w:rPr>
      </w:pPr>
      <w:r>
        <w:rPr>
          <w:rFonts w:cs="Arial"/>
          <w:b/>
        </w:rPr>
        <w:t>Derechos por la Prestación de Servicios Municipales</w:t>
      </w:r>
    </w:p>
    <w:p w14:paraId="629F8044" w14:textId="77777777" w:rsidR="00D3344B" w:rsidRDefault="00D3344B">
      <w:pPr>
        <w:pStyle w:val="Estilo"/>
        <w:rPr>
          <w:rFonts w:cs="Arial"/>
        </w:rPr>
      </w:pPr>
    </w:p>
    <w:p w14:paraId="1C088B5E" w14:textId="77777777" w:rsidR="00D3344B" w:rsidRDefault="00143C25">
      <w:pPr>
        <w:pStyle w:val="Estilo"/>
        <w:rPr>
          <w:rFonts w:cs="Arial"/>
        </w:rPr>
      </w:pPr>
      <w:r>
        <w:rPr>
          <w:rFonts w:cs="Arial"/>
          <w:b/>
        </w:rPr>
        <w:t>Artículo 216.</w:t>
      </w:r>
      <w:r>
        <w:rPr>
          <w:rFonts w:cs="Arial"/>
        </w:rPr>
        <w:t xml:space="preserve"> Los derechos por la prestación de los servicios que otorguen los municipios, se causarán en el momento en que el particular reciba la prestación del servicio, o en el momento en que se origine el gasto que deba ser remunerado por aquél, salvo en el caso de que la disposición que fije el derecho señale algo distinto.</w:t>
      </w:r>
    </w:p>
    <w:p w14:paraId="0ED766C0" w14:textId="77777777" w:rsidR="00D3344B" w:rsidRDefault="00D3344B">
      <w:pPr>
        <w:pStyle w:val="Estilo"/>
        <w:rPr>
          <w:rFonts w:cs="Arial"/>
        </w:rPr>
      </w:pPr>
    </w:p>
    <w:p w14:paraId="788D7FCE" w14:textId="77777777" w:rsidR="00D3344B" w:rsidRDefault="00143C25">
      <w:pPr>
        <w:pStyle w:val="Estilo"/>
        <w:rPr>
          <w:rFonts w:cs="Arial"/>
        </w:rPr>
      </w:pPr>
      <w:r>
        <w:rPr>
          <w:rFonts w:cs="Arial"/>
          <w:b/>
        </w:rPr>
        <w:t>Artículo 217.</w:t>
      </w:r>
      <w:r>
        <w:rPr>
          <w:rFonts w:cs="Arial"/>
        </w:rPr>
        <w:t xml:space="preserve"> Son objeto de los derechos que particularmente establezca la Ley de Ingresos Municipal respectiva, la prestación de servicios o la realización de </w:t>
      </w:r>
      <w:r>
        <w:rPr>
          <w:rFonts w:cs="Arial"/>
        </w:rPr>
        <w:lastRenderedPageBreak/>
        <w:t>actividades por parte de los municipios, en forma directa o a través de sus organismos públicos descentralizados.</w:t>
      </w:r>
    </w:p>
    <w:p w14:paraId="676CFA8B" w14:textId="77777777" w:rsidR="00D3344B" w:rsidRDefault="00D3344B">
      <w:pPr>
        <w:pStyle w:val="Estilo"/>
        <w:rPr>
          <w:rFonts w:cs="Arial"/>
        </w:rPr>
      </w:pPr>
    </w:p>
    <w:p w14:paraId="5AD49850" w14:textId="77777777" w:rsidR="00D3344B" w:rsidRDefault="00143C25">
      <w:pPr>
        <w:pStyle w:val="Estilo"/>
        <w:rPr>
          <w:rFonts w:cs="Arial"/>
        </w:rPr>
      </w:pPr>
      <w:r>
        <w:rPr>
          <w:rFonts w:cs="Arial"/>
          <w:b/>
        </w:rPr>
        <w:t>Artículo 218</w:t>
      </w:r>
      <w:r>
        <w:rPr>
          <w:rFonts w:cs="Arial"/>
        </w:rPr>
        <w:t xml:space="preserve"> Serán sujetos de los derechos municipales, las personas que soliciten la prestación de un servicio público o el desarrollo de una actividad y las que resulten beneficiadas o afectadas por las actividades realizadas por los municipios.</w:t>
      </w:r>
    </w:p>
    <w:p w14:paraId="28E40B88" w14:textId="77777777" w:rsidR="00D3344B" w:rsidRDefault="00D3344B">
      <w:pPr>
        <w:pStyle w:val="Estilo"/>
        <w:rPr>
          <w:rFonts w:cs="Arial"/>
        </w:rPr>
      </w:pPr>
    </w:p>
    <w:p w14:paraId="4F9B2B69" w14:textId="77777777" w:rsidR="00D3344B" w:rsidRDefault="00143C25">
      <w:pPr>
        <w:pStyle w:val="Estilo"/>
        <w:rPr>
          <w:rFonts w:cs="Arial"/>
        </w:rPr>
      </w:pPr>
      <w:r>
        <w:rPr>
          <w:rFonts w:cs="Arial"/>
          <w:b/>
        </w:rPr>
        <w:t>Artículo 219.</w:t>
      </w:r>
      <w:r>
        <w:rPr>
          <w:rFonts w:cs="Arial"/>
        </w:rPr>
        <w:t xml:space="preserve"> El importe de los derechos deberá ser cubierto, previamente a la prestación del servicio, en la Tesorería Municipal u oficina que corresponda, conforme a las tarifas y cuotas que al efecto señale la Ley de Ingresos del Municipio de que se trate.</w:t>
      </w:r>
    </w:p>
    <w:p w14:paraId="0EDD2E2B" w14:textId="77777777" w:rsidR="00D3344B" w:rsidRDefault="00D3344B">
      <w:pPr>
        <w:pStyle w:val="Estilo"/>
        <w:rPr>
          <w:rFonts w:cs="Arial"/>
        </w:rPr>
      </w:pPr>
    </w:p>
    <w:p w14:paraId="5640E4FD" w14:textId="77777777" w:rsidR="00D3344B" w:rsidRDefault="00143C25">
      <w:pPr>
        <w:pStyle w:val="Estilo"/>
        <w:rPr>
          <w:rFonts w:cs="Arial"/>
        </w:rPr>
      </w:pPr>
      <w:r>
        <w:rPr>
          <w:rFonts w:cs="Arial"/>
          <w:b/>
        </w:rPr>
        <w:t>Artículo 220.</w:t>
      </w:r>
      <w:r>
        <w:rPr>
          <w:rFonts w:cs="Arial"/>
        </w:rPr>
        <w:t xml:space="preserve"> La Ley de Ingresos para los municipios fijará anualmente las tasas o tarifas de los impuestos, los productos y los aprovechamientos, así como los conceptos o cuotas de los servicios por los cuales deberán pagarse derechos municipales.</w:t>
      </w:r>
    </w:p>
    <w:p w14:paraId="129D8EB0" w14:textId="77777777" w:rsidR="00D3344B" w:rsidRDefault="00D3344B">
      <w:pPr>
        <w:pStyle w:val="Estilo"/>
        <w:rPr>
          <w:rFonts w:cs="Arial"/>
        </w:rPr>
      </w:pPr>
    </w:p>
    <w:p w14:paraId="4177A212" w14:textId="77777777" w:rsidR="00D3344B" w:rsidRDefault="00D3344B">
      <w:pPr>
        <w:pStyle w:val="Estilo"/>
        <w:rPr>
          <w:rFonts w:cs="Arial"/>
        </w:rPr>
      </w:pPr>
    </w:p>
    <w:p w14:paraId="259165DB" w14:textId="77777777" w:rsidR="00D3344B" w:rsidRDefault="00143C25">
      <w:pPr>
        <w:pStyle w:val="Estilo"/>
        <w:jc w:val="center"/>
        <w:rPr>
          <w:rFonts w:cs="Arial"/>
          <w:b/>
        </w:rPr>
      </w:pPr>
      <w:r>
        <w:rPr>
          <w:rFonts w:cs="Arial"/>
          <w:b/>
        </w:rPr>
        <w:t>TÍTULO SÉPTIMO</w:t>
      </w:r>
    </w:p>
    <w:p w14:paraId="55FD49D0" w14:textId="77777777" w:rsidR="00D3344B" w:rsidRDefault="00143C25">
      <w:pPr>
        <w:pStyle w:val="Estilo"/>
        <w:jc w:val="center"/>
        <w:rPr>
          <w:rFonts w:cs="Arial"/>
          <w:b/>
        </w:rPr>
      </w:pPr>
      <w:r>
        <w:rPr>
          <w:rFonts w:cs="Arial"/>
          <w:b/>
        </w:rPr>
        <w:t>INGRESOS NO TRIBUTARIOS DE LOS MUNICIPIOS</w:t>
      </w:r>
    </w:p>
    <w:p w14:paraId="7105A6CC" w14:textId="77777777" w:rsidR="00D3344B" w:rsidRDefault="00D3344B">
      <w:pPr>
        <w:pStyle w:val="Estilo"/>
        <w:jc w:val="center"/>
        <w:rPr>
          <w:rFonts w:cs="Arial"/>
          <w:b/>
        </w:rPr>
      </w:pPr>
    </w:p>
    <w:p w14:paraId="00DCD214" w14:textId="77777777" w:rsidR="00D3344B" w:rsidRDefault="00143C25">
      <w:pPr>
        <w:pStyle w:val="Estilo"/>
        <w:jc w:val="center"/>
        <w:rPr>
          <w:rFonts w:cs="Arial"/>
          <w:b/>
        </w:rPr>
      </w:pPr>
      <w:r>
        <w:rPr>
          <w:rFonts w:cs="Arial"/>
          <w:b/>
        </w:rPr>
        <w:t>Capítulo I</w:t>
      </w:r>
    </w:p>
    <w:p w14:paraId="32740762" w14:textId="77777777" w:rsidR="00D3344B" w:rsidRDefault="00143C25">
      <w:pPr>
        <w:pStyle w:val="Estilo"/>
        <w:jc w:val="center"/>
        <w:rPr>
          <w:rFonts w:cs="Arial"/>
          <w:b/>
        </w:rPr>
      </w:pPr>
      <w:r>
        <w:rPr>
          <w:rFonts w:cs="Arial"/>
          <w:b/>
        </w:rPr>
        <w:t>Productos Municipales</w:t>
      </w:r>
    </w:p>
    <w:p w14:paraId="284C0455" w14:textId="77777777" w:rsidR="00D3344B" w:rsidRDefault="00D3344B">
      <w:pPr>
        <w:pStyle w:val="Estilo"/>
        <w:rPr>
          <w:rFonts w:cs="Arial"/>
        </w:rPr>
      </w:pPr>
    </w:p>
    <w:p w14:paraId="074F0C08" w14:textId="77777777" w:rsidR="00D3344B" w:rsidRDefault="00143C25">
      <w:pPr>
        <w:pStyle w:val="Estilo"/>
        <w:rPr>
          <w:rFonts w:cs="Arial"/>
        </w:rPr>
      </w:pPr>
      <w:r>
        <w:rPr>
          <w:rFonts w:cs="Arial"/>
          <w:b/>
        </w:rPr>
        <w:t>Artículo 221.</w:t>
      </w:r>
      <w:r>
        <w:rPr>
          <w:rFonts w:cs="Arial"/>
        </w:rPr>
        <w:t xml:space="preserve"> Serán productos municipales, los ingresos que obtengan los municipios, por concepto de:</w:t>
      </w:r>
    </w:p>
    <w:p w14:paraId="7E8D5440" w14:textId="77777777" w:rsidR="00D3344B" w:rsidRDefault="00D3344B">
      <w:pPr>
        <w:pStyle w:val="Estilo"/>
        <w:rPr>
          <w:rFonts w:cs="Arial"/>
        </w:rPr>
      </w:pPr>
    </w:p>
    <w:p w14:paraId="0EE60C6F" w14:textId="77777777" w:rsidR="00D3344B" w:rsidRDefault="00143C25">
      <w:pPr>
        <w:pStyle w:val="Estilo"/>
        <w:ind w:left="567" w:hanging="567"/>
        <w:rPr>
          <w:rFonts w:cs="Arial"/>
        </w:rPr>
      </w:pPr>
      <w:r>
        <w:rPr>
          <w:rFonts w:cs="Arial"/>
        </w:rPr>
        <w:t xml:space="preserve">I.  </w:t>
      </w:r>
      <w:r>
        <w:rPr>
          <w:rFonts w:cs="Arial"/>
        </w:rPr>
        <w:tab/>
        <w:t>Enajenación, arrendamiento, administración o explotación de bienes de dominio privado, y</w:t>
      </w:r>
    </w:p>
    <w:p w14:paraId="2A77ACDB" w14:textId="77777777" w:rsidR="00D3344B" w:rsidRDefault="00D3344B">
      <w:pPr>
        <w:pStyle w:val="Estilo"/>
        <w:ind w:left="567" w:hanging="567"/>
        <w:rPr>
          <w:rFonts w:cs="Arial"/>
        </w:rPr>
      </w:pPr>
    </w:p>
    <w:p w14:paraId="4C2F1FAE" w14:textId="77777777" w:rsidR="00D3344B" w:rsidRDefault="00143C25">
      <w:pPr>
        <w:pStyle w:val="Estilo"/>
        <w:ind w:left="567" w:hanging="567"/>
        <w:rPr>
          <w:rFonts w:cs="Arial"/>
        </w:rPr>
      </w:pPr>
      <w:r>
        <w:rPr>
          <w:rFonts w:cs="Arial"/>
        </w:rPr>
        <w:t xml:space="preserve">II.  </w:t>
      </w:r>
      <w:r>
        <w:rPr>
          <w:rFonts w:cs="Arial"/>
        </w:rPr>
        <w:tab/>
        <w:t>Intereses por inversión de capitales.</w:t>
      </w:r>
    </w:p>
    <w:p w14:paraId="46DF330C" w14:textId="77777777" w:rsidR="00D3344B" w:rsidRDefault="00D3344B">
      <w:pPr>
        <w:pStyle w:val="Estilo"/>
        <w:rPr>
          <w:rFonts w:cs="Arial"/>
        </w:rPr>
      </w:pPr>
    </w:p>
    <w:p w14:paraId="7BB62F38" w14:textId="77777777" w:rsidR="00D3344B" w:rsidRDefault="00143C25">
      <w:pPr>
        <w:pStyle w:val="Estilo"/>
        <w:rPr>
          <w:rFonts w:cs="Arial"/>
        </w:rPr>
      </w:pPr>
      <w:r>
        <w:rPr>
          <w:rFonts w:cs="Arial"/>
          <w:b/>
        </w:rPr>
        <w:t>Artículo 222.</w:t>
      </w:r>
      <w:r>
        <w:rPr>
          <w:rFonts w:cs="Arial"/>
        </w:rPr>
        <w:t xml:space="preserve"> Las tesorerías administrarán los productos, en los términos previstos por las leyes y estarán facultadas para fijar o modificar el importe de los mismos.</w:t>
      </w:r>
    </w:p>
    <w:p w14:paraId="173E6BB6" w14:textId="77777777" w:rsidR="00D3344B" w:rsidRDefault="00D3344B">
      <w:pPr>
        <w:pStyle w:val="Estilo"/>
        <w:rPr>
          <w:rFonts w:cs="Arial"/>
        </w:rPr>
      </w:pPr>
    </w:p>
    <w:p w14:paraId="50B6DC0A" w14:textId="77777777" w:rsidR="00D3344B" w:rsidRDefault="00D3344B">
      <w:pPr>
        <w:pStyle w:val="Estilo"/>
        <w:rPr>
          <w:rFonts w:cs="Arial"/>
        </w:rPr>
      </w:pPr>
    </w:p>
    <w:p w14:paraId="12244AF2" w14:textId="77777777" w:rsidR="00D3344B" w:rsidRDefault="00143C25">
      <w:pPr>
        <w:pStyle w:val="Estilo"/>
        <w:jc w:val="center"/>
        <w:rPr>
          <w:rFonts w:cs="Arial"/>
          <w:b/>
        </w:rPr>
      </w:pPr>
      <w:r>
        <w:rPr>
          <w:rFonts w:cs="Arial"/>
          <w:b/>
        </w:rPr>
        <w:t>Capítulo II</w:t>
      </w:r>
    </w:p>
    <w:p w14:paraId="155BDB31" w14:textId="77777777" w:rsidR="00D3344B" w:rsidRDefault="00143C25">
      <w:pPr>
        <w:pStyle w:val="Estilo"/>
        <w:jc w:val="center"/>
        <w:rPr>
          <w:rFonts w:cs="Arial"/>
          <w:b/>
        </w:rPr>
      </w:pPr>
      <w:r>
        <w:rPr>
          <w:rFonts w:cs="Arial"/>
          <w:b/>
        </w:rPr>
        <w:t>Aprovechamientos Municipales</w:t>
      </w:r>
    </w:p>
    <w:p w14:paraId="7FF49FE4" w14:textId="77777777" w:rsidR="00D3344B" w:rsidRDefault="00D3344B">
      <w:pPr>
        <w:pStyle w:val="Estilo"/>
        <w:rPr>
          <w:rFonts w:cs="Arial"/>
        </w:rPr>
      </w:pPr>
    </w:p>
    <w:p w14:paraId="66A6FDC3" w14:textId="77777777" w:rsidR="00D3344B" w:rsidRDefault="00143C25">
      <w:pPr>
        <w:pStyle w:val="Estilo"/>
        <w:rPr>
          <w:rFonts w:cs="Arial"/>
        </w:rPr>
      </w:pPr>
      <w:r>
        <w:rPr>
          <w:rFonts w:cs="Arial"/>
          <w:b/>
        </w:rPr>
        <w:t>Artículo 223.</w:t>
      </w:r>
      <w:r>
        <w:rPr>
          <w:rFonts w:cs="Arial"/>
        </w:rPr>
        <w:t xml:space="preserve"> Son aprovechamientos municipales, los ingresos que los municipios percibirán por los conceptos siguientes:</w:t>
      </w:r>
    </w:p>
    <w:p w14:paraId="2F621F7F" w14:textId="77777777" w:rsidR="00D3344B" w:rsidRDefault="00D3344B">
      <w:pPr>
        <w:pStyle w:val="Estilo"/>
        <w:rPr>
          <w:rFonts w:cs="Arial"/>
        </w:rPr>
      </w:pPr>
    </w:p>
    <w:p w14:paraId="625F1610" w14:textId="77777777" w:rsidR="00D3344B" w:rsidRDefault="00143C25">
      <w:pPr>
        <w:pStyle w:val="Estilo"/>
        <w:ind w:left="567" w:hanging="567"/>
        <w:rPr>
          <w:rFonts w:cs="Arial"/>
        </w:rPr>
      </w:pPr>
      <w:r>
        <w:rPr>
          <w:rFonts w:cs="Arial"/>
        </w:rPr>
        <w:t xml:space="preserve">I. </w:t>
      </w:r>
      <w:r>
        <w:rPr>
          <w:rFonts w:cs="Arial"/>
        </w:rPr>
        <w:tab/>
        <w:t>Los derivados de sus funciones de derecho público y por el uso o explotación de bienes de dominio público, distintos de las contribuciones municipales;</w:t>
      </w:r>
    </w:p>
    <w:p w14:paraId="74DE563A" w14:textId="77777777" w:rsidR="00D3344B" w:rsidRDefault="00D3344B">
      <w:pPr>
        <w:pStyle w:val="Estilo"/>
        <w:ind w:left="567" w:hanging="567"/>
        <w:rPr>
          <w:rFonts w:cs="Arial"/>
        </w:rPr>
      </w:pPr>
    </w:p>
    <w:p w14:paraId="109ED6ED" w14:textId="77777777" w:rsidR="00D3344B" w:rsidRDefault="00143C25">
      <w:pPr>
        <w:pStyle w:val="Estilo"/>
        <w:ind w:left="567" w:hanging="567"/>
        <w:rPr>
          <w:rFonts w:cs="Arial"/>
        </w:rPr>
      </w:pPr>
      <w:r>
        <w:rPr>
          <w:rFonts w:cs="Arial"/>
        </w:rPr>
        <w:t xml:space="preserve">II. </w:t>
      </w:r>
      <w:r>
        <w:rPr>
          <w:rFonts w:cs="Arial"/>
        </w:rPr>
        <w:tab/>
        <w:t>Recargos, multas, actualizaciones y gastos de ejecución;</w:t>
      </w:r>
    </w:p>
    <w:p w14:paraId="38A7EC48" w14:textId="77777777" w:rsidR="00D3344B" w:rsidRDefault="00D3344B">
      <w:pPr>
        <w:pStyle w:val="Estilo"/>
        <w:ind w:left="567" w:hanging="567"/>
        <w:rPr>
          <w:rFonts w:cs="Arial"/>
        </w:rPr>
      </w:pPr>
    </w:p>
    <w:p w14:paraId="1D206A1D" w14:textId="77777777" w:rsidR="00D3344B" w:rsidRDefault="00143C25">
      <w:pPr>
        <w:pStyle w:val="Estilo"/>
        <w:ind w:left="567" w:hanging="567"/>
        <w:rPr>
          <w:rFonts w:cs="Arial"/>
        </w:rPr>
      </w:pPr>
      <w:r>
        <w:rPr>
          <w:rFonts w:cs="Arial"/>
        </w:rPr>
        <w:t xml:space="preserve">III. </w:t>
      </w:r>
      <w:r>
        <w:rPr>
          <w:rFonts w:cs="Arial"/>
        </w:rPr>
        <w:tab/>
        <w:t>Herencias y donaciones;</w:t>
      </w:r>
    </w:p>
    <w:p w14:paraId="7F9399D9" w14:textId="77777777" w:rsidR="00D3344B" w:rsidRDefault="00D3344B">
      <w:pPr>
        <w:pStyle w:val="Estilo"/>
        <w:ind w:left="567" w:hanging="567"/>
        <w:rPr>
          <w:rFonts w:cs="Arial"/>
        </w:rPr>
      </w:pPr>
    </w:p>
    <w:p w14:paraId="5C820654" w14:textId="77777777" w:rsidR="00D3344B" w:rsidRDefault="00143C25">
      <w:pPr>
        <w:pStyle w:val="Estilo"/>
        <w:ind w:left="567" w:hanging="567"/>
        <w:rPr>
          <w:rFonts w:cs="Arial"/>
        </w:rPr>
      </w:pPr>
      <w:r>
        <w:rPr>
          <w:rFonts w:cs="Arial"/>
        </w:rPr>
        <w:t xml:space="preserve">IV. </w:t>
      </w:r>
      <w:r>
        <w:rPr>
          <w:rFonts w:cs="Arial"/>
        </w:rPr>
        <w:tab/>
        <w:t>Subsidios;</w:t>
      </w:r>
    </w:p>
    <w:p w14:paraId="03399EF5" w14:textId="77777777" w:rsidR="00D3344B" w:rsidRDefault="00D3344B">
      <w:pPr>
        <w:pStyle w:val="Estilo"/>
        <w:ind w:left="567" w:hanging="567"/>
        <w:rPr>
          <w:rFonts w:cs="Arial"/>
        </w:rPr>
      </w:pPr>
    </w:p>
    <w:p w14:paraId="5493D9B2" w14:textId="77777777" w:rsidR="00D3344B" w:rsidRDefault="00143C25">
      <w:pPr>
        <w:pStyle w:val="Estilo"/>
        <w:ind w:left="567" w:hanging="567"/>
        <w:rPr>
          <w:rFonts w:cs="Arial"/>
        </w:rPr>
      </w:pPr>
      <w:r>
        <w:rPr>
          <w:rFonts w:cs="Arial"/>
        </w:rPr>
        <w:t xml:space="preserve">V. </w:t>
      </w:r>
      <w:r>
        <w:rPr>
          <w:rFonts w:cs="Arial"/>
        </w:rPr>
        <w:tab/>
        <w:t>Indemnizaciones, y</w:t>
      </w:r>
    </w:p>
    <w:p w14:paraId="47136073" w14:textId="77777777" w:rsidR="00D3344B" w:rsidRDefault="00D3344B">
      <w:pPr>
        <w:pStyle w:val="Estilo"/>
        <w:ind w:left="567" w:hanging="567"/>
        <w:rPr>
          <w:rFonts w:cs="Arial"/>
        </w:rPr>
      </w:pPr>
    </w:p>
    <w:p w14:paraId="4D680401" w14:textId="77777777" w:rsidR="00D3344B" w:rsidRDefault="00143C25">
      <w:pPr>
        <w:pStyle w:val="Estilo"/>
        <w:ind w:left="567" w:hanging="567"/>
        <w:rPr>
          <w:rFonts w:cs="Arial"/>
        </w:rPr>
      </w:pPr>
      <w:r>
        <w:rPr>
          <w:rFonts w:cs="Arial"/>
        </w:rPr>
        <w:t xml:space="preserve">VI. </w:t>
      </w:r>
      <w:r>
        <w:rPr>
          <w:rFonts w:cs="Arial"/>
        </w:rPr>
        <w:tab/>
        <w:t>Los demás ingresos no clasificables, que se obtengan, derivados de financiamientos o por los organismos descentralizados y empresas de participación estatal o municipal.</w:t>
      </w:r>
    </w:p>
    <w:p w14:paraId="2A6E673E" w14:textId="77777777" w:rsidR="00D3344B" w:rsidRDefault="00D3344B">
      <w:pPr>
        <w:pStyle w:val="Estilo"/>
        <w:rPr>
          <w:rFonts w:cs="Arial"/>
        </w:rPr>
      </w:pPr>
    </w:p>
    <w:p w14:paraId="687B76EF" w14:textId="77777777" w:rsidR="00D3344B" w:rsidRDefault="00143C25">
      <w:pPr>
        <w:pStyle w:val="Estilo"/>
        <w:jc w:val="center"/>
        <w:rPr>
          <w:rFonts w:cs="Arial"/>
          <w:b/>
        </w:rPr>
      </w:pPr>
      <w:r>
        <w:rPr>
          <w:rFonts w:cs="Arial"/>
          <w:b/>
        </w:rPr>
        <w:t>TÍTULO OCTAVO</w:t>
      </w:r>
    </w:p>
    <w:p w14:paraId="638E9E9E" w14:textId="77777777" w:rsidR="00D3344B" w:rsidRDefault="00143C25">
      <w:pPr>
        <w:pStyle w:val="Estilo"/>
        <w:jc w:val="center"/>
        <w:rPr>
          <w:rFonts w:cs="Arial"/>
          <w:b/>
        </w:rPr>
      </w:pPr>
      <w:r>
        <w:rPr>
          <w:rFonts w:cs="Arial"/>
          <w:b/>
        </w:rPr>
        <w:t>CONTRIBUCIONES ESPECIALES</w:t>
      </w:r>
    </w:p>
    <w:p w14:paraId="7167ED89" w14:textId="77777777" w:rsidR="00D3344B" w:rsidRDefault="00D3344B">
      <w:pPr>
        <w:pStyle w:val="Estilo"/>
        <w:jc w:val="center"/>
        <w:rPr>
          <w:rFonts w:cs="Arial"/>
          <w:b/>
        </w:rPr>
      </w:pPr>
    </w:p>
    <w:p w14:paraId="3B108E51" w14:textId="77777777" w:rsidR="00D3344B" w:rsidRDefault="00143C25">
      <w:pPr>
        <w:pStyle w:val="Estilo"/>
        <w:jc w:val="center"/>
        <w:rPr>
          <w:rFonts w:cs="Arial"/>
          <w:b/>
        </w:rPr>
      </w:pPr>
      <w:r>
        <w:rPr>
          <w:rFonts w:cs="Arial"/>
          <w:b/>
        </w:rPr>
        <w:t>Capítulo I</w:t>
      </w:r>
    </w:p>
    <w:p w14:paraId="0530827C" w14:textId="77777777" w:rsidR="00D3344B" w:rsidRDefault="00143C25">
      <w:pPr>
        <w:pStyle w:val="Estilo"/>
        <w:jc w:val="center"/>
        <w:rPr>
          <w:rFonts w:cs="Arial"/>
          <w:b/>
        </w:rPr>
      </w:pPr>
      <w:r>
        <w:rPr>
          <w:rFonts w:cs="Arial"/>
          <w:b/>
        </w:rPr>
        <w:t>Disposiciones Generales</w:t>
      </w:r>
    </w:p>
    <w:p w14:paraId="310A8658" w14:textId="77777777" w:rsidR="00D3344B" w:rsidRDefault="00D3344B">
      <w:pPr>
        <w:pStyle w:val="Estilo"/>
        <w:rPr>
          <w:rFonts w:cs="Arial"/>
        </w:rPr>
      </w:pPr>
    </w:p>
    <w:p w14:paraId="7BD0B9C1" w14:textId="77777777" w:rsidR="00D3344B" w:rsidRDefault="00143C25">
      <w:pPr>
        <w:pStyle w:val="Estilo"/>
        <w:rPr>
          <w:rFonts w:cs="Arial"/>
        </w:rPr>
      </w:pPr>
      <w:r>
        <w:rPr>
          <w:rFonts w:cs="Arial"/>
          <w:b/>
        </w:rPr>
        <w:t>Artículo 224.</w:t>
      </w:r>
      <w:r>
        <w:rPr>
          <w:rFonts w:cs="Arial"/>
        </w:rPr>
        <w:t xml:space="preserve"> Contribuciones especiales son las establecidas en ley a cargo de las personas físicas y morales que se beneficien de manera directa por obras públicas.</w:t>
      </w:r>
    </w:p>
    <w:p w14:paraId="11730E83" w14:textId="77777777" w:rsidR="00D3344B" w:rsidRDefault="00D3344B">
      <w:pPr>
        <w:pStyle w:val="Estilo"/>
        <w:rPr>
          <w:rFonts w:cs="Arial"/>
        </w:rPr>
      </w:pPr>
    </w:p>
    <w:p w14:paraId="06007290" w14:textId="77777777" w:rsidR="00D3344B" w:rsidRDefault="00143C25">
      <w:pPr>
        <w:pStyle w:val="Estilo"/>
        <w:rPr>
          <w:rFonts w:cs="Arial"/>
        </w:rPr>
      </w:pPr>
      <w:r>
        <w:rPr>
          <w:rFonts w:cs="Arial"/>
          <w:b/>
        </w:rPr>
        <w:t>Artículo 225.</w:t>
      </w:r>
      <w:r>
        <w:rPr>
          <w:rFonts w:cs="Arial"/>
        </w:rPr>
        <w:t xml:space="preserve"> Podrán efectuarse, mediante contribuciones especiales, obras públicas o acciones de beneficio social que soliciten los ciudadanos que representen más del cincuenta por ciento de los inmuebles que integren el área de beneficio.</w:t>
      </w:r>
    </w:p>
    <w:p w14:paraId="5A37AFEA" w14:textId="77777777" w:rsidR="00D3344B" w:rsidRDefault="00D3344B">
      <w:pPr>
        <w:pStyle w:val="Estilo"/>
        <w:rPr>
          <w:rFonts w:cs="Arial"/>
        </w:rPr>
      </w:pPr>
    </w:p>
    <w:p w14:paraId="2564874A" w14:textId="77777777" w:rsidR="00D3344B" w:rsidRDefault="00143C25">
      <w:pPr>
        <w:pStyle w:val="Estilo"/>
        <w:rPr>
          <w:rFonts w:cs="Arial"/>
        </w:rPr>
      </w:pPr>
      <w:r>
        <w:rPr>
          <w:rFonts w:cs="Arial"/>
          <w:b/>
        </w:rPr>
        <w:t>Artículo 226.</w:t>
      </w:r>
      <w:r>
        <w:rPr>
          <w:rFonts w:cs="Arial"/>
        </w:rPr>
        <w:t xml:space="preserve"> En el importe de las obras se incluirán los gastos de estudio, planeación y los de ejecución de la obra, así como las indemnizaciones que deban cubrirse por la adquisición de los predios. De este importe deberán deducirse las aportaciones del Gobierno Federal, Estatal y Municipal, donativos de los particulares y recuperaciones por venta de los excedentes de los predios adquiridos para la ejecución de la obra de que se trate.</w:t>
      </w:r>
    </w:p>
    <w:p w14:paraId="1CA6EF36" w14:textId="77777777" w:rsidR="00D3344B" w:rsidRDefault="00D3344B">
      <w:pPr>
        <w:pStyle w:val="Estilo"/>
        <w:rPr>
          <w:rFonts w:cs="Arial"/>
        </w:rPr>
      </w:pPr>
    </w:p>
    <w:p w14:paraId="4B33AF7A" w14:textId="77777777" w:rsidR="00D3344B" w:rsidRDefault="00143C25">
      <w:pPr>
        <w:pStyle w:val="Estilo"/>
        <w:rPr>
          <w:rFonts w:cs="Arial"/>
        </w:rPr>
      </w:pPr>
      <w:r>
        <w:rPr>
          <w:rFonts w:cs="Arial"/>
          <w:b/>
        </w:rPr>
        <w:t>Artículo 227.</w:t>
      </w:r>
      <w:r>
        <w:rPr>
          <w:rFonts w:cs="Arial"/>
        </w:rPr>
        <w:t xml:space="preserve"> Determinado el importe neto de la obra, se dividirá entre el valor total de los predios beneficiados, el cual se determinará por el Instituto de Catastro y el resultado se multiplicará por el valor total de cada predio, obteniéndose así el valor de la contribución especial.</w:t>
      </w:r>
    </w:p>
    <w:p w14:paraId="18DFB264" w14:textId="77777777" w:rsidR="00D3344B" w:rsidRDefault="00D3344B">
      <w:pPr>
        <w:pStyle w:val="Estilo"/>
        <w:rPr>
          <w:rFonts w:cs="Arial"/>
        </w:rPr>
      </w:pPr>
    </w:p>
    <w:p w14:paraId="58CB5C5A" w14:textId="77777777" w:rsidR="00D3344B" w:rsidRDefault="00143C25">
      <w:pPr>
        <w:pStyle w:val="Estilo"/>
        <w:rPr>
          <w:rFonts w:cs="Arial"/>
        </w:rPr>
      </w:pPr>
      <w:r>
        <w:rPr>
          <w:rFonts w:cs="Arial"/>
          <w:b/>
        </w:rPr>
        <w:t>Artículo 228.</w:t>
      </w:r>
      <w:r>
        <w:rPr>
          <w:rFonts w:cs="Arial"/>
        </w:rPr>
        <w:t xml:space="preserve"> La autoridad que coordine la ejecución de la obra o acción de beneficio social mediante contribuciones especiales, deberá:</w:t>
      </w:r>
    </w:p>
    <w:p w14:paraId="0CA2C11D" w14:textId="77777777" w:rsidR="00D3344B" w:rsidRDefault="00D3344B">
      <w:pPr>
        <w:pStyle w:val="Estilo"/>
        <w:rPr>
          <w:rFonts w:cs="Arial"/>
        </w:rPr>
      </w:pPr>
    </w:p>
    <w:p w14:paraId="5AD735E6" w14:textId="77777777" w:rsidR="00D3344B" w:rsidRDefault="00143C25">
      <w:pPr>
        <w:pStyle w:val="Estilo"/>
        <w:ind w:left="567" w:hanging="567"/>
        <w:rPr>
          <w:rFonts w:cs="Arial"/>
        </w:rPr>
      </w:pPr>
      <w:r>
        <w:rPr>
          <w:rFonts w:cs="Arial"/>
        </w:rPr>
        <w:t xml:space="preserve">I. </w:t>
      </w:r>
      <w:r>
        <w:rPr>
          <w:rFonts w:cs="Arial"/>
        </w:rPr>
        <w:tab/>
        <w:t>Elaborar los programas, proyectos, presupuestos y especificaciones de la obra o acción a realizar;</w:t>
      </w:r>
    </w:p>
    <w:p w14:paraId="0D3B9385" w14:textId="77777777" w:rsidR="00D3344B" w:rsidRDefault="00D3344B">
      <w:pPr>
        <w:pStyle w:val="Estilo"/>
        <w:ind w:left="567" w:hanging="567"/>
        <w:rPr>
          <w:rFonts w:cs="Arial"/>
        </w:rPr>
      </w:pPr>
    </w:p>
    <w:p w14:paraId="41971C6C" w14:textId="77777777" w:rsidR="00D3344B" w:rsidRDefault="00143C25">
      <w:pPr>
        <w:pStyle w:val="Estilo"/>
        <w:ind w:left="567" w:hanging="567"/>
        <w:rPr>
          <w:rFonts w:cs="Arial"/>
        </w:rPr>
      </w:pPr>
      <w:r>
        <w:rPr>
          <w:rFonts w:cs="Arial"/>
        </w:rPr>
        <w:t xml:space="preserve">II. </w:t>
      </w:r>
      <w:r>
        <w:rPr>
          <w:rFonts w:cs="Arial"/>
        </w:rPr>
        <w:tab/>
        <w:t>Determinar el área de beneficio;</w:t>
      </w:r>
    </w:p>
    <w:p w14:paraId="5D2A4388" w14:textId="77777777" w:rsidR="00D3344B" w:rsidRDefault="00D3344B">
      <w:pPr>
        <w:pStyle w:val="Estilo"/>
        <w:ind w:left="567" w:hanging="567"/>
        <w:rPr>
          <w:rFonts w:cs="Arial"/>
        </w:rPr>
      </w:pPr>
    </w:p>
    <w:p w14:paraId="396DB29D" w14:textId="77777777" w:rsidR="00D3344B" w:rsidRDefault="00143C25">
      <w:pPr>
        <w:pStyle w:val="Estilo"/>
        <w:ind w:left="567" w:hanging="567"/>
        <w:rPr>
          <w:rFonts w:cs="Arial"/>
        </w:rPr>
      </w:pPr>
      <w:r>
        <w:rPr>
          <w:rFonts w:cs="Arial"/>
        </w:rPr>
        <w:t xml:space="preserve">III. </w:t>
      </w:r>
      <w:r>
        <w:rPr>
          <w:rFonts w:cs="Arial"/>
        </w:rPr>
        <w:tab/>
        <w:t>Desglosar los conceptos y montos que integran el costo total de la obra;</w:t>
      </w:r>
    </w:p>
    <w:p w14:paraId="406A14B1" w14:textId="77777777" w:rsidR="00D3344B" w:rsidRDefault="00D3344B">
      <w:pPr>
        <w:pStyle w:val="Estilo"/>
        <w:ind w:left="567" w:hanging="567"/>
        <w:rPr>
          <w:rFonts w:cs="Arial"/>
        </w:rPr>
      </w:pPr>
    </w:p>
    <w:p w14:paraId="40A8941B" w14:textId="77777777" w:rsidR="00D3344B" w:rsidRDefault="00143C25">
      <w:pPr>
        <w:pStyle w:val="Estilo"/>
        <w:ind w:left="567" w:hanging="567"/>
        <w:rPr>
          <w:rFonts w:cs="Arial"/>
        </w:rPr>
      </w:pPr>
      <w:r>
        <w:rPr>
          <w:rFonts w:cs="Arial"/>
        </w:rPr>
        <w:lastRenderedPageBreak/>
        <w:t xml:space="preserve">IV. </w:t>
      </w:r>
      <w:r>
        <w:rPr>
          <w:rFonts w:cs="Arial"/>
        </w:rPr>
        <w:tab/>
        <w:t>Definir los conceptos que servirán de base para determinar la contribución especial, y</w:t>
      </w:r>
    </w:p>
    <w:p w14:paraId="1E46A66E" w14:textId="77777777" w:rsidR="00D3344B" w:rsidRDefault="00D3344B">
      <w:pPr>
        <w:pStyle w:val="Estilo"/>
        <w:ind w:left="567" w:hanging="567"/>
        <w:rPr>
          <w:rFonts w:cs="Arial"/>
        </w:rPr>
      </w:pPr>
    </w:p>
    <w:p w14:paraId="176B7C8A" w14:textId="77777777" w:rsidR="00D3344B" w:rsidRDefault="00143C25">
      <w:pPr>
        <w:pStyle w:val="Estilo"/>
        <w:ind w:left="567" w:hanging="567"/>
        <w:rPr>
          <w:rFonts w:cs="Arial"/>
        </w:rPr>
      </w:pPr>
      <w:r>
        <w:rPr>
          <w:rFonts w:cs="Arial"/>
        </w:rPr>
        <w:t xml:space="preserve">V. </w:t>
      </w:r>
      <w:r>
        <w:rPr>
          <w:rFonts w:cs="Arial"/>
        </w:rPr>
        <w:tab/>
        <w:t>Integrar el padrón de beneficiarios y de predios beneficiados, indicando sus características, para someterlo a la aprobación del consejo de beneficiarios.</w:t>
      </w:r>
    </w:p>
    <w:p w14:paraId="119584EA" w14:textId="77777777" w:rsidR="00D3344B" w:rsidRDefault="00D3344B">
      <w:pPr>
        <w:pStyle w:val="Estilo"/>
        <w:rPr>
          <w:rFonts w:cs="Arial"/>
        </w:rPr>
      </w:pPr>
    </w:p>
    <w:p w14:paraId="3018C320" w14:textId="77777777" w:rsidR="00D3344B" w:rsidRDefault="00D3344B">
      <w:pPr>
        <w:pStyle w:val="Estilo"/>
        <w:rPr>
          <w:rFonts w:cs="Arial"/>
        </w:rPr>
      </w:pPr>
    </w:p>
    <w:p w14:paraId="41026C5B" w14:textId="77777777" w:rsidR="00D3344B" w:rsidRDefault="00143C25">
      <w:pPr>
        <w:pStyle w:val="Estilo"/>
        <w:jc w:val="center"/>
        <w:rPr>
          <w:rFonts w:cs="Arial"/>
          <w:b/>
        </w:rPr>
      </w:pPr>
      <w:r>
        <w:rPr>
          <w:rFonts w:cs="Arial"/>
          <w:b/>
        </w:rPr>
        <w:t>Capítulo II</w:t>
      </w:r>
    </w:p>
    <w:p w14:paraId="1503AEB6" w14:textId="77777777" w:rsidR="00D3344B" w:rsidRDefault="00143C25">
      <w:pPr>
        <w:pStyle w:val="Estilo"/>
        <w:jc w:val="center"/>
        <w:rPr>
          <w:rFonts w:cs="Arial"/>
          <w:b/>
        </w:rPr>
      </w:pPr>
      <w:r>
        <w:rPr>
          <w:rFonts w:cs="Arial"/>
          <w:b/>
        </w:rPr>
        <w:t>Organización de los Beneficiarios</w:t>
      </w:r>
    </w:p>
    <w:p w14:paraId="495232D1" w14:textId="77777777" w:rsidR="00D3344B" w:rsidRDefault="00D3344B">
      <w:pPr>
        <w:pStyle w:val="Estilo"/>
        <w:rPr>
          <w:rFonts w:cs="Arial"/>
        </w:rPr>
      </w:pPr>
    </w:p>
    <w:p w14:paraId="71744654" w14:textId="77777777" w:rsidR="00D3344B" w:rsidRDefault="00143C25">
      <w:pPr>
        <w:pStyle w:val="Estilo"/>
        <w:rPr>
          <w:rFonts w:cs="Arial"/>
        </w:rPr>
      </w:pPr>
      <w:r>
        <w:rPr>
          <w:rFonts w:cs="Arial"/>
          <w:b/>
        </w:rPr>
        <w:t>Artículo 229.</w:t>
      </w:r>
      <w:r>
        <w:rPr>
          <w:rFonts w:cs="Arial"/>
        </w:rPr>
        <w:t xml:space="preserve"> La autoridad que coordine la obra o la acción de beneficio social, una vez definido el monto de la contribución individual, solicitará a los representantes de los beneficiarios convocar a sus representados a una reunión informativa, en la que se darán a conocer las especificaciones de la obra. Si a esa reunión asisten más de la mitad del número total de beneficiarios, se celebrará la asamblea y se procederá a nombrar por mayoría de votos y de manera directa, un Consejo de beneficiarios lo cual se hará constar en un acta firmada por los asistentes. En el caso de que a la convocatoria no asistieran el número de asistentes requerido, se procederá a convocar por una segunda ocasión para celebrar la asamblea a más tardar dentro de los ocho días siguientes, hasta obtener dicho quórum.</w:t>
      </w:r>
    </w:p>
    <w:p w14:paraId="14BAEC85" w14:textId="77777777" w:rsidR="00D3344B" w:rsidRDefault="00D3344B">
      <w:pPr>
        <w:pStyle w:val="Estilo"/>
        <w:rPr>
          <w:rFonts w:cs="Arial"/>
        </w:rPr>
      </w:pPr>
    </w:p>
    <w:p w14:paraId="62106249" w14:textId="77777777" w:rsidR="00D3344B" w:rsidRDefault="00143C25">
      <w:pPr>
        <w:pStyle w:val="Estilo"/>
        <w:rPr>
          <w:rFonts w:cs="Arial"/>
        </w:rPr>
      </w:pPr>
      <w:r>
        <w:rPr>
          <w:rFonts w:cs="Arial"/>
          <w:b/>
        </w:rPr>
        <w:t>Artículo 230.</w:t>
      </w:r>
      <w:r>
        <w:rPr>
          <w:rFonts w:cs="Arial"/>
        </w:rPr>
        <w:t xml:space="preserve"> El Consejo de beneficiarios se integrará por un </w:t>
      </w:r>
      <w:proofErr w:type="gramStart"/>
      <w:r>
        <w:rPr>
          <w:rFonts w:cs="Arial"/>
        </w:rPr>
        <w:t>Presidente</w:t>
      </w:r>
      <w:proofErr w:type="gramEnd"/>
      <w:r>
        <w:rPr>
          <w:rFonts w:cs="Arial"/>
        </w:rPr>
        <w:t>, un Secretario y el número de vocales que la propia asamblea determine. La organización y funcionamiento de los consejos se determinarán en el reglamento que el Gobernador del Estado expida para tal efecto.</w:t>
      </w:r>
    </w:p>
    <w:p w14:paraId="29977EA9" w14:textId="77777777" w:rsidR="00D3344B" w:rsidRDefault="00D3344B">
      <w:pPr>
        <w:pStyle w:val="Estilo"/>
        <w:rPr>
          <w:rFonts w:cs="Arial"/>
        </w:rPr>
      </w:pPr>
    </w:p>
    <w:p w14:paraId="33E2E1B4" w14:textId="77777777" w:rsidR="00D3344B" w:rsidRDefault="00143C25">
      <w:pPr>
        <w:pStyle w:val="Estilo"/>
        <w:rPr>
          <w:rFonts w:cs="Arial"/>
        </w:rPr>
      </w:pPr>
      <w:r>
        <w:rPr>
          <w:rFonts w:cs="Arial"/>
          <w:b/>
        </w:rPr>
        <w:t>Artículo 231.</w:t>
      </w:r>
      <w:r>
        <w:rPr>
          <w:rFonts w:cs="Arial"/>
        </w:rPr>
        <w:t xml:space="preserve"> El Consejo tendrá las facultades y obligaciones siguientes:</w:t>
      </w:r>
    </w:p>
    <w:p w14:paraId="21F974BC" w14:textId="77777777" w:rsidR="00D3344B" w:rsidRDefault="00D3344B">
      <w:pPr>
        <w:pStyle w:val="Estilo"/>
        <w:rPr>
          <w:rFonts w:cs="Arial"/>
        </w:rPr>
      </w:pPr>
    </w:p>
    <w:p w14:paraId="7A000891" w14:textId="77777777" w:rsidR="00D3344B" w:rsidRDefault="00143C25">
      <w:pPr>
        <w:pStyle w:val="Estilo"/>
        <w:ind w:left="567" w:hanging="567"/>
        <w:rPr>
          <w:rFonts w:cs="Arial"/>
        </w:rPr>
      </w:pPr>
      <w:r>
        <w:rPr>
          <w:rFonts w:cs="Arial"/>
        </w:rPr>
        <w:t xml:space="preserve">I. </w:t>
      </w:r>
      <w:r>
        <w:rPr>
          <w:rFonts w:cs="Arial"/>
        </w:rPr>
        <w:tab/>
        <w:t>Representar a los beneficiarios;</w:t>
      </w:r>
    </w:p>
    <w:p w14:paraId="6E558C52" w14:textId="77777777" w:rsidR="00D3344B" w:rsidRDefault="00D3344B">
      <w:pPr>
        <w:pStyle w:val="Estilo"/>
        <w:ind w:left="567" w:hanging="567"/>
        <w:rPr>
          <w:rFonts w:cs="Arial"/>
        </w:rPr>
      </w:pPr>
    </w:p>
    <w:p w14:paraId="62F52A7C" w14:textId="77777777" w:rsidR="00D3344B" w:rsidRDefault="00143C25">
      <w:pPr>
        <w:pStyle w:val="Estilo"/>
        <w:ind w:left="567" w:hanging="567"/>
        <w:rPr>
          <w:rFonts w:cs="Arial"/>
        </w:rPr>
      </w:pPr>
      <w:r>
        <w:rPr>
          <w:rFonts w:cs="Arial"/>
        </w:rPr>
        <w:t xml:space="preserve">II. </w:t>
      </w:r>
      <w:r>
        <w:rPr>
          <w:rFonts w:cs="Arial"/>
        </w:rPr>
        <w:tab/>
        <w:t>Difundir los beneficios de la obra o acción de beneficio social de que se trate;</w:t>
      </w:r>
    </w:p>
    <w:p w14:paraId="726BCB42" w14:textId="77777777" w:rsidR="00D3344B" w:rsidRDefault="00D3344B">
      <w:pPr>
        <w:pStyle w:val="Estilo"/>
        <w:ind w:left="567" w:hanging="567"/>
        <w:rPr>
          <w:rFonts w:cs="Arial"/>
        </w:rPr>
      </w:pPr>
    </w:p>
    <w:p w14:paraId="2C61989E" w14:textId="77777777" w:rsidR="00D3344B" w:rsidRDefault="00143C25">
      <w:pPr>
        <w:pStyle w:val="Estilo"/>
        <w:ind w:left="567" w:hanging="567"/>
        <w:rPr>
          <w:rFonts w:cs="Arial"/>
        </w:rPr>
      </w:pPr>
      <w:r>
        <w:rPr>
          <w:rFonts w:cs="Arial"/>
        </w:rPr>
        <w:t xml:space="preserve">III. </w:t>
      </w:r>
      <w:r>
        <w:rPr>
          <w:rFonts w:cs="Arial"/>
        </w:rPr>
        <w:tab/>
        <w:t>Participar en la licitación o concurso y adjudicación de la obra, cuando se encomiende su ejecución a un tercero;</w:t>
      </w:r>
    </w:p>
    <w:p w14:paraId="37289FC5" w14:textId="77777777" w:rsidR="00D3344B" w:rsidRDefault="00D3344B">
      <w:pPr>
        <w:pStyle w:val="Estilo"/>
        <w:ind w:left="567" w:hanging="567"/>
        <w:rPr>
          <w:rFonts w:cs="Arial"/>
        </w:rPr>
      </w:pPr>
    </w:p>
    <w:p w14:paraId="2C860F26" w14:textId="77777777" w:rsidR="00D3344B" w:rsidRDefault="00143C25">
      <w:pPr>
        <w:pStyle w:val="Estilo"/>
        <w:ind w:left="567" w:hanging="567"/>
        <w:rPr>
          <w:rFonts w:cs="Arial"/>
        </w:rPr>
      </w:pPr>
      <w:r>
        <w:rPr>
          <w:rFonts w:cs="Arial"/>
        </w:rPr>
        <w:t xml:space="preserve">IV. </w:t>
      </w:r>
      <w:r>
        <w:rPr>
          <w:rFonts w:cs="Arial"/>
        </w:rPr>
        <w:tab/>
        <w:t>Supervisar que la obra se lleve a cabo de acuerdo a los lineamientos y especificaciones establecidos en el proyecto aprobado;</w:t>
      </w:r>
    </w:p>
    <w:p w14:paraId="2E0002B1" w14:textId="77777777" w:rsidR="00D3344B" w:rsidRDefault="00D3344B">
      <w:pPr>
        <w:pStyle w:val="Estilo"/>
        <w:ind w:left="567" w:hanging="567"/>
        <w:rPr>
          <w:rFonts w:cs="Arial"/>
        </w:rPr>
      </w:pPr>
    </w:p>
    <w:p w14:paraId="51740AA1" w14:textId="77777777" w:rsidR="00D3344B" w:rsidRDefault="00143C25">
      <w:pPr>
        <w:pStyle w:val="Estilo"/>
        <w:ind w:left="567" w:hanging="567"/>
        <w:rPr>
          <w:rFonts w:cs="Arial"/>
        </w:rPr>
      </w:pPr>
      <w:r>
        <w:rPr>
          <w:rFonts w:cs="Arial"/>
        </w:rPr>
        <w:t xml:space="preserve">V. </w:t>
      </w:r>
      <w:r>
        <w:rPr>
          <w:rFonts w:cs="Arial"/>
        </w:rPr>
        <w:tab/>
        <w:t>Vigilar que se cumplan los procedimientos establecidos en este código, en cuanto al pago de las contribuciones;</w:t>
      </w:r>
    </w:p>
    <w:p w14:paraId="6BC8A385" w14:textId="77777777" w:rsidR="00D3344B" w:rsidRDefault="00D3344B">
      <w:pPr>
        <w:pStyle w:val="Estilo"/>
        <w:ind w:left="567" w:hanging="567"/>
        <w:rPr>
          <w:rFonts w:cs="Arial"/>
        </w:rPr>
      </w:pPr>
    </w:p>
    <w:p w14:paraId="0B3607C7" w14:textId="77777777" w:rsidR="00D3344B" w:rsidRDefault="00143C25">
      <w:pPr>
        <w:pStyle w:val="Estilo"/>
        <w:ind w:left="567" w:hanging="567"/>
        <w:rPr>
          <w:rFonts w:cs="Arial"/>
        </w:rPr>
      </w:pPr>
      <w:r>
        <w:rPr>
          <w:rFonts w:cs="Arial"/>
        </w:rPr>
        <w:t xml:space="preserve">VI. </w:t>
      </w:r>
      <w:r>
        <w:rPr>
          <w:rFonts w:cs="Arial"/>
        </w:rPr>
        <w:tab/>
        <w:t>Promover el pago de las contribuciones de mejoras y coadyuvar en la notificación que en su caso se practique con tal finalidad;</w:t>
      </w:r>
    </w:p>
    <w:p w14:paraId="32D5047B" w14:textId="77777777" w:rsidR="00D3344B" w:rsidRDefault="00D3344B">
      <w:pPr>
        <w:pStyle w:val="Estilo"/>
        <w:ind w:left="567" w:hanging="567"/>
        <w:rPr>
          <w:rFonts w:cs="Arial"/>
        </w:rPr>
      </w:pPr>
    </w:p>
    <w:p w14:paraId="3119BC73" w14:textId="77777777" w:rsidR="00D3344B" w:rsidRDefault="00143C25">
      <w:pPr>
        <w:pStyle w:val="Estilo"/>
        <w:ind w:left="567" w:hanging="567"/>
        <w:rPr>
          <w:rFonts w:cs="Arial"/>
        </w:rPr>
      </w:pPr>
      <w:r>
        <w:rPr>
          <w:rFonts w:cs="Arial"/>
        </w:rPr>
        <w:t xml:space="preserve">VII. </w:t>
      </w:r>
      <w:r>
        <w:rPr>
          <w:rFonts w:cs="Arial"/>
        </w:rPr>
        <w:tab/>
        <w:t>Informar a los beneficiarios de los avances de la obra y de los importes recuperados por la autoridad por ese concepto, y</w:t>
      </w:r>
    </w:p>
    <w:p w14:paraId="435F527B" w14:textId="77777777" w:rsidR="00D3344B" w:rsidRDefault="00D3344B">
      <w:pPr>
        <w:pStyle w:val="Estilo"/>
        <w:ind w:left="567" w:hanging="567"/>
        <w:rPr>
          <w:rFonts w:cs="Arial"/>
        </w:rPr>
      </w:pPr>
    </w:p>
    <w:p w14:paraId="3AEC1632" w14:textId="77777777" w:rsidR="00D3344B" w:rsidRDefault="00143C25">
      <w:pPr>
        <w:pStyle w:val="Estilo"/>
        <w:ind w:left="567" w:hanging="567"/>
        <w:rPr>
          <w:rFonts w:cs="Arial"/>
        </w:rPr>
      </w:pPr>
      <w:r>
        <w:rPr>
          <w:rFonts w:cs="Arial"/>
        </w:rPr>
        <w:t xml:space="preserve">VIII. </w:t>
      </w:r>
      <w:r>
        <w:rPr>
          <w:rFonts w:cs="Arial"/>
        </w:rPr>
        <w:tab/>
        <w:t>Las demás que determine el reglamento respectivo.</w:t>
      </w:r>
    </w:p>
    <w:p w14:paraId="0E1C4A05" w14:textId="77777777" w:rsidR="00D3344B" w:rsidRDefault="00D3344B">
      <w:pPr>
        <w:pStyle w:val="Estilo"/>
        <w:rPr>
          <w:rFonts w:cs="Arial"/>
        </w:rPr>
      </w:pPr>
    </w:p>
    <w:p w14:paraId="6E504ABA" w14:textId="77777777" w:rsidR="00D3344B" w:rsidRDefault="00D3344B">
      <w:pPr>
        <w:pStyle w:val="Estilo"/>
        <w:rPr>
          <w:rFonts w:cs="Arial"/>
        </w:rPr>
      </w:pPr>
    </w:p>
    <w:p w14:paraId="194FA228" w14:textId="77777777" w:rsidR="00D3344B" w:rsidRDefault="00143C25">
      <w:pPr>
        <w:pStyle w:val="Estilo"/>
        <w:jc w:val="center"/>
        <w:rPr>
          <w:rFonts w:cs="Arial"/>
          <w:b/>
        </w:rPr>
      </w:pPr>
      <w:r>
        <w:rPr>
          <w:rFonts w:cs="Arial"/>
          <w:b/>
        </w:rPr>
        <w:t>Capítulo III</w:t>
      </w:r>
    </w:p>
    <w:p w14:paraId="1F0C9141" w14:textId="77777777" w:rsidR="00D3344B" w:rsidRDefault="00143C25">
      <w:pPr>
        <w:pStyle w:val="Estilo"/>
        <w:jc w:val="center"/>
        <w:rPr>
          <w:rFonts w:cs="Arial"/>
          <w:b/>
        </w:rPr>
      </w:pPr>
      <w:r>
        <w:rPr>
          <w:rFonts w:cs="Arial"/>
          <w:b/>
        </w:rPr>
        <w:t>Pago de las Contribuciones Especiales</w:t>
      </w:r>
    </w:p>
    <w:p w14:paraId="402D3159" w14:textId="77777777" w:rsidR="00D3344B" w:rsidRDefault="00D3344B">
      <w:pPr>
        <w:pStyle w:val="Estilo"/>
        <w:rPr>
          <w:rFonts w:cs="Arial"/>
        </w:rPr>
      </w:pPr>
    </w:p>
    <w:p w14:paraId="20CAE8CB" w14:textId="77777777" w:rsidR="00D3344B" w:rsidRDefault="00143C25">
      <w:pPr>
        <w:pStyle w:val="Estilo"/>
        <w:rPr>
          <w:rFonts w:cs="Arial"/>
        </w:rPr>
      </w:pPr>
      <w:r>
        <w:rPr>
          <w:rFonts w:cs="Arial"/>
          <w:b/>
        </w:rPr>
        <w:t>Artículo 232.</w:t>
      </w:r>
      <w:r>
        <w:rPr>
          <w:rFonts w:cs="Arial"/>
        </w:rPr>
        <w:t xml:space="preserve"> Aprobado el convenio y el proyecto, se dará a conocer a los beneficiarios mediante una sola publicación en el Periódico Oficial del Estado, la cual contendrá como mínimo los datos generales de la obra o acción y el monto de la contribución individualizada, el descuento que otorgue la autoridad fiscal por pago anticipado, y el plazo y términos en que deberá efectuarse el pago. Lo anterior se dará a conocer por el consejo de beneficiarios mediante notificación que se practique con las formalidades establecidas en este código, con el apoyo de la autoridad fiscal.</w:t>
      </w:r>
    </w:p>
    <w:p w14:paraId="235175D6" w14:textId="77777777" w:rsidR="00D3344B" w:rsidRDefault="00D3344B">
      <w:pPr>
        <w:pStyle w:val="Estilo"/>
        <w:rPr>
          <w:rFonts w:cs="Arial"/>
        </w:rPr>
      </w:pPr>
    </w:p>
    <w:p w14:paraId="07224E2A" w14:textId="77777777" w:rsidR="00D3344B" w:rsidRDefault="00143C25">
      <w:pPr>
        <w:pStyle w:val="Estilo"/>
        <w:rPr>
          <w:rFonts w:cs="Arial"/>
        </w:rPr>
      </w:pPr>
      <w:r>
        <w:rPr>
          <w:rFonts w:cs="Arial"/>
          <w:b/>
        </w:rPr>
        <w:t>Artículo 233.</w:t>
      </w:r>
      <w:r>
        <w:rPr>
          <w:rFonts w:cs="Arial"/>
        </w:rPr>
        <w:t xml:space="preserve"> Los adquirentes de predios sujetos a la </w:t>
      </w:r>
      <w:proofErr w:type="spellStart"/>
      <w:r>
        <w:rPr>
          <w:rFonts w:cs="Arial"/>
        </w:rPr>
        <w:t>causación</w:t>
      </w:r>
      <w:proofErr w:type="spellEnd"/>
      <w:r>
        <w:rPr>
          <w:rFonts w:cs="Arial"/>
        </w:rPr>
        <w:t xml:space="preserve"> de las contribuciones que establece este capítulo, serán solidariamente responsables del pago de los mismos.</w:t>
      </w:r>
    </w:p>
    <w:p w14:paraId="4A1D564F" w14:textId="77777777" w:rsidR="00D3344B" w:rsidRDefault="00D3344B">
      <w:pPr>
        <w:pStyle w:val="Estilo"/>
        <w:rPr>
          <w:rFonts w:cs="Arial"/>
        </w:rPr>
      </w:pPr>
    </w:p>
    <w:p w14:paraId="6284DF40" w14:textId="77777777" w:rsidR="00D3344B" w:rsidRDefault="00143C25">
      <w:pPr>
        <w:pStyle w:val="Estilo"/>
        <w:rPr>
          <w:rFonts w:cs="Arial"/>
        </w:rPr>
      </w:pPr>
      <w:r>
        <w:rPr>
          <w:rFonts w:cs="Arial"/>
          <w:b/>
        </w:rPr>
        <w:t>Artículo 234.</w:t>
      </w:r>
      <w:r>
        <w:rPr>
          <w:rFonts w:cs="Arial"/>
        </w:rPr>
        <w:t xml:space="preserve"> Las contribuciones especiales a cargo de los beneficiarios determinadas conforme a los artículos anteriores, una vez notificadas a los deudores, serán obligatorias y deberán ser enteradas en la oficina recaudadora o Tesorería Municipal correspondiente. En caso de incumplimiento, constituirán crédito fiscal y serán exigibles mediante el procedimiento administrativo de ejecución. El consejo de beneficiarios podrá pagar el importe de la contribución omitida y solicitar a la autoridad fiscal que una vez concluido el procedimiento administrativo y recuperado el crédito fiscal, se le reintegre el importe aportado por el consejo, con excepción de los accesorios.</w:t>
      </w:r>
    </w:p>
    <w:p w14:paraId="1E759031" w14:textId="77777777" w:rsidR="00D3344B" w:rsidRDefault="00D3344B">
      <w:pPr>
        <w:pStyle w:val="Estilo"/>
        <w:rPr>
          <w:rFonts w:cs="Arial"/>
        </w:rPr>
      </w:pPr>
    </w:p>
    <w:p w14:paraId="1F295788" w14:textId="77777777" w:rsidR="00D3344B" w:rsidRDefault="00143C25">
      <w:pPr>
        <w:pStyle w:val="Estilo"/>
        <w:jc w:val="center"/>
        <w:rPr>
          <w:rFonts w:cs="Arial"/>
          <w:b/>
        </w:rPr>
      </w:pPr>
      <w:r>
        <w:rPr>
          <w:rFonts w:cs="Arial"/>
          <w:b/>
        </w:rPr>
        <w:t>TÍTULO NOVENO</w:t>
      </w:r>
    </w:p>
    <w:p w14:paraId="100FCAEF" w14:textId="77777777" w:rsidR="00D3344B" w:rsidRDefault="00143C25">
      <w:pPr>
        <w:pStyle w:val="Estilo"/>
        <w:jc w:val="center"/>
        <w:rPr>
          <w:rFonts w:cs="Arial"/>
          <w:b/>
        </w:rPr>
      </w:pPr>
      <w:r>
        <w:rPr>
          <w:rFonts w:cs="Arial"/>
          <w:b/>
        </w:rPr>
        <w:t>CATASTRO</w:t>
      </w:r>
    </w:p>
    <w:p w14:paraId="48E8F416" w14:textId="77777777" w:rsidR="00D3344B" w:rsidRDefault="00D3344B">
      <w:pPr>
        <w:pStyle w:val="Estilo"/>
        <w:jc w:val="center"/>
        <w:rPr>
          <w:rFonts w:cs="Arial"/>
          <w:b/>
        </w:rPr>
      </w:pPr>
    </w:p>
    <w:p w14:paraId="2BE8D1DA" w14:textId="77777777" w:rsidR="00D3344B" w:rsidRDefault="00143C25">
      <w:pPr>
        <w:pStyle w:val="Estilo"/>
        <w:jc w:val="center"/>
        <w:rPr>
          <w:rFonts w:cs="Arial"/>
          <w:b/>
        </w:rPr>
      </w:pPr>
      <w:r>
        <w:rPr>
          <w:rFonts w:cs="Arial"/>
          <w:b/>
        </w:rPr>
        <w:t>Capítulo I</w:t>
      </w:r>
    </w:p>
    <w:p w14:paraId="1DC75437" w14:textId="77777777" w:rsidR="00D3344B" w:rsidRDefault="00143C25">
      <w:pPr>
        <w:pStyle w:val="Estilo"/>
        <w:jc w:val="center"/>
        <w:rPr>
          <w:rFonts w:cs="Arial"/>
          <w:b/>
        </w:rPr>
      </w:pPr>
      <w:r>
        <w:rPr>
          <w:rFonts w:cs="Arial"/>
          <w:b/>
        </w:rPr>
        <w:t>Disposiciones Generales</w:t>
      </w:r>
    </w:p>
    <w:p w14:paraId="02F6886B" w14:textId="77777777" w:rsidR="00D3344B" w:rsidRDefault="00D3344B">
      <w:pPr>
        <w:pStyle w:val="Estilo"/>
        <w:jc w:val="center"/>
        <w:rPr>
          <w:rFonts w:cs="Arial"/>
          <w:b/>
        </w:rPr>
      </w:pPr>
    </w:p>
    <w:p w14:paraId="46DC1A75" w14:textId="77777777" w:rsidR="00D3344B" w:rsidRDefault="00143C25">
      <w:pPr>
        <w:pStyle w:val="Estilo"/>
        <w:rPr>
          <w:rFonts w:cs="Arial"/>
          <w:i/>
          <w:sz w:val="16"/>
          <w:szCs w:val="16"/>
        </w:rPr>
      </w:pPr>
      <w:r>
        <w:rPr>
          <w:rFonts w:cs="Arial"/>
          <w:b/>
        </w:rPr>
        <w:t>Artículo 235</w:t>
      </w:r>
      <w:r>
        <w:rPr>
          <w:rFonts w:cs="Arial"/>
          <w:b/>
          <w:i/>
          <w:sz w:val="16"/>
        </w:rPr>
        <w:t>. (DEROGADO POR EL ARTÍCULO SEGUNDO TRANSITORIO DE LA LEY DE CATASTRO DEL ESTADO DE TLAXCALA, P.O. 12 DE SEPTIEMBRE DE 2016)</w:t>
      </w:r>
    </w:p>
    <w:p w14:paraId="04EFCD15" w14:textId="77777777" w:rsidR="00D3344B" w:rsidRDefault="00D3344B">
      <w:pPr>
        <w:pStyle w:val="Estilo"/>
        <w:rPr>
          <w:rFonts w:cs="Arial"/>
        </w:rPr>
      </w:pPr>
    </w:p>
    <w:p w14:paraId="7E9B492F" w14:textId="77777777" w:rsidR="00D3344B" w:rsidRDefault="00143C25">
      <w:pPr>
        <w:pStyle w:val="Estilo"/>
        <w:rPr>
          <w:rFonts w:cs="Arial"/>
          <w:i/>
          <w:sz w:val="16"/>
          <w:szCs w:val="16"/>
        </w:rPr>
      </w:pPr>
      <w:r>
        <w:rPr>
          <w:rFonts w:cs="Arial"/>
          <w:b/>
        </w:rPr>
        <w:t>Artículo 236</w:t>
      </w:r>
      <w:r>
        <w:rPr>
          <w:rFonts w:cs="Arial"/>
          <w:b/>
          <w:i/>
          <w:sz w:val="16"/>
          <w:szCs w:val="16"/>
        </w:rPr>
        <w:t>. (DEROGADO POR EL ARTÍCULO SEGUNDO TRANSITORIO DE LA LEY DE CATASTRO DEL ESTADO DE TLAXCALA, P.O. 12 DE SEPTIEMBRE DE 2016)</w:t>
      </w:r>
    </w:p>
    <w:p w14:paraId="265396DF" w14:textId="77777777" w:rsidR="00D3344B" w:rsidRDefault="00D3344B">
      <w:pPr>
        <w:pStyle w:val="Estilo"/>
        <w:rPr>
          <w:rFonts w:cs="Arial"/>
        </w:rPr>
      </w:pPr>
    </w:p>
    <w:p w14:paraId="6FCFBA28" w14:textId="77777777" w:rsidR="00D3344B" w:rsidRDefault="00143C25">
      <w:pPr>
        <w:pStyle w:val="Estilo"/>
        <w:rPr>
          <w:rFonts w:cs="Arial"/>
          <w:i/>
          <w:sz w:val="16"/>
          <w:szCs w:val="16"/>
        </w:rPr>
      </w:pPr>
      <w:r>
        <w:rPr>
          <w:rFonts w:cs="Arial"/>
          <w:b/>
        </w:rPr>
        <w:t>Artículo 237</w:t>
      </w:r>
      <w:r>
        <w:rPr>
          <w:rFonts w:cs="Arial"/>
          <w:b/>
          <w:i/>
          <w:sz w:val="16"/>
        </w:rPr>
        <w:t>. (DEROGADO POR EL ARTÍCULO SEGUNDO TRANSITORIO DE LA LEY DE CATASTRO DEL ESTADO DE TLAXCALA, P.O. 12 DE SEPTIEMBRE DE 2016)</w:t>
      </w:r>
    </w:p>
    <w:p w14:paraId="0F2585DF" w14:textId="77777777" w:rsidR="00D3344B" w:rsidRDefault="00D3344B">
      <w:pPr>
        <w:pStyle w:val="Estilo"/>
        <w:rPr>
          <w:rFonts w:cs="Arial"/>
        </w:rPr>
      </w:pPr>
    </w:p>
    <w:p w14:paraId="2D8D80DF" w14:textId="77777777" w:rsidR="00D3344B" w:rsidRDefault="00143C25">
      <w:pPr>
        <w:pStyle w:val="Estilo"/>
        <w:rPr>
          <w:rFonts w:cs="Arial"/>
          <w:i/>
          <w:sz w:val="16"/>
          <w:szCs w:val="16"/>
        </w:rPr>
      </w:pPr>
      <w:r>
        <w:rPr>
          <w:rFonts w:cs="Arial"/>
          <w:b/>
        </w:rPr>
        <w:t>Artículo 238</w:t>
      </w:r>
      <w:r>
        <w:rPr>
          <w:rFonts w:cs="Arial"/>
          <w:b/>
          <w:i/>
          <w:sz w:val="16"/>
        </w:rPr>
        <w:t>. (DEROGADO POR EL ARTÍCULO SEGUNDO TRANSITORIO DE LA LEY DE CATASTRO DEL ESTADO DE TLAXCALA, P.O. 12 DE SEPTIEMBRE DE 2016)</w:t>
      </w:r>
    </w:p>
    <w:p w14:paraId="2895C215" w14:textId="77777777" w:rsidR="00D3344B" w:rsidRDefault="00D3344B">
      <w:pPr>
        <w:pStyle w:val="Estilo"/>
        <w:rPr>
          <w:rFonts w:cs="Arial"/>
        </w:rPr>
      </w:pPr>
    </w:p>
    <w:p w14:paraId="144355A8" w14:textId="77777777" w:rsidR="00D3344B" w:rsidRDefault="00143C25">
      <w:pPr>
        <w:pStyle w:val="Estilo"/>
        <w:rPr>
          <w:rFonts w:cs="Arial"/>
          <w:i/>
          <w:sz w:val="16"/>
          <w:szCs w:val="16"/>
        </w:rPr>
      </w:pPr>
      <w:r>
        <w:rPr>
          <w:rFonts w:cs="Arial"/>
          <w:b/>
        </w:rPr>
        <w:t>Artículo 239</w:t>
      </w:r>
      <w:r>
        <w:rPr>
          <w:rFonts w:cs="Arial"/>
          <w:b/>
          <w:i/>
          <w:sz w:val="16"/>
        </w:rPr>
        <w:t>. (DEROGADO POR EL ARTÍCULO SEGUNDO TRANSITORIO DE LA LEY DE CATASTRO DEL ESTADO DE TLAXCALA, P.O. 12 DE SEPTIEMBRE DE 2016)</w:t>
      </w:r>
    </w:p>
    <w:p w14:paraId="7639C015" w14:textId="77777777" w:rsidR="00D3344B" w:rsidRDefault="00D3344B">
      <w:pPr>
        <w:pStyle w:val="Estilo"/>
        <w:rPr>
          <w:rFonts w:cs="Arial"/>
        </w:rPr>
      </w:pPr>
    </w:p>
    <w:p w14:paraId="208ACC5C" w14:textId="77777777" w:rsidR="00D3344B" w:rsidRDefault="00143C25">
      <w:pPr>
        <w:pStyle w:val="Estilo"/>
        <w:rPr>
          <w:rFonts w:cs="Arial"/>
          <w:i/>
          <w:sz w:val="16"/>
          <w:szCs w:val="16"/>
        </w:rPr>
      </w:pPr>
      <w:r>
        <w:rPr>
          <w:rFonts w:cs="Arial"/>
          <w:b/>
        </w:rPr>
        <w:t>Artículo 240</w:t>
      </w:r>
      <w:r>
        <w:rPr>
          <w:rFonts w:cs="Arial"/>
          <w:b/>
          <w:i/>
          <w:sz w:val="16"/>
        </w:rPr>
        <w:t>. (DEROGADO POR EL ARTÍCULO SEGUNDO TRANSITORIO DE LA LEY DE CATASTRO DEL ESTADO DE TLAXCALA, P.O. 12 DE SEPTIEMBRE DE 2016)</w:t>
      </w:r>
    </w:p>
    <w:p w14:paraId="07CE9A1A" w14:textId="77777777" w:rsidR="00D3344B" w:rsidRDefault="00D3344B">
      <w:pPr>
        <w:pStyle w:val="Estilo"/>
        <w:rPr>
          <w:rFonts w:cs="Arial"/>
        </w:rPr>
      </w:pPr>
    </w:p>
    <w:p w14:paraId="1BFA7F29" w14:textId="77777777" w:rsidR="00D3344B" w:rsidRDefault="00143C25">
      <w:pPr>
        <w:pStyle w:val="Estilo"/>
        <w:rPr>
          <w:rFonts w:cs="Arial"/>
        </w:rPr>
      </w:pPr>
      <w:r>
        <w:rPr>
          <w:rFonts w:cs="Arial"/>
          <w:i/>
          <w:sz w:val="16"/>
        </w:rPr>
        <w:t>(ADICIONADO, P.O. 24 DE DICIEMBRE DE 2003)</w:t>
      </w:r>
    </w:p>
    <w:p w14:paraId="73ED05B5" w14:textId="77777777" w:rsidR="00D3344B" w:rsidRDefault="00143C25">
      <w:pPr>
        <w:pStyle w:val="Estilo"/>
        <w:rPr>
          <w:rFonts w:cs="Arial"/>
        </w:rPr>
      </w:pPr>
      <w:r>
        <w:rPr>
          <w:rFonts w:cs="Arial"/>
          <w:b/>
        </w:rPr>
        <w:t>Artículo 240 A.</w:t>
      </w:r>
      <w:r>
        <w:rPr>
          <w:rFonts w:cs="Arial"/>
        </w:rPr>
        <w:t xml:space="preserve"> Los notarios y corredores públicos, en general están obligados a manifestar a la autoridad municipal correspondiente y al Instituto de Catastro, en las formas oficiales, la celebración de todo tipo de operaciones traslativas de dominio que, con su intervención se realicen sobre bienes inmuebles ubicados en el Estado, el plazo para ello, será de 15 días contados a partir de la fecha en que se autorice la operación.</w:t>
      </w:r>
    </w:p>
    <w:p w14:paraId="6700EB56" w14:textId="77777777" w:rsidR="00D3344B" w:rsidRDefault="00D3344B">
      <w:pPr>
        <w:pStyle w:val="Estilo"/>
        <w:rPr>
          <w:rFonts w:cs="Arial"/>
        </w:rPr>
      </w:pPr>
    </w:p>
    <w:p w14:paraId="29512260" w14:textId="77777777" w:rsidR="00D3344B" w:rsidRDefault="00143C25">
      <w:pPr>
        <w:pStyle w:val="Estilo"/>
        <w:rPr>
          <w:rFonts w:cs="Arial"/>
        </w:rPr>
      </w:pPr>
      <w:r>
        <w:rPr>
          <w:rFonts w:cs="Arial"/>
        </w:rPr>
        <w:t>Para las operaciones a que se refiere el párrafo anterior, celebradas fuera del Estado, los adquirientes serán los obligados a presentar los avisos correspondientes.</w:t>
      </w:r>
    </w:p>
    <w:p w14:paraId="28A09870" w14:textId="77777777" w:rsidR="00D3344B" w:rsidRDefault="00D3344B">
      <w:pPr>
        <w:pStyle w:val="Estilo"/>
        <w:rPr>
          <w:rFonts w:cs="Arial"/>
        </w:rPr>
      </w:pPr>
    </w:p>
    <w:p w14:paraId="3404D92E" w14:textId="77777777" w:rsidR="00D3344B" w:rsidRDefault="00D3344B">
      <w:pPr>
        <w:pStyle w:val="Estilo"/>
        <w:rPr>
          <w:rFonts w:cs="Arial"/>
        </w:rPr>
      </w:pPr>
    </w:p>
    <w:p w14:paraId="390C810B" w14:textId="77777777" w:rsidR="00D3344B" w:rsidRDefault="00143C25">
      <w:pPr>
        <w:pStyle w:val="Estilo"/>
        <w:jc w:val="center"/>
        <w:rPr>
          <w:rFonts w:cs="Arial"/>
          <w:b/>
        </w:rPr>
      </w:pPr>
      <w:r>
        <w:rPr>
          <w:rFonts w:cs="Arial"/>
          <w:b/>
        </w:rPr>
        <w:t>Capítulo II</w:t>
      </w:r>
    </w:p>
    <w:p w14:paraId="2FBF59D7" w14:textId="77777777" w:rsidR="00D3344B" w:rsidRDefault="00143C25">
      <w:pPr>
        <w:pStyle w:val="Estilo"/>
        <w:jc w:val="center"/>
        <w:rPr>
          <w:rFonts w:cs="Arial"/>
          <w:b/>
        </w:rPr>
      </w:pPr>
      <w:r>
        <w:rPr>
          <w:rFonts w:cs="Arial"/>
          <w:b/>
        </w:rPr>
        <w:t xml:space="preserve">Procedimiento </w:t>
      </w:r>
      <w:proofErr w:type="spellStart"/>
      <w:r>
        <w:rPr>
          <w:rFonts w:cs="Arial"/>
          <w:b/>
        </w:rPr>
        <w:t>Valuatorio</w:t>
      </w:r>
      <w:proofErr w:type="spellEnd"/>
    </w:p>
    <w:p w14:paraId="5AE65496" w14:textId="77777777" w:rsidR="00D3344B" w:rsidRDefault="00D3344B">
      <w:pPr>
        <w:pStyle w:val="Estilo"/>
        <w:rPr>
          <w:rFonts w:cs="Arial"/>
        </w:rPr>
      </w:pPr>
    </w:p>
    <w:p w14:paraId="5147E345" w14:textId="77777777" w:rsidR="00D3344B" w:rsidRDefault="00143C25">
      <w:pPr>
        <w:pStyle w:val="Estilo"/>
        <w:rPr>
          <w:rFonts w:cs="Arial"/>
        </w:rPr>
      </w:pPr>
      <w:r>
        <w:rPr>
          <w:rFonts w:cs="Arial"/>
          <w:b/>
        </w:rPr>
        <w:t>Artículo 241</w:t>
      </w:r>
      <w:r>
        <w:rPr>
          <w:rFonts w:cs="Arial"/>
          <w:b/>
          <w:i/>
          <w:sz w:val="16"/>
        </w:rPr>
        <w:t>. (DEROGADO POR EL ARTÍCULO SEGUNDO TRANSITORIO DE LA LEY DE CATASTRO DEL ESTADO DE TLAXCALA, P.O. 12 DE SEPTIEMBRE DE 2016)</w:t>
      </w:r>
    </w:p>
    <w:p w14:paraId="4DE6B3AB" w14:textId="77777777" w:rsidR="00D3344B" w:rsidRDefault="00D3344B">
      <w:pPr>
        <w:pStyle w:val="Estilo"/>
        <w:rPr>
          <w:rFonts w:cs="Arial"/>
        </w:rPr>
      </w:pPr>
    </w:p>
    <w:p w14:paraId="26878CA7" w14:textId="77777777" w:rsidR="00D3344B" w:rsidRDefault="00143C25">
      <w:pPr>
        <w:pStyle w:val="Estilo"/>
        <w:rPr>
          <w:rFonts w:cs="Arial"/>
        </w:rPr>
      </w:pPr>
      <w:r>
        <w:rPr>
          <w:rFonts w:cs="Arial"/>
          <w:b/>
        </w:rPr>
        <w:t>Artículo 242</w:t>
      </w:r>
      <w:r>
        <w:rPr>
          <w:rFonts w:cs="Arial"/>
          <w:b/>
          <w:i/>
          <w:sz w:val="16"/>
        </w:rPr>
        <w:t>. (DEROGADO POR EL ARTÍCULO SEGUNDO TRANSITORIO DE LA LEY DE CATASTRO DEL ESTADO DE TLAXCALA, P.O. 12 DE SEPTIEMBRE DE 2016)</w:t>
      </w:r>
    </w:p>
    <w:p w14:paraId="392B9ADD" w14:textId="77777777" w:rsidR="00D3344B" w:rsidRDefault="00D3344B">
      <w:pPr>
        <w:pStyle w:val="Estilo"/>
        <w:rPr>
          <w:rFonts w:cs="Arial"/>
        </w:rPr>
      </w:pPr>
    </w:p>
    <w:p w14:paraId="58E0F2F7" w14:textId="77777777" w:rsidR="00D3344B" w:rsidRDefault="00143C25">
      <w:pPr>
        <w:pStyle w:val="Estilo"/>
        <w:rPr>
          <w:rFonts w:cs="Arial"/>
        </w:rPr>
      </w:pPr>
      <w:r>
        <w:rPr>
          <w:rFonts w:cs="Arial"/>
          <w:b/>
        </w:rPr>
        <w:t>Artículo 243</w:t>
      </w:r>
      <w:r>
        <w:rPr>
          <w:rFonts w:cs="Arial"/>
          <w:b/>
          <w:i/>
          <w:sz w:val="16"/>
        </w:rPr>
        <w:t>. (DEROGADO POR EL ARTÍCULO SEGUNDO TRANSITORIO DE LA LEY DE CATASTRO DEL ESTADO DE TLAXCALA, P.O. 12 DE SEPTIEMBRE DE 2016)</w:t>
      </w:r>
    </w:p>
    <w:p w14:paraId="48D5D009" w14:textId="77777777" w:rsidR="00D3344B" w:rsidRDefault="00D3344B">
      <w:pPr>
        <w:pStyle w:val="Estilo"/>
        <w:rPr>
          <w:rFonts w:cs="Arial"/>
        </w:rPr>
      </w:pPr>
    </w:p>
    <w:p w14:paraId="4D9ACF19" w14:textId="77777777" w:rsidR="00D3344B" w:rsidRDefault="00143C25">
      <w:pPr>
        <w:pStyle w:val="Estilo"/>
        <w:rPr>
          <w:rFonts w:cs="Arial"/>
        </w:rPr>
      </w:pPr>
      <w:r>
        <w:rPr>
          <w:rFonts w:cs="Arial"/>
          <w:b/>
        </w:rPr>
        <w:t>Artículo 244</w:t>
      </w:r>
      <w:r>
        <w:rPr>
          <w:rFonts w:cs="Arial"/>
          <w:b/>
          <w:i/>
          <w:sz w:val="16"/>
        </w:rPr>
        <w:t>. (DEROGADO POR EL ARTÍCULO SEGUNDO TRANSITORIO DE LA LEY DE CATASTRO DEL ESTADO DE TLAXCALA, P.O. 12 DE SEPTIEMBRE DE 2016)</w:t>
      </w:r>
    </w:p>
    <w:p w14:paraId="4707C627" w14:textId="77777777" w:rsidR="00D3344B" w:rsidRDefault="00D3344B">
      <w:pPr>
        <w:pStyle w:val="Estilo"/>
        <w:rPr>
          <w:rFonts w:cs="Arial"/>
        </w:rPr>
      </w:pPr>
    </w:p>
    <w:p w14:paraId="1049985E" w14:textId="77777777" w:rsidR="00D3344B" w:rsidRDefault="00143C25">
      <w:pPr>
        <w:pStyle w:val="Estilo"/>
        <w:jc w:val="center"/>
        <w:rPr>
          <w:rFonts w:cs="Arial"/>
          <w:b/>
        </w:rPr>
      </w:pPr>
      <w:r>
        <w:rPr>
          <w:rFonts w:cs="Arial"/>
          <w:b/>
        </w:rPr>
        <w:t>TÍTULO DÉCIMO</w:t>
      </w:r>
    </w:p>
    <w:p w14:paraId="72670B96" w14:textId="77777777" w:rsidR="00D3344B" w:rsidRDefault="00143C25">
      <w:pPr>
        <w:pStyle w:val="Estilo"/>
        <w:jc w:val="center"/>
        <w:rPr>
          <w:rFonts w:cs="Arial"/>
          <w:b/>
        </w:rPr>
      </w:pPr>
      <w:r>
        <w:rPr>
          <w:rFonts w:cs="Arial"/>
          <w:b/>
        </w:rPr>
        <w:t>PLANEACIÓN, PROGRAMACIÓN Y PRESUPUESTACIÓN</w:t>
      </w:r>
    </w:p>
    <w:p w14:paraId="76347798" w14:textId="77777777" w:rsidR="00D3344B" w:rsidRDefault="00D3344B">
      <w:pPr>
        <w:pStyle w:val="Estilo"/>
        <w:jc w:val="center"/>
        <w:rPr>
          <w:rFonts w:cs="Arial"/>
          <w:b/>
        </w:rPr>
      </w:pPr>
    </w:p>
    <w:p w14:paraId="55DCF708" w14:textId="77777777" w:rsidR="00D3344B" w:rsidRDefault="00143C25">
      <w:pPr>
        <w:pStyle w:val="Estilo"/>
        <w:jc w:val="center"/>
        <w:rPr>
          <w:rFonts w:cs="Arial"/>
          <w:b/>
        </w:rPr>
      </w:pPr>
      <w:r>
        <w:rPr>
          <w:rFonts w:cs="Arial"/>
          <w:b/>
        </w:rPr>
        <w:t>Capítulo I</w:t>
      </w:r>
    </w:p>
    <w:p w14:paraId="18FDCEA4" w14:textId="77777777" w:rsidR="00D3344B" w:rsidRDefault="00143C25">
      <w:pPr>
        <w:pStyle w:val="Estilo"/>
        <w:jc w:val="center"/>
        <w:rPr>
          <w:rFonts w:cs="Arial"/>
          <w:b/>
        </w:rPr>
      </w:pPr>
      <w:r>
        <w:rPr>
          <w:rFonts w:cs="Arial"/>
          <w:b/>
        </w:rPr>
        <w:t>Planeación</w:t>
      </w:r>
    </w:p>
    <w:p w14:paraId="5BED3029" w14:textId="77777777" w:rsidR="00D3344B" w:rsidRDefault="00D3344B">
      <w:pPr>
        <w:pStyle w:val="Estilo"/>
        <w:jc w:val="center"/>
        <w:rPr>
          <w:rFonts w:cs="Arial"/>
          <w:b/>
        </w:rPr>
      </w:pPr>
    </w:p>
    <w:p w14:paraId="355D72C8" w14:textId="77777777" w:rsidR="00D3344B" w:rsidRDefault="00143C25">
      <w:pPr>
        <w:pStyle w:val="Estilo"/>
        <w:rPr>
          <w:rFonts w:cs="Arial"/>
          <w:i/>
          <w:sz w:val="16"/>
          <w:szCs w:val="16"/>
        </w:rPr>
      </w:pPr>
      <w:r>
        <w:rPr>
          <w:rFonts w:cs="Arial"/>
          <w:i/>
          <w:sz w:val="16"/>
          <w:szCs w:val="16"/>
        </w:rPr>
        <w:t>(REFORMADO [N. DE E. ESTE PÁRRAFO], P.O. 29 DE DICIEMBRE DE 2017)</w:t>
      </w:r>
    </w:p>
    <w:p w14:paraId="5D092CFC" w14:textId="77777777" w:rsidR="00D3344B" w:rsidRDefault="00143C25">
      <w:pPr>
        <w:pStyle w:val="Estilo"/>
        <w:rPr>
          <w:rFonts w:cs="Arial"/>
        </w:rPr>
      </w:pPr>
      <w:r>
        <w:rPr>
          <w:rFonts w:cs="Arial"/>
          <w:b/>
        </w:rPr>
        <w:t>Artículo 245.</w:t>
      </w:r>
      <w:r>
        <w:rPr>
          <w:rFonts w:cs="Arial"/>
        </w:rPr>
        <w:t xml:space="preserve"> La planeación del desarrollo del Estado y de sus municipios, estará sujeta a las disposiciones de este título, conforme a las cuales se elaborarán planes, programas y presupuestos respectivos con perspectiva de género, en el marco de un Sistema Estatal de Planeación Democrática, involucrando a la sociedad mediante foros de consulta, orientada al cumplimiento de objetivos que garanticen el desarrollo integral y equilibrado del Estado.</w:t>
      </w:r>
    </w:p>
    <w:p w14:paraId="440FA094" w14:textId="77777777" w:rsidR="00D3344B" w:rsidRDefault="00D3344B">
      <w:pPr>
        <w:pStyle w:val="Estilo"/>
        <w:rPr>
          <w:rFonts w:cs="Arial"/>
        </w:rPr>
      </w:pPr>
    </w:p>
    <w:p w14:paraId="26903039" w14:textId="77777777" w:rsidR="00D3344B" w:rsidRDefault="00143C25">
      <w:pPr>
        <w:pStyle w:val="Estilo"/>
        <w:rPr>
          <w:rFonts w:cs="Arial"/>
        </w:rPr>
      </w:pPr>
      <w:r>
        <w:rPr>
          <w:rFonts w:cs="Arial"/>
        </w:rPr>
        <w:lastRenderedPageBreak/>
        <w:t>Los proyectos de leyes, reglamentos, decretos, acuerdos y convenios que formule el Ejecutivo del Estado contribuirán al desarrollo estatal.</w:t>
      </w:r>
    </w:p>
    <w:p w14:paraId="0496C81D" w14:textId="77777777" w:rsidR="00D3344B" w:rsidRDefault="00D3344B">
      <w:pPr>
        <w:pStyle w:val="Estilo"/>
        <w:rPr>
          <w:rFonts w:cs="Arial"/>
        </w:rPr>
      </w:pPr>
    </w:p>
    <w:p w14:paraId="2787A600" w14:textId="77777777" w:rsidR="00D3344B" w:rsidRDefault="00143C25">
      <w:pPr>
        <w:pStyle w:val="Estilo"/>
        <w:rPr>
          <w:rFonts w:cs="Arial"/>
        </w:rPr>
      </w:pPr>
      <w:r>
        <w:rPr>
          <w:rFonts w:cs="Arial"/>
          <w:b/>
        </w:rPr>
        <w:t>Artículo 246.</w:t>
      </w:r>
      <w:r>
        <w:rPr>
          <w:rFonts w:cs="Arial"/>
        </w:rPr>
        <w:t xml:space="preserve"> La planeación estatal y municipal del desarrollo, constituye la ordenación racional y sistemática de acciones aplicadas en el ámbito de competencia de ambos niveles de gobierno, que orienten la actividad económica, social, política y cultural de la población, bajo los principios y garantías constitucionales y de la planeación nacional del desarrollo.</w:t>
      </w:r>
    </w:p>
    <w:p w14:paraId="19F820F3" w14:textId="77777777" w:rsidR="00D3344B" w:rsidRDefault="00D3344B">
      <w:pPr>
        <w:pStyle w:val="Estilo"/>
        <w:rPr>
          <w:rFonts w:cs="Arial"/>
        </w:rPr>
      </w:pPr>
    </w:p>
    <w:p w14:paraId="5F14C0AC" w14:textId="77777777" w:rsidR="00D3344B" w:rsidRDefault="00143C25">
      <w:pPr>
        <w:pStyle w:val="Estilo"/>
        <w:rPr>
          <w:rFonts w:cs="Arial"/>
        </w:rPr>
      </w:pPr>
      <w:r>
        <w:rPr>
          <w:rFonts w:cs="Arial"/>
          <w:i/>
          <w:sz w:val="16"/>
        </w:rPr>
        <w:t>(ADICIONADO, P.O. 29 DE DICIEMBRE DE 2017)</w:t>
      </w:r>
    </w:p>
    <w:p w14:paraId="3A3081BE" w14:textId="77777777" w:rsidR="00D3344B" w:rsidRDefault="00143C25">
      <w:pPr>
        <w:pStyle w:val="Estilo"/>
        <w:rPr>
          <w:rFonts w:cs="Arial"/>
        </w:rPr>
      </w:pPr>
      <w:r>
        <w:rPr>
          <w:rFonts w:cs="Arial"/>
          <w:b/>
        </w:rPr>
        <w:t>Artículo 246 Bis.</w:t>
      </w:r>
      <w:r>
        <w:rPr>
          <w:rFonts w:cs="Arial"/>
        </w:rPr>
        <w:t xml:space="preserve"> La Planeación del Desarrollo del Estado estará basada además de lo señalado por el artículo anterior, en los siguientes principios:</w:t>
      </w:r>
    </w:p>
    <w:p w14:paraId="71EE2824" w14:textId="77777777" w:rsidR="00D3344B" w:rsidRDefault="00D3344B">
      <w:pPr>
        <w:pStyle w:val="Estilo"/>
        <w:rPr>
          <w:rFonts w:cs="Arial"/>
        </w:rPr>
      </w:pPr>
    </w:p>
    <w:p w14:paraId="5886F047" w14:textId="77777777" w:rsidR="00D3344B" w:rsidRDefault="00143C25">
      <w:pPr>
        <w:pStyle w:val="Estilo"/>
        <w:ind w:left="567" w:hanging="567"/>
        <w:rPr>
          <w:rFonts w:cs="Arial"/>
        </w:rPr>
      </w:pPr>
      <w:r>
        <w:rPr>
          <w:rFonts w:cs="Arial"/>
        </w:rPr>
        <w:t xml:space="preserve">I. </w:t>
      </w:r>
      <w:r>
        <w:rPr>
          <w:rFonts w:cs="Arial"/>
        </w:rPr>
        <w:tab/>
        <w:t>La Igualdad de Género: Es un principio constitucional que estipula que mujeres y hombres son iguales ante la ley, lo que significa que todas las personas, sin distingo alguno tenemos los mismos derechos y deberes frente al Estado y la sociedad en su conjunto. Consiste en la igualdad sustantiva o real que requiere de mecanismos especiales para el aceleramiento de las mujeres a dicha igualdad, en términos de la ley de la materia, a fin de lograr una sociedad más justa e igualitaria;</w:t>
      </w:r>
    </w:p>
    <w:p w14:paraId="4BBCAFBB" w14:textId="77777777" w:rsidR="00D3344B" w:rsidRDefault="00D3344B">
      <w:pPr>
        <w:pStyle w:val="Estilo"/>
        <w:ind w:left="567" w:hanging="567"/>
        <w:rPr>
          <w:rFonts w:cs="Arial"/>
        </w:rPr>
      </w:pPr>
    </w:p>
    <w:p w14:paraId="20AE6DE8" w14:textId="77777777" w:rsidR="00D3344B" w:rsidRDefault="00143C25">
      <w:pPr>
        <w:pStyle w:val="Estilo"/>
        <w:ind w:left="567" w:hanging="567"/>
        <w:rPr>
          <w:rFonts w:cs="Arial"/>
        </w:rPr>
      </w:pPr>
      <w:r>
        <w:rPr>
          <w:rFonts w:cs="Arial"/>
        </w:rPr>
        <w:t xml:space="preserve">II. </w:t>
      </w:r>
      <w:r>
        <w:rPr>
          <w:rFonts w:cs="Arial"/>
        </w:rPr>
        <w:tab/>
        <w:t>La Perspectiva de Género: Para garantizar la igualdad de oportunidades entre mujeres y hombres, y promover el adelanto de las mujeres mediante el acceso equitativo a los bienes, recursos y beneficios del desarrollo;</w:t>
      </w:r>
    </w:p>
    <w:p w14:paraId="5EBB1002" w14:textId="77777777" w:rsidR="00D3344B" w:rsidRDefault="00D3344B">
      <w:pPr>
        <w:pStyle w:val="Estilo"/>
        <w:ind w:left="567" w:hanging="567"/>
        <w:rPr>
          <w:rFonts w:cs="Arial"/>
        </w:rPr>
      </w:pPr>
    </w:p>
    <w:p w14:paraId="4961F571" w14:textId="77777777" w:rsidR="00D3344B" w:rsidRDefault="00143C25">
      <w:pPr>
        <w:pStyle w:val="Estilo"/>
        <w:ind w:left="567" w:hanging="567"/>
        <w:rPr>
          <w:rFonts w:cs="Arial"/>
        </w:rPr>
      </w:pPr>
      <w:r>
        <w:rPr>
          <w:rFonts w:cs="Arial"/>
        </w:rPr>
        <w:t xml:space="preserve">III. </w:t>
      </w:r>
      <w:r>
        <w:rPr>
          <w:rFonts w:cs="Arial"/>
        </w:rPr>
        <w:tab/>
        <w:t>La No Discriminación de Género: Consistente en la prohibición de llevar a cabo distinción, exclusión o restricción basada en el género, que tiene por objetivo o resultado menoscabar o anular el reconocimiento, goce o ejercicio de sus derechos humanos.</w:t>
      </w:r>
    </w:p>
    <w:p w14:paraId="4E11CC49" w14:textId="77777777" w:rsidR="00D3344B" w:rsidRDefault="00D3344B">
      <w:pPr>
        <w:pStyle w:val="Estilo"/>
        <w:ind w:left="567" w:hanging="567"/>
        <w:rPr>
          <w:rFonts w:cs="Arial"/>
        </w:rPr>
      </w:pPr>
    </w:p>
    <w:p w14:paraId="1BD6FD5D" w14:textId="77777777" w:rsidR="00D3344B" w:rsidRDefault="00143C25">
      <w:pPr>
        <w:pStyle w:val="Estilo"/>
        <w:ind w:left="567"/>
        <w:rPr>
          <w:rFonts w:cs="Arial"/>
        </w:rPr>
      </w:pPr>
      <w:r>
        <w:rPr>
          <w:rFonts w:cs="Arial"/>
        </w:rPr>
        <w:t>Esta discriminación se expresa en todas las esferas públicas y privadas de la vida de las mujeres, a través de actitudes misóginas y excluyentes, que sitúan a las mujeres de todas las edades, en desventaja, inequidad, marginalidad y exclusión, y</w:t>
      </w:r>
    </w:p>
    <w:p w14:paraId="21C2A165" w14:textId="77777777" w:rsidR="00D3344B" w:rsidRDefault="00D3344B">
      <w:pPr>
        <w:pStyle w:val="Estilo"/>
        <w:ind w:left="567" w:hanging="567"/>
        <w:rPr>
          <w:rFonts w:cs="Arial"/>
        </w:rPr>
      </w:pPr>
    </w:p>
    <w:p w14:paraId="42B6538B" w14:textId="77777777" w:rsidR="00D3344B" w:rsidRDefault="00143C25">
      <w:pPr>
        <w:pStyle w:val="Estilo"/>
        <w:ind w:left="567" w:hanging="567"/>
        <w:rPr>
          <w:rFonts w:cs="Arial"/>
        </w:rPr>
      </w:pPr>
      <w:r>
        <w:rPr>
          <w:rFonts w:cs="Arial"/>
        </w:rPr>
        <w:t xml:space="preserve">IV. </w:t>
      </w:r>
      <w:r>
        <w:rPr>
          <w:rFonts w:cs="Arial"/>
        </w:rPr>
        <w:tab/>
        <w:t>La Transversalidad de la Perspectiva de Género en lo político, económico, social y cultural, a fin de generar un medio ambiente adecuado para el desarrollo de las mujeres y hombres del Estado. La transversalidad se materializa cuando es operada o realizada por dos o más dependencias administrativas o por dos órdenes de gobierno.</w:t>
      </w:r>
    </w:p>
    <w:p w14:paraId="67AFC9A5" w14:textId="77777777" w:rsidR="00D3344B" w:rsidRDefault="00D3344B">
      <w:pPr>
        <w:pStyle w:val="Estilo"/>
        <w:rPr>
          <w:rFonts w:cs="Arial"/>
        </w:rPr>
      </w:pPr>
    </w:p>
    <w:p w14:paraId="5DD7AA16" w14:textId="77777777" w:rsidR="00D3344B" w:rsidRDefault="00143C25">
      <w:pPr>
        <w:pStyle w:val="Estilo"/>
        <w:rPr>
          <w:rFonts w:cs="Arial"/>
        </w:rPr>
      </w:pPr>
      <w:r>
        <w:rPr>
          <w:rFonts w:cs="Arial"/>
          <w:b/>
        </w:rPr>
        <w:t>Artículo 247.</w:t>
      </w:r>
      <w:r>
        <w:rPr>
          <w:rFonts w:cs="Arial"/>
        </w:rPr>
        <w:t xml:space="preserve"> La conducción del desarrollo del Estado es facultad del Gobernador, quien elaborará el Plan Estatal de Desarrollo y en su caso aprobará los programas que conforme a este se elaboren previa consulta ciudadana. En el ámbito municipal esta facultad corresponde al </w:t>
      </w:r>
      <w:proofErr w:type="gramStart"/>
      <w:r>
        <w:rPr>
          <w:rFonts w:cs="Arial"/>
        </w:rPr>
        <w:t>Presidente</w:t>
      </w:r>
      <w:proofErr w:type="gramEnd"/>
      <w:r>
        <w:rPr>
          <w:rFonts w:cs="Arial"/>
        </w:rPr>
        <w:t xml:space="preserve"> Municipal, quien deberá someter al </w:t>
      </w:r>
      <w:r>
        <w:rPr>
          <w:rFonts w:cs="Arial"/>
        </w:rPr>
        <w:lastRenderedPageBreak/>
        <w:t>Ayuntamiento el Plan Municipal de Desarrollo, para su aprobación previa consulta a la ciudadanía.</w:t>
      </w:r>
    </w:p>
    <w:p w14:paraId="35A50474" w14:textId="77777777" w:rsidR="00D3344B" w:rsidRDefault="00D3344B">
      <w:pPr>
        <w:pStyle w:val="Estilo"/>
        <w:rPr>
          <w:rFonts w:cs="Arial"/>
        </w:rPr>
      </w:pPr>
    </w:p>
    <w:p w14:paraId="16A8B6A7" w14:textId="77777777" w:rsidR="00D3344B" w:rsidRDefault="00143C25">
      <w:pPr>
        <w:pStyle w:val="Estilo"/>
        <w:rPr>
          <w:rFonts w:cs="Arial"/>
        </w:rPr>
      </w:pPr>
      <w:r>
        <w:rPr>
          <w:rFonts w:cs="Arial"/>
          <w:i/>
          <w:sz w:val="16"/>
        </w:rPr>
        <w:t>(ADICIONADO, P.O. 29 DE DICIEMBRE DE 2017)</w:t>
      </w:r>
    </w:p>
    <w:p w14:paraId="6173D658" w14:textId="77777777" w:rsidR="00D3344B" w:rsidRDefault="00143C25">
      <w:pPr>
        <w:pStyle w:val="Estilo"/>
        <w:rPr>
          <w:rFonts w:cs="Arial"/>
        </w:rPr>
      </w:pPr>
      <w:r>
        <w:rPr>
          <w:rFonts w:cs="Arial"/>
          <w:b/>
        </w:rPr>
        <w:t>Artículo 247 Bis.</w:t>
      </w:r>
      <w:r>
        <w:rPr>
          <w:rFonts w:cs="Arial"/>
        </w:rPr>
        <w:t xml:space="preserve"> El Gobernador del Estado y los </w:t>
      </w:r>
      <w:proofErr w:type="gramStart"/>
      <w:r>
        <w:rPr>
          <w:rFonts w:cs="Arial"/>
        </w:rPr>
        <w:t>Presidentes</w:t>
      </w:r>
      <w:proofErr w:type="gramEnd"/>
      <w:r>
        <w:rPr>
          <w:rFonts w:cs="Arial"/>
        </w:rPr>
        <w:t xml:space="preserve"> Municipales, en el ámbito de sus respectivas competencias, elaboraran sus Planes de Desarrollo incorporando la perspectiva de género, debiendo contemplar:</w:t>
      </w:r>
    </w:p>
    <w:p w14:paraId="33F2D838" w14:textId="77777777" w:rsidR="00D3344B" w:rsidRDefault="00D3344B">
      <w:pPr>
        <w:pStyle w:val="Estilo"/>
        <w:rPr>
          <w:rFonts w:cs="Arial"/>
        </w:rPr>
      </w:pPr>
    </w:p>
    <w:p w14:paraId="065DA58D" w14:textId="77777777" w:rsidR="00D3344B" w:rsidRDefault="00143C25">
      <w:pPr>
        <w:pStyle w:val="Estilo"/>
        <w:ind w:left="567" w:hanging="567"/>
        <w:rPr>
          <w:rFonts w:cs="Arial"/>
        </w:rPr>
      </w:pPr>
      <w:r>
        <w:rPr>
          <w:rFonts w:cs="Arial"/>
        </w:rPr>
        <w:t xml:space="preserve">I. </w:t>
      </w:r>
      <w:r>
        <w:rPr>
          <w:rFonts w:cs="Arial"/>
        </w:rPr>
        <w:tab/>
        <w:t>Las acciones que promuevan la igualdad entre mujeres y hombres, la erradicación de la violencia de género y cualquier forma de discriminación de las mujeres;</w:t>
      </w:r>
    </w:p>
    <w:p w14:paraId="51A4D775" w14:textId="77777777" w:rsidR="00D3344B" w:rsidRDefault="00D3344B">
      <w:pPr>
        <w:pStyle w:val="Estilo"/>
        <w:ind w:left="567" w:hanging="567"/>
        <w:rPr>
          <w:rFonts w:cs="Arial"/>
        </w:rPr>
      </w:pPr>
    </w:p>
    <w:p w14:paraId="3BEA770D" w14:textId="77777777" w:rsidR="00D3344B" w:rsidRDefault="00143C25">
      <w:pPr>
        <w:pStyle w:val="Estilo"/>
        <w:ind w:left="567" w:hanging="567"/>
        <w:rPr>
          <w:rFonts w:cs="Arial"/>
        </w:rPr>
      </w:pPr>
      <w:r>
        <w:rPr>
          <w:rFonts w:cs="Arial"/>
        </w:rPr>
        <w:t xml:space="preserve">II. </w:t>
      </w:r>
      <w:r>
        <w:rPr>
          <w:rFonts w:cs="Arial"/>
        </w:rPr>
        <w:tab/>
        <w:t>Transversalizar la perspectiva de género en todo el plan estatal o municipal de desarrollo, y</w:t>
      </w:r>
    </w:p>
    <w:p w14:paraId="2CE5F581" w14:textId="77777777" w:rsidR="00D3344B" w:rsidRDefault="00D3344B">
      <w:pPr>
        <w:pStyle w:val="Estilo"/>
        <w:ind w:left="567" w:hanging="567"/>
        <w:rPr>
          <w:rFonts w:cs="Arial"/>
        </w:rPr>
      </w:pPr>
    </w:p>
    <w:p w14:paraId="0D083028" w14:textId="77777777" w:rsidR="00D3344B" w:rsidRDefault="00143C25">
      <w:pPr>
        <w:pStyle w:val="Estilo"/>
        <w:ind w:left="567" w:hanging="567"/>
        <w:rPr>
          <w:rFonts w:cs="Arial"/>
        </w:rPr>
      </w:pPr>
      <w:r>
        <w:rPr>
          <w:rFonts w:cs="Arial"/>
        </w:rPr>
        <w:t xml:space="preserve">III. </w:t>
      </w:r>
      <w:r>
        <w:rPr>
          <w:rFonts w:cs="Arial"/>
        </w:rPr>
        <w:tab/>
        <w:t>Acciones para erradicar estereotipos de supremacía masculina, y patrones machistas que generan violencia y discriminación contra las mujeres.</w:t>
      </w:r>
    </w:p>
    <w:p w14:paraId="0E2C1D4A" w14:textId="77777777" w:rsidR="00D3344B" w:rsidRDefault="00D3344B">
      <w:pPr>
        <w:pStyle w:val="Estilo"/>
        <w:rPr>
          <w:rFonts w:cs="Arial"/>
        </w:rPr>
      </w:pPr>
    </w:p>
    <w:p w14:paraId="4D6C608C" w14:textId="77777777" w:rsidR="00D3344B" w:rsidRDefault="00143C25">
      <w:pPr>
        <w:pStyle w:val="Estilo"/>
        <w:rPr>
          <w:rFonts w:cs="Arial"/>
        </w:rPr>
      </w:pPr>
      <w:r>
        <w:rPr>
          <w:rFonts w:cs="Arial"/>
          <w:b/>
        </w:rPr>
        <w:t>Artículo 248.</w:t>
      </w:r>
      <w:r>
        <w:rPr>
          <w:rFonts w:cs="Arial"/>
        </w:rPr>
        <w:t xml:space="preserve"> Son autoridades y órganos responsables de la planeación del desarrollo estatal y municipal:</w:t>
      </w:r>
    </w:p>
    <w:p w14:paraId="51C0AB55" w14:textId="77777777" w:rsidR="00D3344B" w:rsidRDefault="00D3344B">
      <w:pPr>
        <w:pStyle w:val="Estilo"/>
        <w:rPr>
          <w:rFonts w:cs="Arial"/>
        </w:rPr>
      </w:pPr>
    </w:p>
    <w:p w14:paraId="6779B8DD" w14:textId="77777777" w:rsidR="00D3344B" w:rsidRDefault="00143C25">
      <w:pPr>
        <w:pStyle w:val="Estilo"/>
        <w:ind w:left="567" w:hanging="567"/>
        <w:rPr>
          <w:rFonts w:cs="Arial"/>
        </w:rPr>
      </w:pPr>
      <w:r>
        <w:rPr>
          <w:rFonts w:cs="Arial"/>
        </w:rPr>
        <w:t xml:space="preserve">I. </w:t>
      </w:r>
      <w:r>
        <w:rPr>
          <w:rFonts w:cs="Arial"/>
        </w:rPr>
        <w:tab/>
        <w:t>El Gobernador;</w:t>
      </w:r>
    </w:p>
    <w:p w14:paraId="43B5E016" w14:textId="77777777" w:rsidR="00D3344B" w:rsidRDefault="00D3344B">
      <w:pPr>
        <w:pStyle w:val="Estilo"/>
        <w:ind w:left="567" w:hanging="567"/>
        <w:rPr>
          <w:rFonts w:cs="Arial"/>
        </w:rPr>
      </w:pPr>
    </w:p>
    <w:p w14:paraId="336271C0" w14:textId="77777777" w:rsidR="00D3344B" w:rsidRDefault="00143C25">
      <w:pPr>
        <w:pStyle w:val="Estilo"/>
        <w:ind w:left="567" w:hanging="567"/>
        <w:rPr>
          <w:rFonts w:cs="Arial"/>
        </w:rPr>
      </w:pPr>
      <w:r>
        <w:rPr>
          <w:rFonts w:cs="Arial"/>
        </w:rPr>
        <w:t xml:space="preserve">II. </w:t>
      </w:r>
      <w:r>
        <w:rPr>
          <w:rFonts w:cs="Arial"/>
        </w:rPr>
        <w:tab/>
        <w:t>Los presidentes municipales;</w:t>
      </w:r>
    </w:p>
    <w:p w14:paraId="62B2B0B5" w14:textId="77777777" w:rsidR="00D3344B" w:rsidRDefault="00D3344B">
      <w:pPr>
        <w:pStyle w:val="Estilo"/>
        <w:ind w:left="567" w:hanging="567"/>
        <w:rPr>
          <w:rFonts w:cs="Arial"/>
        </w:rPr>
      </w:pPr>
    </w:p>
    <w:p w14:paraId="7C320769" w14:textId="77777777" w:rsidR="00D3344B" w:rsidRDefault="00143C25">
      <w:pPr>
        <w:pStyle w:val="Estilo"/>
        <w:ind w:left="567" w:hanging="567"/>
        <w:rPr>
          <w:rFonts w:cs="Arial"/>
        </w:rPr>
      </w:pPr>
      <w:r>
        <w:rPr>
          <w:rFonts w:cs="Arial"/>
          <w:i/>
          <w:sz w:val="16"/>
        </w:rPr>
        <w:t>(REFORMADA, P.O. 22 DE DICIEMBRE DE 2021)</w:t>
      </w:r>
    </w:p>
    <w:p w14:paraId="26534A6C" w14:textId="77777777" w:rsidR="00D3344B" w:rsidRDefault="00143C25">
      <w:pPr>
        <w:pStyle w:val="Estilo"/>
        <w:ind w:left="567" w:hanging="567"/>
        <w:rPr>
          <w:rFonts w:cs="Arial"/>
        </w:rPr>
      </w:pPr>
      <w:r>
        <w:rPr>
          <w:rFonts w:cs="Arial"/>
        </w:rPr>
        <w:t xml:space="preserve">III. </w:t>
      </w:r>
      <w:r>
        <w:rPr>
          <w:rFonts w:cs="Arial"/>
        </w:rPr>
        <w:tab/>
        <w:t>La Secretaría de Finanzas;</w:t>
      </w:r>
    </w:p>
    <w:p w14:paraId="645ACDB3" w14:textId="77777777" w:rsidR="00D3344B" w:rsidRDefault="00D3344B">
      <w:pPr>
        <w:pStyle w:val="Estilo"/>
        <w:ind w:left="567" w:hanging="567"/>
        <w:rPr>
          <w:rFonts w:cs="Arial"/>
        </w:rPr>
      </w:pPr>
    </w:p>
    <w:p w14:paraId="0A923C46" w14:textId="77777777" w:rsidR="00D3344B" w:rsidRDefault="00143C25">
      <w:pPr>
        <w:pStyle w:val="Estilo"/>
        <w:ind w:left="567" w:hanging="567"/>
        <w:rPr>
          <w:rFonts w:cs="Arial"/>
        </w:rPr>
      </w:pPr>
      <w:r>
        <w:rPr>
          <w:rFonts w:cs="Arial"/>
        </w:rPr>
        <w:t xml:space="preserve">IV. </w:t>
      </w:r>
      <w:r>
        <w:rPr>
          <w:rFonts w:cs="Arial"/>
        </w:rPr>
        <w:tab/>
        <w:t>Los Comités de Planeación para el Desarrollo Municipal;</w:t>
      </w:r>
    </w:p>
    <w:p w14:paraId="271F00A7" w14:textId="77777777" w:rsidR="00D3344B" w:rsidRDefault="00D3344B">
      <w:pPr>
        <w:pStyle w:val="Estilo"/>
        <w:ind w:left="567" w:hanging="567"/>
        <w:rPr>
          <w:rFonts w:cs="Arial"/>
        </w:rPr>
      </w:pPr>
    </w:p>
    <w:p w14:paraId="6B68DB7C" w14:textId="77777777" w:rsidR="00D3344B" w:rsidRDefault="00143C25">
      <w:pPr>
        <w:pStyle w:val="Estilo"/>
        <w:ind w:left="567" w:hanging="567"/>
        <w:rPr>
          <w:rFonts w:cs="Arial"/>
        </w:rPr>
      </w:pPr>
      <w:r>
        <w:rPr>
          <w:rFonts w:cs="Arial"/>
        </w:rPr>
        <w:t xml:space="preserve">V. </w:t>
      </w:r>
      <w:r>
        <w:rPr>
          <w:rFonts w:cs="Arial"/>
        </w:rPr>
        <w:tab/>
        <w:t>Los titulares de las dependencias y entidades de la administración pública estatal, y</w:t>
      </w:r>
    </w:p>
    <w:p w14:paraId="30B91591" w14:textId="77777777" w:rsidR="00D3344B" w:rsidRDefault="00D3344B">
      <w:pPr>
        <w:pStyle w:val="Estilo"/>
        <w:ind w:left="567" w:hanging="567"/>
        <w:rPr>
          <w:rFonts w:cs="Arial"/>
        </w:rPr>
      </w:pPr>
    </w:p>
    <w:p w14:paraId="477D1658" w14:textId="77777777" w:rsidR="00D3344B" w:rsidRDefault="00143C25">
      <w:pPr>
        <w:pStyle w:val="Estilo"/>
        <w:ind w:left="567" w:hanging="567"/>
        <w:rPr>
          <w:rFonts w:cs="Arial"/>
        </w:rPr>
      </w:pPr>
      <w:r>
        <w:rPr>
          <w:rFonts w:cs="Arial"/>
        </w:rPr>
        <w:t xml:space="preserve">VI. </w:t>
      </w:r>
      <w:r>
        <w:rPr>
          <w:rFonts w:cs="Arial"/>
        </w:rPr>
        <w:tab/>
        <w:t>Los titulares de las dependencias y entidades de los gobiernos municipales.</w:t>
      </w:r>
    </w:p>
    <w:p w14:paraId="24CF106D" w14:textId="77777777" w:rsidR="00D3344B" w:rsidRDefault="00D3344B">
      <w:pPr>
        <w:pStyle w:val="Estilo"/>
        <w:rPr>
          <w:rFonts w:cs="Arial"/>
        </w:rPr>
      </w:pPr>
    </w:p>
    <w:p w14:paraId="36B5F300" w14:textId="77777777" w:rsidR="00D3344B" w:rsidRDefault="00143C25">
      <w:pPr>
        <w:pStyle w:val="Estilo"/>
        <w:rPr>
          <w:rFonts w:cs="Arial"/>
        </w:rPr>
      </w:pPr>
      <w:r>
        <w:rPr>
          <w:rFonts w:cs="Arial"/>
          <w:b/>
        </w:rPr>
        <w:t>Artículo 249.</w:t>
      </w:r>
      <w:r>
        <w:rPr>
          <w:rFonts w:cs="Arial"/>
        </w:rPr>
        <w:t xml:space="preserve"> El desarrollo del Estado se sustentará en un Sistema de Planeación Democrática en el que se establezca inequívocamente la participación de los sectores público, social y privado, así como de la sociedad en general, a través de los instrumentos y mecanismos que permitan una adecuada coordinación en la conjunción de esfuerzos.</w:t>
      </w:r>
    </w:p>
    <w:p w14:paraId="7D3812D3" w14:textId="77777777" w:rsidR="00D3344B" w:rsidRDefault="00D3344B">
      <w:pPr>
        <w:pStyle w:val="Estilo"/>
        <w:rPr>
          <w:rFonts w:cs="Arial"/>
        </w:rPr>
      </w:pPr>
    </w:p>
    <w:p w14:paraId="6B3721F5" w14:textId="77777777" w:rsidR="00D3344B" w:rsidRDefault="00143C25">
      <w:pPr>
        <w:pStyle w:val="Estilo"/>
        <w:rPr>
          <w:rFonts w:cs="Arial"/>
        </w:rPr>
      </w:pPr>
      <w:r>
        <w:rPr>
          <w:rFonts w:cs="Arial"/>
          <w:i/>
          <w:sz w:val="16"/>
        </w:rPr>
        <w:t>(REFORMADO, P.O. 29 DE DICIEMBRE DE 2017)</w:t>
      </w:r>
    </w:p>
    <w:p w14:paraId="3D1EB734" w14:textId="77777777" w:rsidR="00D3344B" w:rsidRDefault="00143C25">
      <w:pPr>
        <w:pStyle w:val="Estilo"/>
        <w:rPr>
          <w:rFonts w:cs="Arial"/>
        </w:rPr>
      </w:pPr>
      <w:r>
        <w:rPr>
          <w:rFonts w:cs="Arial"/>
          <w:b/>
        </w:rPr>
        <w:t>Artículo 250.</w:t>
      </w:r>
      <w:r>
        <w:rPr>
          <w:rFonts w:cs="Arial"/>
        </w:rPr>
        <w:t xml:space="preserve"> El Sistema Estatal de Planeación Democrática estará a cargo de las dependencias, entidades y ayuntamientos del Estado quienes deberán participar en la integración de propuestas y estrategias del desarrollo incorporando la perspectiva de género, de manera sistemática y coordinada, considerando de manera </w:t>
      </w:r>
      <w:r>
        <w:rPr>
          <w:rFonts w:cs="Arial"/>
        </w:rPr>
        <w:lastRenderedPageBreak/>
        <w:t>obligatoria la participación de la sociedad en la determinación de las políticas para la conducción del desarrollo.</w:t>
      </w:r>
    </w:p>
    <w:p w14:paraId="5E6721D3" w14:textId="77777777" w:rsidR="00D3344B" w:rsidRDefault="00D3344B">
      <w:pPr>
        <w:pStyle w:val="Estilo"/>
        <w:rPr>
          <w:rFonts w:cs="Arial"/>
        </w:rPr>
      </w:pPr>
    </w:p>
    <w:p w14:paraId="358996FC" w14:textId="77777777" w:rsidR="00D3344B" w:rsidRDefault="00143C25">
      <w:pPr>
        <w:pStyle w:val="Estilo"/>
        <w:rPr>
          <w:rFonts w:cs="Arial"/>
          <w:i/>
          <w:iCs/>
          <w:sz w:val="16"/>
          <w:szCs w:val="16"/>
        </w:rPr>
      </w:pPr>
      <w:r>
        <w:rPr>
          <w:rFonts w:cs="Arial"/>
          <w:i/>
          <w:iCs/>
          <w:sz w:val="16"/>
          <w:szCs w:val="16"/>
        </w:rPr>
        <w:t>(REFORMADO, P.O. 22 DE DICIEMBRE DE 2021)</w:t>
      </w:r>
    </w:p>
    <w:p w14:paraId="7A721AA2" w14:textId="77777777" w:rsidR="00D3344B" w:rsidRDefault="00143C25">
      <w:pPr>
        <w:pStyle w:val="Estilo"/>
        <w:rPr>
          <w:rFonts w:cs="Arial"/>
        </w:rPr>
      </w:pPr>
      <w:r>
        <w:rPr>
          <w:rFonts w:cs="Arial"/>
          <w:b/>
        </w:rPr>
        <w:t>Artículo 251.</w:t>
      </w:r>
      <w:r>
        <w:rPr>
          <w:rFonts w:cs="Arial"/>
        </w:rPr>
        <w:t xml:space="preserve"> Las políticas, estrategias, objetivos y metas del desarrollo, que se determinen con base en el proceso de planeación, estarán contendidas en un documento al que se denominará Plan Estatal de Desarrollo, el cual se elaborará y presentará al Congreso, en un plazo máximo de seis meses siguientes al inicio del periodo constitucional de Gobierno, mismo que será publicado en el Periódico Oficial del Gobierno del Estado de Tlaxcala; en tanto no sea publicado, subsistirá el del periodo de Gobierno Inmediato anterior. La vigencia del Plan Estatal de Desarrollo no excederá del periodo constitucional, a excepción de lo dispuesto por el presente artículo.</w:t>
      </w:r>
    </w:p>
    <w:p w14:paraId="0674B7EF" w14:textId="77777777" w:rsidR="00D3344B" w:rsidRDefault="00D3344B">
      <w:pPr>
        <w:pStyle w:val="Estilo"/>
        <w:rPr>
          <w:rFonts w:cs="Arial"/>
        </w:rPr>
      </w:pPr>
    </w:p>
    <w:p w14:paraId="46C101B3" w14:textId="77777777" w:rsidR="00D3344B" w:rsidRDefault="00143C25">
      <w:pPr>
        <w:pStyle w:val="Estilo"/>
        <w:rPr>
          <w:rFonts w:cs="Arial"/>
        </w:rPr>
      </w:pPr>
      <w:r>
        <w:rPr>
          <w:rFonts w:cs="Arial"/>
          <w:b/>
        </w:rPr>
        <w:t>Artículo 252.</w:t>
      </w:r>
      <w:r>
        <w:rPr>
          <w:rFonts w:cs="Arial"/>
        </w:rPr>
        <w:t xml:space="preserve"> El Gobernador del Estado, previamente a la publicación del Plan Estatal de Desarrollo, lo enviará al Congreso del Estado para su aprobación en un plazo de treinta días naturales.</w:t>
      </w:r>
    </w:p>
    <w:p w14:paraId="756AFA81" w14:textId="77777777" w:rsidR="00D3344B" w:rsidRDefault="00D3344B">
      <w:pPr>
        <w:pStyle w:val="Estilo"/>
        <w:rPr>
          <w:rFonts w:cs="Arial"/>
        </w:rPr>
      </w:pPr>
    </w:p>
    <w:p w14:paraId="241915D6" w14:textId="77777777" w:rsidR="00D3344B" w:rsidRDefault="00143C25">
      <w:pPr>
        <w:pStyle w:val="Estilo"/>
        <w:rPr>
          <w:rFonts w:cs="Arial"/>
        </w:rPr>
      </w:pPr>
      <w:r>
        <w:rPr>
          <w:rFonts w:cs="Arial"/>
          <w:b/>
        </w:rPr>
        <w:t>Artículo 253.</w:t>
      </w:r>
      <w:r>
        <w:rPr>
          <w:rFonts w:cs="Arial"/>
        </w:rPr>
        <w:t xml:space="preserve"> El Estado y los municipios, una vez aprobado el Plan de Desarrollo que corresponde a su ámbito de competencia, deberán publicarlo en el Periódico Oficial del Estado y darle una amplia difusión.</w:t>
      </w:r>
    </w:p>
    <w:p w14:paraId="716766AA" w14:textId="77777777" w:rsidR="00D3344B" w:rsidRDefault="00D3344B">
      <w:pPr>
        <w:pStyle w:val="Estilo"/>
        <w:rPr>
          <w:rFonts w:cs="Arial"/>
        </w:rPr>
      </w:pPr>
    </w:p>
    <w:p w14:paraId="26DA833E"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27E9A230" w14:textId="77777777" w:rsidR="00D3344B" w:rsidRDefault="00143C25">
      <w:pPr>
        <w:pStyle w:val="Estilo"/>
        <w:rPr>
          <w:rFonts w:cs="Arial"/>
        </w:rPr>
      </w:pPr>
      <w:r>
        <w:rPr>
          <w:rFonts w:cs="Arial"/>
          <w:b/>
        </w:rPr>
        <w:t>Artículo 254.</w:t>
      </w:r>
      <w:r>
        <w:rPr>
          <w:rFonts w:cs="Arial"/>
        </w:rPr>
        <w:t xml:space="preserve"> En los informes que anualmente rindan el Ejecutivo del Estado y los presidentes municipales, se deberá establecer el cumplimiento registrado con respecto a los objetivos, estrategias y metas del Plan de Desarrollo correspondiente.</w:t>
      </w:r>
    </w:p>
    <w:p w14:paraId="48FFDBE9" w14:textId="77777777" w:rsidR="00D3344B" w:rsidRDefault="00D3344B">
      <w:pPr>
        <w:pStyle w:val="Estilo"/>
        <w:rPr>
          <w:rFonts w:cs="Arial"/>
        </w:rPr>
      </w:pPr>
    </w:p>
    <w:p w14:paraId="1AA456A2" w14:textId="77777777" w:rsidR="00D3344B" w:rsidRDefault="00143C25">
      <w:pPr>
        <w:pStyle w:val="Estilo"/>
        <w:rPr>
          <w:rFonts w:cs="Arial"/>
        </w:rPr>
      </w:pPr>
      <w:proofErr w:type="gramStart"/>
      <w:r>
        <w:rPr>
          <w:rFonts w:cs="Arial"/>
        </w:rPr>
        <w:t>Asimismo</w:t>
      </w:r>
      <w:proofErr w:type="gramEnd"/>
      <w:r>
        <w:rPr>
          <w:rFonts w:cs="Arial"/>
        </w:rPr>
        <w:t xml:space="preserve"> realizarán, en el ámbito de su competencia, la evaluación sobre las acciones y programas realizados, considerando indicadores generalmente aceptados para determinar los alcances y el impacto social que se hubiese alcanzado.</w:t>
      </w:r>
    </w:p>
    <w:p w14:paraId="2D9C484A" w14:textId="77777777" w:rsidR="00D3344B" w:rsidRDefault="00D3344B">
      <w:pPr>
        <w:pStyle w:val="Estilo"/>
        <w:rPr>
          <w:rFonts w:cs="Arial"/>
        </w:rPr>
      </w:pPr>
    </w:p>
    <w:p w14:paraId="5F8E04A4" w14:textId="77777777" w:rsidR="00D3344B" w:rsidRDefault="00143C25">
      <w:pPr>
        <w:pStyle w:val="Estilo"/>
        <w:rPr>
          <w:rFonts w:cs="Arial"/>
        </w:rPr>
      </w:pPr>
      <w:r>
        <w:rPr>
          <w:rFonts w:cs="Arial"/>
          <w:i/>
          <w:sz w:val="16"/>
        </w:rPr>
        <w:t>(ADICIONADO, P.O. 29 DE DICIEMBRE DE 2017)</w:t>
      </w:r>
    </w:p>
    <w:p w14:paraId="6654E589" w14:textId="77777777" w:rsidR="00D3344B" w:rsidRDefault="00143C25">
      <w:pPr>
        <w:pStyle w:val="Estilo"/>
        <w:rPr>
          <w:rFonts w:cs="Arial"/>
        </w:rPr>
      </w:pPr>
      <w:r>
        <w:rPr>
          <w:rFonts w:cs="Arial"/>
        </w:rPr>
        <w:t>La evaluación a que se refiere al párrafo anterior, deberá incorporar indicadores específicos que permitan evaluar la incidencia de los programas en la igualdad entre mujeres y hombres, la erradicación de la violencia de género y de cualquier forma de discriminación de género.</w:t>
      </w:r>
    </w:p>
    <w:p w14:paraId="61F6B06E" w14:textId="77777777" w:rsidR="00D3344B" w:rsidRDefault="00D3344B">
      <w:pPr>
        <w:pStyle w:val="Estilo"/>
        <w:rPr>
          <w:rFonts w:cs="Arial"/>
        </w:rPr>
      </w:pPr>
    </w:p>
    <w:p w14:paraId="4FDB48DF" w14:textId="77777777" w:rsidR="00D3344B" w:rsidRDefault="00143C25">
      <w:pPr>
        <w:pStyle w:val="Estilo"/>
        <w:rPr>
          <w:rFonts w:cs="Arial"/>
        </w:rPr>
      </w:pPr>
      <w:r>
        <w:rPr>
          <w:rFonts w:cs="Arial"/>
        </w:rPr>
        <w:t>Compete al Congreso local a través del Órgano de Fiscalización, y de conformidad con la Constitución Política del Estado, fiscalizar la actividad gubernamental, vigilando que sea congruente con los planes de desarrollo estatal y municipal.</w:t>
      </w:r>
    </w:p>
    <w:p w14:paraId="2A8775D8" w14:textId="77777777" w:rsidR="00D3344B" w:rsidRDefault="00D3344B">
      <w:pPr>
        <w:pStyle w:val="Estilo"/>
        <w:rPr>
          <w:rFonts w:cs="Arial"/>
        </w:rPr>
      </w:pPr>
    </w:p>
    <w:p w14:paraId="29C0A95A" w14:textId="77777777" w:rsidR="00D3344B" w:rsidRDefault="00D3344B">
      <w:pPr>
        <w:pStyle w:val="Estilo"/>
        <w:rPr>
          <w:rFonts w:cs="Arial"/>
        </w:rPr>
      </w:pPr>
    </w:p>
    <w:p w14:paraId="5F2D98EA" w14:textId="77777777" w:rsidR="00D3344B" w:rsidRDefault="00143C25">
      <w:pPr>
        <w:pStyle w:val="Estilo"/>
        <w:rPr>
          <w:rFonts w:cs="Arial"/>
          <w:i/>
          <w:sz w:val="16"/>
          <w:szCs w:val="16"/>
        </w:rPr>
      </w:pPr>
      <w:r>
        <w:rPr>
          <w:rFonts w:cs="Arial"/>
          <w:i/>
          <w:sz w:val="16"/>
          <w:szCs w:val="16"/>
        </w:rPr>
        <w:t>(DEROGADO CON LOS ARTÍCULOS QUE LO INTEGRAN, P.O. 5 DE JULIO DE 2013)</w:t>
      </w:r>
    </w:p>
    <w:p w14:paraId="73504430" w14:textId="77777777" w:rsidR="00D3344B" w:rsidRDefault="00143C25">
      <w:pPr>
        <w:pStyle w:val="Estilo"/>
        <w:jc w:val="center"/>
        <w:rPr>
          <w:rFonts w:cs="Arial"/>
          <w:b/>
        </w:rPr>
      </w:pPr>
      <w:r>
        <w:rPr>
          <w:rFonts w:cs="Arial"/>
          <w:b/>
        </w:rPr>
        <w:t>Capítulo II</w:t>
      </w:r>
    </w:p>
    <w:p w14:paraId="6954D6F4" w14:textId="77777777" w:rsidR="00D3344B" w:rsidRDefault="00143C25">
      <w:pPr>
        <w:pStyle w:val="Estilo"/>
        <w:jc w:val="center"/>
        <w:rPr>
          <w:rFonts w:cs="Arial"/>
          <w:b/>
        </w:rPr>
      </w:pPr>
      <w:r>
        <w:rPr>
          <w:rFonts w:cs="Arial"/>
          <w:b/>
        </w:rPr>
        <w:t>Coordinación de la Planeación</w:t>
      </w:r>
    </w:p>
    <w:p w14:paraId="76C72FAB" w14:textId="77777777" w:rsidR="00D3344B" w:rsidRDefault="00D3344B">
      <w:pPr>
        <w:pStyle w:val="Estilo"/>
        <w:rPr>
          <w:rFonts w:cs="Arial"/>
        </w:rPr>
      </w:pPr>
    </w:p>
    <w:p w14:paraId="527CBBF0" w14:textId="77777777" w:rsidR="00D3344B" w:rsidRDefault="00143C25">
      <w:pPr>
        <w:pStyle w:val="Estilo"/>
        <w:rPr>
          <w:rFonts w:cs="Arial"/>
        </w:rPr>
      </w:pPr>
      <w:r>
        <w:rPr>
          <w:rFonts w:cs="Arial"/>
          <w:b/>
        </w:rPr>
        <w:lastRenderedPageBreak/>
        <w:t>Artículo 255.</w:t>
      </w:r>
      <w:r>
        <w:rPr>
          <w:rFonts w:cs="Arial"/>
        </w:rPr>
        <w:t xml:space="preserve"> </w:t>
      </w:r>
      <w:r>
        <w:rPr>
          <w:rFonts w:cs="Arial"/>
          <w:i/>
          <w:sz w:val="16"/>
        </w:rPr>
        <w:t>(DEROGADO, P.O. 5 DE JULIO DE 2013)</w:t>
      </w:r>
    </w:p>
    <w:p w14:paraId="1642DA1B" w14:textId="77777777" w:rsidR="00D3344B" w:rsidRDefault="00D3344B">
      <w:pPr>
        <w:pStyle w:val="Estilo"/>
        <w:rPr>
          <w:rFonts w:cs="Arial"/>
        </w:rPr>
      </w:pPr>
    </w:p>
    <w:p w14:paraId="1DB5F136" w14:textId="77777777" w:rsidR="00D3344B" w:rsidRDefault="00143C25">
      <w:pPr>
        <w:pStyle w:val="Estilo"/>
        <w:rPr>
          <w:rFonts w:cs="Arial"/>
        </w:rPr>
      </w:pPr>
      <w:r>
        <w:rPr>
          <w:rFonts w:cs="Arial"/>
          <w:b/>
        </w:rPr>
        <w:t>Artículo 256.</w:t>
      </w:r>
      <w:r>
        <w:rPr>
          <w:rFonts w:cs="Arial"/>
        </w:rPr>
        <w:t xml:space="preserve"> </w:t>
      </w:r>
      <w:r>
        <w:rPr>
          <w:rFonts w:cs="Arial"/>
          <w:i/>
          <w:sz w:val="16"/>
        </w:rPr>
        <w:t>(DEROGADO, P.O. 5 DE JULIO DE 2013)</w:t>
      </w:r>
    </w:p>
    <w:p w14:paraId="67F36F52" w14:textId="77777777" w:rsidR="00D3344B" w:rsidRDefault="00D3344B">
      <w:pPr>
        <w:pStyle w:val="Estilo"/>
        <w:rPr>
          <w:rFonts w:cs="Arial"/>
        </w:rPr>
      </w:pPr>
    </w:p>
    <w:p w14:paraId="01027A4E" w14:textId="77777777" w:rsidR="00D3344B" w:rsidRDefault="00143C25">
      <w:pPr>
        <w:pStyle w:val="Estilo"/>
        <w:rPr>
          <w:rFonts w:cs="Arial"/>
        </w:rPr>
      </w:pPr>
      <w:r>
        <w:rPr>
          <w:rFonts w:cs="Arial"/>
          <w:b/>
        </w:rPr>
        <w:t>Artículo 257.</w:t>
      </w:r>
      <w:r>
        <w:rPr>
          <w:rFonts w:cs="Arial"/>
        </w:rPr>
        <w:t xml:space="preserve"> </w:t>
      </w:r>
      <w:r>
        <w:rPr>
          <w:rFonts w:cs="Arial"/>
          <w:i/>
          <w:sz w:val="16"/>
        </w:rPr>
        <w:t>(DEROGADO, P.O. 5 DE JULIO DE 2013)</w:t>
      </w:r>
    </w:p>
    <w:p w14:paraId="571AA9D2" w14:textId="77777777" w:rsidR="00D3344B" w:rsidRDefault="00D3344B">
      <w:pPr>
        <w:pStyle w:val="Estilo"/>
        <w:rPr>
          <w:rFonts w:cs="Arial"/>
        </w:rPr>
      </w:pPr>
    </w:p>
    <w:p w14:paraId="34F1D2EE" w14:textId="77777777" w:rsidR="00D3344B" w:rsidRDefault="00143C25">
      <w:pPr>
        <w:pStyle w:val="Estilo"/>
        <w:rPr>
          <w:rFonts w:cs="Arial"/>
        </w:rPr>
      </w:pPr>
      <w:r>
        <w:rPr>
          <w:rFonts w:cs="Arial"/>
          <w:b/>
        </w:rPr>
        <w:t>Artículo 258.</w:t>
      </w:r>
      <w:r>
        <w:rPr>
          <w:rFonts w:cs="Arial"/>
        </w:rPr>
        <w:t xml:space="preserve"> </w:t>
      </w:r>
      <w:r>
        <w:rPr>
          <w:rFonts w:cs="Arial"/>
          <w:i/>
          <w:sz w:val="16"/>
        </w:rPr>
        <w:t>(DEROGADO, P.O. 5 DE JULIO DE 2013)</w:t>
      </w:r>
    </w:p>
    <w:p w14:paraId="3C35BA25" w14:textId="77777777" w:rsidR="00D3344B" w:rsidRDefault="00D3344B">
      <w:pPr>
        <w:pStyle w:val="Estilo"/>
        <w:rPr>
          <w:rFonts w:cs="Arial"/>
        </w:rPr>
      </w:pPr>
    </w:p>
    <w:p w14:paraId="7432F46E" w14:textId="77777777" w:rsidR="00D3344B" w:rsidRDefault="00143C25">
      <w:pPr>
        <w:pStyle w:val="Estilo"/>
        <w:rPr>
          <w:rFonts w:cs="Arial"/>
        </w:rPr>
      </w:pPr>
      <w:r>
        <w:rPr>
          <w:rFonts w:cs="Arial"/>
          <w:b/>
        </w:rPr>
        <w:t>Artículo 259.</w:t>
      </w:r>
      <w:r>
        <w:rPr>
          <w:rFonts w:cs="Arial"/>
        </w:rPr>
        <w:t xml:space="preserve"> </w:t>
      </w:r>
      <w:r>
        <w:rPr>
          <w:rFonts w:cs="Arial"/>
          <w:i/>
          <w:sz w:val="16"/>
        </w:rPr>
        <w:t>(DEROGADO, P.O. 5 DE JULIO DE 2013)</w:t>
      </w:r>
    </w:p>
    <w:p w14:paraId="61D81BBE" w14:textId="77777777" w:rsidR="00D3344B" w:rsidRDefault="00D3344B">
      <w:pPr>
        <w:pStyle w:val="Estilo"/>
        <w:rPr>
          <w:rFonts w:cs="Arial"/>
        </w:rPr>
      </w:pPr>
    </w:p>
    <w:p w14:paraId="3AAD248F" w14:textId="77777777" w:rsidR="00D3344B" w:rsidRDefault="00143C25">
      <w:pPr>
        <w:pStyle w:val="Estilo"/>
        <w:rPr>
          <w:rFonts w:cs="Arial"/>
        </w:rPr>
      </w:pPr>
      <w:r>
        <w:rPr>
          <w:rFonts w:cs="Arial"/>
          <w:b/>
        </w:rPr>
        <w:t>Artículo 260.</w:t>
      </w:r>
      <w:r>
        <w:rPr>
          <w:rFonts w:cs="Arial"/>
        </w:rPr>
        <w:t xml:space="preserve"> </w:t>
      </w:r>
      <w:r>
        <w:rPr>
          <w:rFonts w:cs="Arial"/>
          <w:i/>
          <w:sz w:val="16"/>
        </w:rPr>
        <w:t>(DEROGADO, P.O. 5 DE JULIO DE 2013)</w:t>
      </w:r>
    </w:p>
    <w:p w14:paraId="1F60684E" w14:textId="77777777" w:rsidR="00D3344B" w:rsidRDefault="00D3344B">
      <w:pPr>
        <w:pStyle w:val="Estilo"/>
        <w:rPr>
          <w:rFonts w:cs="Arial"/>
        </w:rPr>
      </w:pPr>
    </w:p>
    <w:p w14:paraId="508E3075" w14:textId="77777777" w:rsidR="00D3344B" w:rsidRDefault="00143C25">
      <w:pPr>
        <w:pStyle w:val="Estilo"/>
        <w:rPr>
          <w:rFonts w:cs="Arial"/>
        </w:rPr>
      </w:pPr>
      <w:r>
        <w:rPr>
          <w:rFonts w:cs="Arial"/>
          <w:b/>
        </w:rPr>
        <w:t>Artículo 261.</w:t>
      </w:r>
      <w:r>
        <w:rPr>
          <w:rFonts w:cs="Arial"/>
        </w:rPr>
        <w:t xml:space="preserve"> </w:t>
      </w:r>
      <w:r>
        <w:rPr>
          <w:rFonts w:cs="Arial"/>
          <w:i/>
          <w:sz w:val="16"/>
        </w:rPr>
        <w:t>(DEROGADO, P.O. 5 DE JULIO DE 2013)</w:t>
      </w:r>
    </w:p>
    <w:p w14:paraId="79E5D437" w14:textId="77777777" w:rsidR="00D3344B" w:rsidRDefault="00D3344B">
      <w:pPr>
        <w:pStyle w:val="Estilo"/>
        <w:rPr>
          <w:rFonts w:cs="Arial"/>
        </w:rPr>
      </w:pPr>
    </w:p>
    <w:p w14:paraId="010B2869" w14:textId="77777777" w:rsidR="00D3344B" w:rsidRDefault="00D3344B">
      <w:pPr>
        <w:pStyle w:val="Estilo"/>
        <w:rPr>
          <w:rFonts w:cs="Arial"/>
        </w:rPr>
      </w:pPr>
    </w:p>
    <w:p w14:paraId="241A0350" w14:textId="77777777" w:rsidR="00D3344B" w:rsidRDefault="00143C25">
      <w:pPr>
        <w:pStyle w:val="Estilo"/>
        <w:jc w:val="center"/>
        <w:rPr>
          <w:rFonts w:cs="Arial"/>
          <w:b/>
        </w:rPr>
      </w:pPr>
      <w:r>
        <w:rPr>
          <w:rFonts w:cs="Arial"/>
          <w:b/>
        </w:rPr>
        <w:t>Capítulo III</w:t>
      </w:r>
    </w:p>
    <w:p w14:paraId="14FDCC43" w14:textId="77777777" w:rsidR="00D3344B" w:rsidRDefault="00143C25">
      <w:pPr>
        <w:pStyle w:val="Estilo"/>
        <w:jc w:val="center"/>
        <w:rPr>
          <w:rFonts w:cs="Arial"/>
        </w:rPr>
      </w:pPr>
      <w:r>
        <w:rPr>
          <w:rFonts w:cs="Arial"/>
          <w:b/>
        </w:rPr>
        <w:t>Programación</w:t>
      </w:r>
    </w:p>
    <w:p w14:paraId="6791EE28" w14:textId="77777777" w:rsidR="00D3344B" w:rsidRDefault="00D3344B">
      <w:pPr>
        <w:pStyle w:val="Estilo"/>
        <w:rPr>
          <w:rFonts w:cs="Arial"/>
        </w:rPr>
      </w:pPr>
    </w:p>
    <w:p w14:paraId="646A657C" w14:textId="77777777" w:rsidR="00D3344B" w:rsidRDefault="00143C25">
      <w:pPr>
        <w:pStyle w:val="Estilo"/>
        <w:rPr>
          <w:rFonts w:cs="Arial"/>
        </w:rPr>
      </w:pPr>
      <w:r>
        <w:rPr>
          <w:rFonts w:cs="Arial"/>
          <w:i/>
          <w:sz w:val="16"/>
        </w:rPr>
        <w:t>(REFORMADO, P.O. 29 DE DICIEMBRE DE 2017)</w:t>
      </w:r>
    </w:p>
    <w:p w14:paraId="60C42C3F" w14:textId="77777777" w:rsidR="00D3344B" w:rsidRDefault="00143C25">
      <w:pPr>
        <w:pStyle w:val="Estilo"/>
        <w:rPr>
          <w:rFonts w:cs="Arial"/>
        </w:rPr>
      </w:pPr>
      <w:r>
        <w:rPr>
          <w:rFonts w:cs="Arial"/>
          <w:b/>
        </w:rPr>
        <w:t>Artículo 262.</w:t>
      </w:r>
      <w:r>
        <w:rPr>
          <w:rFonts w:cs="Arial"/>
        </w:rPr>
        <w:t xml:space="preserve"> Las dependencias y entidades deberán elaborar programas anuales, incorporando la perspectiva de género e incluyendo un apartado para el establecimiento de la igualdad sustantiva entre mujeres y hombres; congruentes entre sí, conforme a los cuales se ejecutarán las acciones relativas a la actividad de la administración pública que les corresponda, mismos que servirán de base para elaborar el presupuesto de egresos del Estado y los municipios.</w:t>
      </w:r>
    </w:p>
    <w:p w14:paraId="60E263CC" w14:textId="77777777" w:rsidR="00D3344B" w:rsidRDefault="00D3344B">
      <w:pPr>
        <w:pStyle w:val="Estilo"/>
        <w:rPr>
          <w:rFonts w:cs="Arial"/>
        </w:rPr>
      </w:pPr>
    </w:p>
    <w:p w14:paraId="681B6D10" w14:textId="77777777" w:rsidR="00D3344B" w:rsidRDefault="00143C25">
      <w:pPr>
        <w:pStyle w:val="Estilo"/>
        <w:rPr>
          <w:rFonts w:cs="Arial"/>
          <w:i/>
          <w:iCs/>
          <w:sz w:val="16"/>
          <w:szCs w:val="16"/>
        </w:rPr>
      </w:pPr>
      <w:r>
        <w:rPr>
          <w:rFonts w:cs="Arial"/>
          <w:i/>
          <w:iCs/>
          <w:sz w:val="16"/>
          <w:szCs w:val="16"/>
        </w:rPr>
        <w:t>(REFORMADO, P.O. 22 DE DICIEMBRE DE 2021)</w:t>
      </w:r>
    </w:p>
    <w:p w14:paraId="7F33E47D" w14:textId="77777777" w:rsidR="00D3344B" w:rsidRDefault="00143C25">
      <w:pPr>
        <w:pStyle w:val="Estilo"/>
        <w:rPr>
          <w:rFonts w:cs="Arial"/>
        </w:rPr>
      </w:pPr>
      <w:r>
        <w:rPr>
          <w:rFonts w:cs="Arial"/>
          <w:b/>
        </w:rPr>
        <w:t>Artículo 263.</w:t>
      </w:r>
      <w:r>
        <w:rPr>
          <w:rFonts w:cs="Arial"/>
        </w:rPr>
        <w:t xml:space="preserve"> Los programas se identificarán como sectoriales, regionales, institucionales y especiales, los cuales deberán corresponder a las políticas, objetivos, estrategias y prioridades establecidas en el plan de desarrollo respectivo, identificando metas y unidades responsables de ejecución, en el marco de un Sistema Estatal de Planeación Democrática, involucrando a la sociedad mediante foros de consulta, orientada al cumplimiento de objetivos que garanticen el desarrollo integral y equilibrado del  Estado.</w:t>
      </w:r>
    </w:p>
    <w:p w14:paraId="04D17BE9" w14:textId="77777777" w:rsidR="00D3344B" w:rsidRDefault="00D3344B">
      <w:pPr>
        <w:pStyle w:val="Estilo"/>
        <w:rPr>
          <w:rFonts w:cs="Arial"/>
        </w:rPr>
      </w:pPr>
    </w:p>
    <w:p w14:paraId="738B4DB8" w14:textId="77777777" w:rsidR="00D3344B" w:rsidRDefault="00143C25">
      <w:pPr>
        <w:pStyle w:val="Estilo"/>
        <w:rPr>
          <w:rFonts w:cs="Arial"/>
        </w:rPr>
      </w:pPr>
      <w:r>
        <w:rPr>
          <w:rFonts w:cs="Arial"/>
          <w:b/>
        </w:rPr>
        <w:t>Artículo 264.</w:t>
      </w:r>
      <w:r>
        <w:rPr>
          <w:rFonts w:cs="Arial"/>
        </w:rPr>
        <w:t xml:space="preserve"> Para efectos de este código, los programas se definen de la manera siguiente:</w:t>
      </w:r>
    </w:p>
    <w:p w14:paraId="42316EE6" w14:textId="77777777" w:rsidR="00D3344B" w:rsidRDefault="00D3344B">
      <w:pPr>
        <w:pStyle w:val="Estilo"/>
        <w:rPr>
          <w:rFonts w:cs="Arial"/>
        </w:rPr>
      </w:pPr>
    </w:p>
    <w:p w14:paraId="7D784C7C" w14:textId="77777777" w:rsidR="00D3344B" w:rsidRDefault="00143C25">
      <w:pPr>
        <w:pStyle w:val="Estilo"/>
        <w:ind w:left="567" w:hanging="567"/>
        <w:rPr>
          <w:rFonts w:cs="Arial"/>
        </w:rPr>
      </w:pPr>
      <w:r>
        <w:rPr>
          <w:rFonts w:cs="Arial"/>
        </w:rPr>
        <w:t xml:space="preserve">I. </w:t>
      </w:r>
      <w:r>
        <w:rPr>
          <w:rFonts w:cs="Arial"/>
        </w:rPr>
        <w:tab/>
        <w:t>Los programas sectoriales corresponderán a las actividades de un determinado sector de la administración pública estatal o municipal;</w:t>
      </w:r>
    </w:p>
    <w:p w14:paraId="0B1B3693" w14:textId="77777777" w:rsidR="00D3344B" w:rsidRDefault="00D3344B">
      <w:pPr>
        <w:pStyle w:val="Estilo"/>
        <w:ind w:left="567" w:hanging="567"/>
        <w:rPr>
          <w:rFonts w:cs="Arial"/>
        </w:rPr>
      </w:pPr>
    </w:p>
    <w:p w14:paraId="2E094CE4" w14:textId="77777777" w:rsidR="00D3344B" w:rsidRDefault="00143C25">
      <w:pPr>
        <w:pStyle w:val="Estilo"/>
        <w:ind w:left="567" w:hanging="567"/>
        <w:rPr>
          <w:rFonts w:cs="Arial"/>
        </w:rPr>
      </w:pPr>
      <w:r>
        <w:rPr>
          <w:rFonts w:cs="Arial"/>
        </w:rPr>
        <w:t xml:space="preserve">II. </w:t>
      </w:r>
      <w:r>
        <w:rPr>
          <w:rFonts w:cs="Arial"/>
        </w:rPr>
        <w:tab/>
        <w:t>Los programas institucionales estarán circunscritos a cada una de las entidades y se formularán con base en el plan de desarrollo correspondiente y en el programa sectorial;</w:t>
      </w:r>
    </w:p>
    <w:p w14:paraId="35D7961A" w14:textId="77777777" w:rsidR="00D3344B" w:rsidRDefault="00D3344B">
      <w:pPr>
        <w:pStyle w:val="Estilo"/>
        <w:ind w:left="567" w:hanging="567"/>
        <w:rPr>
          <w:rFonts w:cs="Arial"/>
        </w:rPr>
      </w:pPr>
    </w:p>
    <w:p w14:paraId="2AA64408" w14:textId="77777777" w:rsidR="00D3344B" w:rsidRDefault="00143C25">
      <w:pPr>
        <w:pStyle w:val="Estilo"/>
        <w:ind w:left="567" w:hanging="567"/>
        <w:rPr>
          <w:rFonts w:cs="Arial"/>
        </w:rPr>
      </w:pPr>
      <w:r>
        <w:rPr>
          <w:rFonts w:cs="Arial"/>
        </w:rPr>
        <w:t xml:space="preserve">III. </w:t>
      </w:r>
      <w:r>
        <w:rPr>
          <w:rFonts w:cs="Arial"/>
        </w:rPr>
        <w:tab/>
        <w:t xml:space="preserve">Los programas regionales se establecerán en función de prioridades y estrategias determinadas para una región específica, que así se considere, de </w:t>
      </w:r>
      <w:r>
        <w:rPr>
          <w:rFonts w:cs="Arial"/>
        </w:rPr>
        <w:lastRenderedPageBreak/>
        <w:t>acuerdo a lo que señale el Plan Estatal de Desarrollo y cuya extensión territorial rebase el ámbito jurisdiccional de un Municipio, y</w:t>
      </w:r>
    </w:p>
    <w:p w14:paraId="478C9F8D" w14:textId="77777777" w:rsidR="00D3344B" w:rsidRDefault="00D3344B">
      <w:pPr>
        <w:pStyle w:val="Estilo"/>
        <w:ind w:left="567" w:hanging="567"/>
        <w:rPr>
          <w:rFonts w:cs="Arial"/>
        </w:rPr>
      </w:pPr>
    </w:p>
    <w:p w14:paraId="78D1CA59" w14:textId="77777777" w:rsidR="00D3344B" w:rsidRDefault="00143C25">
      <w:pPr>
        <w:pStyle w:val="Estilo"/>
        <w:ind w:left="567" w:hanging="567"/>
        <w:rPr>
          <w:rFonts w:cs="Arial"/>
        </w:rPr>
      </w:pPr>
      <w:r>
        <w:rPr>
          <w:rFonts w:cs="Arial"/>
        </w:rPr>
        <w:t xml:space="preserve">IV. </w:t>
      </w:r>
      <w:r>
        <w:rPr>
          <w:rFonts w:cs="Arial"/>
        </w:rPr>
        <w:tab/>
        <w:t>Los programas especiales que se establezcan en su caso, obedecerán a la atención de alguna prioridad del desarrollo, en los que participen dos o más dependencias o entidades.</w:t>
      </w:r>
    </w:p>
    <w:p w14:paraId="234CA847" w14:textId="77777777" w:rsidR="00D3344B" w:rsidRDefault="00D3344B">
      <w:pPr>
        <w:pStyle w:val="Estilo"/>
        <w:rPr>
          <w:rFonts w:cs="Arial"/>
        </w:rPr>
      </w:pPr>
    </w:p>
    <w:p w14:paraId="4EE06DA8" w14:textId="77777777" w:rsidR="00D3344B" w:rsidRDefault="00143C25">
      <w:pPr>
        <w:pStyle w:val="Estilo"/>
        <w:rPr>
          <w:rFonts w:cs="Arial"/>
        </w:rPr>
      </w:pPr>
      <w:r>
        <w:rPr>
          <w:rFonts w:cs="Arial"/>
          <w:b/>
        </w:rPr>
        <w:t>Artículo 265.</w:t>
      </w:r>
      <w:r>
        <w:rPr>
          <w:rFonts w:cs="Arial"/>
        </w:rPr>
        <w:t xml:space="preserve"> La ejecución de los programas que se establezcan corresponderá originalmente a la unidad responsable que se hubiese señalado como ejecutora, sin embargo y con el propósito de cumplir adecuadamente con los convenios y metas fijadas, podrán coordinarse entre dependencias y entidades, y entre éstas y los municipios.</w:t>
      </w:r>
    </w:p>
    <w:p w14:paraId="12DB92E9" w14:textId="77777777" w:rsidR="00D3344B" w:rsidRDefault="00D3344B">
      <w:pPr>
        <w:pStyle w:val="Estilo"/>
        <w:rPr>
          <w:rFonts w:cs="Arial"/>
        </w:rPr>
      </w:pPr>
    </w:p>
    <w:p w14:paraId="0C9FB60F" w14:textId="77777777" w:rsidR="00D3344B" w:rsidRDefault="00143C25">
      <w:pPr>
        <w:pStyle w:val="Estilo"/>
        <w:rPr>
          <w:rFonts w:cs="Arial"/>
        </w:rPr>
      </w:pPr>
      <w:r>
        <w:rPr>
          <w:rFonts w:cs="Arial"/>
        </w:rPr>
        <w:t>Las dependencias y entidades estarán obligadas a proporcionar a los ayuntamientos la asesoría que éstos requieran en materia de planeación, programación, presupuestación, evaluación y control de planes y programas municipales.</w:t>
      </w:r>
    </w:p>
    <w:p w14:paraId="661826E0" w14:textId="77777777" w:rsidR="00D3344B" w:rsidRDefault="00D3344B">
      <w:pPr>
        <w:pStyle w:val="Estilo"/>
        <w:rPr>
          <w:rFonts w:cs="Arial"/>
        </w:rPr>
      </w:pPr>
    </w:p>
    <w:p w14:paraId="47985FE0" w14:textId="77777777" w:rsidR="00D3344B" w:rsidRDefault="00143C25">
      <w:pPr>
        <w:pStyle w:val="Estilo"/>
        <w:rPr>
          <w:rFonts w:cs="Arial"/>
        </w:rPr>
      </w:pPr>
      <w:r>
        <w:rPr>
          <w:rFonts w:cs="Arial"/>
          <w:b/>
        </w:rPr>
        <w:t>Artículo 266.</w:t>
      </w:r>
      <w:r>
        <w:rPr>
          <w:rFonts w:cs="Arial"/>
        </w:rPr>
        <w:t xml:space="preserve"> Las dependencias de la Administración Pública Federal con representación en el Estado, participarán en la planeación y programación democrática, de conformidad con las atribuciones y modalidades que establezcan los convenios que celebren los Gobiernos Federal y Estatal.</w:t>
      </w:r>
    </w:p>
    <w:p w14:paraId="3BA301EC" w14:textId="77777777" w:rsidR="00D3344B" w:rsidRDefault="00D3344B">
      <w:pPr>
        <w:pStyle w:val="Estilo"/>
        <w:rPr>
          <w:rFonts w:cs="Arial"/>
        </w:rPr>
      </w:pPr>
    </w:p>
    <w:p w14:paraId="778D83A3" w14:textId="77777777" w:rsidR="00D3344B" w:rsidRDefault="00143C25">
      <w:pPr>
        <w:pStyle w:val="Estilo"/>
        <w:rPr>
          <w:rFonts w:cs="Arial"/>
        </w:rPr>
      </w:pPr>
      <w:r>
        <w:rPr>
          <w:rFonts w:cs="Arial"/>
          <w:b/>
        </w:rPr>
        <w:t>Artículo 267.</w:t>
      </w:r>
      <w:r>
        <w:rPr>
          <w:rFonts w:cs="Arial"/>
        </w:rPr>
        <w:t xml:space="preserve"> El Estado y los municipios podrán concertar la ejecución de los programas con la ciudadanía, mediante la firma de convenios en los que se identifiquen las obligaciones que corresponderán a cada una de las partes.</w:t>
      </w:r>
    </w:p>
    <w:p w14:paraId="0AFFFA4E" w14:textId="77777777" w:rsidR="00D3344B" w:rsidRDefault="00D3344B">
      <w:pPr>
        <w:pStyle w:val="Estilo"/>
        <w:rPr>
          <w:rFonts w:cs="Arial"/>
        </w:rPr>
      </w:pPr>
    </w:p>
    <w:p w14:paraId="19324001" w14:textId="77777777" w:rsidR="00D3344B" w:rsidRDefault="00143C25">
      <w:pPr>
        <w:pStyle w:val="Estilo"/>
        <w:rPr>
          <w:rFonts w:cs="Arial"/>
        </w:rPr>
      </w:pPr>
      <w:r>
        <w:rPr>
          <w:rFonts w:cs="Arial"/>
        </w:rPr>
        <w:t>Estos convenios de concertación también podrán ser suscritos entre la Federación, el Estado y los municipios.</w:t>
      </w:r>
    </w:p>
    <w:p w14:paraId="37CE2CA6" w14:textId="77777777" w:rsidR="00D3344B" w:rsidRDefault="00D3344B">
      <w:pPr>
        <w:pStyle w:val="Estilo"/>
        <w:rPr>
          <w:rFonts w:cs="Arial"/>
        </w:rPr>
      </w:pPr>
    </w:p>
    <w:p w14:paraId="7B939E50" w14:textId="77777777" w:rsidR="00D3344B" w:rsidRDefault="00D3344B">
      <w:pPr>
        <w:pStyle w:val="Estilo"/>
        <w:rPr>
          <w:rFonts w:cs="Arial"/>
        </w:rPr>
      </w:pPr>
    </w:p>
    <w:p w14:paraId="692D643D" w14:textId="77777777" w:rsidR="00D3344B" w:rsidRDefault="00143C25">
      <w:pPr>
        <w:pStyle w:val="Estilo"/>
        <w:jc w:val="center"/>
        <w:rPr>
          <w:rFonts w:cs="Arial"/>
          <w:b/>
        </w:rPr>
      </w:pPr>
      <w:r>
        <w:rPr>
          <w:rFonts w:cs="Arial"/>
          <w:b/>
        </w:rPr>
        <w:t>Capítulo IV</w:t>
      </w:r>
    </w:p>
    <w:p w14:paraId="0D6B57B2" w14:textId="77777777" w:rsidR="00D3344B" w:rsidRDefault="00143C25">
      <w:pPr>
        <w:pStyle w:val="Estilo"/>
        <w:jc w:val="center"/>
        <w:rPr>
          <w:rFonts w:cs="Arial"/>
          <w:b/>
        </w:rPr>
      </w:pPr>
      <w:r>
        <w:rPr>
          <w:rFonts w:cs="Arial"/>
          <w:b/>
        </w:rPr>
        <w:t>Presupuesto de Egresos</w:t>
      </w:r>
    </w:p>
    <w:p w14:paraId="6A1011D7" w14:textId="77777777" w:rsidR="00D3344B" w:rsidRDefault="00D3344B">
      <w:pPr>
        <w:pStyle w:val="Estilo"/>
        <w:jc w:val="center"/>
        <w:rPr>
          <w:rFonts w:cs="Arial"/>
          <w:b/>
        </w:rPr>
      </w:pPr>
    </w:p>
    <w:p w14:paraId="05895E91" w14:textId="77777777" w:rsidR="00D3344B" w:rsidRDefault="00143C25">
      <w:pPr>
        <w:pStyle w:val="Estilo"/>
        <w:jc w:val="center"/>
        <w:rPr>
          <w:rFonts w:cs="Arial"/>
          <w:b/>
        </w:rPr>
      </w:pPr>
      <w:r>
        <w:rPr>
          <w:rFonts w:cs="Arial"/>
          <w:b/>
        </w:rPr>
        <w:t>Sección Primera</w:t>
      </w:r>
    </w:p>
    <w:p w14:paraId="01FDA504" w14:textId="77777777" w:rsidR="00D3344B" w:rsidRDefault="00143C25">
      <w:pPr>
        <w:pStyle w:val="Estilo"/>
        <w:jc w:val="center"/>
        <w:rPr>
          <w:rFonts w:cs="Arial"/>
          <w:b/>
        </w:rPr>
      </w:pPr>
      <w:r>
        <w:rPr>
          <w:rFonts w:cs="Arial"/>
          <w:b/>
        </w:rPr>
        <w:t>Disposiciones Generales</w:t>
      </w:r>
    </w:p>
    <w:p w14:paraId="7AB030BD" w14:textId="77777777" w:rsidR="00D3344B" w:rsidRDefault="00D3344B">
      <w:pPr>
        <w:pStyle w:val="Estilo"/>
        <w:rPr>
          <w:rFonts w:cs="Arial"/>
        </w:rPr>
      </w:pPr>
    </w:p>
    <w:p w14:paraId="544ABBE5" w14:textId="77777777" w:rsidR="00D3344B" w:rsidRDefault="00143C25">
      <w:pPr>
        <w:pStyle w:val="Estilo"/>
        <w:rPr>
          <w:rFonts w:cs="Arial"/>
        </w:rPr>
      </w:pPr>
      <w:r>
        <w:rPr>
          <w:rFonts w:cs="Arial"/>
          <w:b/>
        </w:rPr>
        <w:t>Artículo 268.</w:t>
      </w:r>
      <w:r>
        <w:rPr>
          <w:rFonts w:cs="Arial"/>
        </w:rPr>
        <w:t xml:space="preserve"> El Presupuesto de Egresos es el documento aprobado por el H. Congreso del Estado, mediante el cual se asignan recursos públicos para la ejecución de los programas y acciones que integran el gasto público durante un ejercicio fiscal.</w:t>
      </w:r>
    </w:p>
    <w:p w14:paraId="52172D10" w14:textId="77777777" w:rsidR="00D3344B" w:rsidRDefault="00D3344B">
      <w:pPr>
        <w:pStyle w:val="Estilo"/>
        <w:rPr>
          <w:rFonts w:cs="Arial"/>
        </w:rPr>
      </w:pPr>
    </w:p>
    <w:p w14:paraId="5E2895BA" w14:textId="77777777" w:rsidR="00D3344B" w:rsidRDefault="00143C25">
      <w:pPr>
        <w:pStyle w:val="Estilo"/>
        <w:rPr>
          <w:rFonts w:cs="Arial"/>
        </w:rPr>
      </w:pPr>
      <w:r>
        <w:rPr>
          <w:rFonts w:cs="Arial"/>
          <w:b/>
        </w:rPr>
        <w:t>Artículo 269.</w:t>
      </w:r>
      <w:r>
        <w:rPr>
          <w:rFonts w:cs="Arial"/>
        </w:rPr>
        <w:t xml:space="preserve"> El gasto público comprende todas aquellas erogaciones que se realicen por concepto de gasto corriente, inversión física, inversión financiera, así como pagos de deuda pública y de responsabilidad patrimonial, que realicen:</w:t>
      </w:r>
    </w:p>
    <w:p w14:paraId="5604F562" w14:textId="77777777" w:rsidR="00D3344B" w:rsidRDefault="00D3344B">
      <w:pPr>
        <w:pStyle w:val="Estilo"/>
        <w:rPr>
          <w:rFonts w:cs="Arial"/>
        </w:rPr>
      </w:pPr>
    </w:p>
    <w:p w14:paraId="17469143" w14:textId="77777777" w:rsidR="00D3344B" w:rsidRDefault="00143C25">
      <w:pPr>
        <w:pStyle w:val="Estilo"/>
        <w:ind w:left="567" w:hanging="567"/>
        <w:rPr>
          <w:rFonts w:cs="Arial"/>
        </w:rPr>
      </w:pPr>
      <w:r>
        <w:rPr>
          <w:rFonts w:cs="Arial"/>
        </w:rPr>
        <w:lastRenderedPageBreak/>
        <w:t xml:space="preserve">I. </w:t>
      </w:r>
      <w:r>
        <w:rPr>
          <w:rFonts w:cs="Arial"/>
        </w:rPr>
        <w:tab/>
        <w:t>En el ámbito estatal:</w:t>
      </w:r>
    </w:p>
    <w:p w14:paraId="093F76F5" w14:textId="77777777" w:rsidR="00D3344B" w:rsidRDefault="00D3344B">
      <w:pPr>
        <w:pStyle w:val="Estilo"/>
        <w:ind w:left="567" w:hanging="567"/>
        <w:rPr>
          <w:rFonts w:cs="Arial"/>
        </w:rPr>
      </w:pPr>
    </w:p>
    <w:p w14:paraId="62C350A5" w14:textId="77777777" w:rsidR="00D3344B" w:rsidRDefault="00143C25">
      <w:pPr>
        <w:pStyle w:val="Estilo"/>
        <w:ind w:left="1134" w:hanging="567"/>
        <w:rPr>
          <w:rFonts w:cs="Arial"/>
        </w:rPr>
      </w:pPr>
      <w:r>
        <w:rPr>
          <w:rFonts w:cs="Arial"/>
        </w:rPr>
        <w:t xml:space="preserve">a) </w:t>
      </w:r>
      <w:r>
        <w:rPr>
          <w:rFonts w:cs="Arial"/>
        </w:rPr>
        <w:tab/>
        <w:t>El Poder Legislativo;</w:t>
      </w:r>
    </w:p>
    <w:p w14:paraId="79F9BA41" w14:textId="77777777" w:rsidR="00D3344B" w:rsidRDefault="00D3344B">
      <w:pPr>
        <w:pStyle w:val="Estilo"/>
        <w:ind w:left="1134" w:hanging="567"/>
        <w:rPr>
          <w:rFonts w:cs="Arial"/>
        </w:rPr>
      </w:pPr>
    </w:p>
    <w:p w14:paraId="7C6B5A87" w14:textId="77777777" w:rsidR="00D3344B" w:rsidRDefault="00143C25">
      <w:pPr>
        <w:pStyle w:val="Estilo"/>
        <w:ind w:left="1134" w:hanging="567"/>
        <w:rPr>
          <w:rFonts w:cs="Arial"/>
        </w:rPr>
      </w:pPr>
      <w:r>
        <w:rPr>
          <w:rFonts w:cs="Arial"/>
        </w:rPr>
        <w:t xml:space="preserve">b) </w:t>
      </w:r>
      <w:r>
        <w:rPr>
          <w:rFonts w:cs="Arial"/>
        </w:rPr>
        <w:tab/>
        <w:t>El Poder Judicial;</w:t>
      </w:r>
    </w:p>
    <w:p w14:paraId="3D7CE441" w14:textId="77777777" w:rsidR="00D3344B" w:rsidRDefault="00D3344B">
      <w:pPr>
        <w:pStyle w:val="Estilo"/>
        <w:ind w:left="1134" w:hanging="567"/>
        <w:rPr>
          <w:rFonts w:cs="Arial"/>
        </w:rPr>
      </w:pPr>
    </w:p>
    <w:p w14:paraId="7B4D6B26" w14:textId="77777777" w:rsidR="00D3344B" w:rsidRDefault="00143C25">
      <w:pPr>
        <w:pStyle w:val="Estilo"/>
        <w:ind w:left="1134" w:hanging="567"/>
        <w:rPr>
          <w:rFonts w:cs="Arial"/>
        </w:rPr>
      </w:pPr>
      <w:r>
        <w:rPr>
          <w:rFonts w:cs="Arial"/>
        </w:rPr>
        <w:t xml:space="preserve">c) </w:t>
      </w:r>
      <w:r>
        <w:rPr>
          <w:rFonts w:cs="Arial"/>
        </w:rPr>
        <w:tab/>
        <w:t>El Despacho del Gobernador;</w:t>
      </w:r>
    </w:p>
    <w:p w14:paraId="64149354" w14:textId="77777777" w:rsidR="00D3344B" w:rsidRDefault="00D3344B">
      <w:pPr>
        <w:pStyle w:val="Estilo"/>
        <w:ind w:left="1134" w:hanging="567"/>
        <w:rPr>
          <w:rFonts w:cs="Arial"/>
        </w:rPr>
      </w:pPr>
    </w:p>
    <w:p w14:paraId="0464E78B" w14:textId="77777777" w:rsidR="00D3344B" w:rsidRDefault="00143C25">
      <w:pPr>
        <w:pStyle w:val="Estilo"/>
        <w:ind w:left="1134" w:hanging="567"/>
        <w:rPr>
          <w:rFonts w:cs="Arial"/>
        </w:rPr>
      </w:pPr>
      <w:r>
        <w:rPr>
          <w:rFonts w:cs="Arial"/>
        </w:rPr>
        <w:t xml:space="preserve">d) </w:t>
      </w:r>
      <w:r>
        <w:rPr>
          <w:rFonts w:cs="Arial"/>
        </w:rPr>
        <w:tab/>
        <w:t>Las dependencias del Ejecutivo;</w:t>
      </w:r>
    </w:p>
    <w:p w14:paraId="2E1373CC" w14:textId="77777777" w:rsidR="00D3344B" w:rsidRDefault="00D3344B">
      <w:pPr>
        <w:pStyle w:val="Estilo"/>
        <w:ind w:left="1134" w:hanging="567"/>
        <w:rPr>
          <w:rFonts w:cs="Arial"/>
        </w:rPr>
      </w:pPr>
    </w:p>
    <w:p w14:paraId="3B4E2AB5" w14:textId="77777777" w:rsidR="00D3344B" w:rsidRDefault="00143C25">
      <w:pPr>
        <w:pStyle w:val="Estilo"/>
        <w:ind w:left="1134" w:hanging="567"/>
        <w:rPr>
          <w:rFonts w:cs="Arial"/>
        </w:rPr>
      </w:pPr>
      <w:r>
        <w:rPr>
          <w:rFonts w:cs="Arial"/>
        </w:rPr>
        <w:t xml:space="preserve">e) </w:t>
      </w:r>
      <w:r>
        <w:rPr>
          <w:rFonts w:cs="Arial"/>
        </w:rPr>
        <w:tab/>
        <w:t>Las entidades paraestatales, y</w:t>
      </w:r>
    </w:p>
    <w:p w14:paraId="40C9342D" w14:textId="77777777" w:rsidR="00D3344B" w:rsidRDefault="00D3344B">
      <w:pPr>
        <w:pStyle w:val="Estilo"/>
        <w:ind w:left="1134" w:hanging="567"/>
        <w:rPr>
          <w:rFonts w:cs="Arial"/>
        </w:rPr>
      </w:pPr>
    </w:p>
    <w:p w14:paraId="01E374B3" w14:textId="77777777" w:rsidR="00D3344B" w:rsidRDefault="00143C25">
      <w:pPr>
        <w:pStyle w:val="Estilo"/>
        <w:ind w:left="1134" w:hanging="567"/>
        <w:rPr>
          <w:rFonts w:cs="Arial"/>
        </w:rPr>
      </w:pPr>
      <w:r>
        <w:rPr>
          <w:rFonts w:cs="Arial"/>
        </w:rPr>
        <w:t xml:space="preserve">f) </w:t>
      </w:r>
      <w:r>
        <w:rPr>
          <w:rFonts w:cs="Arial"/>
        </w:rPr>
        <w:tab/>
        <w:t>Los organismos autónomos.</w:t>
      </w:r>
    </w:p>
    <w:p w14:paraId="0E009C0C" w14:textId="77777777" w:rsidR="00D3344B" w:rsidRDefault="00D3344B">
      <w:pPr>
        <w:pStyle w:val="Estilo"/>
        <w:ind w:left="567" w:hanging="567"/>
        <w:rPr>
          <w:rFonts w:cs="Arial"/>
        </w:rPr>
      </w:pPr>
    </w:p>
    <w:p w14:paraId="486F217F" w14:textId="77777777" w:rsidR="00D3344B" w:rsidRDefault="00143C25">
      <w:pPr>
        <w:pStyle w:val="Estilo"/>
        <w:ind w:left="567" w:hanging="567"/>
        <w:rPr>
          <w:rFonts w:cs="Arial"/>
        </w:rPr>
      </w:pPr>
      <w:r>
        <w:rPr>
          <w:rFonts w:cs="Arial"/>
        </w:rPr>
        <w:t xml:space="preserve">II. </w:t>
      </w:r>
      <w:r>
        <w:rPr>
          <w:rFonts w:cs="Arial"/>
        </w:rPr>
        <w:tab/>
        <w:t>En el ámbito municipal:</w:t>
      </w:r>
    </w:p>
    <w:p w14:paraId="6A64EB43" w14:textId="77777777" w:rsidR="00D3344B" w:rsidRDefault="00D3344B">
      <w:pPr>
        <w:pStyle w:val="Estilo"/>
        <w:ind w:left="567" w:hanging="567"/>
        <w:rPr>
          <w:rFonts w:cs="Arial"/>
        </w:rPr>
      </w:pPr>
    </w:p>
    <w:p w14:paraId="3CA25949" w14:textId="77777777" w:rsidR="00D3344B" w:rsidRDefault="00143C25">
      <w:pPr>
        <w:pStyle w:val="Estilo"/>
        <w:ind w:left="1134" w:hanging="567"/>
        <w:rPr>
          <w:rFonts w:cs="Arial"/>
        </w:rPr>
      </w:pPr>
      <w:r>
        <w:rPr>
          <w:rFonts w:cs="Arial"/>
        </w:rPr>
        <w:t xml:space="preserve">a) </w:t>
      </w:r>
      <w:r>
        <w:rPr>
          <w:rFonts w:cs="Arial"/>
        </w:rPr>
        <w:tab/>
        <w:t>La Presidencia Municipal;</w:t>
      </w:r>
    </w:p>
    <w:p w14:paraId="3B48073B" w14:textId="77777777" w:rsidR="00D3344B" w:rsidRDefault="00D3344B">
      <w:pPr>
        <w:pStyle w:val="Estilo"/>
        <w:ind w:left="1134" w:hanging="567"/>
        <w:rPr>
          <w:rFonts w:cs="Arial"/>
        </w:rPr>
      </w:pPr>
    </w:p>
    <w:p w14:paraId="554A47BC" w14:textId="77777777" w:rsidR="00D3344B" w:rsidRDefault="00143C25">
      <w:pPr>
        <w:pStyle w:val="Estilo"/>
        <w:ind w:left="1134" w:hanging="567"/>
        <w:rPr>
          <w:rFonts w:cs="Arial"/>
        </w:rPr>
      </w:pPr>
      <w:r>
        <w:rPr>
          <w:rFonts w:cs="Arial"/>
        </w:rPr>
        <w:t xml:space="preserve">b) </w:t>
      </w:r>
      <w:r>
        <w:rPr>
          <w:rFonts w:cs="Arial"/>
        </w:rPr>
        <w:tab/>
        <w:t>La Tesorería Municipal;</w:t>
      </w:r>
    </w:p>
    <w:p w14:paraId="1DAEE751" w14:textId="77777777" w:rsidR="00D3344B" w:rsidRDefault="00D3344B">
      <w:pPr>
        <w:pStyle w:val="Estilo"/>
        <w:ind w:left="1134" w:hanging="567"/>
        <w:rPr>
          <w:rFonts w:cs="Arial"/>
        </w:rPr>
      </w:pPr>
    </w:p>
    <w:p w14:paraId="59ECD71B" w14:textId="77777777" w:rsidR="00D3344B" w:rsidRDefault="00143C25">
      <w:pPr>
        <w:pStyle w:val="Estilo"/>
        <w:ind w:left="1134" w:hanging="567"/>
        <w:rPr>
          <w:rFonts w:cs="Arial"/>
        </w:rPr>
      </w:pPr>
      <w:r>
        <w:rPr>
          <w:rFonts w:cs="Arial"/>
        </w:rPr>
        <w:t xml:space="preserve">c) </w:t>
      </w:r>
      <w:r>
        <w:rPr>
          <w:rFonts w:cs="Arial"/>
        </w:rPr>
        <w:tab/>
        <w:t>Las presidencias de comunidad, y</w:t>
      </w:r>
    </w:p>
    <w:p w14:paraId="6E0507FD" w14:textId="77777777" w:rsidR="00D3344B" w:rsidRDefault="00D3344B">
      <w:pPr>
        <w:pStyle w:val="Estilo"/>
        <w:ind w:left="1134" w:hanging="567"/>
        <w:rPr>
          <w:rFonts w:cs="Arial"/>
        </w:rPr>
      </w:pPr>
    </w:p>
    <w:p w14:paraId="5210654D" w14:textId="77777777" w:rsidR="00D3344B" w:rsidRDefault="00143C25">
      <w:pPr>
        <w:pStyle w:val="Estilo"/>
        <w:ind w:left="1134" w:hanging="567"/>
        <w:rPr>
          <w:rFonts w:cs="Arial"/>
        </w:rPr>
      </w:pPr>
      <w:r>
        <w:rPr>
          <w:rFonts w:cs="Arial"/>
        </w:rPr>
        <w:t xml:space="preserve">d) </w:t>
      </w:r>
      <w:r>
        <w:rPr>
          <w:rFonts w:cs="Arial"/>
        </w:rPr>
        <w:tab/>
        <w:t>Las dependencias y entidades municipales.</w:t>
      </w:r>
    </w:p>
    <w:p w14:paraId="5A0B267E" w14:textId="77777777" w:rsidR="00D3344B" w:rsidRDefault="00D3344B">
      <w:pPr>
        <w:pStyle w:val="Estilo"/>
        <w:rPr>
          <w:rFonts w:cs="Arial"/>
        </w:rPr>
      </w:pPr>
    </w:p>
    <w:p w14:paraId="78D0A2B6" w14:textId="77777777" w:rsidR="00D3344B" w:rsidRDefault="00143C25">
      <w:pPr>
        <w:pStyle w:val="Estilo"/>
        <w:rPr>
          <w:rFonts w:cs="Arial"/>
        </w:rPr>
      </w:pPr>
      <w:r>
        <w:rPr>
          <w:rFonts w:cs="Arial"/>
        </w:rPr>
        <w:t>De manera genérica y para efectos de este capítulo, se denominará a los órganos descritos, como unidades presupuéstales.</w:t>
      </w:r>
    </w:p>
    <w:p w14:paraId="76FF1261" w14:textId="77777777" w:rsidR="00D3344B" w:rsidRDefault="00D3344B">
      <w:pPr>
        <w:pStyle w:val="Estilo"/>
        <w:rPr>
          <w:rFonts w:cs="Arial"/>
        </w:rPr>
      </w:pPr>
    </w:p>
    <w:p w14:paraId="32711397" w14:textId="77777777" w:rsidR="00D3344B" w:rsidRDefault="00143C25">
      <w:pPr>
        <w:pStyle w:val="Estilo"/>
        <w:rPr>
          <w:rFonts w:cs="Arial"/>
        </w:rPr>
      </w:pPr>
      <w:r>
        <w:rPr>
          <w:rFonts w:cs="Arial"/>
          <w:b/>
        </w:rPr>
        <w:t>Artículo 270.</w:t>
      </w:r>
      <w:r>
        <w:rPr>
          <w:rFonts w:cs="Arial"/>
        </w:rPr>
        <w:t xml:space="preserve"> El Gobernador, por conducto de la Secretaría, proporcionará a las unidades presupuéstales, los datos estadísticos, estudios o informes que soliciten con relación a la preparación de sus proyectos de presupuesto. En el ámbito municipal corresponde esta facultad al </w:t>
      </w:r>
      <w:proofErr w:type="gramStart"/>
      <w:r>
        <w:rPr>
          <w:rFonts w:cs="Arial"/>
        </w:rPr>
        <w:t>Presidente</w:t>
      </w:r>
      <w:proofErr w:type="gramEnd"/>
      <w:r>
        <w:rPr>
          <w:rFonts w:cs="Arial"/>
        </w:rPr>
        <w:t xml:space="preserve"> Municipal, por conducto de su Tesorería.</w:t>
      </w:r>
    </w:p>
    <w:p w14:paraId="3709678A" w14:textId="77777777" w:rsidR="00D3344B" w:rsidRDefault="00D3344B">
      <w:pPr>
        <w:pStyle w:val="Estilo"/>
        <w:rPr>
          <w:rFonts w:cs="Arial"/>
        </w:rPr>
      </w:pPr>
    </w:p>
    <w:p w14:paraId="7ED5F13F" w14:textId="77777777" w:rsidR="00D3344B" w:rsidRDefault="00143C25">
      <w:pPr>
        <w:pStyle w:val="Estilo"/>
        <w:rPr>
          <w:rFonts w:cs="Arial"/>
        </w:rPr>
      </w:pPr>
      <w:r>
        <w:rPr>
          <w:rFonts w:cs="Arial"/>
          <w:b/>
        </w:rPr>
        <w:t>Artículo 271.</w:t>
      </w:r>
      <w:r>
        <w:rPr>
          <w:rFonts w:cs="Arial"/>
        </w:rPr>
        <w:t xml:space="preserve"> En materia de presupuesto de egresos, la Secretaría y las tesorerías tendrán, en el ámbito de su competencia, las facultades siguientes:</w:t>
      </w:r>
    </w:p>
    <w:p w14:paraId="7094EF1A" w14:textId="77777777" w:rsidR="00D3344B" w:rsidRDefault="00D3344B">
      <w:pPr>
        <w:pStyle w:val="Estilo"/>
        <w:rPr>
          <w:rFonts w:cs="Arial"/>
        </w:rPr>
      </w:pPr>
    </w:p>
    <w:p w14:paraId="1CA5A3F8" w14:textId="77777777" w:rsidR="00D3344B" w:rsidRDefault="00143C25">
      <w:pPr>
        <w:pStyle w:val="Estilo"/>
        <w:rPr>
          <w:rFonts w:cs="Arial"/>
        </w:rPr>
      </w:pPr>
      <w:r>
        <w:rPr>
          <w:rFonts w:cs="Arial"/>
          <w:i/>
          <w:sz w:val="16"/>
        </w:rPr>
        <w:t>(REFORMADA, P.O. 29 DE DICIEMBRE DE 2017)</w:t>
      </w:r>
    </w:p>
    <w:p w14:paraId="19902DC0" w14:textId="77777777" w:rsidR="00D3344B" w:rsidRDefault="00143C25">
      <w:pPr>
        <w:pStyle w:val="Estilo"/>
        <w:ind w:left="567" w:hanging="567"/>
        <w:rPr>
          <w:rFonts w:cs="Arial"/>
        </w:rPr>
      </w:pPr>
      <w:r>
        <w:rPr>
          <w:rFonts w:cs="Arial"/>
        </w:rPr>
        <w:t xml:space="preserve">I. </w:t>
      </w:r>
      <w:r>
        <w:rPr>
          <w:rFonts w:cs="Arial"/>
        </w:rPr>
        <w:tab/>
        <w:t>Diseñar la estructura e integración del anteproyecto y proyecto del Presupuesto de Egresos, así como la de expedir el manual para la formulación y aplicación del Presupuesto de Egresos con perspectiva de género a que se refiere este código;</w:t>
      </w:r>
    </w:p>
    <w:p w14:paraId="4B37CB42" w14:textId="77777777" w:rsidR="00D3344B" w:rsidRDefault="00D3344B">
      <w:pPr>
        <w:pStyle w:val="Estilo"/>
        <w:ind w:left="567" w:hanging="567"/>
        <w:rPr>
          <w:rFonts w:cs="Arial"/>
        </w:rPr>
      </w:pPr>
    </w:p>
    <w:p w14:paraId="367D78C5" w14:textId="77777777" w:rsidR="00D3344B" w:rsidRDefault="00143C25">
      <w:pPr>
        <w:pStyle w:val="Estilo"/>
        <w:ind w:left="567" w:hanging="567"/>
        <w:rPr>
          <w:rFonts w:cs="Arial"/>
        </w:rPr>
      </w:pPr>
      <w:r>
        <w:rPr>
          <w:rFonts w:cs="Arial"/>
          <w:i/>
          <w:sz w:val="16"/>
        </w:rPr>
        <w:t>(REFORMADA, P.O. 29 DE DICIEMBRE DE 2017)</w:t>
      </w:r>
    </w:p>
    <w:p w14:paraId="068EF696" w14:textId="77777777" w:rsidR="00D3344B" w:rsidRDefault="00143C25">
      <w:pPr>
        <w:pStyle w:val="Estilo"/>
        <w:ind w:left="567" w:hanging="567"/>
        <w:rPr>
          <w:rFonts w:cs="Arial"/>
        </w:rPr>
      </w:pPr>
      <w:r>
        <w:rPr>
          <w:rFonts w:cs="Arial"/>
        </w:rPr>
        <w:t xml:space="preserve">II. </w:t>
      </w:r>
      <w:r>
        <w:rPr>
          <w:rFonts w:cs="Arial"/>
        </w:rPr>
        <w:tab/>
        <w:t>Determinar anualmente las sumas definitivas que habrán de incluirse en el Proyecto de Presupuesto de Egresos para cada una de las unidades presupuestales con la debida perspectiva de género, sin que el total de las sumas exceda el pronóstico de los ingresos del ejercicio fiscal;</w:t>
      </w:r>
    </w:p>
    <w:p w14:paraId="359683E0" w14:textId="77777777" w:rsidR="00D3344B" w:rsidRDefault="00D3344B">
      <w:pPr>
        <w:pStyle w:val="Estilo"/>
        <w:ind w:left="567" w:hanging="567"/>
        <w:rPr>
          <w:rFonts w:cs="Arial"/>
        </w:rPr>
      </w:pPr>
    </w:p>
    <w:p w14:paraId="6A4E08BB" w14:textId="77777777" w:rsidR="00D3344B" w:rsidRDefault="00143C25">
      <w:pPr>
        <w:pStyle w:val="Estilo"/>
        <w:ind w:left="567" w:hanging="567"/>
        <w:rPr>
          <w:rFonts w:cs="Arial"/>
        </w:rPr>
      </w:pPr>
      <w:r>
        <w:rPr>
          <w:rFonts w:cs="Arial"/>
        </w:rPr>
        <w:t xml:space="preserve">III. </w:t>
      </w:r>
      <w:r>
        <w:rPr>
          <w:rFonts w:cs="Arial"/>
        </w:rPr>
        <w:tab/>
        <w:t xml:space="preserve">Revisar e integrar los anteproyectos del Presupuesto de Egresos que presenten las unidades presupuéstales, aumentando o disminuyendo sus asignaciones de acuerdo a las políticas fijadas por el Titular del Ejecutivo o por el </w:t>
      </w:r>
      <w:proofErr w:type="gramStart"/>
      <w:r>
        <w:rPr>
          <w:rFonts w:cs="Arial"/>
        </w:rPr>
        <w:t>Presidente</w:t>
      </w:r>
      <w:proofErr w:type="gramEnd"/>
      <w:r>
        <w:rPr>
          <w:rFonts w:cs="Arial"/>
        </w:rPr>
        <w:t xml:space="preserve"> Municipal, según corresponda;</w:t>
      </w:r>
    </w:p>
    <w:p w14:paraId="4EB1DE66" w14:textId="77777777" w:rsidR="00D3344B" w:rsidRDefault="00D3344B">
      <w:pPr>
        <w:pStyle w:val="Estilo"/>
        <w:ind w:left="567" w:hanging="567"/>
        <w:rPr>
          <w:rFonts w:cs="Arial"/>
        </w:rPr>
      </w:pPr>
    </w:p>
    <w:p w14:paraId="18ADE18C" w14:textId="77777777" w:rsidR="00D3344B" w:rsidRDefault="00143C25">
      <w:pPr>
        <w:pStyle w:val="Estilo"/>
        <w:ind w:left="567" w:hanging="567"/>
        <w:rPr>
          <w:rFonts w:cs="Arial"/>
        </w:rPr>
      </w:pPr>
      <w:r>
        <w:rPr>
          <w:rFonts w:cs="Arial"/>
        </w:rPr>
        <w:t xml:space="preserve">IV. </w:t>
      </w:r>
      <w:r>
        <w:rPr>
          <w:rFonts w:cs="Arial"/>
        </w:rPr>
        <w:tab/>
        <w:t>Preparar y formular el Anteproyecto de Presupuesto de Egresos conforme a las previsiones específicas de la materia;</w:t>
      </w:r>
    </w:p>
    <w:p w14:paraId="61B28050" w14:textId="77777777" w:rsidR="00D3344B" w:rsidRDefault="00D3344B">
      <w:pPr>
        <w:pStyle w:val="Estilo"/>
        <w:ind w:left="567" w:hanging="567"/>
        <w:rPr>
          <w:rFonts w:cs="Arial"/>
        </w:rPr>
      </w:pPr>
    </w:p>
    <w:p w14:paraId="17F16FB5" w14:textId="77777777" w:rsidR="00D3344B" w:rsidRDefault="00143C25">
      <w:pPr>
        <w:pStyle w:val="Estilo"/>
        <w:ind w:left="567" w:hanging="567"/>
        <w:rPr>
          <w:rFonts w:cs="Arial"/>
        </w:rPr>
      </w:pPr>
      <w:r>
        <w:rPr>
          <w:rFonts w:cs="Arial"/>
        </w:rPr>
        <w:t xml:space="preserve">V. </w:t>
      </w:r>
      <w:r>
        <w:rPr>
          <w:rFonts w:cs="Arial"/>
        </w:rPr>
        <w:tab/>
        <w:t>Revisar y autorizar, en caso de que procedan, los pagos o erogaciones de fondos que deben hacerse con cargo al Presupuesto de Egresos respectivo. Asimismo, establecerán la forma de comprobar y justificar que la comprobación del gasto público se realice conforme a las disposiciones jurídicas, administrativas y de tipo fiscal que sean aplicables. Cualquier excepción tendrá que ser aprobada previamente a la realización del gasto, por la Secretaría o la Tesorería, según corresponda;</w:t>
      </w:r>
    </w:p>
    <w:p w14:paraId="245722C9" w14:textId="77777777" w:rsidR="00D3344B" w:rsidRDefault="00D3344B">
      <w:pPr>
        <w:pStyle w:val="Estilo"/>
        <w:ind w:left="567" w:hanging="567"/>
        <w:rPr>
          <w:rFonts w:cs="Arial"/>
        </w:rPr>
      </w:pPr>
    </w:p>
    <w:p w14:paraId="3DDE3D0E" w14:textId="77777777" w:rsidR="00D3344B" w:rsidRDefault="00143C25">
      <w:pPr>
        <w:pStyle w:val="Estilo"/>
        <w:ind w:left="567" w:hanging="567"/>
        <w:rPr>
          <w:rFonts w:cs="Arial"/>
        </w:rPr>
      </w:pPr>
      <w:r>
        <w:rPr>
          <w:rFonts w:cs="Arial"/>
        </w:rPr>
        <w:t xml:space="preserve">VI. </w:t>
      </w:r>
      <w:r>
        <w:rPr>
          <w:rFonts w:cs="Arial"/>
        </w:rPr>
        <w:tab/>
        <w:t>Autorizar las transferencias de recursos entre partidas y unidades presupuéstales, en caso de ser procedente;</w:t>
      </w:r>
    </w:p>
    <w:p w14:paraId="11D9193B" w14:textId="77777777" w:rsidR="00D3344B" w:rsidRDefault="00D3344B">
      <w:pPr>
        <w:pStyle w:val="Estilo"/>
        <w:ind w:left="567" w:hanging="567"/>
        <w:rPr>
          <w:rFonts w:cs="Arial"/>
        </w:rPr>
      </w:pPr>
    </w:p>
    <w:p w14:paraId="50A9A96D" w14:textId="77777777" w:rsidR="00D3344B" w:rsidRDefault="00143C25">
      <w:pPr>
        <w:pStyle w:val="Estilo"/>
        <w:ind w:left="567" w:hanging="567"/>
        <w:rPr>
          <w:rFonts w:cs="Arial"/>
        </w:rPr>
      </w:pPr>
      <w:r>
        <w:rPr>
          <w:rFonts w:cs="Arial"/>
        </w:rPr>
        <w:t xml:space="preserve">VII. </w:t>
      </w:r>
      <w:r>
        <w:rPr>
          <w:rFonts w:cs="Arial"/>
        </w:rPr>
        <w:tab/>
        <w:t>Autorizar la calendarización de la ministración de recursos a las unidades presupuéstales, en función de la disponibilidad financiera existente;</w:t>
      </w:r>
    </w:p>
    <w:p w14:paraId="17D58EE5" w14:textId="77777777" w:rsidR="00D3344B" w:rsidRDefault="00D3344B">
      <w:pPr>
        <w:pStyle w:val="Estilo"/>
        <w:ind w:left="567" w:hanging="567"/>
        <w:rPr>
          <w:rFonts w:cs="Arial"/>
        </w:rPr>
      </w:pPr>
    </w:p>
    <w:p w14:paraId="76D7A7ED" w14:textId="77777777" w:rsidR="00D3344B" w:rsidRDefault="00143C25">
      <w:pPr>
        <w:pStyle w:val="Estilo"/>
        <w:ind w:left="567" w:hanging="567"/>
        <w:rPr>
          <w:rFonts w:cs="Arial"/>
        </w:rPr>
      </w:pPr>
      <w:r>
        <w:rPr>
          <w:rFonts w:cs="Arial"/>
        </w:rPr>
        <w:t xml:space="preserve">VIII. </w:t>
      </w:r>
      <w:r>
        <w:rPr>
          <w:rFonts w:cs="Arial"/>
        </w:rPr>
        <w:tab/>
        <w:t>Vigilar la estricta ejecución del presupuesto de egresos y dictar las normas a que debe sujetarse su ejercicio;</w:t>
      </w:r>
    </w:p>
    <w:p w14:paraId="4A522CE7" w14:textId="77777777" w:rsidR="00D3344B" w:rsidRDefault="00D3344B">
      <w:pPr>
        <w:pStyle w:val="Estilo"/>
        <w:ind w:left="567" w:hanging="567"/>
        <w:rPr>
          <w:rFonts w:cs="Arial"/>
        </w:rPr>
      </w:pPr>
    </w:p>
    <w:p w14:paraId="4D9172DB" w14:textId="77777777" w:rsidR="00D3344B" w:rsidRDefault="00143C25">
      <w:pPr>
        <w:pStyle w:val="Estilo"/>
        <w:ind w:left="567" w:hanging="567"/>
        <w:rPr>
          <w:rFonts w:cs="Arial"/>
        </w:rPr>
      </w:pPr>
      <w:r>
        <w:rPr>
          <w:rFonts w:cs="Arial"/>
          <w:i/>
          <w:sz w:val="16"/>
        </w:rPr>
        <w:t>(REFORMADA, P.O. 16 DE NOVIEMBRE DE 2016)</w:t>
      </w:r>
    </w:p>
    <w:p w14:paraId="5FF02CB3" w14:textId="77777777" w:rsidR="00D3344B" w:rsidRDefault="00143C25">
      <w:pPr>
        <w:pStyle w:val="Estilo"/>
        <w:ind w:left="567" w:hanging="567"/>
        <w:rPr>
          <w:rFonts w:cs="Arial"/>
        </w:rPr>
      </w:pPr>
      <w:r>
        <w:rPr>
          <w:rFonts w:cs="Arial"/>
        </w:rPr>
        <w:t xml:space="preserve">IX. </w:t>
      </w:r>
      <w:r>
        <w:rPr>
          <w:rFonts w:cs="Arial"/>
        </w:rPr>
        <w:tab/>
        <w:t>Formular los proyectos para la contratación de deuda pública en los términos establecidos por la Constitución;</w:t>
      </w:r>
    </w:p>
    <w:p w14:paraId="1BEFB382" w14:textId="77777777" w:rsidR="00D3344B" w:rsidRDefault="00D3344B">
      <w:pPr>
        <w:pStyle w:val="Estilo"/>
        <w:ind w:left="567" w:hanging="567"/>
        <w:rPr>
          <w:rFonts w:cs="Arial"/>
        </w:rPr>
      </w:pPr>
    </w:p>
    <w:p w14:paraId="55C64BF4" w14:textId="77777777" w:rsidR="00D3344B" w:rsidRDefault="00143C25">
      <w:pPr>
        <w:pStyle w:val="Estilo"/>
        <w:ind w:left="567" w:hanging="567"/>
        <w:rPr>
          <w:rFonts w:cs="Arial"/>
        </w:rPr>
      </w:pPr>
      <w:r>
        <w:rPr>
          <w:rFonts w:cs="Arial"/>
          <w:i/>
          <w:sz w:val="16"/>
        </w:rPr>
        <w:t>(REFORMADA, P.O. 22 DE DICIEMBRE DE 2021)</w:t>
      </w:r>
    </w:p>
    <w:p w14:paraId="335CC5A7" w14:textId="77777777" w:rsidR="00D3344B" w:rsidRDefault="00143C25">
      <w:pPr>
        <w:pStyle w:val="Estilo"/>
        <w:ind w:left="567" w:hanging="567"/>
        <w:rPr>
          <w:rFonts w:cs="Arial"/>
        </w:rPr>
      </w:pPr>
      <w:r>
        <w:rPr>
          <w:rFonts w:cs="Arial"/>
        </w:rPr>
        <w:t xml:space="preserve">X. </w:t>
      </w:r>
      <w:r>
        <w:rPr>
          <w:rFonts w:cs="Arial"/>
        </w:rPr>
        <w:tab/>
        <w:t>La Secretaría, a petición del Congreso, realizará una estimación del impacto presupuestario de las iniciativas de ley o decretos que se presenten a la consideración del mismo. Asimismo, realizará estimaciones sobre el impacto presupuestario de las disposiciones administrativas que emita el Ejecutivo que impliquen costos para su implementación, y</w:t>
      </w:r>
    </w:p>
    <w:p w14:paraId="091774BC" w14:textId="77777777" w:rsidR="00D3344B" w:rsidRDefault="00D3344B">
      <w:pPr>
        <w:pStyle w:val="Estilo"/>
        <w:ind w:left="567" w:hanging="567"/>
        <w:rPr>
          <w:rFonts w:cs="Arial"/>
        </w:rPr>
      </w:pPr>
    </w:p>
    <w:p w14:paraId="63E5F456" w14:textId="77777777" w:rsidR="00D3344B" w:rsidRDefault="00143C25">
      <w:pPr>
        <w:pStyle w:val="Estilo"/>
        <w:ind w:left="567" w:hanging="567"/>
        <w:rPr>
          <w:rFonts w:cs="Arial"/>
        </w:rPr>
      </w:pPr>
      <w:r>
        <w:rPr>
          <w:rFonts w:cs="Arial"/>
          <w:i/>
          <w:sz w:val="16"/>
        </w:rPr>
        <w:t>(ADICIONADA, P.O. 29 DE DICIEMBRE DE 2017)</w:t>
      </w:r>
    </w:p>
    <w:p w14:paraId="07DB6F3F" w14:textId="77777777" w:rsidR="00D3344B" w:rsidRDefault="00143C25">
      <w:pPr>
        <w:pStyle w:val="Estilo"/>
        <w:ind w:left="567" w:hanging="567"/>
        <w:rPr>
          <w:rFonts w:cs="Arial"/>
        </w:rPr>
      </w:pPr>
      <w:r>
        <w:rPr>
          <w:rFonts w:cs="Arial"/>
        </w:rPr>
        <w:t xml:space="preserve">XI. </w:t>
      </w:r>
      <w:r>
        <w:rPr>
          <w:rFonts w:cs="Arial"/>
        </w:rPr>
        <w:tab/>
        <w:t>No se podrán realizar reducciones a los programas presupuestarios ni a las inversiones dirigidas a la atención de la Igualdad entre Mujeres y Hombres.</w:t>
      </w:r>
    </w:p>
    <w:p w14:paraId="08477BDD" w14:textId="77777777" w:rsidR="00D3344B" w:rsidRDefault="00D3344B">
      <w:pPr>
        <w:pStyle w:val="Estilo"/>
        <w:ind w:left="567" w:hanging="567"/>
        <w:rPr>
          <w:rFonts w:cs="Arial"/>
        </w:rPr>
      </w:pPr>
    </w:p>
    <w:p w14:paraId="396774B3" w14:textId="77777777" w:rsidR="00D3344B" w:rsidRDefault="00143C25">
      <w:pPr>
        <w:pStyle w:val="Estilo"/>
        <w:ind w:left="567" w:hanging="567"/>
        <w:rPr>
          <w:rFonts w:cs="Arial"/>
        </w:rPr>
      </w:pPr>
      <w:r>
        <w:rPr>
          <w:rFonts w:cs="Arial"/>
          <w:i/>
          <w:sz w:val="16"/>
        </w:rPr>
        <w:t>(ADICIONADA, P.O. 16 DE NOVIEMBRE DE 2016)</w:t>
      </w:r>
    </w:p>
    <w:p w14:paraId="50F4BF55" w14:textId="77777777" w:rsidR="00D3344B" w:rsidRDefault="00143C25">
      <w:pPr>
        <w:pStyle w:val="Estilo"/>
        <w:ind w:left="567" w:hanging="567"/>
        <w:rPr>
          <w:rFonts w:cs="Arial"/>
        </w:rPr>
      </w:pPr>
      <w:r>
        <w:rPr>
          <w:rFonts w:cs="Arial"/>
        </w:rPr>
        <w:t xml:space="preserve">XII. </w:t>
      </w:r>
      <w:r>
        <w:rPr>
          <w:rFonts w:cs="Arial"/>
        </w:rPr>
        <w:tab/>
        <w:t>Las demás que le confieran las disposiciones de este código u otras leyes.</w:t>
      </w:r>
    </w:p>
    <w:p w14:paraId="585D0495" w14:textId="77777777" w:rsidR="00D3344B" w:rsidRDefault="00D3344B">
      <w:pPr>
        <w:pStyle w:val="Estilo"/>
        <w:rPr>
          <w:rFonts w:cs="Arial"/>
        </w:rPr>
      </w:pPr>
    </w:p>
    <w:p w14:paraId="0385A6C4" w14:textId="77777777" w:rsidR="00D3344B" w:rsidRDefault="00143C25">
      <w:pPr>
        <w:pStyle w:val="Estilo"/>
        <w:rPr>
          <w:rFonts w:cs="Arial"/>
        </w:rPr>
      </w:pPr>
      <w:r>
        <w:rPr>
          <w:rFonts w:cs="Arial"/>
          <w:i/>
          <w:sz w:val="16"/>
        </w:rPr>
        <w:t>(ADICIONADO, P.O. 16 DE NOVIEMBRE DE 2016)</w:t>
      </w:r>
    </w:p>
    <w:p w14:paraId="395B707D" w14:textId="77777777" w:rsidR="00D3344B" w:rsidRDefault="00143C25">
      <w:pPr>
        <w:pStyle w:val="Estilo"/>
        <w:rPr>
          <w:rFonts w:cs="Arial"/>
        </w:rPr>
      </w:pPr>
      <w:r>
        <w:rPr>
          <w:rFonts w:cs="Arial"/>
          <w:b/>
        </w:rPr>
        <w:t>Artículo 271-A.</w:t>
      </w:r>
      <w:r>
        <w:rPr>
          <w:rFonts w:cs="Arial"/>
        </w:rPr>
        <w:t xml:space="preserve"> Todo proyecto de ley o decreto que sea sometido a votación del Congreso, deberá incluir en su dictamen correspondiente una estimación sobre el impacto presupuestario del proyecto.</w:t>
      </w:r>
    </w:p>
    <w:p w14:paraId="03F74999" w14:textId="77777777" w:rsidR="00D3344B" w:rsidRDefault="00D3344B">
      <w:pPr>
        <w:pStyle w:val="Estilo"/>
        <w:rPr>
          <w:rFonts w:cs="Arial"/>
        </w:rPr>
      </w:pPr>
    </w:p>
    <w:p w14:paraId="40CF326C" w14:textId="77777777" w:rsidR="00D3344B" w:rsidRDefault="00143C25">
      <w:pPr>
        <w:pStyle w:val="Estilo"/>
        <w:rPr>
          <w:rFonts w:cs="Arial"/>
        </w:rPr>
      </w:pPr>
      <w:r>
        <w:rPr>
          <w:rFonts w:cs="Arial"/>
        </w:rPr>
        <w:t>La aprobación y ejecución de nuevas obligaciones financieras derivadas de la legislación local, se realizará en el marco del principio de balance presupuestario sostenible, por lo cual, se sujetarán a la capacidad financiera del Estado.</w:t>
      </w:r>
    </w:p>
    <w:p w14:paraId="67CE29C8" w14:textId="77777777" w:rsidR="00D3344B" w:rsidRDefault="00D3344B">
      <w:pPr>
        <w:pStyle w:val="Estilo"/>
        <w:rPr>
          <w:rFonts w:cs="Arial"/>
        </w:rPr>
      </w:pPr>
    </w:p>
    <w:p w14:paraId="6B25C19C" w14:textId="77777777" w:rsidR="00D3344B" w:rsidRDefault="00143C25">
      <w:pPr>
        <w:pStyle w:val="Estilo"/>
        <w:rPr>
          <w:rFonts w:cs="Arial"/>
          <w:i/>
          <w:sz w:val="16"/>
          <w:szCs w:val="16"/>
        </w:rPr>
      </w:pPr>
      <w:r>
        <w:rPr>
          <w:rFonts w:cs="Arial"/>
          <w:i/>
          <w:sz w:val="16"/>
          <w:szCs w:val="16"/>
        </w:rPr>
        <w:t>(REFORMADO PRIMER PÁRRAFO, P.O. 16 DE NOVIEMBRE DE 2016)</w:t>
      </w:r>
    </w:p>
    <w:p w14:paraId="2281635A" w14:textId="77777777" w:rsidR="00D3344B" w:rsidRDefault="00143C25">
      <w:pPr>
        <w:pStyle w:val="Estilo"/>
        <w:rPr>
          <w:rFonts w:cs="Arial"/>
        </w:rPr>
      </w:pPr>
      <w:r>
        <w:rPr>
          <w:rFonts w:cs="Arial"/>
          <w:b/>
        </w:rPr>
        <w:t>Artículo 272.</w:t>
      </w:r>
      <w:r>
        <w:rPr>
          <w:rFonts w:cs="Arial"/>
        </w:rPr>
        <w:t xml:space="preserve"> Los titulares de las dependencias y entidades o instituciones que reciban recursos públicos, serán directamente responsables de la formulación de sus programas, del desarrollo de los mismos, de la correcta administración y aplicación de los recursos presupuestales asignados con base en los principios de legalidad, honestidad, eficacia, eficiencia, economía, racionalidad, austeridad, transparencia, control y rendición de cuentas; así como del resguardo y uso adecuado de los bienes materiales y patrimoniales que le sean asignados para el desarrollo de su función.</w:t>
      </w:r>
    </w:p>
    <w:p w14:paraId="58CD39E7" w14:textId="77777777" w:rsidR="00D3344B" w:rsidRDefault="00D3344B">
      <w:pPr>
        <w:pStyle w:val="Estilo"/>
        <w:rPr>
          <w:rFonts w:cs="Arial"/>
        </w:rPr>
      </w:pPr>
    </w:p>
    <w:p w14:paraId="54333453" w14:textId="77777777" w:rsidR="00D3344B" w:rsidRDefault="00143C25">
      <w:pPr>
        <w:pStyle w:val="Estilo"/>
        <w:rPr>
          <w:rFonts w:cs="Arial"/>
        </w:rPr>
      </w:pPr>
      <w:r>
        <w:rPr>
          <w:rFonts w:cs="Arial"/>
        </w:rPr>
        <w:t>Los Servidores Públicos serán por sus actos responsables de las afectaciones que sufra la Hacienda Pública del Estado, de conformidad a lo dispuesto en la ley aplicable en la materia.</w:t>
      </w:r>
    </w:p>
    <w:p w14:paraId="4B6B3316" w14:textId="77777777" w:rsidR="00D3344B" w:rsidRDefault="00D3344B">
      <w:pPr>
        <w:pStyle w:val="Estilo"/>
        <w:rPr>
          <w:rFonts w:cs="Arial"/>
        </w:rPr>
      </w:pPr>
    </w:p>
    <w:p w14:paraId="6A93B226" w14:textId="77777777" w:rsidR="00D3344B" w:rsidRDefault="00143C25">
      <w:pPr>
        <w:pStyle w:val="Estilo"/>
        <w:jc w:val="center"/>
        <w:rPr>
          <w:rFonts w:cs="Arial"/>
          <w:b/>
        </w:rPr>
      </w:pPr>
      <w:r>
        <w:rPr>
          <w:rFonts w:cs="Arial"/>
          <w:b/>
        </w:rPr>
        <w:t>Sección Segunda</w:t>
      </w:r>
    </w:p>
    <w:p w14:paraId="3F264FDE" w14:textId="77777777" w:rsidR="00D3344B" w:rsidRDefault="00143C25">
      <w:pPr>
        <w:pStyle w:val="Estilo"/>
        <w:jc w:val="center"/>
        <w:rPr>
          <w:rFonts w:cs="Arial"/>
          <w:b/>
        </w:rPr>
      </w:pPr>
      <w:r>
        <w:rPr>
          <w:rFonts w:cs="Arial"/>
          <w:b/>
        </w:rPr>
        <w:t>Formulación del Presupuesto</w:t>
      </w:r>
    </w:p>
    <w:p w14:paraId="3BD2DF5A" w14:textId="77777777" w:rsidR="00D3344B" w:rsidRDefault="00D3344B">
      <w:pPr>
        <w:pStyle w:val="Estilo"/>
        <w:rPr>
          <w:rFonts w:cs="Arial"/>
        </w:rPr>
      </w:pPr>
    </w:p>
    <w:p w14:paraId="23CF4229" w14:textId="77777777" w:rsidR="00D3344B" w:rsidRDefault="00143C25">
      <w:pPr>
        <w:pStyle w:val="Estilo"/>
        <w:rPr>
          <w:rFonts w:cs="Arial"/>
        </w:rPr>
      </w:pPr>
      <w:r>
        <w:rPr>
          <w:rFonts w:cs="Arial"/>
          <w:i/>
          <w:sz w:val="16"/>
        </w:rPr>
        <w:t>(REFORMADO PRIMER PÁRRAFO, P.O. 22 DE DICIEMBRE DE 2021)</w:t>
      </w:r>
    </w:p>
    <w:p w14:paraId="6129D6CA" w14:textId="77777777" w:rsidR="00D3344B" w:rsidRDefault="00143C25">
      <w:pPr>
        <w:pStyle w:val="Estilo"/>
        <w:rPr>
          <w:rFonts w:cs="Arial"/>
        </w:rPr>
      </w:pPr>
      <w:r>
        <w:rPr>
          <w:rFonts w:cs="Arial"/>
          <w:b/>
        </w:rPr>
        <w:t>Artículo 273.</w:t>
      </w:r>
      <w:r>
        <w:rPr>
          <w:rFonts w:cs="Arial"/>
        </w:rPr>
        <w:t xml:space="preserve"> El presupuesto de egresos se realizará con base en la formulación de presupuestos por programas con enfoque a resultados, en los que se señalen nombre del programa, descripción, justificación, objetivos estratégicos, metas calendarizadas y costo por programa-proyecto, así como las unidades responsables de su ejecución, con base en objetivos, parámetros cuantificables e indicadores del desempeño; en el marco de un Sistema Estatal de Planeación Democrática, involucrando a la sociedad mediante foros de consulta, orientada al cumplimiento de objetivos que garanticen el desarrollo integral y equilibrado del Estado; el Presupuesto deberá ser congruente con el Plan Estatal de Desarrollo, Plan Municipal de Desarrollo para el caso de los Municipios, y los programas derivados de los mismos, según sea el caso, e incluirá cuando menos lo siguiente:</w:t>
      </w:r>
    </w:p>
    <w:p w14:paraId="1D21F08E" w14:textId="77777777" w:rsidR="00D3344B" w:rsidRDefault="00D3344B">
      <w:pPr>
        <w:pStyle w:val="Estilo"/>
        <w:rPr>
          <w:rFonts w:cs="Arial"/>
        </w:rPr>
      </w:pPr>
    </w:p>
    <w:p w14:paraId="3A164403" w14:textId="77777777" w:rsidR="00D3344B" w:rsidRDefault="00143C25">
      <w:pPr>
        <w:pStyle w:val="Estilo"/>
        <w:ind w:left="567" w:hanging="567"/>
        <w:rPr>
          <w:rFonts w:cs="Arial"/>
        </w:rPr>
      </w:pPr>
      <w:r>
        <w:rPr>
          <w:rFonts w:cs="Arial"/>
        </w:rPr>
        <w:t xml:space="preserve">I. </w:t>
      </w:r>
      <w:r>
        <w:rPr>
          <w:rFonts w:cs="Arial"/>
        </w:rPr>
        <w:tab/>
        <w:t>Objetivos anuales, estrategias y metas;</w:t>
      </w:r>
    </w:p>
    <w:p w14:paraId="033C0B6C" w14:textId="77777777" w:rsidR="00D3344B" w:rsidRDefault="00D3344B">
      <w:pPr>
        <w:pStyle w:val="Estilo"/>
        <w:ind w:left="567" w:hanging="567"/>
        <w:rPr>
          <w:rFonts w:cs="Arial"/>
        </w:rPr>
      </w:pPr>
    </w:p>
    <w:p w14:paraId="318EEA07" w14:textId="77777777" w:rsidR="00D3344B" w:rsidRDefault="00143C25">
      <w:pPr>
        <w:pStyle w:val="Estilo"/>
        <w:ind w:left="567" w:hanging="567"/>
        <w:rPr>
          <w:rFonts w:cs="Arial"/>
        </w:rPr>
      </w:pPr>
      <w:r>
        <w:rPr>
          <w:rFonts w:cs="Arial"/>
        </w:rPr>
        <w:t xml:space="preserve">II. </w:t>
      </w:r>
      <w:r>
        <w:rPr>
          <w:rFonts w:cs="Arial"/>
        </w:rPr>
        <w:tab/>
        <w:t>Proyecciones de finanzas públicas, considerando las premisas empleadas en los Criterios Generales de Política Económica, de la Ley Federal de Presupuesto y Responsabilidad Hacendaria, los cuales sirven de base para la elaboración de la Ley de Ingresos y el Presupuesto de Egresos de la Federación.</w:t>
      </w:r>
    </w:p>
    <w:p w14:paraId="52B4E66F" w14:textId="77777777" w:rsidR="00D3344B" w:rsidRDefault="00D3344B">
      <w:pPr>
        <w:pStyle w:val="Estilo"/>
        <w:ind w:left="567" w:hanging="567"/>
        <w:rPr>
          <w:rFonts w:cs="Arial"/>
        </w:rPr>
      </w:pPr>
    </w:p>
    <w:p w14:paraId="00F923A5" w14:textId="77777777" w:rsidR="00D3344B" w:rsidRDefault="00143C25">
      <w:pPr>
        <w:pStyle w:val="Estilo"/>
        <w:ind w:left="567"/>
        <w:rPr>
          <w:rFonts w:cs="Arial"/>
        </w:rPr>
      </w:pPr>
      <w:r>
        <w:rPr>
          <w:rFonts w:cs="Arial"/>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14:paraId="70D912F5" w14:textId="77777777" w:rsidR="00D3344B" w:rsidRDefault="00D3344B">
      <w:pPr>
        <w:pStyle w:val="Estilo"/>
        <w:ind w:left="567" w:hanging="567"/>
        <w:rPr>
          <w:rFonts w:cs="Arial"/>
        </w:rPr>
      </w:pPr>
    </w:p>
    <w:p w14:paraId="52B92CAD" w14:textId="77777777" w:rsidR="00D3344B" w:rsidRDefault="00143C25">
      <w:pPr>
        <w:pStyle w:val="Estilo"/>
        <w:ind w:left="567" w:hanging="567"/>
        <w:rPr>
          <w:rFonts w:cs="Arial"/>
        </w:rPr>
      </w:pPr>
      <w:r>
        <w:rPr>
          <w:rFonts w:cs="Arial"/>
        </w:rPr>
        <w:t xml:space="preserve">III. </w:t>
      </w:r>
      <w:r>
        <w:rPr>
          <w:rFonts w:cs="Arial"/>
        </w:rPr>
        <w:tab/>
        <w:t>Descripción de los riesgos relevantes para las finanzas públicas, incluyendo los montos de Deuda Contingente, acompañados de propuestas de acción para enfrentarlos;</w:t>
      </w:r>
    </w:p>
    <w:p w14:paraId="24F3CEFA" w14:textId="77777777" w:rsidR="00D3344B" w:rsidRDefault="00D3344B">
      <w:pPr>
        <w:pStyle w:val="Estilo"/>
        <w:ind w:left="567" w:hanging="567"/>
        <w:rPr>
          <w:rFonts w:cs="Arial"/>
        </w:rPr>
      </w:pPr>
    </w:p>
    <w:p w14:paraId="38581667" w14:textId="77777777" w:rsidR="00D3344B" w:rsidRDefault="00143C25">
      <w:pPr>
        <w:pStyle w:val="Estilo"/>
        <w:ind w:left="567" w:hanging="567"/>
        <w:rPr>
          <w:rFonts w:cs="Arial"/>
        </w:rPr>
      </w:pPr>
      <w:r>
        <w:rPr>
          <w:rFonts w:cs="Arial"/>
        </w:rPr>
        <w:t xml:space="preserve">IV. </w:t>
      </w:r>
      <w:r>
        <w:rPr>
          <w:rFonts w:cs="Arial"/>
        </w:rPr>
        <w:tab/>
        <w:t>Los resultados de las finanzas públicas que abarquen un periodo de los cinco últimos años para el caso de la (sic) Estado y los tres últimos para el caso de los Municipios, y el ejercicio fiscal en cuestión, de acuerdo con los formatos que emita el Consejo Nacional de Armonización Contable para este fin, y</w:t>
      </w:r>
    </w:p>
    <w:p w14:paraId="26602F22" w14:textId="77777777" w:rsidR="00D3344B" w:rsidRDefault="00D3344B">
      <w:pPr>
        <w:pStyle w:val="Estilo"/>
        <w:ind w:left="567" w:hanging="567"/>
        <w:rPr>
          <w:rFonts w:cs="Arial"/>
        </w:rPr>
      </w:pPr>
    </w:p>
    <w:p w14:paraId="52FCEA4A" w14:textId="77777777" w:rsidR="00D3344B" w:rsidRDefault="00143C25">
      <w:pPr>
        <w:pStyle w:val="Estilo"/>
        <w:ind w:left="567" w:hanging="567"/>
        <w:rPr>
          <w:rFonts w:cs="Arial"/>
        </w:rPr>
      </w:pPr>
      <w:r>
        <w:rPr>
          <w:rFonts w:cs="Arial"/>
        </w:rPr>
        <w:t xml:space="preserve">V. </w:t>
      </w:r>
      <w:r>
        <w:rPr>
          <w:rFonts w:cs="Arial"/>
        </w:rPr>
        <w:tab/>
        <w:t>Un estudio actuarial de las pensiones de sus trabajadores, el cual como mínimo deberá actualizarse cada tres años para el caso del Estado y cuatro para el caso de los Municipios. El estudio deberá incluir la población afiliada, la edad promedio, las características de las prestaciones otorgadas por la ley aplicable, el monto de reservas de pensiones, así como el periodo de suficiencia y el balance actuarial en valor presente.</w:t>
      </w:r>
    </w:p>
    <w:p w14:paraId="4BB508E6" w14:textId="77777777" w:rsidR="00D3344B" w:rsidRDefault="00D3344B">
      <w:pPr>
        <w:pStyle w:val="Estilo"/>
        <w:ind w:left="567" w:hanging="567"/>
        <w:rPr>
          <w:rFonts w:cs="Arial"/>
        </w:rPr>
      </w:pPr>
    </w:p>
    <w:p w14:paraId="7B234E98" w14:textId="77777777" w:rsidR="00D3344B" w:rsidRDefault="00143C25">
      <w:pPr>
        <w:pStyle w:val="Estilo"/>
        <w:ind w:left="567" w:hanging="567"/>
        <w:rPr>
          <w:rFonts w:cs="Arial"/>
        </w:rPr>
      </w:pPr>
      <w:r>
        <w:rPr>
          <w:rFonts w:cs="Arial"/>
        </w:rPr>
        <w:t xml:space="preserve">VI. </w:t>
      </w:r>
      <w:r>
        <w:rPr>
          <w:rFonts w:cs="Arial"/>
        </w:rPr>
        <w:tab/>
        <w:t>Deberá ser congruente con los Criterios Generales de Política Económica antes mencionados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 así como aquellas transferencias del Estado, para el caso de los Municipios.</w:t>
      </w:r>
    </w:p>
    <w:p w14:paraId="148B24C4" w14:textId="77777777" w:rsidR="00D3344B" w:rsidRDefault="00D3344B">
      <w:pPr>
        <w:pStyle w:val="Estilo"/>
        <w:rPr>
          <w:rFonts w:cs="Arial"/>
        </w:rPr>
      </w:pPr>
    </w:p>
    <w:p w14:paraId="390E3D4F" w14:textId="77777777" w:rsidR="00D3344B" w:rsidRDefault="00143C25">
      <w:pPr>
        <w:pStyle w:val="Estilo"/>
        <w:rPr>
          <w:rFonts w:cs="Arial"/>
        </w:rPr>
      </w:pPr>
      <w:r>
        <w:rPr>
          <w:rFonts w:cs="Arial"/>
        </w:rPr>
        <w:t>Para el caso de los Presupuesto (sic) de Egresos de los Municipios. Deberán ser congruentes con los Planes Estatal y Municipal de Desarrollo, y los programas derivados de los mismos, e incluirán cuando menos objetivos anuales, estrategias y metas.</w:t>
      </w:r>
    </w:p>
    <w:p w14:paraId="7252CBD3" w14:textId="77777777" w:rsidR="00D3344B" w:rsidRDefault="00D3344B">
      <w:pPr>
        <w:pStyle w:val="Estilo"/>
        <w:rPr>
          <w:rFonts w:cs="Arial"/>
        </w:rPr>
      </w:pPr>
    </w:p>
    <w:p w14:paraId="6D624C78" w14:textId="77777777" w:rsidR="00D3344B" w:rsidRDefault="00143C25">
      <w:pPr>
        <w:pStyle w:val="Estilo"/>
        <w:rPr>
          <w:rFonts w:cs="Arial"/>
        </w:rPr>
      </w:pPr>
      <w:r>
        <w:rPr>
          <w:rFonts w:cs="Arial"/>
        </w:rPr>
        <w:t>Las proyecciones y resultados a que se refieren las fracciones II y IV,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14:paraId="6F1C8A4E" w14:textId="77777777" w:rsidR="00D3344B" w:rsidRDefault="00D3344B">
      <w:pPr>
        <w:pStyle w:val="Estilo"/>
        <w:rPr>
          <w:rFonts w:cs="Arial"/>
        </w:rPr>
      </w:pPr>
    </w:p>
    <w:p w14:paraId="34F2D623" w14:textId="77777777" w:rsidR="00D3344B" w:rsidRDefault="00143C25">
      <w:pPr>
        <w:pStyle w:val="Estilo"/>
        <w:rPr>
          <w:rFonts w:cs="Arial"/>
        </w:rPr>
      </w:pPr>
      <w:r>
        <w:rPr>
          <w:rFonts w:cs="Arial"/>
          <w:i/>
          <w:sz w:val="16"/>
        </w:rPr>
        <w:t>(ADICIONADO, P.O. 29 DE DICIEMBRE DE 2017)</w:t>
      </w:r>
    </w:p>
    <w:p w14:paraId="630DC3AC" w14:textId="77777777" w:rsidR="00D3344B" w:rsidRDefault="00143C25">
      <w:pPr>
        <w:pStyle w:val="Estilo"/>
        <w:rPr>
          <w:rFonts w:cs="Arial"/>
        </w:rPr>
      </w:pPr>
      <w:r>
        <w:rPr>
          <w:rFonts w:cs="Arial"/>
        </w:rPr>
        <w:t>El Presupuesto de egresos será elaborado con perspectiva de género, debiendo ser ejercido y evaluado en función de sus logros en el bienestar de mujeres y hombres.</w:t>
      </w:r>
    </w:p>
    <w:p w14:paraId="221877DA" w14:textId="77777777" w:rsidR="00D3344B" w:rsidRDefault="00D3344B">
      <w:pPr>
        <w:pStyle w:val="Estilo"/>
        <w:rPr>
          <w:rFonts w:cs="Arial"/>
        </w:rPr>
      </w:pPr>
    </w:p>
    <w:p w14:paraId="1FBA9BEC" w14:textId="77777777" w:rsidR="00D3344B" w:rsidRDefault="00143C25">
      <w:pPr>
        <w:pStyle w:val="Estilo"/>
        <w:rPr>
          <w:rFonts w:cs="Arial"/>
        </w:rPr>
      </w:pPr>
      <w:r>
        <w:rPr>
          <w:rFonts w:cs="Arial"/>
          <w:i/>
          <w:sz w:val="16"/>
        </w:rPr>
        <w:t>(ADICIONADO, P.O. 22 DE DICIEMBRE DE 2021)</w:t>
      </w:r>
    </w:p>
    <w:p w14:paraId="54FC6947" w14:textId="77777777" w:rsidR="00D3344B" w:rsidRDefault="00143C25">
      <w:pPr>
        <w:pStyle w:val="Estilo"/>
        <w:rPr>
          <w:rFonts w:cs="Arial"/>
        </w:rPr>
      </w:pPr>
      <w:r>
        <w:rPr>
          <w:rFonts w:cs="Arial"/>
        </w:rPr>
        <w:t>Cuando esté aprobado el presupuesto, las estimaciones de participaciones y transferencias federales etiquetadas que se incluyan no deberán exceder a las previstas en la Ley de Ingresos de la Federación y en el Presupuesto de Egresos de la Federación del ejercicio fiscal correspondiente.</w:t>
      </w:r>
    </w:p>
    <w:p w14:paraId="725F99A3" w14:textId="77777777" w:rsidR="00D3344B" w:rsidRDefault="00D3344B">
      <w:pPr>
        <w:pStyle w:val="Estilo"/>
        <w:rPr>
          <w:rFonts w:cs="Arial"/>
        </w:rPr>
      </w:pPr>
    </w:p>
    <w:p w14:paraId="5896020B" w14:textId="77777777" w:rsidR="00D3344B" w:rsidRDefault="00143C25">
      <w:pPr>
        <w:pStyle w:val="Estilo"/>
        <w:rPr>
          <w:rFonts w:cs="Arial"/>
        </w:rPr>
      </w:pPr>
      <w:r>
        <w:rPr>
          <w:rFonts w:cs="Arial"/>
          <w:i/>
          <w:sz w:val="16"/>
        </w:rPr>
        <w:t>(ADICIONADO, P.O. 22 DE DICIEMBRE DE 2021)</w:t>
      </w:r>
    </w:p>
    <w:p w14:paraId="0DD93558" w14:textId="77777777" w:rsidR="00D3344B" w:rsidRDefault="00143C25">
      <w:pPr>
        <w:pStyle w:val="Estilo"/>
        <w:rPr>
          <w:rFonts w:cs="Arial"/>
        </w:rPr>
      </w:pPr>
      <w:r>
        <w:rPr>
          <w:rFonts w:cs="Arial"/>
        </w:rPr>
        <w:lastRenderedPageBreak/>
        <w:t>Para aquellas transferencias federales etiquetadas, cuya distribución por Entidad Federativa no se encuentre disponible en el Presupuesto de Egresos de la Federación, la Secretaría podrá realizar una estimación con base en los Criterios Generales de Política Económica, el monto nacional y la distribución realizada en ejercicios fiscales anteriores.</w:t>
      </w:r>
    </w:p>
    <w:p w14:paraId="60E0202C" w14:textId="77777777" w:rsidR="00D3344B" w:rsidRDefault="00D3344B">
      <w:pPr>
        <w:pStyle w:val="Estilo"/>
        <w:rPr>
          <w:rFonts w:cs="Arial"/>
        </w:rPr>
      </w:pPr>
    </w:p>
    <w:p w14:paraId="113F2276" w14:textId="77777777" w:rsidR="00D3344B" w:rsidRDefault="00143C25">
      <w:pPr>
        <w:pStyle w:val="Estilo"/>
        <w:rPr>
          <w:rFonts w:cs="Arial"/>
        </w:rPr>
      </w:pPr>
      <w:r>
        <w:rPr>
          <w:rFonts w:cs="Arial"/>
          <w:i/>
          <w:sz w:val="16"/>
        </w:rPr>
        <w:t>(ADICIONADO, P.O. 29 DE DICIEMBRE DE 2017)</w:t>
      </w:r>
    </w:p>
    <w:p w14:paraId="3E19C09D" w14:textId="77777777" w:rsidR="00D3344B" w:rsidRDefault="00143C25">
      <w:pPr>
        <w:pStyle w:val="Estilo"/>
        <w:rPr>
          <w:rFonts w:cs="Arial"/>
        </w:rPr>
      </w:pPr>
      <w:r>
        <w:rPr>
          <w:rFonts w:cs="Arial"/>
          <w:b/>
        </w:rPr>
        <w:t>Artículo 273 Bis.</w:t>
      </w:r>
      <w:r>
        <w:rPr>
          <w:rFonts w:cs="Arial"/>
        </w:rPr>
        <w:t xml:space="preserve"> Para los efectos del artículo anterior se entiende por Presupuestos Públicos con perspectiva de género, aquellos que son herramientas que contribuyen a la elaboración, instrumentación y evaluación de políticas, programas y presupuestos orientados a la transformación de la organización social hacia una sociedad igualitaria.</w:t>
      </w:r>
    </w:p>
    <w:p w14:paraId="7CFF2644" w14:textId="77777777" w:rsidR="00D3344B" w:rsidRDefault="00D3344B">
      <w:pPr>
        <w:pStyle w:val="Estilo"/>
        <w:rPr>
          <w:rFonts w:cs="Arial"/>
        </w:rPr>
      </w:pPr>
    </w:p>
    <w:p w14:paraId="636BF9BC" w14:textId="77777777" w:rsidR="00D3344B" w:rsidRDefault="00143C25">
      <w:pPr>
        <w:pStyle w:val="Estilo"/>
        <w:rPr>
          <w:rFonts w:cs="Arial"/>
        </w:rPr>
      </w:pPr>
      <w:r>
        <w:rPr>
          <w:rFonts w:cs="Arial"/>
        </w:rPr>
        <w:t>La elaboración del Presupuesto de Egresos con enfoque de género, implicará el análisis de los gastos e ingresos gubernamentales reales, en relación a la situación real de las mujeres; comparados con los realizados en relación a la situación real de los hombres, buscando que los recursos destinados impacten de manera igualitaria en favor tanto en favor (sic) de las mujeres, como en favor de los hombres.</w:t>
      </w:r>
    </w:p>
    <w:p w14:paraId="40588507" w14:textId="77777777" w:rsidR="00D3344B" w:rsidRDefault="00D3344B">
      <w:pPr>
        <w:pStyle w:val="Estilo"/>
        <w:rPr>
          <w:rFonts w:cs="Arial"/>
        </w:rPr>
      </w:pPr>
    </w:p>
    <w:p w14:paraId="1EF42E51" w14:textId="77777777" w:rsidR="00D3344B" w:rsidRDefault="00143C25">
      <w:pPr>
        <w:pStyle w:val="Estilo"/>
        <w:rPr>
          <w:rFonts w:cs="Arial"/>
        </w:rPr>
      </w:pPr>
      <w:r>
        <w:rPr>
          <w:rFonts w:cs="Arial"/>
          <w:i/>
          <w:sz w:val="16"/>
        </w:rPr>
        <w:t>(ADICIONADO, P.O. 29 DE DICIEMBRE DE 2017)</w:t>
      </w:r>
    </w:p>
    <w:p w14:paraId="18A1ABED" w14:textId="77777777" w:rsidR="00D3344B" w:rsidRDefault="00143C25">
      <w:pPr>
        <w:pStyle w:val="Estilo"/>
        <w:rPr>
          <w:rFonts w:cs="Arial"/>
        </w:rPr>
      </w:pPr>
      <w:r>
        <w:rPr>
          <w:rFonts w:cs="Arial"/>
          <w:b/>
        </w:rPr>
        <w:t>Artículo 273 Ter.</w:t>
      </w:r>
      <w:r>
        <w:rPr>
          <w:rFonts w:cs="Arial"/>
        </w:rPr>
        <w:t xml:space="preserve"> La elaboración del Presupuesto con perspectiva de género tiene como finalidad:</w:t>
      </w:r>
    </w:p>
    <w:p w14:paraId="0D4D560D" w14:textId="77777777" w:rsidR="00D3344B" w:rsidRDefault="00D3344B">
      <w:pPr>
        <w:pStyle w:val="Estilo"/>
        <w:rPr>
          <w:rFonts w:cs="Arial"/>
        </w:rPr>
      </w:pPr>
    </w:p>
    <w:p w14:paraId="6AEAF7FA" w14:textId="77777777" w:rsidR="00D3344B" w:rsidRDefault="00143C25">
      <w:pPr>
        <w:pStyle w:val="Estilo"/>
        <w:ind w:left="567" w:hanging="567"/>
        <w:rPr>
          <w:rFonts w:cs="Arial"/>
        </w:rPr>
      </w:pPr>
      <w:r>
        <w:rPr>
          <w:rFonts w:cs="Arial"/>
        </w:rPr>
        <w:t xml:space="preserve">I. </w:t>
      </w:r>
      <w:r>
        <w:rPr>
          <w:rFonts w:cs="Arial"/>
        </w:rPr>
        <w:tab/>
        <w:t>Demostrar el reconocimiento de las diferentes necesidades, intereses y realidades que las mujeres y los hombres del Estado de Tlaxcala tienen en la sociedad y las desigualdades subyacentes derivadas de las mismas aportando recursos para abordarlas;</w:t>
      </w:r>
    </w:p>
    <w:p w14:paraId="5338280E" w14:textId="77777777" w:rsidR="00D3344B" w:rsidRDefault="00D3344B">
      <w:pPr>
        <w:pStyle w:val="Estilo"/>
        <w:ind w:left="567" w:hanging="567"/>
        <w:rPr>
          <w:rFonts w:cs="Arial"/>
        </w:rPr>
      </w:pPr>
    </w:p>
    <w:p w14:paraId="2C659334" w14:textId="77777777" w:rsidR="00D3344B" w:rsidRDefault="00143C25">
      <w:pPr>
        <w:pStyle w:val="Estilo"/>
        <w:ind w:left="567" w:hanging="567"/>
        <w:rPr>
          <w:rFonts w:cs="Arial"/>
        </w:rPr>
      </w:pPr>
      <w:r>
        <w:rPr>
          <w:rFonts w:cs="Arial"/>
        </w:rPr>
        <w:t xml:space="preserve">II. </w:t>
      </w:r>
      <w:r>
        <w:rPr>
          <w:rFonts w:cs="Arial"/>
        </w:rPr>
        <w:tab/>
        <w:t>Mejorar la adjudicación de recursos a las mujeres;</w:t>
      </w:r>
    </w:p>
    <w:p w14:paraId="4FCCFDDE" w14:textId="77777777" w:rsidR="00D3344B" w:rsidRDefault="00D3344B">
      <w:pPr>
        <w:pStyle w:val="Estilo"/>
        <w:ind w:left="567" w:hanging="567"/>
        <w:rPr>
          <w:rFonts w:cs="Arial"/>
        </w:rPr>
      </w:pPr>
    </w:p>
    <w:p w14:paraId="06340E89" w14:textId="77777777" w:rsidR="00D3344B" w:rsidRDefault="00143C25">
      <w:pPr>
        <w:pStyle w:val="Estilo"/>
        <w:ind w:left="567" w:hanging="567"/>
        <w:rPr>
          <w:rFonts w:cs="Arial"/>
        </w:rPr>
      </w:pPr>
      <w:r>
        <w:rPr>
          <w:rFonts w:cs="Arial"/>
        </w:rPr>
        <w:t xml:space="preserve">III. </w:t>
      </w:r>
      <w:r>
        <w:rPr>
          <w:rFonts w:cs="Arial"/>
        </w:rPr>
        <w:tab/>
        <w:t>Apoyar la incorporación de la perspectiva de género en la economía del Estado;</w:t>
      </w:r>
    </w:p>
    <w:p w14:paraId="161E4BEE" w14:textId="77777777" w:rsidR="00D3344B" w:rsidRDefault="00D3344B">
      <w:pPr>
        <w:pStyle w:val="Estilo"/>
        <w:ind w:left="567" w:hanging="567"/>
        <w:rPr>
          <w:rFonts w:cs="Arial"/>
        </w:rPr>
      </w:pPr>
    </w:p>
    <w:p w14:paraId="235398BE" w14:textId="77777777" w:rsidR="00D3344B" w:rsidRDefault="00143C25">
      <w:pPr>
        <w:pStyle w:val="Estilo"/>
        <w:ind w:left="567" w:hanging="567"/>
        <w:rPr>
          <w:rFonts w:cs="Arial"/>
        </w:rPr>
      </w:pPr>
      <w:r>
        <w:rPr>
          <w:rFonts w:cs="Arial"/>
        </w:rPr>
        <w:t xml:space="preserve">IV. </w:t>
      </w:r>
      <w:r>
        <w:rPr>
          <w:rFonts w:cs="Arial"/>
        </w:rPr>
        <w:tab/>
        <w:t>Fortalecer la participación de la sociedad civil en la elaboración de políticas económicas, y</w:t>
      </w:r>
    </w:p>
    <w:p w14:paraId="59177C1A" w14:textId="77777777" w:rsidR="00D3344B" w:rsidRDefault="00D3344B">
      <w:pPr>
        <w:pStyle w:val="Estilo"/>
        <w:ind w:left="567" w:hanging="567"/>
        <w:rPr>
          <w:rFonts w:cs="Arial"/>
        </w:rPr>
      </w:pPr>
    </w:p>
    <w:p w14:paraId="7500CB6E" w14:textId="77777777" w:rsidR="00D3344B" w:rsidRDefault="00143C25">
      <w:pPr>
        <w:pStyle w:val="Estilo"/>
        <w:ind w:left="567" w:hanging="567"/>
        <w:rPr>
          <w:rFonts w:cs="Arial"/>
        </w:rPr>
      </w:pPr>
      <w:r>
        <w:rPr>
          <w:rFonts w:cs="Arial"/>
        </w:rPr>
        <w:t xml:space="preserve">V. </w:t>
      </w:r>
      <w:r>
        <w:rPr>
          <w:rFonts w:cs="Arial"/>
        </w:rPr>
        <w:tab/>
        <w:t>Hacer un seguimiento del gasto público en relación a los compromisos en cuestiones de género y desarrollo, y contribuir al cumplimiento de la Política Nacional Integral y de los instrumentos internacionales en materia de género e igualdad.</w:t>
      </w:r>
    </w:p>
    <w:p w14:paraId="3A8940EF" w14:textId="77777777" w:rsidR="00D3344B" w:rsidRDefault="00D3344B">
      <w:pPr>
        <w:pStyle w:val="Estilo"/>
        <w:rPr>
          <w:rFonts w:cs="Arial"/>
        </w:rPr>
      </w:pPr>
    </w:p>
    <w:p w14:paraId="3E8CE1F9" w14:textId="77777777" w:rsidR="00D3344B" w:rsidRDefault="00143C25">
      <w:pPr>
        <w:pStyle w:val="Estilo"/>
        <w:rPr>
          <w:rFonts w:cs="Arial"/>
        </w:rPr>
      </w:pPr>
      <w:r>
        <w:rPr>
          <w:rFonts w:cs="Arial"/>
          <w:i/>
          <w:sz w:val="16"/>
        </w:rPr>
        <w:t>(REFORMADO, P.O. 16 DE NOVIEMBRE DE 2016)</w:t>
      </w:r>
    </w:p>
    <w:p w14:paraId="3DC5DC6F" w14:textId="77777777" w:rsidR="00D3344B" w:rsidRDefault="00143C25">
      <w:pPr>
        <w:pStyle w:val="Estilo"/>
        <w:rPr>
          <w:rFonts w:cs="Arial"/>
        </w:rPr>
      </w:pPr>
      <w:r>
        <w:rPr>
          <w:rFonts w:cs="Arial"/>
          <w:b/>
        </w:rPr>
        <w:t>Artículo 274.</w:t>
      </w:r>
      <w:r>
        <w:rPr>
          <w:rFonts w:cs="Arial"/>
        </w:rPr>
        <w:t xml:space="preserve"> La formulación del presupuesto de egresos se realizará conforme al manual que emita la Secretaría y las tesorerías, quienes indicarán el techo financiero correspondiente, para la presentación del anteproyecto presupuestal respectivo, y conforme a la Ley General de Contabilidad Gubernamental, Ley de Disciplina Financiera de las Entidades Federativas y los Municipios, y las normas </w:t>
      </w:r>
      <w:r>
        <w:rPr>
          <w:rFonts w:cs="Arial"/>
        </w:rPr>
        <w:lastRenderedPageBreak/>
        <w:t>que para tal efecto emita el Consejo Nacional de Armonización Contable, antes del primero de septiembre de cada ejercicio presupuestal.</w:t>
      </w:r>
    </w:p>
    <w:p w14:paraId="6AA65308" w14:textId="77777777" w:rsidR="00D3344B" w:rsidRDefault="00D3344B">
      <w:pPr>
        <w:pStyle w:val="Estilo"/>
        <w:rPr>
          <w:rFonts w:cs="Arial"/>
        </w:rPr>
      </w:pPr>
    </w:p>
    <w:p w14:paraId="09CC4967" w14:textId="77777777" w:rsidR="00D3344B" w:rsidRDefault="00143C25">
      <w:pPr>
        <w:pStyle w:val="Estilo"/>
        <w:rPr>
          <w:rFonts w:cs="Arial"/>
        </w:rPr>
      </w:pPr>
      <w:r>
        <w:rPr>
          <w:rFonts w:cs="Arial"/>
        </w:rPr>
        <w:t>El Presupuesto de Egresos y la Ley de Ingresos deberán contribuir a un Balance presupuestario sostenible.</w:t>
      </w:r>
    </w:p>
    <w:p w14:paraId="7D28B2AE" w14:textId="77777777" w:rsidR="00D3344B" w:rsidRDefault="00D3344B">
      <w:pPr>
        <w:pStyle w:val="Estilo"/>
        <w:rPr>
          <w:rFonts w:cs="Arial"/>
        </w:rPr>
      </w:pPr>
    </w:p>
    <w:p w14:paraId="1D5BBB3E" w14:textId="77777777" w:rsidR="00D3344B" w:rsidRDefault="00143C25">
      <w:pPr>
        <w:pStyle w:val="Estilo"/>
        <w:rPr>
          <w:rFonts w:cs="Arial"/>
        </w:rPr>
      </w:pPr>
      <w:r>
        <w:rPr>
          <w:rFonts w:cs="Arial"/>
        </w:rPr>
        <w:t>El Financiamiento Neto que, en su caso se contrate y se utilice para el cálculo del Balance presupuestario de recursos disponibles sostenible, deberá estar dentro de los porcentajes autorizados por la Constitución Política del Estado, así como dentro del Techo de Financiamiento Neto que resulte de la aplicación del Sistema de Alertas, de acuerdo con la Ley de Disciplina Financiera de las Entidades Federativas y los Municipios.</w:t>
      </w:r>
    </w:p>
    <w:p w14:paraId="632B0114" w14:textId="77777777" w:rsidR="00D3344B" w:rsidRDefault="00D3344B">
      <w:pPr>
        <w:pStyle w:val="Estilo"/>
        <w:rPr>
          <w:rFonts w:cs="Arial"/>
        </w:rPr>
      </w:pPr>
    </w:p>
    <w:p w14:paraId="03D54804" w14:textId="77777777" w:rsidR="00D3344B" w:rsidRDefault="00143C25">
      <w:pPr>
        <w:pStyle w:val="Estilo"/>
        <w:rPr>
          <w:rFonts w:cs="Arial"/>
        </w:rPr>
      </w:pPr>
      <w:r>
        <w:rPr>
          <w:rFonts w:cs="Arial"/>
        </w:rPr>
        <w:t>Debido a razones excepcionales, las iniciativas de Ley de Ingresos y de Presupuesto de Egresos podrán prever un Balance presupuestario de recursos disponibles negativo. En estos casos, el Ejecutivo del Estado o el Tesorero Municipal, según sea el caso, deberá dar cuenta al Congreso de los siguientes aspectos:</w:t>
      </w:r>
    </w:p>
    <w:p w14:paraId="28387C93" w14:textId="77777777" w:rsidR="00D3344B" w:rsidRDefault="00D3344B">
      <w:pPr>
        <w:pStyle w:val="Estilo"/>
        <w:rPr>
          <w:rFonts w:cs="Arial"/>
        </w:rPr>
      </w:pPr>
    </w:p>
    <w:p w14:paraId="1A0FD2F2" w14:textId="77777777" w:rsidR="00D3344B" w:rsidRDefault="00143C25">
      <w:pPr>
        <w:pStyle w:val="Estilo"/>
        <w:ind w:left="567" w:hanging="567"/>
        <w:rPr>
          <w:rFonts w:cs="Arial"/>
        </w:rPr>
      </w:pPr>
      <w:r>
        <w:rPr>
          <w:rFonts w:cs="Arial"/>
        </w:rPr>
        <w:t xml:space="preserve">I. </w:t>
      </w:r>
      <w:r>
        <w:rPr>
          <w:rFonts w:cs="Arial"/>
        </w:rPr>
        <w:tab/>
        <w:t>Las razones excepcionales que justifican el Balance presupuestario de recursos disponibles negativo, conforme a lo dispuesto en el siguiente artículo;</w:t>
      </w:r>
    </w:p>
    <w:p w14:paraId="6C1C4296" w14:textId="77777777" w:rsidR="00D3344B" w:rsidRDefault="00D3344B">
      <w:pPr>
        <w:pStyle w:val="Estilo"/>
        <w:ind w:left="567" w:hanging="567"/>
        <w:rPr>
          <w:rFonts w:cs="Arial"/>
        </w:rPr>
      </w:pPr>
    </w:p>
    <w:p w14:paraId="133368EF" w14:textId="77777777" w:rsidR="00D3344B" w:rsidRDefault="00143C25">
      <w:pPr>
        <w:pStyle w:val="Estilo"/>
        <w:ind w:left="567" w:hanging="567"/>
        <w:rPr>
          <w:rFonts w:cs="Arial"/>
        </w:rPr>
      </w:pPr>
      <w:r>
        <w:rPr>
          <w:rFonts w:cs="Arial"/>
        </w:rPr>
        <w:t xml:space="preserve">II. </w:t>
      </w:r>
      <w:r>
        <w:rPr>
          <w:rFonts w:cs="Arial"/>
        </w:rPr>
        <w:tab/>
        <w:t>Las fuentes de recursos necesarias y el monto específico para cubrir el Balance presupuestario de recursos disponibles negativo, y</w:t>
      </w:r>
    </w:p>
    <w:p w14:paraId="364D56CA" w14:textId="77777777" w:rsidR="00D3344B" w:rsidRDefault="00D3344B">
      <w:pPr>
        <w:pStyle w:val="Estilo"/>
        <w:ind w:left="567" w:hanging="567"/>
        <w:rPr>
          <w:rFonts w:cs="Arial"/>
        </w:rPr>
      </w:pPr>
    </w:p>
    <w:p w14:paraId="5007658A" w14:textId="77777777" w:rsidR="00D3344B" w:rsidRDefault="00143C25">
      <w:pPr>
        <w:pStyle w:val="Estilo"/>
        <w:ind w:left="567" w:hanging="567"/>
        <w:rPr>
          <w:rFonts w:cs="Arial"/>
        </w:rPr>
      </w:pPr>
      <w:r>
        <w:rPr>
          <w:rFonts w:cs="Arial"/>
        </w:rPr>
        <w:t xml:space="preserve">III. </w:t>
      </w:r>
      <w:r>
        <w:rPr>
          <w:rFonts w:cs="Arial"/>
        </w:rPr>
        <w:tab/>
        <w:t>El número de ejercicios fiscales y las acciones requeridas para que dicho Balance presupuestario de recursos disponibles negativo sea eliminado y se restablezca el Balance presupuestario de recursos disponibles sostenible.</w:t>
      </w:r>
    </w:p>
    <w:p w14:paraId="46CF3706" w14:textId="77777777" w:rsidR="00D3344B" w:rsidRDefault="00D3344B">
      <w:pPr>
        <w:pStyle w:val="Estilo"/>
        <w:rPr>
          <w:rFonts w:cs="Arial"/>
        </w:rPr>
      </w:pPr>
    </w:p>
    <w:p w14:paraId="167EBD7F" w14:textId="77777777" w:rsidR="00D3344B" w:rsidRDefault="00143C25">
      <w:pPr>
        <w:pStyle w:val="Estilo"/>
        <w:rPr>
          <w:rFonts w:cs="Arial"/>
        </w:rPr>
      </w:pPr>
      <w:r>
        <w:rPr>
          <w:rFonts w:cs="Arial"/>
        </w:rPr>
        <w:t>El Ejecutivo del Estado, a través de la Secretaría, reportará en informes trimestrales y en la Cuenta Pública que entregue al Congreso y a través de su página oficial de Internet, el avance de las acciones, hasta en tanto se recupere el presupuesto sostenible de recursos disponibles.</w:t>
      </w:r>
    </w:p>
    <w:p w14:paraId="17385C39" w14:textId="77777777" w:rsidR="00D3344B" w:rsidRDefault="00D3344B">
      <w:pPr>
        <w:pStyle w:val="Estilo"/>
        <w:rPr>
          <w:rFonts w:cs="Arial"/>
        </w:rPr>
      </w:pPr>
    </w:p>
    <w:p w14:paraId="6836BB30" w14:textId="77777777" w:rsidR="00D3344B" w:rsidRDefault="00143C25">
      <w:pPr>
        <w:pStyle w:val="Estilo"/>
        <w:rPr>
          <w:rFonts w:cs="Arial"/>
        </w:rPr>
      </w:pPr>
      <w:r>
        <w:rPr>
          <w:rFonts w:cs="Arial"/>
        </w:rPr>
        <w:t>En caso de que el Congreso modifique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del Estado deberá dar cumplimiento a lo previsto en la fracción III y el párrafo anterior de este artículo.</w:t>
      </w:r>
    </w:p>
    <w:p w14:paraId="16B82164" w14:textId="77777777" w:rsidR="00D3344B" w:rsidRDefault="00D3344B">
      <w:pPr>
        <w:pStyle w:val="Estilo"/>
        <w:rPr>
          <w:rFonts w:cs="Arial"/>
        </w:rPr>
      </w:pPr>
    </w:p>
    <w:p w14:paraId="30E5C3F5" w14:textId="77777777" w:rsidR="00D3344B" w:rsidRDefault="00143C25">
      <w:pPr>
        <w:pStyle w:val="Estilo"/>
        <w:rPr>
          <w:rFonts w:cs="Arial"/>
        </w:rPr>
      </w:pPr>
      <w:r>
        <w:rPr>
          <w:rFonts w:cs="Arial"/>
          <w:i/>
          <w:sz w:val="16"/>
        </w:rPr>
        <w:t>(ADICIONADO, P.O. 16 DE NOVIEMBRE DE 2016)</w:t>
      </w:r>
    </w:p>
    <w:p w14:paraId="799B648B" w14:textId="77777777" w:rsidR="00D3344B" w:rsidRDefault="00143C25">
      <w:pPr>
        <w:pStyle w:val="Estilo"/>
        <w:rPr>
          <w:rFonts w:cs="Arial"/>
        </w:rPr>
      </w:pPr>
      <w:r>
        <w:rPr>
          <w:rFonts w:cs="Arial"/>
          <w:b/>
        </w:rPr>
        <w:t>Artículo 274-A.</w:t>
      </w:r>
      <w:r>
        <w:rPr>
          <w:rFonts w:cs="Arial"/>
        </w:rPr>
        <w:t xml:space="preserve"> Se podrá incurrir en un Balance presupuestario de recursos disponibles negativo cuando:</w:t>
      </w:r>
    </w:p>
    <w:p w14:paraId="596D20D4" w14:textId="77777777" w:rsidR="00D3344B" w:rsidRDefault="00D3344B">
      <w:pPr>
        <w:pStyle w:val="Estilo"/>
        <w:rPr>
          <w:rFonts w:cs="Arial"/>
        </w:rPr>
      </w:pPr>
    </w:p>
    <w:p w14:paraId="4A915A6E" w14:textId="77777777" w:rsidR="00D3344B" w:rsidRDefault="00143C25">
      <w:pPr>
        <w:pStyle w:val="Estilo"/>
        <w:ind w:left="567" w:hanging="567"/>
        <w:rPr>
          <w:rFonts w:cs="Arial"/>
        </w:rPr>
      </w:pPr>
      <w:r>
        <w:rPr>
          <w:rFonts w:cs="Arial"/>
        </w:rPr>
        <w:lastRenderedPageBreak/>
        <w:t xml:space="preserve">I. </w:t>
      </w:r>
      <w:r>
        <w:rPr>
          <w:rFonts w:cs="Arial"/>
        </w:rPr>
        <w:tab/>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14:paraId="4546F9A3" w14:textId="77777777" w:rsidR="00D3344B" w:rsidRDefault="00D3344B">
      <w:pPr>
        <w:pStyle w:val="Estilo"/>
        <w:ind w:left="567" w:hanging="567"/>
        <w:rPr>
          <w:rFonts w:cs="Arial"/>
        </w:rPr>
      </w:pPr>
    </w:p>
    <w:p w14:paraId="4EE3CD96" w14:textId="77777777" w:rsidR="00D3344B" w:rsidRDefault="00143C25">
      <w:pPr>
        <w:pStyle w:val="Estilo"/>
        <w:ind w:left="567" w:hanging="567"/>
        <w:rPr>
          <w:rFonts w:cs="Arial"/>
        </w:rPr>
      </w:pPr>
      <w:r>
        <w:rPr>
          <w:rFonts w:cs="Arial"/>
        </w:rPr>
        <w:t xml:space="preserve">II. </w:t>
      </w:r>
      <w:r>
        <w:rPr>
          <w:rFonts w:cs="Arial"/>
        </w:rPr>
        <w:tab/>
        <w:t>Sea necesario cubrir el costo de la reconstrucción provocada por los desastres naturales declarados en los términos de la Ley General de Protección Civil, o</w:t>
      </w:r>
    </w:p>
    <w:p w14:paraId="1452D880" w14:textId="77777777" w:rsidR="00D3344B" w:rsidRDefault="00D3344B">
      <w:pPr>
        <w:pStyle w:val="Estilo"/>
        <w:ind w:left="567" w:hanging="567"/>
        <w:rPr>
          <w:rFonts w:cs="Arial"/>
        </w:rPr>
      </w:pPr>
    </w:p>
    <w:p w14:paraId="49485448" w14:textId="77777777" w:rsidR="00D3344B" w:rsidRDefault="00143C25">
      <w:pPr>
        <w:pStyle w:val="Estilo"/>
        <w:ind w:left="567" w:hanging="567"/>
        <w:rPr>
          <w:rFonts w:cs="Arial"/>
        </w:rPr>
      </w:pPr>
      <w:r>
        <w:rPr>
          <w:rFonts w:cs="Arial"/>
        </w:rPr>
        <w:t xml:space="preserve">III. </w:t>
      </w:r>
      <w:r>
        <w:rPr>
          <w:rFonts w:cs="Arial"/>
        </w:rPr>
        <w:tab/>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14:paraId="76D62751" w14:textId="77777777" w:rsidR="00D3344B" w:rsidRDefault="00D3344B">
      <w:pPr>
        <w:pStyle w:val="Estilo"/>
        <w:rPr>
          <w:rFonts w:cs="Arial"/>
        </w:rPr>
      </w:pPr>
    </w:p>
    <w:p w14:paraId="10AF547A" w14:textId="77777777" w:rsidR="00D3344B" w:rsidRDefault="00143C25">
      <w:pPr>
        <w:pStyle w:val="Estilo"/>
        <w:rPr>
          <w:rFonts w:cs="Arial"/>
        </w:rPr>
      </w:pPr>
      <w:r>
        <w:rPr>
          <w:rFonts w:cs="Arial"/>
          <w:i/>
          <w:sz w:val="16"/>
        </w:rPr>
        <w:t>(REFORMADO PRIMER PÁRRAFO, P.O. 22 DE DICIEMBRE DE 2021)</w:t>
      </w:r>
    </w:p>
    <w:p w14:paraId="31487E26" w14:textId="77777777" w:rsidR="00D3344B" w:rsidRDefault="00143C25">
      <w:pPr>
        <w:pStyle w:val="Estilo"/>
        <w:rPr>
          <w:rFonts w:cs="Arial"/>
        </w:rPr>
      </w:pPr>
      <w:r>
        <w:rPr>
          <w:rFonts w:cs="Arial"/>
          <w:b/>
        </w:rPr>
        <w:t>Artículo 274-B.</w:t>
      </w:r>
      <w:r>
        <w:rPr>
          <w:rFonts w:cs="Arial"/>
        </w:rPr>
        <w:t xml:space="preserve"> Toda propuesta de aumento o creación de gasto del Presupuesto de Egresos, deberá acompañarse con la correspondiente fuente de ingresos distinta al financiamiento, o compensarse con reducciones en otras previsiones de gasto.</w:t>
      </w:r>
    </w:p>
    <w:p w14:paraId="451C49A0" w14:textId="77777777" w:rsidR="00D3344B" w:rsidRDefault="00D3344B">
      <w:pPr>
        <w:pStyle w:val="Estilo"/>
        <w:rPr>
          <w:rFonts w:cs="Arial"/>
        </w:rPr>
      </w:pPr>
    </w:p>
    <w:p w14:paraId="69416673" w14:textId="77777777" w:rsidR="00D3344B" w:rsidRDefault="00143C25">
      <w:pPr>
        <w:pStyle w:val="Estilo"/>
        <w:rPr>
          <w:rFonts w:cs="Arial"/>
        </w:rPr>
      </w:pPr>
      <w:r>
        <w:rPr>
          <w:rFonts w:cs="Arial"/>
        </w:rPr>
        <w:t>No procederá pago alguno que no esté comprendido en el Presupuesto de Egresos, determinado por ley posterior o con cargo a Ingresos excedentes. El Estado o el Municipio, según sea el caso, deberá revelar en la cuenta pública y en los informes que periódicamente entreguen al Congreso, la fuente de ingresos con la que se haya pagado el nuevo gasto, distinguiendo el Gasto etiquetado y no etiquetado.</w:t>
      </w:r>
    </w:p>
    <w:p w14:paraId="0D043621" w14:textId="77777777" w:rsidR="00D3344B" w:rsidRDefault="00D3344B">
      <w:pPr>
        <w:pStyle w:val="Estilo"/>
        <w:rPr>
          <w:rFonts w:cs="Arial"/>
        </w:rPr>
      </w:pPr>
    </w:p>
    <w:p w14:paraId="759D3620" w14:textId="77777777" w:rsidR="00D3344B" w:rsidRDefault="00143C25">
      <w:pPr>
        <w:pStyle w:val="Estilo"/>
        <w:rPr>
          <w:rFonts w:cs="Arial"/>
        </w:rPr>
      </w:pPr>
      <w:r>
        <w:rPr>
          <w:rFonts w:cs="Arial"/>
          <w:i/>
          <w:sz w:val="16"/>
        </w:rPr>
        <w:t>(ADICIONADO, P.O. 16 DE NOVIEMBRE DE 2016)</w:t>
      </w:r>
    </w:p>
    <w:p w14:paraId="2B3254ED" w14:textId="77777777" w:rsidR="00D3344B" w:rsidRDefault="00143C25">
      <w:pPr>
        <w:pStyle w:val="Estilo"/>
        <w:rPr>
          <w:rFonts w:cs="Arial"/>
        </w:rPr>
      </w:pPr>
      <w:r>
        <w:rPr>
          <w:rFonts w:cs="Arial"/>
          <w:b/>
        </w:rPr>
        <w:t>Artículo 274-C.</w:t>
      </w:r>
      <w:r>
        <w:rPr>
          <w:rFonts w:cs="Arial"/>
        </w:rPr>
        <w:t xml:space="preserve"> El Presupuesto de Egresos del Estado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como mínimo corresponder al 10 por ciento de la aportación realizada por el Estado para la reconstrucción de infraestructura dañada que en promedio se registre durante los últimos 5 ejercicios, actualizados por el Índice Nacional de Precios al Consumidor, medido a través de las autorizaciones de recursos aprobadas por el Fondo de Desastres Naturales, y deberá ser aportado al fideicomiso público constituido para dicho fin.</w:t>
      </w:r>
    </w:p>
    <w:p w14:paraId="44F0BFC5" w14:textId="77777777" w:rsidR="00D3344B" w:rsidRDefault="00D3344B">
      <w:pPr>
        <w:pStyle w:val="Estilo"/>
        <w:rPr>
          <w:rFonts w:cs="Arial"/>
        </w:rPr>
      </w:pPr>
    </w:p>
    <w:p w14:paraId="62F9C0D5" w14:textId="77777777" w:rsidR="00D3344B" w:rsidRDefault="00143C25">
      <w:pPr>
        <w:pStyle w:val="Estilo"/>
        <w:rPr>
          <w:rFonts w:cs="Arial"/>
        </w:rPr>
      </w:pPr>
      <w:r>
        <w:rPr>
          <w:rFonts w:cs="Arial"/>
        </w:rPr>
        <w:t>Los recursos aportados deberán serás (sic)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w:t>
      </w:r>
    </w:p>
    <w:p w14:paraId="2267842C" w14:textId="77777777" w:rsidR="00D3344B" w:rsidRDefault="00D3344B">
      <w:pPr>
        <w:pStyle w:val="Estilo"/>
        <w:rPr>
          <w:rFonts w:cs="Arial"/>
        </w:rPr>
      </w:pPr>
    </w:p>
    <w:p w14:paraId="784648D3" w14:textId="77777777" w:rsidR="00D3344B" w:rsidRDefault="00143C25">
      <w:pPr>
        <w:pStyle w:val="Estilo"/>
        <w:rPr>
          <w:rFonts w:cs="Arial"/>
        </w:rPr>
      </w:pPr>
      <w:r>
        <w:rPr>
          <w:rFonts w:cs="Arial"/>
        </w:rPr>
        <w:t>En caso de que el saldo de los recursos del fideicomiso a que se refiere el primer párrafo de este artículo, acumule un monto que sea superior al costo promedio de reconstrucción de la infraestructura estatal dañada de los últimos cinco años, medido a través de las autorizaciones de recursos aprobadas por el Fondo de Desastres Naturales, se podrá utilizar el remanente que corresponda para acciones de prevención y mitigación, los cuales podrán ser aplicados para financiar la contraparte del Estado de los proyectos preventivos, conforme a lo establecido en las reglas de operación del Fondo para la Prevención de Desastres Naturales.</w:t>
      </w:r>
    </w:p>
    <w:p w14:paraId="3B64B360" w14:textId="77777777" w:rsidR="00D3344B" w:rsidRDefault="00D3344B">
      <w:pPr>
        <w:pStyle w:val="Estilo"/>
        <w:rPr>
          <w:rFonts w:cs="Arial"/>
        </w:rPr>
      </w:pPr>
    </w:p>
    <w:p w14:paraId="214232EF"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03A8B220" w14:textId="77777777" w:rsidR="00D3344B" w:rsidRDefault="00143C25">
      <w:pPr>
        <w:pStyle w:val="Estilo"/>
        <w:rPr>
          <w:rFonts w:cs="Arial"/>
        </w:rPr>
      </w:pPr>
      <w:r>
        <w:rPr>
          <w:rFonts w:cs="Arial"/>
          <w:i/>
          <w:sz w:val="16"/>
        </w:rPr>
        <w:t>(REFORMADO PRIMER PÁRRAFO, P.O. 23 DE DICIEMBRE DE 2008)</w:t>
      </w:r>
    </w:p>
    <w:p w14:paraId="79C62B0C" w14:textId="77777777" w:rsidR="00D3344B" w:rsidRDefault="00143C25">
      <w:pPr>
        <w:pStyle w:val="Estilo"/>
        <w:rPr>
          <w:rFonts w:cs="Arial"/>
        </w:rPr>
      </w:pPr>
      <w:r>
        <w:rPr>
          <w:rFonts w:cs="Arial"/>
          <w:b/>
        </w:rPr>
        <w:t>Artículo 275.</w:t>
      </w:r>
      <w:r>
        <w:rPr>
          <w:rFonts w:cs="Arial"/>
        </w:rPr>
        <w:t xml:space="preserve"> El presupuesto de egresos, formulado con base en programas con enfoque a resultados, deberá contener como grupos fundamentales de autorización del gasto público, los capítulos que se señalan a continuación:</w:t>
      </w:r>
    </w:p>
    <w:p w14:paraId="426E58C1" w14:textId="77777777" w:rsidR="00D3344B" w:rsidRDefault="00D3344B">
      <w:pPr>
        <w:pStyle w:val="Estilo"/>
        <w:rPr>
          <w:rFonts w:cs="Arial"/>
        </w:rPr>
      </w:pPr>
    </w:p>
    <w:p w14:paraId="1E4FC573" w14:textId="77777777" w:rsidR="00D3344B" w:rsidRDefault="00143C25">
      <w:pPr>
        <w:pStyle w:val="Estilo"/>
        <w:rPr>
          <w:rFonts w:cs="Arial"/>
        </w:rPr>
      </w:pPr>
      <w:r>
        <w:rPr>
          <w:rFonts w:cs="Arial"/>
        </w:rPr>
        <w:t xml:space="preserve">1000 </w:t>
      </w:r>
      <w:proofErr w:type="gramStart"/>
      <w:r>
        <w:rPr>
          <w:rFonts w:cs="Arial"/>
        </w:rPr>
        <w:t>Servicios</w:t>
      </w:r>
      <w:proofErr w:type="gramEnd"/>
      <w:r>
        <w:rPr>
          <w:rFonts w:cs="Arial"/>
        </w:rPr>
        <w:t xml:space="preserve"> personales.</w:t>
      </w:r>
    </w:p>
    <w:p w14:paraId="75567E60" w14:textId="77777777" w:rsidR="00D3344B" w:rsidRDefault="00D3344B">
      <w:pPr>
        <w:pStyle w:val="Estilo"/>
        <w:rPr>
          <w:rFonts w:cs="Arial"/>
        </w:rPr>
      </w:pPr>
    </w:p>
    <w:p w14:paraId="123B3285" w14:textId="77777777" w:rsidR="00D3344B" w:rsidRDefault="00143C25">
      <w:pPr>
        <w:pStyle w:val="Estilo"/>
        <w:rPr>
          <w:rFonts w:cs="Arial"/>
        </w:rPr>
      </w:pPr>
      <w:r>
        <w:rPr>
          <w:rFonts w:cs="Arial"/>
        </w:rPr>
        <w:t xml:space="preserve">2000 </w:t>
      </w:r>
      <w:proofErr w:type="gramStart"/>
      <w:r>
        <w:rPr>
          <w:rFonts w:cs="Arial"/>
        </w:rPr>
        <w:t>Materiales</w:t>
      </w:r>
      <w:proofErr w:type="gramEnd"/>
      <w:r>
        <w:rPr>
          <w:rFonts w:cs="Arial"/>
        </w:rPr>
        <w:t xml:space="preserve"> y suministros.</w:t>
      </w:r>
    </w:p>
    <w:p w14:paraId="040DE5B9" w14:textId="77777777" w:rsidR="00D3344B" w:rsidRDefault="00D3344B">
      <w:pPr>
        <w:pStyle w:val="Estilo"/>
        <w:rPr>
          <w:rFonts w:cs="Arial"/>
        </w:rPr>
      </w:pPr>
    </w:p>
    <w:p w14:paraId="24328FAC" w14:textId="77777777" w:rsidR="00D3344B" w:rsidRDefault="00143C25">
      <w:pPr>
        <w:pStyle w:val="Estilo"/>
        <w:rPr>
          <w:rFonts w:cs="Arial"/>
        </w:rPr>
      </w:pPr>
      <w:r>
        <w:rPr>
          <w:rFonts w:cs="Arial"/>
        </w:rPr>
        <w:t xml:space="preserve">3000 </w:t>
      </w:r>
      <w:proofErr w:type="gramStart"/>
      <w:r>
        <w:rPr>
          <w:rFonts w:cs="Arial"/>
        </w:rPr>
        <w:t>Servicios</w:t>
      </w:r>
      <w:proofErr w:type="gramEnd"/>
      <w:r>
        <w:rPr>
          <w:rFonts w:cs="Arial"/>
        </w:rPr>
        <w:t xml:space="preserve"> generales.</w:t>
      </w:r>
    </w:p>
    <w:p w14:paraId="42BE8C6E" w14:textId="77777777" w:rsidR="00D3344B" w:rsidRDefault="00D3344B">
      <w:pPr>
        <w:pStyle w:val="Estilo"/>
        <w:rPr>
          <w:rFonts w:cs="Arial"/>
        </w:rPr>
      </w:pPr>
    </w:p>
    <w:p w14:paraId="231E34B9" w14:textId="77777777" w:rsidR="00D3344B" w:rsidRDefault="00143C25">
      <w:pPr>
        <w:pStyle w:val="Estilo"/>
        <w:rPr>
          <w:rFonts w:cs="Arial"/>
        </w:rPr>
      </w:pPr>
      <w:r>
        <w:rPr>
          <w:rFonts w:cs="Arial"/>
          <w:i/>
          <w:sz w:val="16"/>
        </w:rPr>
        <w:t>(REFORMADO, P.O. 29 DE DICIEMBRE DE 2010)</w:t>
      </w:r>
    </w:p>
    <w:p w14:paraId="58D97219" w14:textId="77777777" w:rsidR="00D3344B" w:rsidRDefault="00143C25">
      <w:pPr>
        <w:pStyle w:val="Estilo"/>
        <w:rPr>
          <w:rFonts w:cs="Arial"/>
        </w:rPr>
      </w:pPr>
      <w:r>
        <w:rPr>
          <w:rFonts w:cs="Arial"/>
        </w:rPr>
        <w:t xml:space="preserve">4000 </w:t>
      </w:r>
      <w:proofErr w:type="gramStart"/>
      <w:r>
        <w:rPr>
          <w:rFonts w:cs="Arial"/>
        </w:rPr>
        <w:t>Transferencias</w:t>
      </w:r>
      <w:proofErr w:type="gramEnd"/>
      <w:r>
        <w:rPr>
          <w:rFonts w:cs="Arial"/>
        </w:rPr>
        <w:t>, asignaciones, subsidios y otras ayudas.</w:t>
      </w:r>
    </w:p>
    <w:p w14:paraId="28FB2192" w14:textId="77777777" w:rsidR="00D3344B" w:rsidRDefault="00D3344B">
      <w:pPr>
        <w:pStyle w:val="Estilo"/>
        <w:rPr>
          <w:rFonts w:cs="Arial"/>
        </w:rPr>
      </w:pPr>
    </w:p>
    <w:p w14:paraId="45439483" w14:textId="77777777" w:rsidR="00D3344B" w:rsidRDefault="00143C25">
      <w:pPr>
        <w:pStyle w:val="Estilo"/>
        <w:rPr>
          <w:rFonts w:cs="Arial"/>
        </w:rPr>
      </w:pPr>
      <w:r>
        <w:rPr>
          <w:rFonts w:cs="Arial"/>
          <w:i/>
          <w:sz w:val="16"/>
        </w:rPr>
        <w:t>(REFORMADO, P.O. 29 DE DICIEMBRE DE 2010)</w:t>
      </w:r>
    </w:p>
    <w:p w14:paraId="4CA54174" w14:textId="77777777" w:rsidR="00D3344B" w:rsidRDefault="00143C25">
      <w:pPr>
        <w:pStyle w:val="Estilo"/>
        <w:rPr>
          <w:rFonts w:cs="Arial"/>
        </w:rPr>
      </w:pPr>
      <w:r>
        <w:rPr>
          <w:rFonts w:cs="Arial"/>
        </w:rPr>
        <w:t xml:space="preserve">5000 </w:t>
      </w:r>
      <w:proofErr w:type="gramStart"/>
      <w:r>
        <w:rPr>
          <w:rFonts w:cs="Arial"/>
        </w:rPr>
        <w:t>Bienes</w:t>
      </w:r>
      <w:proofErr w:type="gramEnd"/>
      <w:r>
        <w:rPr>
          <w:rFonts w:cs="Arial"/>
        </w:rPr>
        <w:t xml:space="preserve"> muebles, inmuebles e intangibles.</w:t>
      </w:r>
    </w:p>
    <w:p w14:paraId="7ACCCD23" w14:textId="77777777" w:rsidR="00D3344B" w:rsidRDefault="00D3344B">
      <w:pPr>
        <w:pStyle w:val="Estilo"/>
        <w:rPr>
          <w:rFonts w:cs="Arial"/>
        </w:rPr>
      </w:pPr>
    </w:p>
    <w:p w14:paraId="1DE6BB4B" w14:textId="77777777" w:rsidR="00D3344B" w:rsidRDefault="00143C25">
      <w:pPr>
        <w:pStyle w:val="Estilo"/>
        <w:rPr>
          <w:rFonts w:cs="Arial"/>
        </w:rPr>
      </w:pPr>
      <w:r>
        <w:rPr>
          <w:rFonts w:cs="Arial"/>
        </w:rPr>
        <w:t xml:space="preserve">6000 </w:t>
      </w:r>
      <w:proofErr w:type="gramStart"/>
      <w:r>
        <w:rPr>
          <w:rFonts w:cs="Arial"/>
        </w:rPr>
        <w:t>Inversión</w:t>
      </w:r>
      <w:proofErr w:type="gramEnd"/>
      <w:r>
        <w:rPr>
          <w:rFonts w:cs="Arial"/>
        </w:rPr>
        <w:t xml:space="preserve"> pública.</w:t>
      </w:r>
    </w:p>
    <w:p w14:paraId="37ABDE39" w14:textId="77777777" w:rsidR="00D3344B" w:rsidRDefault="00D3344B">
      <w:pPr>
        <w:pStyle w:val="Estilo"/>
        <w:rPr>
          <w:rFonts w:cs="Arial"/>
        </w:rPr>
      </w:pPr>
    </w:p>
    <w:p w14:paraId="57791077" w14:textId="77777777" w:rsidR="00D3344B" w:rsidRDefault="00143C25">
      <w:pPr>
        <w:pStyle w:val="Estilo"/>
        <w:rPr>
          <w:rFonts w:cs="Arial"/>
        </w:rPr>
      </w:pPr>
      <w:r>
        <w:rPr>
          <w:rFonts w:cs="Arial"/>
          <w:i/>
          <w:sz w:val="16"/>
        </w:rPr>
        <w:t>(REFORMADO, P.O. 29 DE DICIEMBRE DE 2010)</w:t>
      </w:r>
    </w:p>
    <w:p w14:paraId="5A798450" w14:textId="77777777" w:rsidR="00D3344B" w:rsidRDefault="00143C25">
      <w:pPr>
        <w:pStyle w:val="Estilo"/>
        <w:rPr>
          <w:rFonts w:cs="Arial"/>
        </w:rPr>
      </w:pPr>
      <w:r>
        <w:rPr>
          <w:rFonts w:cs="Arial"/>
        </w:rPr>
        <w:t xml:space="preserve">7000 </w:t>
      </w:r>
      <w:proofErr w:type="gramStart"/>
      <w:r>
        <w:rPr>
          <w:rFonts w:cs="Arial"/>
        </w:rPr>
        <w:t>Inversión</w:t>
      </w:r>
      <w:proofErr w:type="gramEnd"/>
      <w:r>
        <w:rPr>
          <w:rFonts w:cs="Arial"/>
        </w:rPr>
        <w:t xml:space="preserve"> financiera y otras provisiones.</w:t>
      </w:r>
    </w:p>
    <w:p w14:paraId="02D5DE2A" w14:textId="77777777" w:rsidR="00D3344B" w:rsidRDefault="00D3344B">
      <w:pPr>
        <w:pStyle w:val="Estilo"/>
        <w:rPr>
          <w:rFonts w:cs="Arial"/>
        </w:rPr>
      </w:pPr>
    </w:p>
    <w:p w14:paraId="61B8905A" w14:textId="77777777" w:rsidR="00D3344B" w:rsidRDefault="00143C25">
      <w:pPr>
        <w:pStyle w:val="Estilo"/>
        <w:rPr>
          <w:rFonts w:cs="Arial"/>
        </w:rPr>
      </w:pPr>
      <w:r>
        <w:rPr>
          <w:rFonts w:cs="Arial"/>
          <w:i/>
          <w:sz w:val="16"/>
        </w:rPr>
        <w:t>(REFORMADO, P.O. 29 DE DICIEMBRE DE 2010)</w:t>
      </w:r>
    </w:p>
    <w:p w14:paraId="0086B527" w14:textId="77777777" w:rsidR="00D3344B" w:rsidRDefault="00143C25">
      <w:pPr>
        <w:pStyle w:val="Estilo"/>
        <w:rPr>
          <w:rFonts w:cs="Arial"/>
        </w:rPr>
      </w:pPr>
      <w:r>
        <w:rPr>
          <w:rFonts w:cs="Arial"/>
        </w:rPr>
        <w:t xml:space="preserve">8000 </w:t>
      </w:r>
      <w:proofErr w:type="gramStart"/>
      <w:r>
        <w:rPr>
          <w:rFonts w:cs="Arial"/>
        </w:rPr>
        <w:t>Participaciones</w:t>
      </w:r>
      <w:proofErr w:type="gramEnd"/>
      <w:r>
        <w:rPr>
          <w:rFonts w:cs="Arial"/>
        </w:rPr>
        <w:t xml:space="preserve"> y aportaciones.</w:t>
      </w:r>
    </w:p>
    <w:p w14:paraId="4AE0453A" w14:textId="77777777" w:rsidR="00D3344B" w:rsidRDefault="00D3344B">
      <w:pPr>
        <w:pStyle w:val="Estilo"/>
        <w:rPr>
          <w:rFonts w:cs="Arial"/>
        </w:rPr>
      </w:pPr>
    </w:p>
    <w:p w14:paraId="18CC946C" w14:textId="77777777" w:rsidR="00D3344B" w:rsidRDefault="00143C25">
      <w:pPr>
        <w:pStyle w:val="Estilo"/>
        <w:rPr>
          <w:rFonts w:cs="Arial"/>
        </w:rPr>
      </w:pPr>
      <w:r>
        <w:rPr>
          <w:rFonts w:cs="Arial"/>
        </w:rPr>
        <w:t xml:space="preserve">9000 </w:t>
      </w:r>
      <w:proofErr w:type="gramStart"/>
      <w:r>
        <w:rPr>
          <w:rFonts w:cs="Arial"/>
        </w:rPr>
        <w:t>Deuda</w:t>
      </w:r>
      <w:proofErr w:type="gramEnd"/>
      <w:r>
        <w:rPr>
          <w:rFonts w:cs="Arial"/>
        </w:rPr>
        <w:t xml:space="preserve"> pública.</w:t>
      </w:r>
    </w:p>
    <w:p w14:paraId="7B66A3B6" w14:textId="77777777" w:rsidR="00D3344B" w:rsidRDefault="00D3344B">
      <w:pPr>
        <w:pStyle w:val="Estilo"/>
        <w:rPr>
          <w:rFonts w:cs="Arial"/>
        </w:rPr>
      </w:pPr>
    </w:p>
    <w:p w14:paraId="2BA36AF7" w14:textId="77777777" w:rsidR="00D3344B" w:rsidRDefault="00143C25">
      <w:pPr>
        <w:pStyle w:val="Estilo"/>
        <w:rPr>
          <w:rFonts w:cs="Arial"/>
        </w:rPr>
      </w:pPr>
      <w:r>
        <w:rPr>
          <w:rFonts w:cs="Arial"/>
          <w:i/>
          <w:sz w:val="16"/>
        </w:rPr>
        <w:t>(REFORMADO, P.O. 31 DE DICIEMBRE DE 2007)</w:t>
      </w:r>
    </w:p>
    <w:p w14:paraId="374B444C" w14:textId="77777777" w:rsidR="00D3344B" w:rsidRDefault="00143C25">
      <w:pPr>
        <w:pStyle w:val="Estilo"/>
        <w:rPr>
          <w:rFonts w:cs="Arial"/>
        </w:rPr>
      </w:pPr>
      <w:r>
        <w:rPr>
          <w:rFonts w:cs="Arial"/>
        </w:rPr>
        <w:t>Los capítulos señalados se dividirán en partidas que representarán las autorizaciones específicas del presupuesto y agrupados en gasto de: operación, transferencias, inversión y deuda pública.</w:t>
      </w:r>
    </w:p>
    <w:p w14:paraId="5D87E4C9" w14:textId="77777777" w:rsidR="00D3344B" w:rsidRDefault="00D3344B">
      <w:pPr>
        <w:pStyle w:val="Estilo"/>
        <w:rPr>
          <w:rFonts w:cs="Arial"/>
        </w:rPr>
      </w:pPr>
    </w:p>
    <w:p w14:paraId="4160D04E" w14:textId="77777777" w:rsidR="00D3344B" w:rsidRDefault="00143C25">
      <w:pPr>
        <w:pStyle w:val="Estilo"/>
        <w:rPr>
          <w:rFonts w:cs="Arial"/>
        </w:rPr>
      </w:pPr>
      <w:r>
        <w:rPr>
          <w:rFonts w:cs="Arial"/>
          <w:i/>
          <w:sz w:val="16"/>
        </w:rPr>
        <w:t>(REFORMADO, P.O. 29 DE DICIEMBRE DE 2010)</w:t>
      </w:r>
    </w:p>
    <w:p w14:paraId="3A241FA5" w14:textId="77777777" w:rsidR="00D3344B" w:rsidRDefault="00143C25">
      <w:pPr>
        <w:pStyle w:val="Estilo"/>
        <w:rPr>
          <w:rFonts w:cs="Arial"/>
        </w:rPr>
      </w:pPr>
      <w:r>
        <w:rPr>
          <w:rFonts w:cs="Arial"/>
        </w:rPr>
        <w:t>Las previsiones de egresos a que se refiere este código se clasificarán por: programas, unidades presupuestales, capítulos y partidas presupuestales en la forma que determine el manual para la integración del presupuesto de egresos con enfoque a resultados.</w:t>
      </w:r>
    </w:p>
    <w:p w14:paraId="16DED895" w14:textId="77777777" w:rsidR="00D3344B" w:rsidRDefault="00D3344B">
      <w:pPr>
        <w:pStyle w:val="Estilo"/>
        <w:rPr>
          <w:rFonts w:cs="Arial"/>
        </w:rPr>
      </w:pPr>
    </w:p>
    <w:p w14:paraId="7E278539" w14:textId="77777777" w:rsidR="00D3344B" w:rsidRDefault="00143C25">
      <w:pPr>
        <w:pStyle w:val="Estilo"/>
        <w:rPr>
          <w:rFonts w:cs="Arial"/>
        </w:rPr>
      </w:pPr>
      <w:r>
        <w:rPr>
          <w:rFonts w:cs="Arial"/>
          <w:i/>
          <w:sz w:val="16"/>
        </w:rPr>
        <w:t>(ADICIONADO, P.O. 16 DE NOVIEMBRE DE 2016)</w:t>
      </w:r>
    </w:p>
    <w:p w14:paraId="4D2EC548" w14:textId="77777777" w:rsidR="00D3344B" w:rsidRDefault="00143C25">
      <w:pPr>
        <w:pStyle w:val="Estilo"/>
        <w:rPr>
          <w:rFonts w:cs="Arial"/>
        </w:rPr>
      </w:pPr>
      <w:r>
        <w:rPr>
          <w:rFonts w:cs="Arial"/>
          <w:b/>
        </w:rPr>
        <w:t>Artículo 275- A.</w:t>
      </w:r>
      <w:r>
        <w:rPr>
          <w:rFonts w:cs="Arial"/>
        </w:rPr>
        <w:t xml:space="preserve"> En materia de servicios personales se observará lo siguiente:</w:t>
      </w:r>
    </w:p>
    <w:p w14:paraId="16533273" w14:textId="77777777" w:rsidR="00D3344B" w:rsidRDefault="00D3344B">
      <w:pPr>
        <w:pStyle w:val="Estilo"/>
        <w:rPr>
          <w:rFonts w:cs="Arial"/>
        </w:rPr>
      </w:pPr>
    </w:p>
    <w:p w14:paraId="10C330B5" w14:textId="77777777" w:rsidR="00D3344B" w:rsidRDefault="00143C25">
      <w:pPr>
        <w:pStyle w:val="Estilo"/>
        <w:ind w:left="567" w:hanging="567"/>
        <w:rPr>
          <w:rFonts w:cs="Arial"/>
        </w:rPr>
      </w:pPr>
      <w:r>
        <w:rPr>
          <w:rFonts w:cs="Arial"/>
        </w:rPr>
        <w:t xml:space="preserve">I. </w:t>
      </w:r>
      <w:r>
        <w:rPr>
          <w:rFonts w:cs="Arial"/>
        </w:rPr>
        <w:tab/>
        <w:t>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2B305BCF" w14:textId="77777777" w:rsidR="00D3344B" w:rsidRDefault="00D3344B">
      <w:pPr>
        <w:pStyle w:val="Estilo"/>
        <w:ind w:left="567" w:hanging="567"/>
        <w:rPr>
          <w:rFonts w:cs="Arial"/>
        </w:rPr>
      </w:pPr>
    </w:p>
    <w:p w14:paraId="793ED5AF" w14:textId="77777777" w:rsidR="00D3344B" w:rsidRDefault="00143C25">
      <w:pPr>
        <w:pStyle w:val="Estilo"/>
        <w:ind w:left="1134" w:hanging="567"/>
        <w:rPr>
          <w:rFonts w:cs="Arial"/>
        </w:rPr>
      </w:pPr>
      <w:r>
        <w:rPr>
          <w:rFonts w:cs="Arial"/>
        </w:rPr>
        <w:t xml:space="preserve">a) </w:t>
      </w:r>
      <w:r>
        <w:rPr>
          <w:rFonts w:cs="Arial"/>
        </w:rPr>
        <w:tab/>
        <w:t>El 3 por ciento de crecimiento real, y</w:t>
      </w:r>
    </w:p>
    <w:p w14:paraId="7A989155" w14:textId="77777777" w:rsidR="00D3344B" w:rsidRDefault="00D3344B">
      <w:pPr>
        <w:pStyle w:val="Estilo"/>
        <w:ind w:left="1134" w:hanging="567"/>
        <w:rPr>
          <w:rFonts w:cs="Arial"/>
        </w:rPr>
      </w:pPr>
    </w:p>
    <w:p w14:paraId="4A0C6656" w14:textId="77777777" w:rsidR="00D3344B" w:rsidRDefault="00143C25">
      <w:pPr>
        <w:pStyle w:val="Estilo"/>
        <w:ind w:left="1134" w:hanging="567"/>
        <w:rPr>
          <w:rFonts w:cs="Arial"/>
        </w:rPr>
      </w:pPr>
      <w:r>
        <w:rPr>
          <w:rFonts w:cs="Arial"/>
        </w:rPr>
        <w:t xml:space="preserve">b) </w:t>
      </w:r>
      <w:r>
        <w:rPr>
          <w:rFonts w:cs="Arial"/>
        </w:rPr>
        <w:tab/>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14:paraId="58BEBFD7" w14:textId="77777777" w:rsidR="00D3344B" w:rsidRDefault="00D3344B">
      <w:pPr>
        <w:pStyle w:val="Estilo"/>
        <w:ind w:left="567" w:hanging="567"/>
        <w:rPr>
          <w:rFonts w:cs="Arial"/>
        </w:rPr>
      </w:pPr>
    </w:p>
    <w:p w14:paraId="28D289B4" w14:textId="77777777" w:rsidR="00D3344B" w:rsidRDefault="00143C25">
      <w:pPr>
        <w:pStyle w:val="Estilo"/>
        <w:ind w:left="567"/>
        <w:rPr>
          <w:rFonts w:cs="Arial"/>
        </w:rPr>
      </w:pPr>
      <w:r>
        <w:rPr>
          <w:rFonts w:cs="Arial"/>
        </w:rPr>
        <w:t>Se exceptúa del cumplimiento de la presente fracción, el monto erogado por sentencias laborales definitivas emitidas por la autoridad competente.</w:t>
      </w:r>
    </w:p>
    <w:p w14:paraId="2FF975C4" w14:textId="77777777" w:rsidR="00D3344B" w:rsidRDefault="00D3344B">
      <w:pPr>
        <w:pStyle w:val="Estilo"/>
        <w:ind w:left="567"/>
        <w:rPr>
          <w:rFonts w:cs="Arial"/>
        </w:rPr>
      </w:pPr>
    </w:p>
    <w:p w14:paraId="10279C99"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5AAF5C7E" w14:textId="77777777" w:rsidR="00D3344B" w:rsidRDefault="00143C25">
      <w:pPr>
        <w:pStyle w:val="Estilo"/>
        <w:ind w:left="567"/>
        <w:rPr>
          <w:rFonts w:cs="Arial"/>
        </w:rPr>
      </w:pPr>
      <w:r>
        <w:rPr>
          <w:rFonts w:cs="Arial"/>
        </w:rPr>
        <w:t>Los gastos en servicios personales que sean estrictamente indispensables para la implementación de nuevas leyes federales y estatales, o reformas a las mismas, podrán autorizarse sin sujetarse al límite establecido en la presente fracción, hasta por el monto que específicamente se requiera para dar cumplimiento a la ley respectiva.</w:t>
      </w:r>
    </w:p>
    <w:p w14:paraId="147C2F7C" w14:textId="77777777" w:rsidR="00D3344B" w:rsidRDefault="00D3344B">
      <w:pPr>
        <w:pStyle w:val="Estilo"/>
        <w:ind w:left="567" w:hanging="567"/>
        <w:rPr>
          <w:rFonts w:cs="Arial"/>
        </w:rPr>
      </w:pPr>
    </w:p>
    <w:p w14:paraId="7B365620" w14:textId="77777777" w:rsidR="00D3344B" w:rsidRDefault="00143C25">
      <w:pPr>
        <w:pStyle w:val="Estilo"/>
        <w:ind w:left="567" w:hanging="567"/>
        <w:rPr>
          <w:rFonts w:cs="Arial"/>
        </w:rPr>
      </w:pPr>
      <w:r>
        <w:rPr>
          <w:rFonts w:cs="Arial"/>
        </w:rPr>
        <w:t xml:space="preserve">II. </w:t>
      </w:r>
      <w:r>
        <w:rPr>
          <w:rFonts w:cs="Arial"/>
        </w:rPr>
        <w:tab/>
        <w:t>En el proyecto de Presupuesto de Egresos se deberá presentar en una sección específica, las erogaciones correspondientes al gasto en servicios personales, el cual comprende:</w:t>
      </w:r>
    </w:p>
    <w:p w14:paraId="6E92FEA9" w14:textId="77777777" w:rsidR="00D3344B" w:rsidRDefault="00D3344B">
      <w:pPr>
        <w:pStyle w:val="Estilo"/>
        <w:ind w:left="567" w:hanging="567"/>
        <w:rPr>
          <w:rFonts w:cs="Arial"/>
        </w:rPr>
      </w:pPr>
    </w:p>
    <w:p w14:paraId="18408F1C" w14:textId="77777777" w:rsidR="00D3344B" w:rsidRDefault="00143C25">
      <w:pPr>
        <w:pStyle w:val="Estilo"/>
        <w:ind w:left="567" w:hanging="567"/>
        <w:rPr>
          <w:rFonts w:cs="Arial"/>
        </w:rPr>
      </w:pPr>
      <w:r>
        <w:rPr>
          <w:rFonts w:cs="Arial"/>
        </w:rPr>
        <w:t xml:space="preserve">a) </w:t>
      </w:r>
      <w:r>
        <w:rPr>
          <w:rFonts w:cs="Arial"/>
        </w:rPr>
        <w:tab/>
        <w:t>Las remuneraciones de los servidores públicos, desglosando las Percepciones ordinarias y extraordinarias, e incluyendo las erogaciones por concepto de obligaciones de carácter fiscal y de seguridad social inherentes a dichas remuneraciones, y</w:t>
      </w:r>
    </w:p>
    <w:p w14:paraId="7FBEE66E" w14:textId="77777777" w:rsidR="00D3344B" w:rsidRDefault="00D3344B">
      <w:pPr>
        <w:pStyle w:val="Estilo"/>
        <w:ind w:left="567" w:hanging="567"/>
        <w:rPr>
          <w:rFonts w:cs="Arial"/>
        </w:rPr>
      </w:pPr>
    </w:p>
    <w:p w14:paraId="599B122E" w14:textId="77777777" w:rsidR="00D3344B" w:rsidRDefault="00143C25">
      <w:pPr>
        <w:pStyle w:val="Estilo"/>
        <w:ind w:left="567" w:hanging="567"/>
        <w:rPr>
          <w:rFonts w:cs="Arial"/>
        </w:rPr>
      </w:pPr>
      <w:r>
        <w:rPr>
          <w:rFonts w:cs="Arial"/>
        </w:rPr>
        <w:t xml:space="preserve">b) </w:t>
      </w:r>
      <w:r>
        <w:rPr>
          <w:rFonts w:cs="Arial"/>
        </w:rPr>
        <w:tab/>
        <w:t>Las previsiones salariales y económicas para cubrir los incrementos salariales, la creación de plazas y otras medidas económicas de índole laboral. Dichas previsiones serán incluidas en un capítulo específico del Presupuesto de Egresos.</w:t>
      </w:r>
    </w:p>
    <w:p w14:paraId="2D15513E" w14:textId="77777777" w:rsidR="00D3344B" w:rsidRDefault="00D3344B">
      <w:pPr>
        <w:pStyle w:val="Estilo"/>
        <w:rPr>
          <w:rFonts w:cs="Arial"/>
        </w:rPr>
      </w:pPr>
    </w:p>
    <w:p w14:paraId="25DA8BE5" w14:textId="77777777" w:rsidR="00D3344B" w:rsidRDefault="00143C25">
      <w:pPr>
        <w:pStyle w:val="Estilo"/>
        <w:rPr>
          <w:rFonts w:cs="Arial"/>
        </w:rPr>
      </w:pPr>
      <w:r>
        <w:rPr>
          <w:rFonts w:cs="Arial"/>
          <w:i/>
          <w:sz w:val="16"/>
        </w:rPr>
        <w:t>(ADICIONADO, P.O. 16 DE NOVIEMBRE DE 2016)</w:t>
      </w:r>
    </w:p>
    <w:p w14:paraId="4C3597E6" w14:textId="77777777" w:rsidR="00D3344B" w:rsidRDefault="00143C25">
      <w:pPr>
        <w:pStyle w:val="Estilo"/>
        <w:rPr>
          <w:rFonts w:cs="Arial"/>
        </w:rPr>
      </w:pPr>
      <w:r>
        <w:rPr>
          <w:rFonts w:cs="Arial"/>
          <w:b/>
        </w:rPr>
        <w:t>Artículo 275-B.</w:t>
      </w:r>
      <w:r>
        <w:rPr>
          <w:rFonts w:cs="Arial"/>
        </w:rPr>
        <w:t xml:space="preserve"> El Estado y los Municipios deberán considerar en su Presupuesto de Egresos, las previsiones de gasto necesarias para hacer frente a los compromisos de pago que se deriven de los contratos de Asociación Público-Privada celebrados o por celebrarse durante el siguiente ejercicio fiscal.</w:t>
      </w:r>
    </w:p>
    <w:p w14:paraId="3F1125E0" w14:textId="77777777" w:rsidR="00D3344B" w:rsidRDefault="00D3344B">
      <w:pPr>
        <w:pStyle w:val="Estilo"/>
        <w:rPr>
          <w:rFonts w:cs="Arial"/>
        </w:rPr>
      </w:pPr>
    </w:p>
    <w:p w14:paraId="0FE6DB9E" w14:textId="77777777" w:rsidR="00D3344B" w:rsidRDefault="00143C25">
      <w:pPr>
        <w:pStyle w:val="Estilo"/>
        <w:rPr>
          <w:rFonts w:cs="Arial"/>
        </w:rPr>
      </w:pPr>
      <w:r>
        <w:rPr>
          <w:rFonts w:cs="Arial"/>
        </w:rPr>
        <w:t>Para el caso de Asociaciones Público Privadas con recursos federales, se observará lo dispuesto en el artículo 4, fracción IV de la Ley de Asociaciones Público Privadas.</w:t>
      </w:r>
    </w:p>
    <w:p w14:paraId="2683FCB0" w14:textId="77777777" w:rsidR="00D3344B" w:rsidRDefault="00D3344B">
      <w:pPr>
        <w:pStyle w:val="Estilo"/>
        <w:rPr>
          <w:rFonts w:cs="Arial"/>
        </w:rPr>
      </w:pPr>
    </w:p>
    <w:p w14:paraId="3081BFEF" w14:textId="77777777" w:rsidR="00D3344B" w:rsidRDefault="00143C25">
      <w:pPr>
        <w:pStyle w:val="Estilo"/>
        <w:rPr>
          <w:rFonts w:cs="Arial"/>
        </w:rPr>
      </w:pPr>
      <w:r>
        <w:rPr>
          <w:rFonts w:cs="Arial"/>
          <w:i/>
          <w:sz w:val="16"/>
        </w:rPr>
        <w:t>(ADICIONADO, P.O. 16 DE NOVIEMBRE DE 2016)</w:t>
      </w:r>
    </w:p>
    <w:p w14:paraId="7CACFF0D" w14:textId="77777777" w:rsidR="00D3344B" w:rsidRDefault="00143C25">
      <w:pPr>
        <w:pStyle w:val="Estilo"/>
        <w:rPr>
          <w:rFonts w:cs="Arial"/>
        </w:rPr>
      </w:pPr>
      <w:r>
        <w:rPr>
          <w:rFonts w:cs="Arial"/>
          <w:b/>
        </w:rPr>
        <w:t>Artículo 275-C.</w:t>
      </w:r>
      <w:r>
        <w:rPr>
          <w:rFonts w:cs="Arial"/>
        </w:rPr>
        <w:t xml:space="preserve"> Los recursos para cubrir adeudos del ejercicio fiscal anterior, previstos en el proyecto de Presupuesto de Egresos, podrán ser hasta por el 2 por ciento de los Ingresos totales del Estado. Para el caso de los municipios, estos podrán ser hasta por el 2.5 por ciento de los Ingresos totales que le correspondan.</w:t>
      </w:r>
    </w:p>
    <w:p w14:paraId="13C17DA7" w14:textId="77777777" w:rsidR="00D3344B" w:rsidRDefault="00D3344B">
      <w:pPr>
        <w:pStyle w:val="Estilo"/>
        <w:rPr>
          <w:rFonts w:cs="Arial"/>
        </w:rPr>
      </w:pPr>
    </w:p>
    <w:p w14:paraId="00FE20C0" w14:textId="77777777" w:rsidR="00D3344B" w:rsidRDefault="00143C25">
      <w:pPr>
        <w:pStyle w:val="Estilo"/>
        <w:rPr>
          <w:rFonts w:cs="Arial"/>
        </w:rPr>
      </w:pPr>
      <w:r>
        <w:rPr>
          <w:rFonts w:cs="Arial"/>
          <w:i/>
          <w:sz w:val="16"/>
        </w:rPr>
        <w:t>(REFORMADO PRIMER PÁRRAFO, P.O. 22 DE DICIEMBRE DE 2021)</w:t>
      </w:r>
    </w:p>
    <w:p w14:paraId="303B1841" w14:textId="77777777" w:rsidR="00D3344B" w:rsidRDefault="00143C25">
      <w:pPr>
        <w:pStyle w:val="Estilo"/>
        <w:rPr>
          <w:rFonts w:cs="Arial"/>
        </w:rPr>
      </w:pPr>
      <w:r>
        <w:rPr>
          <w:rFonts w:cs="Arial"/>
          <w:b/>
        </w:rPr>
        <w:t>Artículo 276.</w:t>
      </w:r>
      <w:r>
        <w:rPr>
          <w:rFonts w:cs="Arial"/>
        </w:rPr>
        <w:t xml:space="preserve"> Las unidades presupuestales, a más tardar el día treinta de septiembre de cada ejercicio, enviarán a la Secretaría y a la Tesorería Municipal, según corresponda, sus anteproyectos de presupuesto con enfoque a resultados para el ejercicio fiscal siguiente; excepto cuando corresponda a la transmisión del Poder Ejecutivo del Estado será a más tardar el treinta y uno de octubre de ese ejercicio.</w:t>
      </w:r>
    </w:p>
    <w:p w14:paraId="661E396C" w14:textId="77777777" w:rsidR="00D3344B" w:rsidRDefault="00D3344B">
      <w:pPr>
        <w:pStyle w:val="Estilo"/>
        <w:rPr>
          <w:rFonts w:cs="Arial"/>
        </w:rPr>
      </w:pPr>
    </w:p>
    <w:p w14:paraId="308DD856" w14:textId="77777777" w:rsidR="00D3344B" w:rsidRDefault="00143C25">
      <w:pPr>
        <w:pStyle w:val="Estilo"/>
        <w:rPr>
          <w:rFonts w:cs="Arial"/>
        </w:rPr>
      </w:pPr>
      <w:r>
        <w:rPr>
          <w:rFonts w:cs="Arial"/>
        </w:rPr>
        <w:t>Los poderes Legislativo y Judicial y los organismos autónomos con base en las previsiones del ingreso y del gasto acordadas con el Poder Ejecutivo, formularán sus respectivos anteproyectos de presupuesto con enfoque a resultados, respetando los plazos que para este proceso señala este código, a efecto de que se integren al documento que se presentará al Congreso para su análisis y aprobación.</w:t>
      </w:r>
    </w:p>
    <w:p w14:paraId="4CB13335" w14:textId="77777777" w:rsidR="00D3344B" w:rsidRDefault="00D3344B">
      <w:pPr>
        <w:pStyle w:val="Estilo"/>
        <w:rPr>
          <w:rFonts w:cs="Arial"/>
        </w:rPr>
      </w:pPr>
    </w:p>
    <w:p w14:paraId="45065B89" w14:textId="77777777" w:rsidR="00D3344B" w:rsidRDefault="00143C25">
      <w:pPr>
        <w:pStyle w:val="Estilo"/>
        <w:rPr>
          <w:rFonts w:cs="Arial"/>
        </w:rPr>
      </w:pPr>
      <w:r>
        <w:rPr>
          <w:rFonts w:cs="Arial"/>
          <w:b/>
        </w:rPr>
        <w:t>Artículo 277.</w:t>
      </w:r>
      <w:r>
        <w:rPr>
          <w:rFonts w:cs="Arial"/>
        </w:rPr>
        <w:t xml:space="preserve"> La Secretaría y las tesorerías podrán solicitar a sus unidades presupuéstales correspondientes, toda la información que juzguen necesaria para aprobar y asignar recursos a los programas considerados en los anteproyectos de presupuesto que éstas presenten.</w:t>
      </w:r>
    </w:p>
    <w:p w14:paraId="1FF26419" w14:textId="77777777" w:rsidR="00D3344B" w:rsidRDefault="00D3344B">
      <w:pPr>
        <w:pStyle w:val="Estilo"/>
        <w:rPr>
          <w:rFonts w:cs="Arial"/>
        </w:rPr>
      </w:pPr>
    </w:p>
    <w:p w14:paraId="30F6D7F1" w14:textId="77777777" w:rsidR="00D3344B" w:rsidRDefault="00143C25">
      <w:pPr>
        <w:pStyle w:val="Estilo"/>
        <w:rPr>
          <w:rFonts w:cs="Arial"/>
        </w:rPr>
      </w:pPr>
      <w:r>
        <w:rPr>
          <w:rFonts w:cs="Arial"/>
        </w:rPr>
        <w:t>(REFORMADO, P.O. 6 DE OCTUBRE DE 2004)</w:t>
      </w:r>
    </w:p>
    <w:p w14:paraId="08C70F9F" w14:textId="77777777" w:rsidR="00D3344B" w:rsidRDefault="00143C25">
      <w:pPr>
        <w:pStyle w:val="Estilo"/>
        <w:rPr>
          <w:rFonts w:cs="Arial"/>
        </w:rPr>
      </w:pPr>
      <w:r>
        <w:rPr>
          <w:rFonts w:cs="Arial"/>
        </w:rPr>
        <w:t xml:space="preserve">Las observaciones y modificaciones, así como los techos financieros definitivos, se comunicarán en reuniones especiales o por escrito, para </w:t>
      </w:r>
      <w:proofErr w:type="gramStart"/>
      <w:r>
        <w:rPr>
          <w:rFonts w:cs="Arial"/>
        </w:rPr>
        <w:t>que</w:t>
      </w:r>
      <w:proofErr w:type="gramEnd"/>
      <w:r>
        <w:rPr>
          <w:rFonts w:cs="Arial"/>
        </w:rPr>
        <w:t xml:space="preserve"> dentro de los cinco días siguientes a dicha comunicación, las unidades presupuestales presenten sus proyectos de presupuestos definitivos.</w:t>
      </w:r>
    </w:p>
    <w:p w14:paraId="57AEFCC9" w14:textId="77777777" w:rsidR="00D3344B" w:rsidRDefault="00D3344B">
      <w:pPr>
        <w:pStyle w:val="Estilo"/>
        <w:rPr>
          <w:rFonts w:cs="Arial"/>
        </w:rPr>
      </w:pPr>
    </w:p>
    <w:p w14:paraId="6F24836F" w14:textId="77777777" w:rsidR="00D3344B" w:rsidRDefault="00143C25">
      <w:pPr>
        <w:pStyle w:val="Estilo"/>
        <w:rPr>
          <w:rFonts w:cs="Arial"/>
        </w:rPr>
      </w:pPr>
      <w:r>
        <w:rPr>
          <w:rFonts w:cs="Arial"/>
          <w:i/>
          <w:sz w:val="16"/>
        </w:rPr>
        <w:t>(REFORMADO, P.O. 29 DE DICIEMBRE DE 2010)</w:t>
      </w:r>
    </w:p>
    <w:p w14:paraId="66D3200D" w14:textId="77777777" w:rsidR="00D3344B" w:rsidRDefault="00143C25">
      <w:pPr>
        <w:pStyle w:val="Estilo"/>
        <w:rPr>
          <w:rFonts w:cs="Arial"/>
        </w:rPr>
      </w:pPr>
      <w:r>
        <w:rPr>
          <w:rFonts w:cs="Arial"/>
          <w:b/>
        </w:rPr>
        <w:t>Artículo 278.</w:t>
      </w:r>
      <w:r>
        <w:rPr>
          <w:rFonts w:cs="Arial"/>
        </w:rPr>
        <w:t xml:space="preserve"> Si alguna de las unidades presupuestales dejare de presentar su anteproyecto de presupuesto en el plazo señalado en el artículo 276 de este Código, la Secretaría y las tesorerías quedarán facultadas para formularlo, a efecto de que presenten con oportunidad la iniciativa de Decreto de Presupuesto de Egresos.</w:t>
      </w:r>
    </w:p>
    <w:p w14:paraId="4C816DC3" w14:textId="77777777" w:rsidR="00D3344B" w:rsidRDefault="00D3344B">
      <w:pPr>
        <w:pStyle w:val="Estilo"/>
        <w:rPr>
          <w:rFonts w:cs="Arial"/>
        </w:rPr>
      </w:pPr>
    </w:p>
    <w:p w14:paraId="1C5C9FEB" w14:textId="77777777" w:rsidR="00D3344B" w:rsidRDefault="00143C25">
      <w:pPr>
        <w:pStyle w:val="Estilo"/>
        <w:jc w:val="center"/>
        <w:rPr>
          <w:rFonts w:cs="Arial"/>
          <w:b/>
        </w:rPr>
      </w:pPr>
      <w:r>
        <w:rPr>
          <w:rFonts w:cs="Arial"/>
          <w:b/>
        </w:rPr>
        <w:t>Sección Tercera</w:t>
      </w:r>
    </w:p>
    <w:p w14:paraId="286FB830" w14:textId="77777777" w:rsidR="00D3344B" w:rsidRDefault="00143C25">
      <w:pPr>
        <w:pStyle w:val="Estilo"/>
        <w:jc w:val="center"/>
        <w:rPr>
          <w:rFonts w:cs="Arial"/>
          <w:b/>
        </w:rPr>
      </w:pPr>
      <w:r>
        <w:rPr>
          <w:rFonts w:cs="Arial"/>
          <w:b/>
        </w:rPr>
        <w:t>De la Comisión de Gasto-financiamiento</w:t>
      </w:r>
    </w:p>
    <w:p w14:paraId="60F9DDA8" w14:textId="77777777" w:rsidR="00D3344B" w:rsidRDefault="00D3344B">
      <w:pPr>
        <w:pStyle w:val="Estilo"/>
        <w:rPr>
          <w:rFonts w:cs="Arial"/>
        </w:rPr>
      </w:pPr>
    </w:p>
    <w:p w14:paraId="6CB95629" w14:textId="77777777" w:rsidR="00D3344B" w:rsidRDefault="00143C25">
      <w:pPr>
        <w:pStyle w:val="Estilo"/>
        <w:rPr>
          <w:rFonts w:cs="Arial"/>
        </w:rPr>
      </w:pPr>
      <w:r>
        <w:rPr>
          <w:rFonts w:cs="Arial"/>
          <w:b/>
        </w:rPr>
        <w:t>Artículo 279.</w:t>
      </w:r>
      <w:r>
        <w:rPr>
          <w:rFonts w:cs="Arial"/>
        </w:rPr>
        <w:t xml:space="preserve"> La Comisión de Gasto-Financiamiento se crea con carácter de permanente, la </w:t>
      </w:r>
      <w:proofErr w:type="gramStart"/>
      <w:r>
        <w:rPr>
          <w:rFonts w:cs="Arial"/>
        </w:rPr>
        <w:t>que</w:t>
      </w:r>
      <w:proofErr w:type="gramEnd"/>
      <w:r>
        <w:rPr>
          <w:rFonts w:cs="Arial"/>
        </w:rPr>
        <w:t xml:space="preserve"> en su ámbito de competencia, se dedicará a la atención y </w:t>
      </w:r>
      <w:r>
        <w:rPr>
          <w:rFonts w:cs="Arial"/>
        </w:rPr>
        <w:lastRenderedPageBreak/>
        <w:t>resolución de asuntos en materia de gasto público, su financiamiento y deuda pública, en términos de este código.</w:t>
      </w:r>
    </w:p>
    <w:p w14:paraId="1D2B64D3" w14:textId="77777777" w:rsidR="00D3344B" w:rsidRDefault="00D3344B">
      <w:pPr>
        <w:pStyle w:val="Estilo"/>
        <w:rPr>
          <w:rFonts w:cs="Arial"/>
        </w:rPr>
      </w:pPr>
    </w:p>
    <w:p w14:paraId="24C7A4EE" w14:textId="77777777" w:rsidR="00D3344B" w:rsidRDefault="00143C25">
      <w:pPr>
        <w:pStyle w:val="Estilo"/>
        <w:rPr>
          <w:rFonts w:cs="Arial"/>
        </w:rPr>
      </w:pPr>
      <w:r>
        <w:rPr>
          <w:rFonts w:cs="Arial"/>
          <w:b/>
        </w:rPr>
        <w:t>Artículo 280.</w:t>
      </w:r>
      <w:r>
        <w:rPr>
          <w:rFonts w:cs="Arial"/>
        </w:rPr>
        <w:t xml:space="preserve"> La Comisión actuará durante todo el proceso de planeación, programación, presupuestación, ejecución, control y evaluación del gasto público y su financiamiento, de las dependencias y entidades de la Administración Pública.</w:t>
      </w:r>
    </w:p>
    <w:p w14:paraId="1A0F13BB" w14:textId="77777777" w:rsidR="00D3344B" w:rsidRDefault="00D3344B">
      <w:pPr>
        <w:pStyle w:val="Estilo"/>
        <w:rPr>
          <w:rFonts w:cs="Arial"/>
        </w:rPr>
      </w:pPr>
    </w:p>
    <w:p w14:paraId="4F74BB88" w14:textId="77777777" w:rsidR="00D3344B" w:rsidRDefault="00143C25">
      <w:pPr>
        <w:pStyle w:val="Estilo"/>
        <w:rPr>
          <w:rFonts w:cs="Arial"/>
        </w:rPr>
      </w:pPr>
      <w:r>
        <w:rPr>
          <w:rFonts w:cs="Arial"/>
          <w:b/>
        </w:rPr>
        <w:t>Artículo 281.</w:t>
      </w:r>
      <w:r>
        <w:rPr>
          <w:rFonts w:cs="Arial"/>
        </w:rPr>
        <w:t xml:space="preserve"> Corresponde a la Comisión el desempeño de las siguientes funciones:</w:t>
      </w:r>
    </w:p>
    <w:p w14:paraId="4C4B3F00" w14:textId="77777777" w:rsidR="00D3344B" w:rsidRDefault="00D3344B">
      <w:pPr>
        <w:pStyle w:val="Estilo"/>
        <w:rPr>
          <w:rFonts w:cs="Arial"/>
        </w:rPr>
      </w:pPr>
    </w:p>
    <w:p w14:paraId="7DBCC0BB" w14:textId="77777777" w:rsidR="00D3344B" w:rsidRDefault="00143C25">
      <w:pPr>
        <w:pStyle w:val="Estilo"/>
        <w:ind w:left="567" w:hanging="567"/>
        <w:rPr>
          <w:rFonts w:cs="Arial"/>
        </w:rPr>
      </w:pPr>
      <w:r>
        <w:rPr>
          <w:rFonts w:cs="Arial"/>
        </w:rPr>
        <w:t xml:space="preserve">I. </w:t>
      </w:r>
      <w:r>
        <w:rPr>
          <w:rFonts w:cs="Arial"/>
        </w:rPr>
        <w:tab/>
        <w:t>Dictar disposiciones de racionalidad y austeridad, cuidando que las decisiones que se tomen en materia de gasto público y su financiamiento, mantengan congruencia con las directrices marcadas por el Titular del Ejecutivo Estatal;</w:t>
      </w:r>
    </w:p>
    <w:p w14:paraId="4D3ACF0D" w14:textId="77777777" w:rsidR="00D3344B" w:rsidRDefault="00D3344B">
      <w:pPr>
        <w:pStyle w:val="Estilo"/>
        <w:ind w:left="567" w:hanging="567"/>
        <w:rPr>
          <w:rFonts w:cs="Arial"/>
        </w:rPr>
      </w:pPr>
    </w:p>
    <w:p w14:paraId="64260F25" w14:textId="77777777" w:rsidR="00D3344B" w:rsidRDefault="00143C25">
      <w:pPr>
        <w:pStyle w:val="Estilo"/>
        <w:ind w:left="567" w:hanging="567"/>
        <w:rPr>
          <w:rFonts w:cs="Arial"/>
        </w:rPr>
      </w:pPr>
      <w:r>
        <w:rPr>
          <w:rFonts w:cs="Arial"/>
        </w:rPr>
        <w:t xml:space="preserve">II. </w:t>
      </w:r>
      <w:r>
        <w:rPr>
          <w:rFonts w:cs="Arial"/>
        </w:rPr>
        <w:tab/>
        <w:t>Asegurar que las Dependencias y Entidades de la Administración Pública Estatal se ajusten a los criterios generales de gasto y financiamiento que emanen de los presupuestos anuales de ingresos y egresos, así como de las disposiciones dictadas por dicha Comisión;</w:t>
      </w:r>
    </w:p>
    <w:p w14:paraId="231FEE16" w14:textId="77777777" w:rsidR="00D3344B" w:rsidRDefault="00D3344B">
      <w:pPr>
        <w:pStyle w:val="Estilo"/>
        <w:ind w:left="567" w:hanging="567"/>
        <w:rPr>
          <w:rFonts w:cs="Arial"/>
        </w:rPr>
      </w:pPr>
    </w:p>
    <w:p w14:paraId="1AFD8E32" w14:textId="77777777" w:rsidR="00D3344B" w:rsidRDefault="00143C25">
      <w:pPr>
        <w:pStyle w:val="Estilo"/>
        <w:rPr>
          <w:rFonts w:eastAsia="Calibri" w:cs="Arial"/>
          <w:i/>
          <w:iCs/>
          <w:sz w:val="16"/>
          <w:szCs w:val="16"/>
        </w:rPr>
      </w:pPr>
      <w:r>
        <w:rPr>
          <w:rFonts w:eastAsia="Calibri" w:cs="Arial"/>
          <w:i/>
          <w:iCs/>
          <w:sz w:val="16"/>
          <w:szCs w:val="16"/>
        </w:rPr>
        <w:t>(REFORMADA, P.O. 29 DE NOVIEMBRE DE 2023)</w:t>
      </w:r>
    </w:p>
    <w:p w14:paraId="0C44E397" w14:textId="77777777" w:rsidR="00D3344B" w:rsidRDefault="00143C25">
      <w:pPr>
        <w:pStyle w:val="Estilo"/>
        <w:ind w:left="567" w:hanging="567"/>
        <w:rPr>
          <w:rFonts w:cs="Arial"/>
        </w:rPr>
      </w:pPr>
      <w:r>
        <w:rPr>
          <w:rFonts w:cs="Arial"/>
        </w:rPr>
        <w:t xml:space="preserve">III. </w:t>
      </w:r>
      <w:r>
        <w:rPr>
          <w:rFonts w:cs="Arial"/>
        </w:rPr>
        <w:tab/>
        <w:t>Apoyar los procesos de creación, constitución, organización, funcionamiento, control, desincorporación, disolución, liquidación y extinción de entidades del sector paraestatal, analizando las propuestas que se planteen al respecto;</w:t>
      </w:r>
    </w:p>
    <w:p w14:paraId="49DBE003" w14:textId="77777777" w:rsidR="00D3344B" w:rsidRDefault="00D3344B">
      <w:pPr>
        <w:pStyle w:val="Estilo"/>
        <w:ind w:left="567" w:hanging="567"/>
        <w:rPr>
          <w:rFonts w:cs="Arial"/>
        </w:rPr>
      </w:pPr>
    </w:p>
    <w:p w14:paraId="132DA9DC" w14:textId="77777777" w:rsidR="00D3344B" w:rsidRDefault="00143C25">
      <w:pPr>
        <w:pStyle w:val="Estilo"/>
        <w:ind w:left="567" w:hanging="567"/>
        <w:rPr>
          <w:rFonts w:cs="Arial"/>
        </w:rPr>
      </w:pPr>
      <w:r>
        <w:rPr>
          <w:rFonts w:cs="Arial"/>
        </w:rPr>
        <w:t xml:space="preserve">IV. </w:t>
      </w:r>
      <w:r>
        <w:rPr>
          <w:rFonts w:cs="Arial"/>
        </w:rPr>
        <w:tab/>
        <w:t>Proponer y apoyar los programas y acciones que se orienten al uso eficiente y racional de los recursos públicos;</w:t>
      </w:r>
    </w:p>
    <w:p w14:paraId="59DA1D6F" w14:textId="77777777" w:rsidR="00D3344B" w:rsidRDefault="00D3344B">
      <w:pPr>
        <w:pStyle w:val="Estilo"/>
        <w:ind w:left="567" w:hanging="567"/>
        <w:rPr>
          <w:rFonts w:cs="Arial"/>
        </w:rPr>
      </w:pPr>
    </w:p>
    <w:p w14:paraId="1FA8143A" w14:textId="77777777" w:rsidR="00D3344B" w:rsidRDefault="00143C25">
      <w:pPr>
        <w:pStyle w:val="Estilo"/>
        <w:ind w:left="567" w:hanging="567"/>
        <w:rPr>
          <w:rFonts w:cs="Arial"/>
        </w:rPr>
      </w:pPr>
      <w:r>
        <w:rPr>
          <w:rFonts w:cs="Arial"/>
        </w:rPr>
        <w:t xml:space="preserve">V. </w:t>
      </w:r>
      <w:r>
        <w:rPr>
          <w:rFonts w:cs="Arial"/>
        </w:rPr>
        <w:tab/>
        <w:t>Coadyuvar a la instrumentación de medidas para lograr un gasto público eficiente;</w:t>
      </w:r>
    </w:p>
    <w:p w14:paraId="0E1CB3F0" w14:textId="77777777" w:rsidR="00D3344B" w:rsidRDefault="00D3344B">
      <w:pPr>
        <w:pStyle w:val="Estilo"/>
        <w:ind w:left="567" w:hanging="567"/>
        <w:rPr>
          <w:rFonts w:cs="Arial"/>
        </w:rPr>
      </w:pPr>
    </w:p>
    <w:p w14:paraId="7E2FC0DF" w14:textId="77777777" w:rsidR="00D3344B" w:rsidRDefault="00143C25">
      <w:pPr>
        <w:pStyle w:val="Estilo"/>
        <w:ind w:left="567" w:hanging="567"/>
        <w:rPr>
          <w:rFonts w:cs="Arial"/>
        </w:rPr>
      </w:pPr>
      <w:r>
        <w:rPr>
          <w:rFonts w:cs="Arial"/>
        </w:rPr>
        <w:t xml:space="preserve">VI. </w:t>
      </w:r>
      <w:r>
        <w:rPr>
          <w:rFonts w:cs="Arial"/>
        </w:rPr>
        <w:tab/>
        <w:t>Analizar el comportamiento del gasto público y su financiamiento para detectar diferencias respecto a lo programado y sugerir las medidas correctivas, así como recomendar los ajustes a los programas anuales de gasto y financiamiento de la Administración Pública Estatal;</w:t>
      </w:r>
    </w:p>
    <w:p w14:paraId="09071E2E" w14:textId="77777777" w:rsidR="00D3344B" w:rsidRDefault="00D3344B">
      <w:pPr>
        <w:pStyle w:val="Estilo"/>
        <w:ind w:left="567" w:hanging="567"/>
        <w:rPr>
          <w:rFonts w:cs="Arial"/>
        </w:rPr>
      </w:pPr>
    </w:p>
    <w:p w14:paraId="711D853A" w14:textId="77777777" w:rsidR="00D3344B" w:rsidRDefault="00143C25">
      <w:pPr>
        <w:pStyle w:val="Estilo"/>
        <w:ind w:left="567" w:hanging="567"/>
        <w:rPr>
          <w:rFonts w:cs="Arial"/>
        </w:rPr>
      </w:pPr>
      <w:r>
        <w:rPr>
          <w:rFonts w:cs="Arial"/>
        </w:rPr>
        <w:t xml:space="preserve">VII. </w:t>
      </w:r>
      <w:r>
        <w:rPr>
          <w:rFonts w:cs="Arial"/>
        </w:rPr>
        <w:tab/>
        <w:t>Intervenir en aquellos asuntos que, por sus implicaciones en los programas de gasto y financiamiento, requieran de la participación de la Comisión; y</w:t>
      </w:r>
    </w:p>
    <w:p w14:paraId="148CFCF5" w14:textId="77777777" w:rsidR="00D3344B" w:rsidRDefault="00D3344B">
      <w:pPr>
        <w:pStyle w:val="Estilo"/>
        <w:ind w:left="567" w:hanging="567"/>
        <w:rPr>
          <w:rFonts w:cs="Arial"/>
        </w:rPr>
      </w:pPr>
    </w:p>
    <w:p w14:paraId="7FD0F248" w14:textId="77777777" w:rsidR="00D3344B" w:rsidRDefault="00143C25">
      <w:pPr>
        <w:pStyle w:val="Estilo"/>
        <w:ind w:left="567" w:hanging="567"/>
        <w:rPr>
          <w:rFonts w:cs="Arial"/>
        </w:rPr>
      </w:pPr>
      <w:r>
        <w:rPr>
          <w:rFonts w:cs="Arial"/>
        </w:rPr>
        <w:t xml:space="preserve">VIII. </w:t>
      </w:r>
      <w:r>
        <w:rPr>
          <w:rFonts w:cs="Arial"/>
        </w:rPr>
        <w:tab/>
        <w:t>En materia de deuda pública deberá:</w:t>
      </w:r>
    </w:p>
    <w:p w14:paraId="0DEBA59A" w14:textId="77777777" w:rsidR="00D3344B" w:rsidRDefault="00D3344B">
      <w:pPr>
        <w:pStyle w:val="Estilo"/>
        <w:ind w:left="567" w:hanging="567"/>
        <w:rPr>
          <w:rFonts w:cs="Arial"/>
        </w:rPr>
      </w:pPr>
    </w:p>
    <w:p w14:paraId="243CB8B9" w14:textId="77777777" w:rsidR="00D3344B" w:rsidRDefault="00143C25">
      <w:pPr>
        <w:pStyle w:val="Estilo"/>
        <w:ind w:left="1134" w:hanging="567"/>
        <w:rPr>
          <w:rFonts w:cs="Arial"/>
        </w:rPr>
      </w:pPr>
      <w:r>
        <w:rPr>
          <w:rFonts w:cs="Arial"/>
        </w:rPr>
        <w:t xml:space="preserve">a) </w:t>
      </w:r>
      <w:r>
        <w:rPr>
          <w:rFonts w:cs="Arial"/>
        </w:rPr>
        <w:tab/>
        <w:t>Evaluar las necesidades y capacidad de endeudamiento del Estado y Municipios;</w:t>
      </w:r>
    </w:p>
    <w:p w14:paraId="48875864" w14:textId="77777777" w:rsidR="00D3344B" w:rsidRDefault="00D3344B">
      <w:pPr>
        <w:pStyle w:val="Estilo"/>
        <w:ind w:left="1134" w:hanging="567"/>
        <w:rPr>
          <w:rFonts w:cs="Arial"/>
        </w:rPr>
      </w:pPr>
    </w:p>
    <w:p w14:paraId="0B56BD3D" w14:textId="77777777" w:rsidR="00D3344B" w:rsidRDefault="00143C25">
      <w:pPr>
        <w:pStyle w:val="Estilo"/>
        <w:ind w:left="1134" w:hanging="567"/>
        <w:rPr>
          <w:rFonts w:cs="Arial"/>
        </w:rPr>
      </w:pPr>
      <w:r>
        <w:rPr>
          <w:rFonts w:cs="Arial"/>
        </w:rPr>
        <w:t xml:space="preserve">b) </w:t>
      </w:r>
      <w:r>
        <w:rPr>
          <w:rFonts w:cs="Arial"/>
        </w:rPr>
        <w:tab/>
        <w:t>Evaluar los programas de endeudamiento que presenten las Entidades Paraestatales;</w:t>
      </w:r>
    </w:p>
    <w:p w14:paraId="19A67686" w14:textId="77777777" w:rsidR="00D3344B" w:rsidRDefault="00D3344B">
      <w:pPr>
        <w:pStyle w:val="Estilo"/>
        <w:ind w:left="1134" w:hanging="567"/>
        <w:rPr>
          <w:rFonts w:cs="Arial"/>
        </w:rPr>
      </w:pPr>
    </w:p>
    <w:p w14:paraId="221DB059" w14:textId="77777777" w:rsidR="00D3344B" w:rsidRDefault="00143C25">
      <w:pPr>
        <w:pStyle w:val="Estilo"/>
        <w:ind w:left="1134" w:hanging="567"/>
        <w:rPr>
          <w:rFonts w:cs="Arial"/>
        </w:rPr>
      </w:pPr>
      <w:r>
        <w:rPr>
          <w:rFonts w:cs="Arial"/>
        </w:rPr>
        <w:lastRenderedPageBreak/>
        <w:t xml:space="preserve">c) </w:t>
      </w:r>
      <w:r>
        <w:rPr>
          <w:rFonts w:cs="Arial"/>
        </w:rPr>
        <w:tab/>
        <w:t>Evaluar y opinar respecto de los empréstitos o créditos que se otorguen al Estado o de aquellos que requieran su garantía, la que sólo se otorgará cuando se trate de programas prioritarios señalados en el Plan Estatal de Desarrollo y que sean a la vez inversiones recuperables y no desequilibradoras de las finanzas públicas;</w:t>
      </w:r>
    </w:p>
    <w:p w14:paraId="68030C9D" w14:textId="77777777" w:rsidR="00D3344B" w:rsidRDefault="00D3344B">
      <w:pPr>
        <w:pStyle w:val="Estilo"/>
        <w:ind w:left="1134" w:hanging="567"/>
        <w:rPr>
          <w:rFonts w:cs="Arial"/>
        </w:rPr>
      </w:pPr>
    </w:p>
    <w:p w14:paraId="5807CB69" w14:textId="77777777" w:rsidR="00D3344B" w:rsidRDefault="00143C25">
      <w:pPr>
        <w:pStyle w:val="Estilo"/>
        <w:ind w:left="1134" w:hanging="567"/>
        <w:rPr>
          <w:rFonts w:cs="Arial"/>
        </w:rPr>
      </w:pPr>
      <w:r>
        <w:rPr>
          <w:rFonts w:cs="Arial"/>
        </w:rPr>
        <w:t xml:space="preserve">d) </w:t>
      </w:r>
      <w:r>
        <w:rPr>
          <w:rFonts w:cs="Arial"/>
        </w:rPr>
        <w:tab/>
        <w:t>Dar asesoría a las Entidades Públicas que lo requieran, en materia de Deuda Pública;</w:t>
      </w:r>
    </w:p>
    <w:p w14:paraId="3E1355F5" w14:textId="77777777" w:rsidR="00D3344B" w:rsidRDefault="00D3344B">
      <w:pPr>
        <w:pStyle w:val="Estilo"/>
        <w:ind w:left="1134" w:hanging="567"/>
        <w:rPr>
          <w:rFonts w:cs="Arial"/>
        </w:rPr>
      </w:pPr>
    </w:p>
    <w:p w14:paraId="06D5778B" w14:textId="77777777" w:rsidR="00D3344B" w:rsidRDefault="00143C25">
      <w:pPr>
        <w:pStyle w:val="Estilo"/>
        <w:ind w:left="1134" w:hanging="567"/>
        <w:rPr>
          <w:rFonts w:cs="Arial"/>
        </w:rPr>
      </w:pPr>
      <w:r>
        <w:rPr>
          <w:rFonts w:cs="Arial"/>
        </w:rPr>
        <w:t xml:space="preserve">e) </w:t>
      </w:r>
      <w:r>
        <w:rPr>
          <w:rFonts w:cs="Arial"/>
        </w:rPr>
        <w:tab/>
        <w:t>Recabar y mantener información actualizada sobre la solvencia económica y técnica de contratistas y entidades financieras;</w:t>
      </w:r>
    </w:p>
    <w:p w14:paraId="4657B350" w14:textId="77777777" w:rsidR="00D3344B" w:rsidRDefault="00D3344B">
      <w:pPr>
        <w:pStyle w:val="Estilo"/>
        <w:ind w:left="1134" w:hanging="567"/>
        <w:rPr>
          <w:rFonts w:cs="Arial"/>
        </w:rPr>
      </w:pPr>
    </w:p>
    <w:p w14:paraId="2D86D729" w14:textId="77777777" w:rsidR="00D3344B" w:rsidRDefault="00143C25">
      <w:pPr>
        <w:pStyle w:val="Estilo"/>
        <w:ind w:left="1134" w:hanging="567"/>
        <w:rPr>
          <w:rFonts w:cs="Arial"/>
        </w:rPr>
      </w:pPr>
      <w:r>
        <w:rPr>
          <w:rFonts w:cs="Arial"/>
        </w:rPr>
        <w:t xml:space="preserve">f) </w:t>
      </w:r>
      <w:r>
        <w:rPr>
          <w:rFonts w:cs="Arial"/>
        </w:rPr>
        <w:tab/>
        <w:t>Coadyuvar en el registro y control de la deuda pública, aportando o solicitando información para tal efecto;</w:t>
      </w:r>
    </w:p>
    <w:p w14:paraId="28F9043B" w14:textId="77777777" w:rsidR="00D3344B" w:rsidRDefault="00D3344B">
      <w:pPr>
        <w:pStyle w:val="Estilo"/>
        <w:ind w:left="1134" w:hanging="567"/>
        <w:rPr>
          <w:rFonts w:cs="Arial"/>
        </w:rPr>
      </w:pPr>
    </w:p>
    <w:p w14:paraId="74241815" w14:textId="77777777" w:rsidR="00D3344B" w:rsidRDefault="00143C25">
      <w:pPr>
        <w:pStyle w:val="Estilo"/>
        <w:ind w:left="1134" w:hanging="567"/>
        <w:rPr>
          <w:rFonts w:cs="Arial"/>
        </w:rPr>
      </w:pPr>
      <w:r>
        <w:rPr>
          <w:rFonts w:cs="Arial"/>
        </w:rPr>
        <w:t xml:space="preserve">g) </w:t>
      </w:r>
      <w:r>
        <w:rPr>
          <w:rFonts w:cs="Arial"/>
        </w:rPr>
        <w:tab/>
        <w:t>Evaluar y opinar en general sobre cualquier operación que se realice en materia de deuda pública y que amerite la afectación directa de los recursos del Estado, o indirecta, al otorgar su aval o garantía a la operación, y</w:t>
      </w:r>
    </w:p>
    <w:p w14:paraId="27BCD6DD" w14:textId="77777777" w:rsidR="00D3344B" w:rsidRDefault="00D3344B">
      <w:pPr>
        <w:pStyle w:val="Estilo"/>
        <w:ind w:left="1134" w:hanging="567"/>
        <w:rPr>
          <w:rFonts w:cs="Arial"/>
        </w:rPr>
      </w:pPr>
    </w:p>
    <w:p w14:paraId="128BB23B" w14:textId="77777777" w:rsidR="00D3344B" w:rsidRDefault="00143C25">
      <w:pPr>
        <w:pStyle w:val="Estilo"/>
        <w:ind w:left="1134" w:hanging="567"/>
        <w:rPr>
          <w:rFonts w:cs="Arial"/>
        </w:rPr>
      </w:pPr>
      <w:r>
        <w:rPr>
          <w:rFonts w:cs="Arial"/>
          <w:i/>
          <w:sz w:val="16"/>
        </w:rPr>
        <w:t>(REFORMADO, P.O. 30 DE DICIEMBRE DE 2005)</w:t>
      </w:r>
    </w:p>
    <w:p w14:paraId="14414206" w14:textId="77777777" w:rsidR="00D3344B" w:rsidRDefault="00143C25">
      <w:pPr>
        <w:pStyle w:val="Estilo"/>
        <w:ind w:left="1134" w:hanging="567"/>
        <w:rPr>
          <w:rFonts w:cs="Arial"/>
        </w:rPr>
      </w:pPr>
      <w:r>
        <w:rPr>
          <w:rFonts w:cs="Arial"/>
        </w:rPr>
        <w:t xml:space="preserve">h) </w:t>
      </w:r>
      <w:r>
        <w:rPr>
          <w:rFonts w:cs="Arial"/>
        </w:rPr>
        <w:tab/>
        <w:t>Respetar y apegarse estrictamente a los montos de endeudamiento señalados en el penúltimo párrafo del artículo 101 de la Constitución Política del Estado. Para tales efectos no constituirán deuda pública las obligaciones directas a corto plazo, entendiéndose por éste el que no exceda de 90 días, que se contraigan para solventar necesidades urgentes, saneamiento financiero y posibles contingencias, siempre que su vencimiento y liquidación, se realice en el mismo ejercicio en el cual fueron contratadas, y que su monto neto no exceda del establecido en el mencionado artículo.</w:t>
      </w:r>
    </w:p>
    <w:p w14:paraId="268EA9B0" w14:textId="77777777" w:rsidR="00D3344B" w:rsidRDefault="00D3344B">
      <w:pPr>
        <w:pStyle w:val="Estilo"/>
        <w:rPr>
          <w:rFonts w:cs="Arial"/>
        </w:rPr>
      </w:pPr>
    </w:p>
    <w:p w14:paraId="4A107FAE"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75FF1FA2" w14:textId="77777777" w:rsidR="00D3344B" w:rsidRDefault="00143C25">
      <w:pPr>
        <w:pStyle w:val="Estilo"/>
        <w:rPr>
          <w:rFonts w:cs="Arial"/>
        </w:rPr>
      </w:pPr>
      <w:r>
        <w:rPr>
          <w:rFonts w:cs="Arial"/>
          <w:b/>
        </w:rPr>
        <w:t>Artículo 282.</w:t>
      </w:r>
      <w:r>
        <w:rPr>
          <w:rFonts w:cs="Arial"/>
        </w:rPr>
        <w:t xml:space="preserve"> La Comisión estará integrada por las personas titulares de la Oficialía Mayor de Gobierno, la Secretaría de Finanzas, la Secretaría de la Función Pública, la Coordinación General de Planeación e Inversión y la Consejería Jurídica del Ejecutivo. Quienes podrán contar con una suplente, con conocimiento en la materia y autorizada para la toma de decisiones.</w:t>
      </w:r>
    </w:p>
    <w:p w14:paraId="576D797E" w14:textId="77777777" w:rsidR="00D3344B" w:rsidRDefault="00D3344B">
      <w:pPr>
        <w:pStyle w:val="Estilo"/>
        <w:rPr>
          <w:rFonts w:cs="Arial"/>
        </w:rPr>
      </w:pPr>
    </w:p>
    <w:p w14:paraId="1DDAC97E"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6D709DC5" w14:textId="77777777" w:rsidR="00D3344B" w:rsidRDefault="00143C25">
      <w:pPr>
        <w:pStyle w:val="Estilo"/>
        <w:rPr>
          <w:rFonts w:cs="Arial"/>
        </w:rPr>
      </w:pPr>
      <w:r>
        <w:rPr>
          <w:rFonts w:cs="Arial"/>
          <w:b/>
          <w:bCs/>
        </w:rPr>
        <w:t>Artículo 283.</w:t>
      </w:r>
      <w:r>
        <w:rPr>
          <w:rFonts w:cs="Arial"/>
        </w:rPr>
        <w:t xml:space="preserve"> La Comisión estará orgánicamente estructurada de la manera siguiente:</w:t>
      </w:r>
    </w:p>
    <w:p w14:paraId="146174D9" w14:textId="77777777" w:rsidR="00D3344B" w:rsidRDefault="00D3344B">
      <w:pPr>
        <w:pStyle w:val="Estilo"/>
        <w:rPr>
          <w:rFonts w:cs="Arial"/>
        </w:rPr>
      </w:pPr>
    </w:p>
    <w:p w14:paraId="79CC5A0F" w14:textId="77777777" w:rsidR="00D3344B" w:rsidRDefault="00143C25">
      <w:pPr>
        <w:pStyle w:val="Estilo"/>
        <w:ind w:left="567" w:hanging="567"/>
        <w:rPr>
          <w:rFonts w:cs="Arial"/>
        </w:rPr>
      </w:pPr>
      <w:r>
        <w:rPr>
          <w:rFonts w:cs="Arial"/>
        </w:rPr>
        <w:t>I.</w:t>
      </w:r>
      <w:r>
        <w:rPr>
          <w:rFonts w:cs="Arial"/>
        </w:rPr>
        <w:tab/>
        <w:t>Presidencia, estará a cargo de la persona titular de la Secretaría, quien preferentemente designará como suplente a quien funja como titular de la Dirección de Presupuesto de la Secretaría;</w:t>
      </w:r>
    </w:p>
    <w:p w14:paraId="2FA7D841" w14:textId="77777777" w:rsidR="00D3344B" w:rsidRDefault="00D3344B">
      <w:pPr>
        <w:pStyle w:val="Estilo"/>
        <w:ind w:left="567" w:hanging="567"/>
        <w:rPr>
          <w:rFonts w:cs="Arial"/>
        </w:rPr>
      </w:pPr>
    </w:p>
    <w:p w14:paraId="551FF12E" w14:textId="77777777" w:rsidR="00D3344B" w:rsidRDefault="00143C25">
      <w:pPr>
        <w:pStyle w:val="Estilo"/>
        <w:ind w:left="567" w:hanging="567"/>
        <w:rPr>
          <w:rFonts w:cs="Arial"/>
        </w:rPr>
      </w:pPr>
      <w:r>
        <w:rPr>
          <w:rFonts w:cs="Arial"/>
        </w:rPr>
        <w:t>II.</w:t>
      </w:r>
      <w:r>
        <w:rPr>
          <w:rFonts w:cs="Arial"/>
        </w:rPr>
        <w:tab/>
        <w:t>Secretaría, que ocupará la persona titular de la Oficialía Mayor de Gobierno;</w:t>
      </w:r>
    </w:p>
    <w:p w14:paraId="45745B0F" w14:textId="77777777" w:rsidR="00D3344B" w:rsidRDefault="00D3344B">
      <w:pPr>
        <w:pStyle w:val="Estilo"/>
        <w:ind w:left="567" w:hanging="567"/>
        <w:rPr>
          <w:rFonts w:cs="Arial"/>
        </w:rPr>
      </w:pPr>
    </w:p>
    <w:p w14:paraId="1BD63720" w14:textId="77777777" w:rsidR="00D3344B" w:rsidRDefault="00143C25">
      <w:pPr>
        <w:pStyle w:val="Estilo"/>
        <w:ind w:left="567" w:hanging="567"/>
        <w:rPr>
          <w:rFonts w:cs="Arial"/>
        </w:rPr>
      </w:pPr>
      <w:r>
        <w:rPr>
          <w:rFonts w:cs="Arial"/>
        </w:rPr>
        <w:t>III.</w:t>
      </w:r>
      <w:r>
        <w:rPr>
          <w:rFonts w:cs="Arial"/>
        </w:rPr>
        <w:tab/>
        <w:t>Tres vocalías que serán las personas titulares de la:</w:t>
      </w:r>
    </w:p>
    <w:p w14:paraId="040D96F4" w14:textId="77777777" w:rsidR="00D3344B" w:rsidRDefault="00D3344B">
      <w:pPr>
        <w:pStyle w:val="Estilo"/>
        <w:ind w:left="567" w:hanging="567"/>
        <w:rPr>
          <w:rFonts w:cs="Arial"/>
        </w:rPr>
      </w:pPr>
    </w:p>
    <w:p w14:paraId="1864B754" w14:textId="77777777" w:rsidR="00D3344B" w:rsidRDefault="00143C25">
      <w:pPr>
        <w:pStyle w:val="Estilo"/>
        <w:ind w:left="851" w:hanging="284"/>
        <w:rPr>
          <w:rFonts w:cs="Arial"/>
        </w:rPr>
      </w:pPr>
      <w:r>
        <w:rPr>
          <w:rFonts w:cs="Arial"/>
        </w:rPr>
        <w:t>a)</w:t>
      </w:r>
      <w:r>
        <w:rPr>
          <w:rFonts w:cs="Arial"/>
        </w:rPr>
        <w:tab/>
        <w:t>Secretaría de la Función Pública;</w:t>
      </w:r>
    </w:p>
    <w:p w14:paraId="6AD9DD31" w14:textId="77777777" w:rsidR="00D3344B" w:rsidRDefault="00D3344B">
      <w:pPr>
        <w:pStyle w:val="Estilo"/>
        <w:ind w:left="851" w:hanging="284"/>
        <w:rPr>
          <w:rFonts w:cs="Arial"/>
        </w:rPr>
      </w:pPr>
    </w:p>
    <w:p w14:paraId="43078C2C" w14:textId="77777777" w:rsidR="00D3344B" w:rsidRDefault="00143C25">
      <w:pPr>
        <w:pStyle w:val="Estilo"/>
        <w:ind w:left="851" w:hanging="284"/>
        <w:rPr>
          <w:rFonts w:cs="Arial"/>
        </w:rPr>
      </w:pPr>
      <w:r>
        <w:rPr>
          <w:rFonts w:cs="Arial"/>
        </w:rPr>
        <w:t>b)</w:t>
      </w:r>
      <w:r>
        <w:rPr>
          <w:rFonts w:cs="Arial"/>
        </w:rPr>
        <w:tab/>
        <w:t>Coordinación General de Planeación e Inversión, e</w:t>
      </w:r>
    </w:p>
    <w:p w14:paraId="13995911" w14:textId="77777777" w:rsidR="00D3344B" w:rsidRDefault="00D3344B">
      <w:pPr>
        <w:pStyle w:val="Estilo"/>
        <w:ind w:left="851" w:hanging="284"/>
        <w:rPr>
          <w:rFonts w:cs="Arial"/>
        </w:rPr>
      </w:pPr>
    </w:p>
    <w:p w14:paraId="7CFA95EC" w14:textId="77777777" w:rsidR="00D3344B" w:rsidRDefault="00143C25">
      <w:pPr>
        <w:pStyle w:val="Estilo"/>
        <w:ind w:left="851" w:hanging="284"/>
        <w:rPr>
          <w:rFonts w:cs="Arial"/>
        </w:rPr>
      </w:pPr>
      <w:r>
        <w:rPr>
          <w:rFonts w:cs="Arial"/>
        </w:rPr>
        <w:t>c)</w:t>
      </w:r>
      <w:r>
        <w:rPr>
          <w:rFonts w:cs="Arial"/>
        </w:rPr>
        <w:tab/>
        <w:t>Consejería Jurídica del Ejecutivo del Estado.</w:t>
      </w:r>
    </w:p>
    <w:p w14:paraId="34567A24" w14:textId="77777777" w:rsidR="00D3344B" w:rsidRDefault="00D3344B">
      <w:pPr>
        <w:pStyle w:val="Estilo"/>
        <w:rPr>
          <w:rFonts w:cs="Arial"/>
        </w:rPr>
      </w:pPr>
    </w:p>
    <w:p w14:paraId="74989735" w14:textId="77777777" w:rsidR="00D3344B" w:rsidRDefault="00143C25">
      <w:pPr>
        <w:pStyle w:val="Estilo"/>
        <w:rPr>
          <w:rFonts w:cs="Arial"/>
        </w:rPr>
      </w:pPr>
      <w:r>
        <w:rPr>
          <w:rFonts w:cs="Arial"/>
        </w:rPr>
        <w:t>En los casos que así lo requieran los asuntos a tratar, las personas titulares de las dependencias y entidades de la administración pública estatal podrán ser invitadas a participar en las sesiones de la Comisión para apoyar los análisis y soluciones que se planteen en la misma.</w:t>
      </w:r>
    </w:p>
    <w:p w14:paraId="1CEDCE2F" w14:textId="77777777" w:rsidR="00D3344B" w:rsidRDefault="00D3344B">
      <w:pPr>
        <w:pStyle w:val="Estilo"/>
        <w:rPr>
          <w:rFonts w:cs="Arial"/>
        </w:rPr>
      </w:pPr>
    </w:p>
    <w:p w14:paraId="6A0B9359" w14:textId="77777777" w:rsidR="00D3344B" w:rsidRDefault="00143C25">
      <w:pPr>
        <w:pStyle w:val="Estilo"/>
        <w:rPr>
          <w:rFonts w:cs="Arial"/>
        </w:rPr>
      </w:pPr>
      <w:r>
        <w:rPr>
          <w:rFonts w:cs="Arial"/>
        </w:rPr>
        <w:t>Las personas invitadas tendrán derecho a voz, pero no a voto.</w:t>
      </w:r>
    </w:p>
    <w:p w14:paraId="5920B8F6" w14:textId="77777777" w:rsidR="00D3344B" w:rsidRDefault="00D3344B">
      <w:pPr>
        <w:pStyle w:val="Estilo"/>
        <w:rPr>
          <w:rFonts w:cs="Arial"/>
        </w:rPr>
      </w:pPr>
    </w:p>
    <w:p w14:paraId="5764AA54"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4BE7471C" w14:textId="77777777" w:rsidR="00D3344B" w:rsidRDefault="00143C25">
      <w:pPr>
        <w:pStyle w:val="Estilo"/>
        <w:rPr>
          <w:rFonts w:cs="Arial"/>
        </w:rPr>
      </w:pPr>
      <w:r>
        <w:rPr>
          <w:rFonts w:cs="Arial"/>
          <w:b/>
          <w:bCs/>
        </w:rPr>
        <w:t>Artículo 284.</w:t>
      </w:r>
      <w:r>
        <w:rPr>
          <w:rFonts w:cs="Arial"/>
        </w:rPr>
        <w:t xml:space="preserve"> Quienes integran la Comisión tendrán las atribuciones siguientes:</w:t>
      </w:r>
    </w:p>
    <w:p w14:paraId="029FDAE9" w14:textId="77777777" w:rsidR="00D3344B" w:rsidRDefault="00D3344B">
      <w:pPr>
        <w:pStyle w:val="Estilo"/>
        <w:rPr>
          <w:rFonts w:cs="Arial"/>
        </w:rPr>
      </w:pPr>
    </w:p>
    <w:p w14:paraId="499DD909" w14:textId="77777777" w:rsidR="00D3344B" w:rsidRDefault="00143C25">
      <w:pPr>
        <w:pStyle w:val="Estilo"/>
        <w:ind w:left="567" w:hanging="567"/>
        <w:rPr>
          <w:rFonts w:cs="Arial"/>
        </w:rPr>
      </w:pPr>
      <w:r>
        <w:rPr>
          <w:rFonts w:cs="Arial"/>
        </w:rPr>
        <w:t>I.</w:t>
      </w:r>
      <w:r>
        <w:rPr>
          <w:rFonts w:cs="Arial"/>
        </w:rPr>
        <w:tab/>
        <w:t>Presidencia:</w:t>
      </w:r>
    </w:p>
    <w:p w14:paraId="479C178C" w14:textId="77777777" w:rsidR="00D3344B" w:rsidRDefault="00D3344B">
      <w:pPr>
        <w:pStyle w:val="Estilo"/>
        <w:ind w:left="567" w:hanging="567"/>
        <w:rPr>
          <w:rFonts w:cs="Arial"/>
        </w:rPr>
      </w:pPr>
    </w:p>
    <w:p w14:paraId="4A402835" w14:textId="77777777" w:rsidR="00D3344B" w:rsidRDefault="00143C25">
      <w:pPr>
        <w:pStyle w:val="Estilo"/>
        <w:ind w:left="851" w:hanging="284"/>
        <w:rPr>
          <w:rFonts w:cs="Arial"/>
        </w:rPr>
      </w:pPr>
      <w:r>
        <w:rPr>
          <w:rFonts w:cs="Arial"/>
        </w:rPr>
        <w:t>a)</w:t>
      </w:r>
      <w:r>
        <w:rPr>
          <w:rFonts w:cs="Arial"/>
        </w:rPr>
        <w:tab/>
        <w:t>Convocar y presidir las sesiones;</w:t>
      </w:r>
    </w:p>
    <w:p w14:paraId="1A5344A2" w14:textId="77777777" w:rsidR="00D3344B" w:rsidRDefault="00D3344B">
      <w:pPr>
        <w:pStyle w:val="Estilo"/>
        <w:ind w:left="851" w:hanging="284"/>
        <w:rPr>
          <w:rFonts w:cs="Arial"/>
        </w:rPr>
      </w:pPr>
    </w:p>
    <w:p w14:paraId="077CCA5B" w14:textId="77777777" w:rsidR="00D3344B" w:rsidRDefault="00143C25">
      <w:pPr>
        <w:pStyle w:val="Estilo"/>
        <w:ind w:left="851" w:hanging="284"/>
        <w:rPr>
          <w:rFonts w:cs="Arial"/>
        </w:rPr>
      </w:pPr>
      <w:r>
        <w:rPr>
          <w:rFonts w:cs="Arial"/>
        </w:rPr>
        <w:t>b)</w:t>
      </w:r>
      <w:r>
        <w:rPr>
          <w:rFonts w:cs="Arial"/>
        </w:rPr>
        <w:tab/>
        <w:t>Dirigir y moderar los debates durante las sesiones;</w:t>
      </w:r>
    </w:p>
    <w:p w14:paraId="596BADD2" w14:textId="77777777" w:rsidR="00D3344B" w:rsidRDefault="00D3344B">
      <w:pPr>
        <w:pStyle w:val="Estilo"/>
        <w:ind w:left="851" w:hanging="284"/>
        <w:rPr>
          <w:rFonts w:cs="Arial"/>
        </w:rPr>
      </w:pPr>
    </w:p>
    <w:p w14:paraId="12F823F0" w14:textId="77777777" w:rsidR="00D3344B" w:rsidRDefault="00143C25">
      <w:pPr>
        <w:pStyle w:val="Estilo"/>
        <w:ind w:left="851" w:hanging="284"/>
        <w:rPr>
          <w:rFonts w:cs="Arial"/>
        </w:rPr>
      </w:pPr>
      <w:r>
        <w:rPr>
          <w:rFonts w:cs="Arial"/>
        </w:rPr>
        <w:t>c)</w:t>
      </w:r>
      <w:r>
        <w:rPr>
          <w:rFonts w:cs="Arial"/>
        </w:rPr>
        <w:tab/>
        <w:t>Informar a la persona titular del Ejecutivo las resoluciones y recomendaciones aprobadas; e</w:t>
      </w:r>
    </w:p>
    <w:p w14:paraId="54876F13" w14:textId="77777777" w:rsidR="00D3344B" w:rsidRDefault="00D3344B">
      <w:pPr>
        <w:pStyle w:val="Estilo"/>
        <w:ind w:left="851" w:hanging="284"/>
        <w:rPr>
          <w:rFonts w:cs="Arial"/>
        </w:rPr>
      </w:pPr>
    </w:p>
    <w:p w14:paraId="6ABD1147" w14:textId="77777777" w:rsidR="00D3344B" w:rsidRDefault="00143C25">
      <w:pPr>
        <w:pStyle w:val="Estilo"/>
        <w:ind w:left="851" w:hanging="284"/>
        <w:rPr>
          <w:rFonts w:cs="Arial"/>
        </w:rPr>
      </w:pPr>
      <w:r>
        <w:rPr>
          <w:rFonts w:cs="Arial"/>
        </w:rPr>
        <w:t>d)</w:t>
      </w:r>
      <w:r>
        <w:rPr>
          <w:rFonts w:cs="Arial"/>
        </w:rPr>
        <w:tab/>
        <w:t>Citar a reuniones extraordinarias cuando así se ajuste.</w:t>
      </w:r>
    </w:p>
    <w:p w14:paraId="724CC7C7" w14:textId="77777777" w:rsidR="00D3344B" w:rsidRDefault="00D3344B">
      <w:pPr>
        <w:pStyle w:val="Estilo"/>
        <w:ind w:left="567" w:hanging="567"/>
        <w:rPr>
          <w:rFonts w:cs="Arial"/>
        </w:rPr>
      </w:pPr>
    </w:p>
    <w:p w14:paraId="06990838" w14:textId="77777777" w:rsidR="00D3344B" w:rsidRDefault="00143C25">
      <w:pPr>
        <w:pStyle w:val="Estilo"/>
        <w:ind w:left="567" w:hanging="567"/>
        <w:rPr>
          <w:rFonts w:cs="Arial"/>
        </w:rPr>
      </w:pPr>
      <w:r>
        <w:rPr>
          <w:rFonts w:cs="Arial"/>
        </w:rPr>
        <w:t>II.</w:t>
      </w:r>
      <w:r>
        <w:rPr>
          <w:rFonts w:cs="Arial"/>
        </w:rPr>
        <w:tab/>
        <w:t>Secretaría de la Comisión:</w:t>
      </w:r>
    </w:p>
    <w:p w14:paraId="37DD079D" w14:textId="77777777" w:rsidR="00D3344B" w:rsidRDefault="00D3344B">
      <w:pPr>
        <w:pStyle w:val="Estilo"/>
        <w:ind w:left="567" w:hanging="567"/>
        <w:rPr>
          <w:rFonts w:cs="Arial"/>
        </w:rPr>
      </w:pPr>
    </w:p>
    <w:p w14:paraId="3579DF83" w14:textId="77777777" w:rsidR="00D3344B" w:rsidRDefault="00143C25">
      <w:pPr>
        <w:pStyle w:val="Estilo"/>
        <w:ind w:left="851" w:hanging="284"/>
        <w:rPr>
          <w:rFonts w:cs="Arial"/>
        </w:rPr>
      </w:pPr>
      <w:r>
        <w:rPr>
          <w:rFonts w:cs="Arial"/>
        </w:rPr>
        <w:t>a)</w:t>
      </w:r>
      <w:r>
        <w:rPr>
          <w:rFonts w:cs="Arial"/>
        </w:rPr>
        <w:tab/>
        <w:t>Propiciar la comunicación permanente entre la Comisión y dependencias y entidades de la administración pública;</w:t>
      </w:r>
    </w:p>
    <w:p w14:paraId="1F807763" w14:textId="77777777" w:rsidR="00D3344B" w:rsidRDefault="00D3344B">
      <w:pPr>
        <w:pStyle w:val="Estilo"/>
        <w:ind w:left="851" w:hanging="284"/>
        <w:rPr>
          <w:rFonts w:cs="Arial"/>
        </w:rPr>
      </w:pPr>
    </w:p>
    <w:p w14:paraId="1E70DFCB" w14:textId="77777777" w:rsidR="00D3344B" w:rsidRDefault="00143C25">
      <w:pPr>
        <w:pStyle w:val="Estilo"/>
        <w:ind w:left="851" w:hanging="284"/>
        <w:rPr>
          <w:rFonts w:cs="Arial"/>
        </w:rPr>
      </w:pPr>
      <w:r>
        <w:rPr>
          <w:rFonts w:cs="Arial"/>
        </w:rPr>
        <w:t>b)</w:t>
      </w:r>
      <w:r>
        <w:rPr>
          <w:rFonts w:cs="Arial"/>
        </w:rPr>
        <w:tab/>
        <w:t>Apoyar a la Presidencia, en el cumplimento de los acuerdos que emita la Comisión;</w:t>
      </w:r>
    </w:p>
    <w:p w14:paraId="6B462584" w14:textId="77777777" w:rsidR="00D3344B" w:rsidRDefault="00143C25">
      <w:pPr>
        <w:pStyle w:val="Estilo"/>
        <w:ind w:left="851" w:hanging="284"/>
        <w:rPr>
          <w:rFonts w:cs="Arial"/>
        </w:rPr>
      </w:pPr>
      <w:r>
        <w:rPr>
          <w:rFonts w:cs="Arial"/>
        </w:rPr>
        <w:t xml:space="preserve"> </w:t>
      </w:r>
    </w:p>
    <w:p w14:paraId="7D1A30AF" w14:textId="77777777" w:rsidR="00D3344B" w:rsidRDefault="00143C25">
      <w:pPr>
        <w:pStyle w:val="Estilo"/>
        <w:ind w:left="851" w:hanging="284"/>
        <w:rPr>
          <w:rFonts w:cs="Arial"/>
        </w:rPr>
      </w:pPr>
      <w:r>
        <w:rPr>
          <w:rFonts w:cs="Arial"/>
        </w:rPr>
        <w:t>c)</w:t>
      </w:r>
      <w:r>
        <w:rPr>
          <w:rFonts w:cs="Arial"/>
        </w:rPr>
        <w:tab/>
        <w:t>Apoyar los trabajos de la Comisión;</w:t>
      </w:r>
    </w:p>
    <w:p w14:paraId="70CAB3F7" w14:textId="77777777" w:rsidR="00D3344B" w:rsidRDefault="00D3344B">
      <w:pPr>
        <w:pStyle w:val="Estilo"/>
        <w:ind w:left="851" w:hanging="284"/>
        <w:rPr>
          <w:rFonts w:cs="Arial"/>
        </w:rPr>
      </w:pPr>
    </w:p>
    <w:p w14:paraId="2B66F774" w14:textId="77777777" w:rsidR="00D3344B" w:rsidRDefault="00143C25">
      <w:pPr>
        <w:pStyle w:val="Estilo"/>
        <w:ind w:left="851" w:hanging="284"/>
        <w:rPr>
          <w:rFonts w:cs="Arial"/>
        </w:rPr>
      </w:pPr>
      <w:r>
        <w:rPr>
          <w:rFonts w:cs="Arial"/>
        </w:rPr>
        <w:t>d)</w:t>
      </w:r>
      <w:r>
        <w:rPr>
          <w:rFonts w:cs="Arial"/>
        </w:rPr>
        <w:tab/>
        <w:t>Formular las actas de las sesiones y establecer el registro y seguimiento de los acuerdos que en ellas se adopten; e</w:t>
      </w:r>
    </w:p>
    <w:p w14:paraId="282FE633" w14:textId="77777777" w:rsidR="00D3344B" w:rsidRDefault="00D3344B">
      <w:pPr>
        <w:pStyle w:val="Estilo"/>
        <w:ind w:left="851" w:hanging="284"/>
        <w:rPr>
          <w:rFonts w:cs="Arial"/>
        </w:rPr>
      </w:pPr>
    </w:p>
    <w:p w14:paraId="509EE9D3" w14:textId="77777777" w:rsidR="00D3344B" w:rsidRDefault="00143C25">
      <w:pPr>
        <w:pStyle w:val="Estilo"/>
        <w:ind w:left="851" w:hanging="284"/>
        <w:rPr>
          <w:rFonts w:cs="Arial"/>
        </w:rPr>
      </w:pPr>
      <w:r>
        <w:rPr>
          <w:rFonts w:cs="Arial"/>
        </w:rPr>
        <w:t>e)</w:t>
      </w:r>
      <w:r>
        <w:rPr>
          <w:rFonts w:cs="Arial"/>
        </w:rPr>
        <w:tab/>
        <w:t>Cuidar que la documentación correspondiente a los asuntos a tratar en las sesiones, sea entregada a sus miembros con una antelación no menor de tres días hábiles al día de la sesión.</w:t>
      </w:r>
    </w:p>
    <w:p w14:paraId="7B7D1F70" w14:textId="77777777" w:rsidR="00D3344B" w:rsidRDefault="00D3344B">
      <w:pPr>
        <w:pStyle w:val="Estilo"/>
        <w:ind w:left="567" w:hanging="567"/>
        <w:rPr>
          <w:rFonts w:cs="Arial"/>
        </w:rPr>
      </w:pPr>
    </w:p>
    <w:p w14:paraId="0A2BF916" w14:textId="77777777" w:rsidR="00D3344B" w:rsidRDefault="00143C25">
      <w:pPr>
        <w:pStyle w:val="Estilo"/>
        <w:ind w:left="567" w:hanging="567"/>
        <w:rPr>
          <w:rFonts w:cs="Arial"/>
        </w:rPr>
      </w:pPr>
      <w:r>
        <w:rPr>
          <w:rFonts w:cs="Arial"/>
        </w:rPr>
        <w:t>II. Vocalías:</w:t>
      </w:r>
    </w:p>
    <w:p w14:paraId="53FF7BF6" w14:textId="77777777" w:rsidR="00D3344B" w:rsidRDefault="00D3344B">
      <w:pPr>
        <w:pStyle w:val="Estilo"/>
        <w:ind w:left="567" w:hanging="567"/>
        <w:rPr>
          <w:rFonts w:cs="Arial"/>
        </w:rPr>
      </w:pPr>
    </w:p>
    <w:p w14:paraId="0B436456" w14:textId="77777777" w:rsidR="00D3344B" w:rsidRDefault="00143C25">
      <w:pPr>
        <w:pStyle w:val="Estilo"/>
        <w:ind w:left="851" w:hanging="284"/>
        <w:rPr>
          <w:rFonts w:cs="Arial"/>
        </w:rPr>
      </w:pPr>
      <w:r>
        <w:rPr>
          <w:rFonts w:cs="Arial"/>
        </w:rPr>
        <w:t>a)</w:t>
      </w:r>
      <w:r>
        <w:rPr>
          <w:rFonts w:cs="Arial"/>
        </w:rPr>
        <w:tab/>
        <w:t>Secretaría de la Función Pública. Dar seguimiento en los procesos de la aplicación del presupuesto asignado, así como, en los actos de entrega recepción del despacho de personas titulares de dependencias y entidades, del personal servidor público de mandos medios y de aquellos que por la naturaleza de las funciones que realicen indique la Secretaría, en términos de la Ley Orgánica de la Administración Pública del Estado de Tlaxcala.</w:t>
      </w:r>
    </w:p>
    <w:p w14:paraId="336CF429" w14:textId="77777777" w:rsidR="00D3344B" w:rsidRDefault="00D3344B">
      <w:pPr>
        <w:pStyle w:val="Estilo"/>
        <w:ind w:left="851" w:hanging="284"/>
        <w:rPr>
          <w:rFonts w:cs="Arial"/>
        </w:rPr>
      </w:pPr>
    </w:p>
    <w:p w14:paraId="75DF9638" w14:textId="77777777" w:rsidR="00D3344B" w:rsidRDefault="00143C25">
      <w:pPr>
        <w:pStyle w:val="Estilo"/>
        <w:ind w:left="851" w:hanging="284"/>
        <w:rPr>
          <w:rFonts w:cs="Arial"/>
        </w:rPr>
      </w:pPr>
      <w:r>
        <w:rPr>
          <w:rFonts w:cs="Arial"/>
        </w:rPr>
        <w:t>b)</w:t>
      </w:r>
      <w:r>
        <w:rPr>
          <w:rFonts w:cs="Arial"/>
        </w:rPr>
        <w:tab/>
        <w:t>Coordinación General de Planeación e Inversión:</w:t>
      </w:r>
    </w:p>
    <w:p w14:paraId="1D92CD92" w14:textId="77777777" w:rsidR="00D3344B" w:rsidRDefault="00D3344B">
      <w:pPr>
        <w:pStyle w:val="Estilo"/>
        <w:ind w:left="851" w:hanging="284"/>
        <w:rPr>
          <w:rFonts w:cs="Arial"/>
        </w:rPr>
      </w:pPr>
    </w:p>
    <w:p w14:paraId="23E50AD2" w14:textId="77777777" w:rsidR="00D3344B" w:rsidRDefault="00143C25">
      <w:pPr>
        <w:pStyle w:val="Estilo"/>
        <w:ind w:left="1134" w:hanging="284"/>
        <w:rPr>
          <w:rFonts w:cs="Arial"/>
        </w:rPr>
      </w:pPr>
      <w:r>
        <w:rPr>
          <w:rFonts w:cs="Arial"/>
        </w:rPr>
        <w:t>1.</w:t>
      </w:r>
      <w:r>
        <w:rPr>
          <w:rFonts w:cs="Arial"/>
        </w:rPr>
        <w:tab/>
        <w:t>Examinar la congruencia entre las políticas de gasto y financiamiento con lo establecido en el Plan Estatal de Desarrollo, y</w:t>
      </w:r>
    </w:p>
    <w:p w14:paraId="24DCD748" w14:textId="77777777" w:rsidR="00D3344B" w:rsidRDefault="00D3344B">
      <w:pPr>
        <w:pStyle w:val="Estilo"/>
        <w:ind w:left="1134" w:hanging="284"/>
        <w:rPr>
          <w:rFonts w:cs="Arial"/>
        </w:rPr>
      </w:pPr>
    </w:p>
    <w:p w14:paraId="473BB973" w14:textId="77777777" w:rsidR="00D3344B" w:rsidRDefault="00143C25">
      <w:pPr>
        <w:pStyle w:val="Estilo"/>
        <w:ind w:left="1134" w:hanging="284"/>
        <w:rPr>
          <w:rFonts w:cs="Arial"/>
        </w:rPr>
      </w:pPr>
      <w:r>
        <w:rPr>
          <w:rFonts w:cs="Arial"/>
        </w:rPr>
        <w:t>2.</w:t>
      </w:r>
      <w:r>
        <w:rPr>
          <w:rFonts w:cs="Arial"/>
        </w:rPr>
        <w:tab/>
        <w:t>Verificar la congruencia entre las políticas de gasto y financiamiento y los programas implementados por las dependencias de la administración pública y se apeguen a lo establecido en el Plan Estatal de Desarrollo.</w:t>
      </w:r>
    </w:p>
    <w:p w14:paraId="594657E1" w14:textId="77777777" w:rsidR="00D3344B" w:rsidRDefault="00D3344B">
      <w:pPr>
        <w:pStyle w:val="Estilo"/>
        <w:ind w:left="851" w:hanging="284"/>
        <w:rPr>
          <w:rFonts w:cs="Arial"/>
        </w:rPr>
      </w:pPr>
    </w:p>
    <w:p w14:paraId="7AA62A2D" w14:textId="77777777" w:rsidR="00D3344B" w:rsidRDefault="00143C25">
      <w:pPr>
        <w:pStyle w:val="Estilo"/>
        <w:ind w:left="851" w:hanging="284"/>
        <w:rPr>
          <w:rFonts w:cs="Arial"/>
        </w:rPr>
      </w:pPr>
      <w:r>
        <w:rPr>
          <w:rFonts w:cs="Arial"/>
        </w:rPr>
        <w:t>c)</w:t>
      </w:r>
      <w:r>
        <w:rPr>
          <w:rFonts w:cs="Arial"/>
        </w:rPr>
        <w:tab/>
        <w:t>Consejería Jurídica del Ejecutivo:</w:t>
      </w:r>
    </w:p>
    <w:p w14:paraId="53ACFF93" w14:textId="77777777" w:rsidR="00D3344B" w:rsidRDefault="00D3344B">
      <w:pPr>
        <w:pStyle w:val="Estilo"/>
        <w:ind w:left="851" w:hanging="284"/>
        <w:rPr>
          <w:rFonts w:cs="Arial"/>
        </w:rPr>
      </w:pPr>
    </w:p>
    <w:p w14:paraId="2ED594BA" w14:textId="77777777" w:rsidR="00D3344B" w:rsidRDefault="00143C25">
      <w:pPr>
        <w:pStyle w:val="Estilo"/>
        <w:ind w:left="1134" w:hanging="284"/>
        <w:rPr>
          <w:rFonts w:cs="Arial"/>
        </w:rPr>
      </w:pPr>
      <w:r>
        <w:rPr>
          <w:rFonts w:cs="Arial"/>
        </w:rPr>
        <w:t>1.</w:t>
      </w:r>
      <w:r>
        <w:rPr>
          <w:rFonts w:cs="Arial"/>
        </w:rPr>
        <w:tab/>
        <w:t>Brindar asesoría y apoyo técnico jurídico, y</w:t>
      </w:r>
    </w:p>
    <w:p w14:paraId="52B773BE" w14:textId="77777777" w:rsidR="00D3344B" w:rsidRDefault="00D3344B">
      <w:pPr>
        <w:pStyle w:val="Estilo"/>
        <w:ind w:left="1134" w:hanging="284"/>
        <w:rPr>
          <w:rFonts w:cs="Arial"/>
        </w:rPr>
      </w:pPr>
    </w:p>
    <w:p w14:paraId="62E0277F" w14:textId="77777777" w:rsidR="00D3344B" w:rsidRDefault="00143C25">
      <w:pPr>
        <w:pStyle w:val="Estilo"/>
        <w:ind w:left="1134" w:hanging="284"/>
        <w:rPr>
          <w:rFonts w:cs="Arial"/>
        </w:rPr>
      </w:pPr>
      <w:r>
        <w:rPr>
          <w:rFonts w:cs="Arial"/>
        </w:rPr>
        <w:t>2.</w:t>
      </w:r>
      <w:r>
        <w:rPr>
          <w:rFonts w:cs="Arial"/>
        </w:rPr>
        <w:tab/>
        <w:t>Proponer y opinar sobre los proyectos de instrumentos jurídicos presentados a la Comisión, conforme a los principios de constitucionalidad, legalidad y perspectiva de género.</w:t>
      </w:r>
    </w:p>
    <w:p w14:paraId="4C582D6B" w14:textId="77777777" w:rsidR="00D3344B" w:rsidRDefault="00D3344B">
      <w:pPr>
        <w:pStyle w:val="Estilo"/>
        <w:ind w:left="567" w:hanging="567"/>
        <w:rPr>
          <w:rFonts w:cs="Arial"/>
        </w:rPr>
      </w:pPr>
    </w:p>
    <w:p w14:paraId="6DD34C7E" w14:textId="77777777" w:rsidR="00D3344B" w:rsidRDefault="00143C25">
      <w:pPr>
        <w:pStyle w:val="Estilo"/>
        <w:ind w:left="567" w:hanging="567"/>
        <w:rPr>
          <w:rFonts w:cs="Arial"/>
        </w:rPr>
      </w:pPr>
      <w:r>
        <w:rPr>
          <w:rFonts w:cs="Arial"/>
        </w:rPr>
        <w:t>III. Además tendrán las atribuciones comunes siguientes:</w:t>
      </w:r>
    </w:p>
    <w:p w14:paraId="5E2A69D2" w14:textId="77777777" w:rsidR="00D3344B" w:rsidRDefault="00D3344B">
      <w:pPr>
        <w:pStyle w:val="Estilo"/>
        <w:ind w:left="567" w:hanging="567"/>
        <w:rPr>
          <w:rFonts w:cs="Arial"/>
        </w:rPr>
      </w:pPr>
    </w:p>
    <w:p w14:paraId="1C2A746F" w14:textId="77777777" w:rsidR="00D3344B" w:rsidRDefault="00143C25">
      <w:pPr>
        <w:pStyle w:val="Estilo"/>
        <w:ind w:left="851" w:hanging="284"/>
        <w:rPr>
          <w:rFonts w:cs="Arial"/>
        </w:rPr>
      </w:pPr>
      <w:r>
        <w:rPr>
          <w:rFonts w:cs="Arial"/>
        </w:rPr>
        <w:t>a)</w:t>
      </w:r>
      <w:r>
        <w:rPr>
          <w:rFonts w:cs="Arial"/>
        </w:rPr>
        <w:tab/>
        <w:t>Asistir a las sesiones cuando se emita convocatoria;</w:t>
      </w:r>
    </w:p>
    <w:p w14:paraId="23C18351" w14:textId="77777777" w:rsidR="00D3344B" w:rsidRDefault="00D3344B">
      <w:pPr>
        <w:pStyle w:val="Estilo"/>
        <w:ind w:left="851" w:hanging="284"/>
        <w:rPr>
          <w:rFonts w:cs="Arial"/>
        </w:rPr>
      </w:pPr>
    </w:p>
    <w:p w14:paraId="51D78EB8" w14:textId="77777777" w:rsidR="00D3344B" w:rsidRDefault="00143C25">
      <w:pPr>
        <w:pStyle w:val="Estilo"/>
        <w:ind w:left="851" w:hanging="284"/>
        <w:rPr>
          <w:rFonts w:cs="Arial"/>
        </w:rPr>
      </w:pPr>
      <w:r>
        <w:rPr>
          <w:rFonts w:cs="Arial"/>
        </w:rPr>
        <w:t>b)</w:t>
      </w:r>
      <w:r>
        <w:rPr>
          <w:rFonts w:cs="Arial"/>
        </w:rPr>
        <w:tab/>
        <w:t>Elaborar estudios y proyectos en al ámbito de su competencia, cuya instrumentación, una vez aprobados, será de su responsabilidad;</w:t>
      </w:r>
    </w:p>
    <w:p w14:paraId="558B0FF2" w14:textId="77777777" w:rsidR="00D3344B" w:rsidRDefault="00D3344B">
      <w:pPr>
        <w:pStyle w:val="Estilo"/>
        <w:ind w:left="851" w:hanging="284"/>
        <w:rPr>
          <w:rFonts w:cs="Arial"/>
        </w:rPr>
      </w:pPr>
    </w:p>
    <w:p w14:paraId="52EF8E5B" w14:textId="77777777" w:rsidR="00D3344B" w:rsidRDefault="00143C25">
      <w:pPr>
        <w:pStyle w:val="Estilo"/>
        <w:ind w:left="851" w:hanging="284"/>
        <w:rPr>
          <w:rFonts w:cs="Arial"/>
        </w:rPr>
      </w:pPr>
      <w:r>
        <w:rPr>
          <w:rFonts w:cs="Arial"/>
        </w:rPr>
        <w:t>c)</w:t>
      </w:r>
      <w:r>
        <w:rPr>
          <w:rFonts w:cs="Arial"/>
        </w:rPr>
        <w:tab/>
        <w:t>Presentar la información necesaria para la evaluación de los asuntos de su competencia;</w:t>
      </w:r>
    </w:p>
    <w:p w14:paraId="4B3511EC" w14:textId="77777777" w:rsidR="00D3344B" w:rsidRDefault="00D3344B">
      <w:pPr>
        <w:pStyle w:val="Estilo"/>
        <w:ind w:left="851" w:hanging="284"/>
        <w:rPr>
          <w:rFonts w:cs="Arial"/>
        </w:rPr>
      </w:pPr>
    </w:p>
    <w:p w14:paraId="4DFD74E8" w14:textId="77777777" w:rsidR="00D3344B" w:rsidRDefault="00143C25">
      <w:pPr>
        <w:pStyle w:val="Estilo"/>
        <w:ind w:left="851" w:hanging="284"/>
        <w:rPr>
          <w:rFonts w:cs="Arial"/>
        </w:rPr>
      </w:pPr>
      <w:r>
        <w:rPr>
          <w:rFonts w:cs="Arial"/>
        </w:rPr>
        <w:t>d)</w:t>
      </w:r>
      <w:r>
        <w:rPr>
          <w:rFonts w:cs="Arial"/>
        </w:rPr>
        <w:tab/>
        <w:t>Dictar a las instancias responsables las medidas para resolver los asuntos que sean sometidos a la consideración de la Comisión;</w:t>
      </w:r>
    </w:p>
    <w:p w14:paraId="0F7AD0E2" w14:textId="77777777" w:rsidR="00D3344B" w:rsidRDefault="00D3344B">
      <w:pPr>
        <w:pStyle w:val="Estilo"/>
        <w:ind w:left="851" w:hanging="284"/>
        <w:rPr>
          <w:rFonts w:cs="Arial"/>
        </w:rPr>
      </w:pPr>
    </w:p>
    <w:p w14:paraId="75AC3774" w14:textId="77777777" w:rsidR="00D3344B" w:rsidRDefault="00143C25">
      <w:pPr>
        <w:pStyle w:val="Estilo"/>
        <w:ind w:left="851" w:hanging="284"/>
        <w:rPr>
          <w:rFonts w:cs="Arial"/>
        </w:rPr>
      </w:pPr>
      <w:r>
        <w:rPr>
          <w:rFonts w:cs="Arial"/>
        </w:rPr>
        <w:t>e)</w:t>
      </w:r>
      <w:r>
        <w:rPr>
          <w:rFonts w:cs="Arial"/>
        </w:rPr>
        <w:tab/>
        <w:t>Emitir su opinión, y en su caso su conformidad, respecto de los asuntos tratados en las sesiones; e</w:t>
      </w:r>
    </w:p>
    <w:p w14:paraId="6AD856AC" w14:textId="77777777" w:rsidR="00D3344B" w:rsidRDefault="00D3344B">
      <w:pPr>
        <w:pStyle w:val="Estilo"/>
        <w:ind w:left="851" w:hanging="284"/>
        <w:rPr>
          <w:rFonts w:cs="Arial"/>
        </w:rPr>
      </w:pPr>
    </w:p>
    <w:p w14:paraId="0881F64E" w14:textId="77777777" w:rsidR="00D3344B" w:rsidRDefault="00143C25">
      <w:pPr>
        <w:pStyle w:val="Estilo"/>
        <w:ind w:left="851" w:hanging="284"/>
        <w:rPr>
          <w:rFonts w:cs="Arial"/>
        </w:rPr>
      </w:pPr>
      <w:r>
        <w:rPr>
          <w:rFonts w:cs="Arial"/>
        </w:rPr>
        <w:t>f)</w:t>
      </w:r>
      <w:r>
        <w:rPr>
          <w:rFonts w:cs="Arial"/>
        </w:rPr>
        <w:tab/>
        <w:t>Designar, por acuerdo de quienes integren la Comisión, al personal servidor público capacitado para la integración de las subcomisiones, comités técnicos y grupos de trabajo, que en su caso se establezcan.</w:t>
      </w:r>
    </w:p>
    <w:p w14:paraId="7CD2BE83" w14:textId="77777777" w:rsidR="00D3344B" w:rsidRDefault="00D3344B">
      <w:pPr>
        <w:pStyle w:val="Estilo"/>
        <w:ind w:left="567" w:hanging="567"/>
        <w:rPr>
          <w:rFonts w:cs="Arial"/>
        </w:rPr>
      </w:pPr>
    </w:p>
    <w:p w14:paraId="3BE39FED" w14:textId="77777777" w:rsidR="00D3344B" w:rsidRDefault="00D3344B">
      <w:pPr>
        <w:pStyle w:val="Estilo"/>
        <w:rPr>
          <w:rFonts w:cs="Arial"/>
        </w:rPr>
      </w:pPr>
    </w:p>
    <w:p w14:paraId="267B1626" w14:textId="77777777" w:rsidR="00D3344B" w:rsidRDefault="00D3344B">
      <w:pPr>
        <w:pStyle w:val="Estilo"/>
        <w:rPr>
          <w:rFonts w:cs="Arial"/>
        </w:rPr>
      </w:pPr>
    </w:p>
    <w:p w14:paraId="5B0D7B7B" w14:textId="77777777" w:rsidR="00D3344B" w:rsidRDefault="00D3344B">
      <w:pPr>
        <w:pStyle w:val="Estilo"/>
        <w:rPr>
          <w:rFonts w:cs="Arial"/>
        </w:rPr>
      </w:pPr>
    </w:p>
    <w:p w14:paraId="2F47090F" w14:textId="77777777" w:rsidR="00D3344B" w:rsidRDefault="00143C25">
      <w:pPr>
        <w:pStyle w:val="Estilo"/>
        <w:jc w:val="center"/>
        <w:rPr>
          <w:rFonts w:cs="Arial"/>
          <w:b/>
        </w:rPr>
      </w:pPr>
      <w:r>
        <w:rPr>
          <w:rFonts w:cs="Arial"/>
          <w:b/>
        </w:rPr>
        <w:t>Sección Cuarta</w:t>
      </w:r>
    </w:p>
    <w:p w14:paraId="53334317" w14:textId="77777777" w:rsidR="00D3344B" w:rsidRDefault="00143C25">
      <w:pPr>
        <w:pStyle w:val="Estilo"/>
        <w:jc w:val="center"/>
        <w:rPr>
          <w:rFonts w:cs="Arial"/>
          <w:b/>
        </w:rPr>
      </w:pPr>
      <w:r>
        <w:rPr>
          <w:rFonts w:cs="Arial"/>
          <w:b/>
        </w:rPr>
        <w:t>Iniciativa, Discusión y Aprobación del Presupuesto de Egresos</w:t>
      </w:r>
    </w:p>
    <w:p w14:paraId="70A19D7F" w14:textId="77777777" w:rsidR="00D3344B" w:rsidRDefault="00D3344B">
      <w:pPr>
        <w:pStyle w:val="Estilo"/>
        <w:rPr>
          <w:rFonts w:cs="Arial"/>
        </w:rPr>
      </w:pPr>
    </w:p>
    <w:p w14:paraId="032410AB" w14:textId="77777777" w:rsidR="00D3344B" w:rsidRDefault="00143C25">
      <w:pPr>
        <w:pStyle w:val="Estilo"/>
        <w:rPr>
          <w:rFonts w:cs="Arial"/>
        </w:rPr>
      </w:pPr>
      <w:r>
        <w:rPr>
          <w:rFonts w:cs="Arial"/>
          <w:i/>
          <w:sz w:val="16"/>
        </w:rPr>
        <w:t>(REFORMADO, P.O. 29 DE DICIEMBRE DE 2010)</w:t>
      </w:r>
    </w:p>
    <w:p w14:paraId="19A02998" w14:textId="77777777" w:rsidR="00D3344B" w:rsidRDefault="00143C25">
      <w:pPr>
        <w:pStyle w:val="Estilo"/>
        <w:rPr>
          <w:rFonts w:cs="Arial"/>
        </w:rPr>
      </w:pPr>
      <w:r>
        <w:rPr>
          <w:rFonts w:cs="Arial"/>
          <w:b/>
        </w:rPr>
        <w:t>Artículo 285.</w:t>
      </w:r>
      <w:r>
        <w:rPr>
          <w:rFonts w:cs="Arial"/>
        </w:rPr>
        <w:t xml:space="preserve"> La iniciativa que contenga el Decreto de Presupuesto de Egresos del Estado correspondiente al ejercicio fiscal del año siguiente, deberá presentarse para su análisis y aprobación, a más tardar el quince de noviembre de cada año.</w:t>
      </w:r>
    </w:p>
    <w:p w14:paraId="30686BE9" w14:textId="77777777" w:rsidR="00D3344B" w:rsidRDefault="00D3344B">
      <w:pPr>
        <w:pStyle w:val="Estilo"/>
        <w:rPr>
          <w:rFonts w:cs="Arial"/>
        </w:rPr>
      </w:pPr>
    </w:p>
    <w:p w14:paraId="3100A343" w14:textId="77777777" w:rsidR="00D3344B" w:rsidRDefault="00143C25">
      <w:pPr>
        <w:pStyle w:val="Estilo"/>
        <w:rPr>
          <w:rFonts w:cs="Arial"/>
        </w:rPr>
      </w:pPr>
      <w:r>
        <w:rPr>
          <w:rFonts w:cs="Arial"/>
        </w:rPr>
        <w:t>La aprobación de la Iniciativa de Decreto de Presupuesto de Egresos corresponde, en el ámbito estatal, al Congreso del Estado, y en el municipal, al Ayuntamiento.</w:t>
      </w:r>
    </w:p>
    <w:p w14:paraId="0083FE1C" w14:textId="77777777" w:rsidR="00D3344B" w:rsidRDefault="00D3344B">
      <w:pPr>
        <w:pStyle w:val="Estilo"/>
        <w:rPr>
          <w:rFonts w:cs="Arial"/>
        </w:rPr>
      </w:pPr>
    </w:p>
    <w:p w14:paraId="62B8378F" w14:textId="77777777" w:rsidR="00D3344B" w:rsidRDefault="00143C25">
      <w:pPr>
        <w:pStyle w:val="Estilo"/>
        <w:rPr>
          <w:rFonts w:cs="Arial"/>
        </w:rPr>
      </w:pPr>
      <w:r>
        <w:rPr>
          <w:rFonts w:cs="Arial"/>
          <w:i/>
          <w:sz w:val="16"/>
        </w:rPr>
        <w:t>(REFORMADO, P.O. 29 DE DICIEMBRE DE 2010)</w:t>
      </w:r>
    </w:p>
    <w:p w14:paraId="50385C6A" w14:textId="77777777" w:rsidR="00D3344B" w:rsidRDefault="00143C25">
      <w:pPr>
        <w:pStyle w:val="Estilo"/>
        <w:rPr>
          <w:rFonts w:cs="Arial"/>
        </w:rPr>
      </w:pPr>
      <w:r>
        <w:rPr>
          <w:rFonts w:cs="Arial"/>
          <w:b/>
        </w:rPr>
        <w:t>Artículo 286.</w:t>
      </w:r>
      <w:r>
        <w:rPr>
          <w:rFonts w:cs="Arial"/>
        </w:rPr>
        <w:t xml:space="preserve"> La aprobación de la Iniciativa de Decreto de Presupuesto de Egresos no podrá en ningún caso preceder a la aprobación de la ley de ingresos correspondiente, por lo que una vez sancionadas y sobre la base de la estimación de ingresos, el Congreso del Estado procederá al análisis y discusión de la Iniciativa de Decreto de Presupuesto de Egresos. La presente disposición aplica en lo conducente para los ayuntamientos.</w:t>
      </w:r>
    </w:p>
    <w:p w14:paraId="1D3E304B" w14:textId="77777777" w:rsidR="00D3344B" w:rsidRDefault="00D3344B">
      <w:pPr>
        <w:pStyle w:val="Estilo"/>
        <w:rPr>
          <w:rFonts w:cs="Arial"/>
        </w:rPr>
      </w:pPr>
    </w:p>
    <w:p w14:paraId="75CF624B" w14:textId="77777777" w:rsidR="00D3344B" w:rsidRDefault="00143C25">
      <w:pPr>
        <w:pStyle w:val="Estilo"/>
        <w:rPr>
          <w:rFonts w:cs="Arial"/>
        </w:rPr>
      </w:pPr>
      <w:r>
        <w:rPr>
          <w:rFonts w:cs="Arial"/>
          <w:i/>
          <w:sz w:val="16"/>
        </w:rPr>
        <w:t>(REFORMADO PRIMER PÁRRAFO, P.O. 29 DE DICIEMBRE DE 2010)</w:t>
      </w:r>
    </w:p>
    <w:p w14:paraId="2FFAC82A" w14:textId="77777777" w:rsidR="00D3344B" w:rsidRDefault="00143C25">
      <w:pPr>
        <w:pStyle w:val="Estilo"/>
        <w:rPr>
          <w:rFonts w:cs="Arial"/>
        </w:rPr>
      </w:pPr>
      <w:r>
        <w:rPr>
          <w:rFonts w:cs="Arial"/>
          <w:b/>
        </w:rPr>
        <w:t>Artículo 287.</w:t>
      </w:r>
      <w:r>
        <w:rPr>
          <w:rFonts w:cs="Arial"/>
        </w:rPr>
        <w:t xml:space="preserve"> El documento que contenga la iniciativa de Decreto de Presupuesto de Egresos, estará integrado de la manera siguiente:</w:t>
      </w:r>
    </w:p>
    <w:p w14:paraId="42DDC2E8" w14:textId="77777777" w:rsidR="00D3344B" w:rsidRDefault="00D3344B">
      <w:pPr>
        <w:pStyle w:val="Estilo"/>
        <w:rPr>
          <w:rFonts w:cs="Arial"/>
        </w:rPr>
      </w:pPr>
    </w:p>
    <w:p w14:paraId="508B1B57" w14:textId="77777777" w:rsidR="00D3344B" w:rsidRDefault="00143C25">
      <w:pPr>
        <w:pStyle w:val="Estilo"/>
        <w:rPr>
          <w:rFonts w:cs="Arial"/>
        </w:rPr>
      </w:pPr>
      <w:r>
        <w:rPr>
          <w:rFonts w:cs="Arial"/>
          <w:i/>
          <w:sz w:val="16"/>
        </w:rPr>
        <w:t>N. DE E. EN RELACIÓN CON LA ENTRADA EN VIGOR DE LA PRESENTE FRACCIÓN, VÉASE ARTÍCULO ÚNICO TRANSITORIO DEL DECRETO QUE MODIFICA EL CÓDIGO.</w:t>
      </w:r>
    </w:p>
    <w:p w14:paraId="03A4C960" w14:textId="77777777" w:rsidR="00D3344B" w:rsidRDefault="00143C25">
      <w:pPr>
        <w:pStyle w:val="Estilo"/>
        <w:rPr>
          <w:rFonts w:cs="Arial"/>
        </w:rPr>
      </w:pPr>
      <w:r>
        <w:rPr>
          <w:rFonts w:cs="Arial"/>
          <w:i/>
          <w:sz w:val="16"/>
        </w:rPr>
        <w:tab/>
        <w:t>(REFORMADA, P.O. 23 DE DICIEMBRE DE 2008)</w:t>
      </w:r>
    </w:p>
    <w:p w14:paraId="63CE2983" w14:textId="77777777" w:rsidR="00D3344B" w:rsidRDefault="00143C25">
      <w:pPr>
        <w:pStyle w:val="Estilo"/>
        <w:ind w:left="567" w:hanging="567"/>
        <w:rPr>
          <w:rFonts w:cs="Arial"/>
        </w:rPr>
      </w:pPr>
      <w:r>
        <w:rPr>
          <w:rFonts w:cs="Arial"/>
        </w:rPr>
        <w:t xml:space="preserve">I. </w:t>
      </w:r>
      <w:r>
        <w:rPr>
          <w:rFonts w:cs="Arial"/>
        </w:rPr>
        <w:tab/>
        <w:t>Descripción clara de los programas-proyectos, en los que se señalen objetivos estratégicos, metas, costos y unidades responsables de su ejecución;</w:t>
      </w:r>
    </w:p>
    <w:p w14:paraId="771B64EC" w14:textId="77777777" w:rsidR="00D3344B" w:rsidRDefault="00D3344B">
      <w:pPr>
        <w:pStyle w:val="Estilo"/>
        <w:ind w:left="567" w:hanging="567"/>
        <w:rPr>
          <w:rFonts w:cs="Arial"/>
        </w:rPr>
      </w:pPr>
    </w:p>
    <w:p w14:paraId="70FBA5DF" w14:textId="77777777" w:rsidR="00D3344B" w:rsidRDefault="00143C25">
      <w:pPr>
        <w:pStyle w:val="Estilo"/>
        <w:ind w:left="567" w:hanging="567"/>
        <w:rPr>
          <w:rFonts w:cs="Arial"/>
        </w:rPr>
      </w:pPr>
      <w:r>
        <w:rPr>
          <w:rFonts w:cs="Arial"/>
        </w:rPr>
        <w:t xml:space="preserve">II. </w:t>
      </w:r>
      <w:r>
        <w:rPr>
          <w:rFonts w:cs="Arial"/>
        </w:rPr>
        <w:tab/>
        <w:t>Explicación y justificación de los programas sectoriales, institucionales, regionales y especiales, que considere el proyecto;</w:t>
      </w:r>
    </w:p>
    <w:p w14:paraId="01174AD6" w14:textId="77777777" w:rsidR="00D3344B" w:rsidRDefault="00D3344B">
      <w:pPr>
        <w:pStyle w:val="Estilo"/>
        <w:ind w:left="567" w:hanging="567"/>
        <w:rPr>
          <w:rFonts w:cs="Arial"/>
        </w:rPr>
      </w:pPr>
    </w:p>
    <w:p w14:paraId="759E99BA" w14:textId="77777777" w:rsidR="00D3344B" w:rsidRDefault="00143C25">
      <w:pPr>
        <w:pStyle w:val="Estilo"/>
        <w:ind w:left="567" w:hanging="567"/>
        <w:rPr>
          <w:rFonts w:cs="Arial"/>
        </w:rPr>
      </w:pPr>
      <w:r>
        <w:rPr>
          <w:rFonts w:cs="Arial"/>
        </w:rPr>
        <w:t xml:space="preserve">III. </w:t>
      </w:r>
      <w:r>
        <w:rPr>
          <w:rFonts w:cs="Arial"/>
        </w:rPr>
        <w:tab/>
        <w:t>Estimación total de los ingresos señalados en la iniciativa de la Ley de Ingresos que sustente al presupuesto;</w:t>
      </w:r>
    </w:p>
    <w:p w14:paraId="607C784B" w14:textId="77777777" w:rsidR="00D3344B" w:rsidRDefault="00D3344B">
      <w:pPr>
        <w:pStyle w:val="Estilo"/>
        <w:ind w:left="567" w:hanging="567"/>
        <w:rPr>
          <w:rFonts w:cs="Arial"/>
        </w:rPr>
      </w:pPr>
    </w:p>
    <w:p w14:paraId="221FC710" w14:textId="77777777" w:rsidR="00D3344B" w:rsidRDefault="00143C25">
      <w:pPr>
        <w:pStyle w:val="Estilo"/>
        <w:ind w:left="567" w:hanging="567"/>
        <w:rPr>
          <w:rFonts w:cs="Arial"/>
        </w:rPr>
      </w:pPr>
      <w:r>
        <w:rPr>
          <w:rFonts w:cs="Arial"/>
        </w:rPr>
        <w:t xml:space="preserve">IV. </w:t>
      </w:r>
      <w:r>
        <w:rPr>
          <w:rFonts w:cs="Arial"/>
        </w:rPr>
        <w:tab/>
        <w:t>Previsiones de egresos destinados para cada capítulo de gasto público;</w:t>
      </w:r>
    </w:p>
    <w:p w14:paraId="38248748" w14:textId="77777777" w:rsidR="00D3344B" w:rsidRDefault="00D3344B">
      <w:pPr>
        <w:pStyle w:val="Estilo"/>
        <w:ind w:left="567" w:hanging="567"/>
        <w:rPr>
          <w:rFonts w:cs="Arial"/>
        </w:rPr>
      </w:pPr>
    </w:p>
    <w:p w14:paraId="6C66A028" w14:textId="77777777" w:rsidR="00D3344B" w:rsidRDefault="00143C25">
      <w:pPr>
        <w:pStyle w:val="Estilo"/>
        <w:ind w:left="567" w:hanging="567"/>
        <w:rPr>
          <w:rFonts w:cs="Arial"/>
        </w:rPr>
      </w:pPr>
      <w:r>
        <w:rPr>
          <w:rFonts w:cs="Arial"/>
        </w:rPr>
        <w:t xml:space="preserve">V. </w:t>
      </w:r>
      <w:r>
        <w:rPr>
          <w:rFonts w:cs="Arial"/>
        </w:rPr>
        <w:tab/>
        <w:t>Una exposición de la situación hacendaría estatal o municipal de que se trate, durante el último ejercicio, el periodo que haya transcurrido del corriente y respecto a las condiciones previstas para el próximo, y</w:t>
      </w:r>
    </w:p>
    <w:p w14:paraId="381B17EA" w14:textId="77777777" w:rsidR="00D3344B" w:rsidRDefault="00D3344B">
      <w:pPr>
        <w:pStyle w:val="Estilo"/>
        <w:ind w:left="567" w:hanging="567"/>
        <w:rPr>
          <w:rFonts w:cs="Arial"/>
        </w:rPr>
      </w:pPr>
    </w:p>
    <w:p w14:paraId="02714FBE" w14:textId="77777777" w:rsidR="00D3344B" w:rsidRDefault="00143C25">
      <w:pPr>
        <w:pStyle w:val="Estilo"/>
        <w:ind w:left="567" w:hanging="567"/>
        <w:rPr>
          <w:rFonts w:cs="Arial"/>
        </w:rPr>
      </w:pPr>
      <w:r>
        <w:rPr>
          <w:rFonts w:cs="Arial"/>
        </w:rPr>
        <w:t xml:space="preserve">VI. </w:t>
      </w:r>
      <w:r>
        <w:rPr>
          <w:rFonts w:cs="Arial"/>
        </w:rPr>
        <w:tab/>
        <w:t>Los demás informes financieros y datos estadísticos que resulte conveniente agregar, para la mejor comprensión de su política hacendaría y de los objetivos de cada uno de los programas.</w:t>
      </w:r>
    </w:p>
    <w:p w14:paraId="500CD66F" w14:textId="77777777" w:rsidR="00D3344B" w:rsidRDefault="00D3344B">
      <w:pPr>
        <w:pStyle w:val="Estilo"/>
        <w:rPr>
          <w:rFonts w:cs="Arial"/>
        </w:rPr>
      </w:pPr>
    </w:p>
    <w:p w14:paraId="178B32D3" w14:textId="77777777" w:rsidR="00D3344B" w:rsidRDefault="00143C25">
      <w:pPr>
        <w:pStyle w:val="Estilo"/>
        <w:jc w:val="center"/>
        <w:rPr>
          <w:rFonts w:cs="Arial"/>
          <w:b/>
        </w:rPr>
      </w:pPr>
      <w:r>
        <w:rPr>
          <w:rFonts w:cs="Arial"/>
          <w:b/>
        </w:rPr>
        <w:t>Sección Quinta</w:t>
      </w:r>
    </w:p>
    <w:p w14:paraId="5229929B" w14:textId="77777777" w:rsidR="00D3344B" w:rsidRDefault="00143C25">
      <w:pPr>
        <w:pStyle w:val="Estilo"/>
        <w:jc w:val="center"/>
        <w:rPr>
          <w:rFonts w:cs="Arial"/>
          <w:b/>
        </w:rPr>
      </w:pPr>
      <w:r>
        <w:rPr>
          <w:rFonts w:cs="Arial"/>
          <w:b/>
        </w:rPr>
        <w:t>Ejecución del Presupuesto</w:t>
      </w:r>
    </w:p>
    <w:p w14:paraId="1FEA28DD" w14:textId="77777777" w:rsidR="00D3344B" w:rsidRDefault="00D3344B">
      <w:pPr>
        <w:pStyle w:val="Estilo"/>
        <w:rPr>
          <w:rFonts w:cs="Arial"/>
        </w:rPr>
      </w:pPr>
    </w:p>
    <w:p w14:paraId="752E76FB" w14:textId="77777777" w:rsidR="00D3344B" w:rsidRDefault="00143C25">
      <w:pPr>
        <w:pStyle w:val="Estilo"/>
        <w:rPr>
          <w:rFonts w:cs="Arial"/>
        </w:rPr>
      </w:pPr>
      <w:r>
        <w:rPr>
          <w:rFonts w:cs="Arial"/>
          <w:i/>
          <w:sz w:val="16"/>
        </w:rPr>
        <w:t>(REFORMADO, P.O. 16 DE NOVIEMBRE DE 2016)</w:t>
      </w:r>
    </w:p>
    <w:p w14:paraId="12976D14" w14:textId="77777777" w:rsidR="00D3344B" w:rsidRDefault="00143C25">
      <w:pPr>
        <w:pStyle w:val="Estilo"/>
        <w:rPr>
          <w:rFonts w:cs="Arial"/>
        </w:rPr>
      </w:pPr>
      <w:r>
        <w:rPr>
          <w:rFonts w:cs="Arial"/>
          <w:b/>
        </w:rPr>
        <w:t>Artículo 288.</w:t>
      </w:r>
      <w:r>
        <w:rPr>
          <w:rFonts w:cs="Arial"/>
        </w:rPr>
        <w:t xml:space="preserve"> El gasto público se deberá ajustar a los montos autorizados para los programas, capítulos y partidas presupuestales debiendo existir congruencia entre el avance físico y el financiero.</w:t>
      </w:r>
    </w:p>
    <w:p w14:paraId="56404F56" w14:textId="77777777" w:rsidR="00D3344B" w:rsidRDefault="00D3344B">
      <w:pPr>
        <w:pStyle w:val="Estilo"/>
        <w:rPr>
          <w:rFonts w:cs="Arial"/>
        </w:rPr>
      </w:pPr>
    </w:p>
    <w:p w14:paraId="7C30837C" w14:textId="77777777" w:rsidR="00D3344B" w:rsidRDefault="00143C25">
      <w:pPr>
        <w:pStyle w:val="Estilo"/>
        <w:rPr>
          <w:rFonts w:cs="Arial"/>
        </w:rPr>
      </w:pPr>
      <w:r>
        <w:rPr>
          <w:rFonts w:cs="Arial"/>
        </w:rPr>
        <w:t>Ningún gasto podrá efectuarse sin que exista partida específica en el presupuesto autorizado y suficiencia presupuestal para cubrirlo.</w:t>
      </w:r>
    </w:p>
    <w:p w14:paraId="6C3125CE" w14:textId="77777777" w:rsidR="00D3344B" w:rsidRDefault="00D3344B">
      <w:pPr>
        <w:pStyle w:val="Estilo"/>
        <w:rPr>
          <w:rFonts w:cs="Arial"/>
        </w:rPr>
      </w:pPr>
    </w:p>
    <w:p w14:paraId="3484301F" w14:textId="77777777" w:rsidR="00D3344B" w:rsidRDefault="00143C25">
      <w:pPr>
        <w:pStyle w:val="Estilo"/>
        <w:rPr>
          <w:rFonts w:cs="Arial"/>
        </w:rPr>
      </w:pPr>
      <w:r>
        <w:rPr>
          <w:rFonts w:cs="Arial"/>
        </w:rPr>
        <w:t>Una vez aprobado el Presupuesto de Egresos las unidades presupuestales deberán observar las disposiciones siguientes:</w:t>
      </w:r>
    </w:p>
    <w:p w14:paraId="4E36D879" w14:textId="77777777" w:rsidR="00D3344B" w:rsidRDefault="00D3344B">
      <w:pPr>
        <w:pStyle w:val="Estilo"/>
        <w:rPr>
          <w:rFonts w:cs="Arial"/>
        </w:rPr>
      </w:pPr>
    </w:p>
    <w:p w14:paraId="291B712D" w14:textId="77777777" w:rsidR="00D3344B" w:rsidRDefault="00143C25">
      <w:pPr>
        <w:pStyle w:val="Estilo"/>
        <w:ind w:left="567" w:hanging="567"/>
        <w:rPr>
          <w:rFonts w:cs="Arial"/>
        </w:rPr>
      </w:pPr>
      <w:r>
        <w:rPr>
          <w:rFonts w:cs="Arial"/>
        </w:rPr>
        <w:t xml:space="preserve">I. </w:t>
      </w:r>
      <w:r>
        <w:rPr>
          <w:rFonts w:cs="Arial"/>
        </w:rPr>
        <w:tab/>
        <w:t>Sólo podrán comprometer recursos con cargo al presupuesto autorizado, contando previamente con la suficiencia presupuestaria, identificando la fuente de ingresos;</w:t>
      </w:r>
    </w:p>
    <w:p w14:paraId="1CD18F4F" w14:textId="77777777" w:rsidR="00D3344B" w:rsidRDefault="00D3344B">
      <w:pPr>
        <w:pStyle w:val="Estilo"/>
        <w:ind w:left="567" w:hanging="567"/>
        <w:rPr>
          <w:rFonts w:cs="Arial"/>
        </w:rPr>
      </w:pPr>
    </w:p>
    <w:p w14:paraId="2E7399E0" w14:textId="77777777" w:rsidR="00D3344B" w:rsidRDefault="00143C25">
      <w:pPr>
        <w:pStyle w:val="Estilo"/>
        <w:ind w:left="567" w:hanging="567"/>
        <w:rPr>
          <w:rFonts w:cs="Arial"/>
        </w:rPr>
      </w:pPr>
      <w:r>
        <w:rPr>
          <w:rFonts w:cs="Arial"/>
        </w:rPr>
        <w:t xml:space="preserve">II. </w:t>
      </w:r>
      <w:r>
        <w:rPr>
          <w:rFonts w:cs="Arial"/>
        </w:rPr>
        <w:tab/>
        <w:t>Podrán realizar erogaciones adicionales a las aprobadas en el Presupuesto de Egresos con cargo a los Ingresos excedentes que obtengan y con la autorización previa de la Secretaría, Tesorería o su equivalente;</w:t>
      </w:r>
    </w:p>
    <w:p w14:paraId="23E2E77D" w14:textId="77777777" w:rsidR="00D3344B" w:rsidRDefault="00D3344B">
      <w:pPr>
        <w:pStyle w:val="Estilo"/>
        <w:ind w:left="567" w:hanging="567"/>
        <w:rPr>
          <w:rFonts w:cs="Arial"/>
        </w:rPr>
      </w:pPr>
    </w:p>
    <w:p w14:paraId="52D77A54" w14:textId="77777777" w:rsidR="00D3344B" w:rsidRDefault="00143C25">
      <w:pPr>
        <w:pStyle w:val="Estilo"/>
        <w:ind w:left="567" w:hanging="567"/>
        <w:rPr>
          <w:rFonts w:cs="Arial"/>
          <w:i/>
          <w:iCs/>
          <w:sz w:val="16"/>
          <w:szCs w:val="16"/>
        </w:rPr>
      </w:pPr>
      <w:r>
        <w:rPr>
          <w:rFonts w:cs="Arial"/>
          <w:i/>
          <w:iCs/>
          <w:sz w:val="16"/>
          <w:szCs w:val="16"/>
        </w:rPr>
        <w:t>(REFORMADA PRIMER Y SEGUNDO PARRAFO, P.O. 22 DE DICIEMBRE DE 2021)</w:t>
      </w:r>
    </w:p>
    <w:p w14:paraId="2F7CD324" w14:textId="77777777" w:rsidR="00D3344B" w:rsidRDefault="00143C25">
      <w:pPr>
        <w:pStyle w:val="Estilo"/>
        <w:ind w:left="567" w:hanging="567"/>
        <w:rPr>
          <w:rFonts w:cs="Arial"/>
        </w:rPr>
      </w:pPr>
      <w:r>
        <w:rPr>
          <w:rFonts w:cs="Arial"/>
        </w:rPr>
        <w:t xml:space="preserve">III. </w:t>
      </w:r>
      <w:r>
        <w:rPr>
          <w:rFonts w:cs="Arial"/>
        </w:rPr>
        <w:tab/>
        <w:t>Previo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 De igual forma, no se requerirá realizar un análisis costo y beneficio, cuando el gasto de inversión se destine a la atención prioritaria de desastres naturales y sea financiado con ingresos de libre disposición.</w:t>
      </w:r>
    </w:p>
    <w:p w14:paraId="62BCD1C2" w14:textId="77777777" w:rsidR="00D3344B" w:rsidRDefault="00D3344B">
      <w:pPr>
        <w:pStyle w:val="Estilo"/>
        <w:ind w:left="567" w:hanging="567"/>
        <w:rPr>
          <w:rFonts w:cs="Arial"/>
        </w:rPr>
      </w:pPr>
    </w:p>
    <w:p w14:paraId="00C7FCD6" w14:textId="77777777" w:rsidR="00D3344B" w:rsidRDefault="00143C25">
      <w:pPr>
        <w:pStyle w:val="Estilo"/>
        <w:ind w:left="567"/>
        <w:rPr>
          <w:rFonts w:cs="Arial"/>
        </w:rPr>
      </w:pPr>
      <w:r>
        <w:rPr>
          <w:rFonts w:cs="Arial"/>
        </w:rPr>
        <w:t>Para los propósitos señalados en el párrafo anterior, los análisis del Estado se efectuarán por conducto de la unidad administrativa que corresponda de la Coordinación General de Planeación e Inversión, y los análisis de los Municipios a través del área encargada de evaluar el análisis socioeconómico, conforme a los requisitos que se determinen para tal efecto, mismas que integrarán y administrarán el registro de proyectos de Inversión pública productiva del Estado y del Municipio, respectivamente.</w:t>
      </w:r>
    </w:p>
    <w:p w14:paraId="133B4CCD" w14:textId="77777777" w:rsidR="00D3344B" w:rsidRDefault="00D3344B">
      <w:pPr>
        <w:pStyle w:val="Estilo"/>
        <w:ind w:left="567" w:hanging="567"/>
        <w:rPr>
          <w:rFonts w:cs="Arial"/>
        </w:rPr>
      </w:pPr>
    </w:p>
    <w:p w14:paraId="64FE0AA5" w14:textId="77777777" w:rsidR="00D3344B" w:rsidRDefault="00143C25">
      <w:pPr>
        <w:pStyle w:val="Estilo"/>
        <w:ind w:left="567"/>
        <w:rPr>
          <w:rFonts w:cs="Arial"/>
        </w:rPr>
      </w:pPr>
      <w:r>
        <w:rPr>
          <w:rFonts w:cs="Arial"/>
        </w:rPr>
        <w:t>Los municipios cuya población sea inferior a 200,000 habitantes conforme al último censo o conteo de población que publique el Instituto Nacional de Estadística y Geografía, no estarán obligados a contar con el área encargada de evaluación a que refiere el párrafo anterior.</w:t>
      </w:r>
    </w:p>
    <w:p w14:paraId="00EB4DCD" w14:textId="77777777" w:rsidR="00D3344B" w:rsidRDefault="00D3344B">
      <w:pPr>
        <w:pStyle w:val="Estilo"/>
        <w:ind w:left="567" w:hanging="567"/>
        <w:rPr>
          <w:rFonts w:cs="Arial"/>
        </w:rPr>
      </w:pPr>
    </w:p>
    <w:p w14:paraId="5E1451D7" w14:textId="77777777" w:rsidR="00D3344B" w:rsidRDefault="00143C25">
      <w:pPr>
        <w:pStyle w:val="Estilo"/>
        <w:ind w:left="567"/>
        <w:rPr>
          <w:rFonts w:cs="Arial"/>
        </w:rPr>
      </w:pPr>
      <w:r>
        <w:rPr>
          <w:rFonts w:cs="Arial"/>
        </w:rPr>
        <w:t>Tratándose de proyectos de Inversión pública productiva que se pretendan contratar bajo un esquema de Asociación Público-Privada, el Estado y demás Entes Públicos deberán acreditar, por lo menos, un análisis de conveniencia para llevar a cabo el proyecto a través de dicho esquema, en comparación con un mecanismo de obra pública tradicional y un análisis de transferencia de riesgos al sector privado.</w:t>
      </w:r>
    </w:p>
    <w:p w14:paraId="4C9490EE" w14:textId="77777777" w:rsidR="00D3344B" w:rsidRDefault="00D3344B">
      <w:pPr>
        <w:pStyle w:val="Estilo"/>
        <w:ind w:left="567" w:hanging="567"/>
        <w:rPr>
          <w:rFonts w:cs="Arial"/>
        </w:rPr>
      </w:pPr>
    </w:p>
    <w:p w14:paraId="7A88C802" w14:textId="77777777" w:rsidR="00D3344B" w:rsidRDefault="00143C25">
      <w:pPr>
        <w:pStyle w:val="Estilo"/>
        <w:ind w:left="567"/>
        <w:rPr>
          <w:rFonts w:cs="Arial"/>
        </w:rPr>
      </w:pPr>
      <w:r>
        <w:rPr>
          <w:rFonts w:cs="Arial"/>
        </w:rPr>
        <w:t>Dichas evaluaciones deberán ser públicas a través de las páginas oficiales de Internet de la Secretaría o Tesorería;</w:t>
      </w:r>
    </w:p>
    <w:p w14:paraId="6C6DF4DA" w14:textId="77777777" w:rsidR="00D3344B" w:rsidRDefault="00D3344B">
      <w:pPr>
        <w:pStyle w:val="Estilo"/>
        <w:ind w:left="567" w:hanging="567"/>
        <w:rPr>
          <w:rFonts w:cs="Arial"/>
        </w:rPr>
      </w:pPr>
    </w:p>
    <w:p w14:paraId="51574069" w14:textId="77777777" w:rsidR="00D3344B" w:rsidRDefault="00143C25">
      <w:pPr>
        <w:pStyle w:val="Estilo"/>
        <w:ind w:left="567" w:hanging="567"/>
        <w:rPr>
          <w:rFonts w:cs="Arial"/>
        </w:rPr>
      </w:pPr>
      <w:r>
        <w:rPr>
          <w:rFonts w:cs="Arial"/>
        </w:rPr>
        <w:t xml:space="preserve">IV. </w:t>
      </w:r>
      <w:r>
        <w:rPr>
          <w:rFonts w:cs="Arial"/>
        </w:rPr>
        <w:tab/>
        <w:t>Sólo procederá hacer pagos con base en el Presupuesto de Egresos autorizado, y por los conceptos efectivamente devengados, siempre que se hubieren registrado y contabilizado debida y oportunamente las operaciones consideradas en éste;</w:t>
      </w:r>
    </w:p>
    <w:p w14:paraId="1B4EE7AB" w14:textId="77777777" w:rsidR="00D3344B" w:rsidRDefault="00D3344B">
      <w:pPr>
        <w:pStyle w:val="Estilo"/>
        <w:ind w:left="567" w:hanging="567"/>
        <w:rPr>
          <w:rFonts w:cs="Arial"/>
        </w:rPr>
      </w:pPr>
    </w:p>
    <w:p w14:paraId="3D1A57B3" w14:textId="77777777" w:rsidR="00D3344B" w:rsidRDefault="00143C25">
      <w:pPr>
        <w:pStyle w:val="Estilo"/>
        <w:ind w:left="567" w:hanging="567"/>
        <w:rPr>
          <w:rFonts w:cs="Arial"/>
        </w:rPr>
      </w:pPr>
      <w:r>
        <w:rPr>
          <w:rFonts w:cs="Arial"/>
        </w:rPr>
        <w:t xml:space="preserve">V. </w:t>
      </w:r>
      <w:r>
        <w:rPr>
          <w:rFonts w:cs="Arial"/>
        </w:rPr>
        <w:tab/>
        <w:t>La asignación global de servicios personales aprobada originalmente en el Presupuesto de Egresos no podrá incrementarse durante el ejercicio fiscal. Lo anterior, exceptuando el pago de sentencias laborales definitivas emitidas por la autoridad competente;</w:t>
      </w:r>
    </w:p>
    <w:p w14:paraId="36A339EE" w14:textId="77777777" w:rsidR="00D3344B" w:rsidRDefault="00D3344B">
      <w:pPr>
        <w:pStyle w:val="Estilo"/>
        <w:ind w:left="567" w:hanging="567"/>
        <w:rPr>
          <w:rFonts w:cs="Arial"/>
        </w:rPr>
      </w:pPr>
    </w:p>
    <w:p w14:paraId="2EF23960" w14:textId="77777777" w:rsidR="00D3344B" w:rsidRDefault="00143C25">
      <w:pPr>
        <w:pStyle w:val="Estilo"/>
        <w:ind w:left="567" w:hanging="567"/>
        <w:rPr>
          <w:rFonts w:cs="Arial"/>
        </w:rPr>
      </w:pPr>
      <w:r>
        <w:rPr>
          <w:rFonts w:cs="Arial"/>
        </w:rPr>
        <w:t xml:space="preserve">VI. </w:t>
      </w:r>
      <w:r>
        <w:rPr>
          <w:rFonts w:cs="Arial"/>
        </w:rPr>
        <w:tab/>
        <w:t>Las unidades presupuestales deberán tomar medidas para racionalizar el Gasto corriente.</w:t>
      </w:r>
    </w:p>
    <w:p w14:paraId="1D8FF085" w14:textId="77777777" w:rsidR="00D3344B" w:rsidRDefault="00D3344B">
      <w:pPr>
        <w:pStyle w:val="Estilo"/>
        <w:ind w:left="567" w:hanging="567"/>
        <w:rPr>
          <w:rFonts w:cs="Arial"/>
        </w:rPr>
      </w:pPr>
    </w:p>
    <w:p w14:paraId="360ACD39" w14:textId="77777777" w:rsidR="00D3344B" w:rsidRDefault="00143C25">
      <w:pPr>
        <w:pStyle w:val="Estilo"/>
        <w:ind w:left="567"/>
        <w:rPr>
          <w:rFonts w:cs="Arial"/>
        </w:rPr>
      </w:pPr>
      <w:r>
        <w:rPr>
          <w:rFonts w:cs="Arial"/>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 o del Municipio, según sea el caso;</w:t>
      </w:r>
    </w:p>
    <w:p w14:paraId="576FD24E" w14:textId="77777777" w:rsidR="00D3344B" w:rsidRDefault="00D3344B">
      <w:pPr>
        <w:pStyle w:val="Estilo"/>
        <w:ind w:left="567" w:hanging="567"/>
        <w:rPr>
          <w:rFonts w:cs="Arial"/>
        </w:rPr>
      </w:pPr>
    </w:p>
    <w:p w14:paraId="77E3E8ED" w14:textId="77777777" w:rsidR="00D3344B" w:rsidRDefault="00143C25">
      <w:pPr>
        <w:pStyle w:val="Estilo"/>
        <w:ind w:left="567" w:hanging="567"/>
        <w:rPr>
          <w:rFonts w:cs="Arial"/>
        </w:rPr>
      </w:pPr>
      <w:r>
        <w:rPr>
          <w:rFonts w:cs="Arial"/>
        </w:rPr>
        <w:t xml:space="preserve">VII. </w:t>
      </w:r>
      <w:r>
        <w:rPr>
          <w:rFonts w:cs="Arial"/>
        </w:rPr>
        <w:tab/>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14:paraId="7D6BD031" w14:textId="77777777" w:rsidR="00D3344B" w:rsidRDefault="00D3344B">
      <w:pPr>
        <w:pStyle w:val="Estilo"/>
        <w:ind w:left="567" w:hanging="567"/>
        <w:rPr>
          <w:rFonts w:cs="Arial"/>
        </w:rPr>
      </w:pPr>
    </w:p>
    <w:p w14:paraId="2C1EF0FF" w14:textId="77777777" w:rsidR="00D3344B" w:rsidRDefault="00143C25">
      <w:pPr>
        <w:pStyle w:val="Estilo"/>
        <w:ind w:left="567"/>
        <w:rPr>
          <w:rFonts w:cs="Arial"/>
        </w:rPr>
      </w:pPr>
      <w:r>
        <w:rPr>
          <w:rFonts w:cs="Arial"/>
        </w:rPr>
        <w:t>La información señalada en el párrafo anterior deberá hacerse pública a través de las páginas oficiales de Internet de la Secretaría o Tesorería, y</w:t>
      </w:r>
    </w:p>
    <w:p w14:paraId="3A103097" w14:textId="77777777" w:rsidR="00D3344B" w:rsidRDefault="00D3344B">
      <w:pPr>
        <w:pStyle w:val="Estilo"/>
        <w:ind w:left="567" w:hanging="567"/>
        <w:rPr>
          <w:rFonts w:cs="Arial"/>
        </w:rPr>
      </w:pPr>
    </w:p>
    <w:p w14:paraId="1A24F569" w14:textId="77777777" w:rsidR="00D3344B" w:rsidRDefault="00143C25">
      <w:pPr>
        <w:pStyle w:val="Estilo"/>
        <w:ind w:left="567" w:hanging="567"/>
        <w:rPr>
          <w:rFonts w:cs="Arial"/>
        </w:rPr>
      </w:pPr>
      <w:r>
        <w:rPr>
          <w:rFonts w:cs="Arial"/>
        </w:rPr>
        <w:t xml:space="preserve">VIII. </w:t>
      </w:r>
      <w:r>
        <w:rPr>
          <w:rFonts w:cs="Arial"/>
        </w:rPr>
        <w:tab/>
        <w:t>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292-A de este Código.</w:t>
      </w:r>
    </w:p>
    <w:p w14:paraId="16E78DD8" w14:textId="77777777" w:rsidR="00D3344B" w:rsidRDefault="00D3344B">
      <w:pPr>
        <w:pStyle w:val="Estilo"/>
        <w:rPr>
          <w:rFonts w:cs="Arial"/>
        </w:rPr>
      </w:pPr>
    </w:p>
    <w:p w14:paraId="4C3962FF" w14:textId="77777777" w:rsidR="00D3344B" w:rsidRDefault="00143C25">
      <w:pPr>
        <w:pStyle w:val="Estilo"/>
        <w:rPr>
          <w:rFonts w:cs="Arial"/>
        </w:rPr>
      </w:pPr>
      <w:r>
        <w:rPr>
          <w:rFonts w:cs="Arial"/>
          <w:i/>
          <w:sz w:val="16"/>
        </w:rPr>
        <w:t>(REFORMADO, P.O. 29 DE DICIEMBRE DE 2010)</w:t>
      </w:r>
    </w:p>
    <w:p w14:paraId="5097AE12" w14:textId="77777777" w:rsidR="00D3344B" w:rsidRDefault="00143C25">
      <w:pPr>
        <w:pStyle w:val="Estilo"/>
        <w:rPr>
          <w:rFonts w:cs="Arial"/>
        </w:rPr>
      </w:pPr>
      <w:r>
        <w:rPr>
          <w:rFonts w:cs="Arial"/>
          <w:b/>
        </w:rPr>
        <w:t>Artículo 289.</w:t>
      </w:r>
      <w:r>
        <w:rPr>
          <w:rFonts w:cs="Arial"/>
        </w:rPr>
        <w:t xml:space="preserve"> Los poderes Legislativo y Judicial, así como los organismos o instituciones que por mandato de ley cuenten con autonomía para ejercer su presupuesto, lo harán previo acuerdo de calendarización con el Ejecutivo, quien a través de la Secretaría liberará las ministraciones de acuerdo a las disposiciones legales y a la capacidad financiera del Estado.</w:t>
      </w:r>
    </w:p>
    <w:p w14:paraId="65FDD5C8" w14:textId="77777777" w:rsidR="00D3344B" w:rsidRDefault="00D3344B">
      <w:pPr>
        <w:pStyle w:val="Estilo"/>
        <w:rPr>
          <w:rFonts w:cs="Arial"/>
        </w:rPr>
      </w:pPr>
    </w:p>
    <w:p w14:paraId="55FF536A" w14:textId="77777777" w:rsidR="00D3344B" w:rsidRDefault="00143C25">
      <w:pPr>
        <w:pStyle w:val="Estilo"/>
        <w:rPr>
          <w:rFonts w:cs="Arial"/>
        </w:rPr>
      </w:pPr>
      <w:r>
        <w:rPr>
          <w:rFonts w:cs="Arial"/>
          <w:b/>
        </w:rPr>
        <w:t>Artículo 290.</w:t>
      </w:r>
      <w:r>
        <w:rPr>
          <w:rFonts w:cs="Arial"/>
        </w:rPr>
        <w:t xml:space="preserve"> La Secretaría y las tesorerías, examinarán y autorizarán, en el ámbito de su competencia, los actos y contratos que comprometan el crédito público, en virtud de obligaciones de pago que puedan generarse adicionalmente al presupuesto autorizado.</w:t>
      </w:r>
    </w:p>
    <w:p w14:paraId="3F2FE9B7" w14:textId="77777777" w:rsidR="00D3344B" w:rsidRDefault="00D3344B">
      <w:pPr>
        <w:pStyle w:val="Estilo"/>
        <w:rPr>
          <w:rFonts w:cs="Arial"/>
        </w:rPr>
      </w:pPr>
    </w:p>
    <w:p w14:paraId="2C25F403" w14:textId="77777777" w:rsidR="00D3344B" w:rsidRDefault="00143C25">
      <w:pPr>
        <w:pStyle w:val="Estilo"/>
        <w:rPr>
          <w:rFonts w:cs="Arial"/>
        </w:rPr>
      </w:pPr>
      <w:r>
        <w:rPr>
          <w:rFonts w:cs="Arial"/>
          <w:i/>
          <w:sz w:val="16"/>
        </w:rPr>
        <w:t>(REFORMADO, P.O. 29 DE DICIEMBRE DE 2010)</w:t>
      </w:r>
    </w:p>
    <w:p w14:paraId="470EEB76" w14:textId="77777777" w:rsidR="00D3344B" w:rsidRDefault="00143C25">
      <w:pPr>
        <w:pStyle w:val="Estilo"/>
        <w:rPr>
          <w:rFonts w:cs="Arial"/>
        </w:rPr>
      </w:pPr>
      <w:r>
        <w:rPr>
          <w:rFonts w:cs="Arial"/>
          <w:b/>
        </w:rPr>
        <w:t>Artículo 291.</w:t>
      </w:r>
      <w:r>
        <w:rPr>
          <w:rFonts w:cs="Arial"/>
        </w:rPr>
        <w:t xml:space="preserve"> Las partidas relativas al gasto público comprendidas en el Presupuesto de Egresos, sólo serán afectadas por el importe de los vencimientos del propio ejercicio, a excepción de las relativas a deuda pública.</w:t>
      </w:r>
    </w:p>
    <w:p w14:paraId="226BD593" w14:textId="77777777" w:rsidR="00D3344B" w:rsidRDefault="00D3344B">
      <w:pPr>
        <w:pStyle w:val="Estilo"/>
        <w:rPr>
          <w:rFonts w:cs="Arial"/>
        </w:rPr>
      </w:pPr>
    </w:p>
    <w:p w14:paraId="1DED3BBA" w14:textId="77777777" w:rsidR="00D3344B" w:rsidRDefault="00143C25">
      <w:pPr>
        <w:pStyle w:val="Estilo"/>
        <w:rPr>
          <w:rFonts w:cs="Arial"/>
        </w:rPr>
      </w:pPr>
      <w:r>
        <w:rPr>
          <w:rFonts w:cs="Arial"/>
          <w:i/>
          <w:sz w:val="16"/>
        </w:rPr>
        <w:t>(REFORMADO, P.O. 29 DE DICIEMBRE DE 2010)</w:t>
      </w:r>
    </w:p>
    <w:p w14:paraId="31190173" w14:textId="77777777" w:rsidR="00D3344B" w:rsidRDefault="00143C25">
      <w:pPr>
        <w:pStyle w:val="Estilo"/>
        <w:rPr>
          <w:rFonts w:cs="Arial"/>
        </w:rPr>
      </w:pPr>
      <w:r>
        <w:rPr>
          <w:rFonts w:cs="Arial"/>
          <w:b/>
        </w:rPr>
        <w:t>Artículo 292.</w:t>
      </w:r>
      <w:r>
        <w:rPr>
          <w:rFonts w:cs="Arial"/>
        </w:rPr>
        <w:t xml:space="preserve"> La ministración de recursos se efectuará con base en los calendarios presupuestales, financieros y de metas que al efecto elaboren las unidades presupuestales y hayan sido autorizados por la Secretaría o las tesorerías.</w:t>
      </w:r>
    </w:p>
    <w:p w14:paraId="27595911" w14:textId="77777777" w:rsidR="00D3344B" w:rsidRDefault="00D3344B">
      <w:pPr>
        <w:pStyle w:val="Estilo"/>
        <w:rPr>
          <w:rFonts w:cs="Arial"/>
        </w:rPr>
      </w:pPr>
    </w:p>
    <w:p w14:paraId="29BAB52C" w14:textId="77777777" w:rsidR="00D3344B" w:rsidRDefault="00143C25">
      <w:pPr>
        <w:pStyle w:val="Estilo"/>
        <w:rPr>
          <w:rFonts w:cs="Arial"/>
        </w:rPr>
      </w:pPr>
      <w:r>
        <w:rPr>
          <w:rFonts w:cs="Arial"/>
          <w:i/>
          <w:sz w:val="16"/>
        </w:rPr>
        <w:t>(ADICIONADO, P.O. 16 DE NOVIEMBRE DE 2016)</w:t>
      </w:r>
    </w:p>
    <w:p w14:paraId="7AC52436" w14:textId="77777777" w:rsidR="00D3344B" w:rsidRDefault="00143C25">
      <w:pPr>
        <w:pStyle w:val="Estilo"/>
        <w:rPr>
          <w:rFonts w:cs="Arial"/>
        </w:rPr>
      </w:pPr>
      <w:r>
        <w:rPr>
          <w:rFonts w:cs="Arial"/>
          <w:b/>
        </w:rPr>
        <w:t>Artículo 292-A.</w:t>
      </w:r>
      <w:r>
        <w:rPr>
          <w:rFonts w:cs="Arial"/>
        </w:rPr>
        <w:t xml:space="preserve"> A más tardar el 15 de enero de cada año, se deberán reintegrar a la Tesorería de la Federación las Transferencias federales etiquetadas que, al 31 de diciembre del ejercicio fiscal inmediato anterior, no hayan sido devengadas.</w:t>
      </w:r>
    </w:p>
    <w:p w14:paraId="780B138A" w14:textId="77777777" w:rsidR="00D3344B" w:rsidRDefault="00D3344B">
      <w:pPr>
        <w:pStyle w:val="Estilo"/>
        <w:rPr>
          <w:rFonts w:cs="Arial"/>
        </w:rPr>
      </w:pPr>
    </w:p>
    <w:p w14:paraId="5BF992F0" w14:textId="77777777" w:rsidR="00D3344B" w:rsidRDefault="00143C25">
      <w:pPr>
        <w:pStyle w:val="Estilo"/>
        <w:rPr>
          <w:rFonts w:cs="Arial"/>
        </w:rPr>
      </w:pPr>
      <w:r>
        <w:rPr>
          <w:rFonts w:cs="Arial"/>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14:paraId="1086DA21" w14:textId="77777777" w:rsidR="00D3344B" w:rsidRDefault="00D3344B">
      <w:pPr>
        <w:pStyle w:val="Estilo"/>
        <w:rPr>
          <w:rFonts w:cs="Arial"/>
        </w:rPr>
      </w:pPr>
    </w:p>
    <w:p w14:paraId="206AEEC5" w14:textId="77777777" w:rsidR="00D3344B" w:rsidRDefault="00143C25">
      <w:pPr>
        <w:pStyle w:val="Estilo"/>
        <w:rPr>
          <w:rFonts w:cs="Arial"/>
        </w:rPr>
      </w:pPr>
      <w:r>
        <w:rPr>
          <w:rFonts w:cs="Arial"/>
        </w:rPr>
        <w:t>Los reintegros deberán incluir los rendimientos financieros generados.</w:t>
      </w:r>
    </w:p>
    <w:p w14:paraId="4156B9AF" w14:textId="77777777" w:rsidR="00D3344B" w:rsidRDefault="00D3344B">
      <w:pPr>
        <w:pStyle w:val="Estilo"/>
        <w:rPr>
          <w:rFonts w:cs="Arial"/>
        </w:rPr>
      </w:pPr>
    </w:p>
    <w:p w14:paraId="371E384E" w14:textId="77777777" w:rsidR="00D3344B" w:rsidRDefault="00143C25">
      <w:pPr>
        <w:pStyle w:val="Estilo"/>
        <w:rPr>
          <w:rFonts w:cs="Arial"/>
        </w:rPr>
      </w:pPr>
      <w:r>
        <w:rPr>
          <w:rFonts w:cs="Arial"/>
        </w:rPr>
        <w:t>Para los efectos de este artículo, se entenderá como devengado o comprometido las Transferencias federales etiquetadas, en términos del artículo 4, fracciones XIV y XV de la Ley General de Contabilidad Gubernamental.</w:t>
      </w:r>
    </w:p>
    <w:p w14:paraId="1D62D7FD" w14:textId="77777777" w:rsidR="00D3344B" w:rsidRDefault="00D3344B">
      <w:pPr>
        <w:pStyle w:val="Estilo"/>
        <w:rPr>
          <w:rFonts w:cs="Arial"/>
        </w:rPr>
      </w:pPr>
    </w:p>
    <w:p w14:paraId="7404BB9B" w14:textId="77777777" w:rsidR="00D3344B" w:rsidRDefault="00143C25">
      <w:pPr>
        <w:pStyle w:val="Estilo"/>
        <w:rPr>
          <w:rFonts w:cs="Arial"/>
        </w:rPr>
      </w:pPr>
      <w:r>
        <w:rPr>
          <w:rFonts w:cs="Arial"/>
          <w:b/>
        </w:rPr>
        <w:t>Artículo 293.</w:t>
      </w:r>
      <w:r>
        <w:rPr>
          <w:rFonts w:cs="Arial"/>
        </w:rPr>
        <w:t xml:space="preserve"> La Secretaría o las tesorerías, en el ámbito de su competencia, podrán suspender la ministración de recursos a sus unidades presupuestales, en los casos siguientes:</w:t>
      </w:r>
    </w:p>
    <w:p w14:paraId="749E1A13" w14:textId="77777777" w:rsidR="00D3344B" w:rsidRDefault="00D3344B">
      <w:pPr>
        <w:pStyle w:val="Estilo"/>
        <w:rPr>
          <w:rFonts w:cs="Arial"/>
        </w:rPr>
      </w:pPr>
    </w:p>
    <w:p w14:paraId="705B32FA" w14:textId="77777777" w:rsidR="00D3344B" w:rsidRDefault="00143C25">
      <w:pPr>
        <w:pStyle w:val="Estilo"/>
        <w:rPr>
          <w:rFonts w:cs="Arial"/>
        </w:rPr>
      </w:pPr>
      <w:r>
        <w:rPr>
          <w:rFonts w:cs="Arial"/>
          <w:i/>
          <w:sz w:val="16"/>
        </w:rPr>
        <w:t>(REFORMADA, P.O. 31 DE DICIEMBRE DE 2007)</w:t>
      </w:r>
    </w:p>
    <w:p w14:paraId="75BF8632" w14:textId="77777777" w:rsidR="00D3344B" w:rsidRDefault="00143C25">
      <w:pPr>
        <w:pStyle w:val="Estilo"/>
        <w:ind w:left="567" w:hanging="567"/>
        <w:rPr>
          <w:rFonts w:cs="Arial"/>
        </w:rPr>
      </w:pPr>
      <w:r>
        <w:rPr>
          <w:rFonts w:cs="Arial"/>
        </w:rPr>
        <w:lastRenderedPageBreak/>
        <w:t xml:space="preserve">I. </w:t>
      </w:r>
      <w:r>
        <w:rPr>
          <w:rFonts w:cs="Arial"/>
        </w:rPr>
        <w:tab/>
        <w:t>Cuando no envíen la información que le sea requerida, en relación con la ejecución de sus programas y presupuestos;</w:t>
      </w:r>
    </w:p>
    <w:p w14:paraId="4F8C2339" w14:textId="77777777" w:rsidR="00D3344B" w:rsidRDefault="00D3344B">
      <w:pPr>
        <w:pStyle w:val="Estilo"/>
        <w:ind w:left="567" w:hanging="567"/>
        <w:rPr>
          <w:rFonts w:cs="Arial"/>
        </w:rPr>
      </w:pPr>
    </w:p>
    <w:p w14:paraId="4E3033AC" w14:textId="77777777" w:rsidR="00D3344B" w:rsidRDefault="00143C25">
      <w:pPr>
        <w:pStyle w:val="Estilo"/>
        <w:ind w:left="567" w:hanging="567"/>
        <w:rPr>
          <w:rFonts w:cs="Arial"/>
        </w:rPr>
      </w:pPr>
      <w:r>
        <w:rPr>
          <w:rFonts w:cs="Arial"/>
        </w:rPr>
        <w:t xml:space="preserve">II. </w:t>
      </w:r>
      <w:r>
        <w:rPr>
          <w:rFonts w:cs="Arial"/>
        </w:rPr>
        <w:tab/>
        <w:t>Cuando se detecte incumplimiento de metas o programas establecidos o desviaciones en su ejecución o en la aplicación de los recursos asignados;</w:t>
      </w:r>
    </w:p>
    <w:p w14:paraId="2A3B31E4" w14:textId="77777777" w:rsidR="00D3344B" w:rsidRDefault="00D3344B">
      <w:pPr>
        <w:pStyle w:val="Estilo"/>
        <w:ind w:left="567" w:hanging="567"/>
        <w:rPr>
          <w:rFonts w:cs="Arial"/>
        </w:rPr>
      </w:pPr>
    </w:p>
    <w:p w14:paraId="3BF5BA97" w14:textId="77777777" w:rsidR="00D3344B" w:rsidRDefault="00143C25">
      <w:pPr>
        <w:pStyle w:val="Estilo"/>
        <w:ind w:left="567" w:hanging="567"/>
        <w:rPr>
          <w:rFonts w:cs="Arial"/>
        </w:rPr>
      </w:pPr>
      <w:r>
        <w:rPr>
          <w:rFonts w:cs="Arial"/>
        </w:rPr>
        <w:t xml:space="preserve">III. </w:t>
      </w:r>
      <w:r>
        <w:rPr>
          <w:rFonts w:cs="Arial"/>
        </w:rPr>
        <w:tab/>
        <w:t>Cuando incumplan con las disposiciones que emita la Secretaría o la Tesorería, en relación con el manejo de sus disponibilidades presupuestales, así como para la comprobación;</w:t>
      </w:r>
    </w:p>
    <w:p w14:paraId="5D0406A0" w14:textId="77777777" w:rsidR="00D3344B" w:rsidRDefault="00D3344B">
      <w:pPr>
        <w:pStyle w:val="Estilo"/>
        <w:ind w:left="567" w:hanging="567"/>
        <w:rPr>
          <w:rFonts w:cs="Arial"/>
        </w:rPr>
      </w:pPr>
    </w:p>
    <w:p w14:paraId="7E7F04CF" w14:textId="77777777" w:rsidR="00D3344B" w:rsidRDefault="00143C25">
      <w:pPr>
        <w:pStyle w:val="Estilo"/>
        <w:ind w:left="567" w:hanging="567"/>
        <w:rPr>
          <w:rFonts w:cs="Arial"/>
        </w:rPr>
      </w:pPr>
      <w:r>
        <w:rPr>
          <w:rFonts w:cs="Arial"/>
        </w:rPr>
        <w:t xml:space="preserve">IV. </w:t>
      </w:r>
      <w:r>
        <w:rPr>
          <w:rFonts w:cs="Arial"/>
        </w:rPr>
        <w:tab/>
        <w:t>Cuando, en el caso de transferencias y aportaciones autorizadas, omitan remitir los informes programático presupuestales en los términos y plazos establecidos, y</w:t>
      </w:r>
    </w:p>
    <w:p w14:paraId="69E86D7C" w14:textId="77777777" w:rsidR="00D3344B" w:rsidRDefault="00D3344B">
      <w:pPr>
        <w:pStyle w:val="Estilo"/>
        <w:ind w:left="567" w:hanging="567"/>
        <w:rPr>
          <w:rFonts w:cs="Arial"/>
        </w:rPr>
      </w:pPr>
    </w:p>
    <w:p w14:paraId="14BD2AA8" w14:textId="77777777" w:rsidR="00D3344B" w:rsidRDefault="00143C25">
      <w:pPr>
        <w:pStyle w:val="Estilo"/>
        <w:ind w:left="567" w:hanging="567"/>
        <w:rPr>
          <w:rFonts w:cs="Arial"/>
        </w:rPr>
      </w:pPr>
      <w:r>
        <w:rPr>
          <w:rFonts w:cs="Arial"/>
        </w:rPr>
        <w:t xml:space="preserve">V. </w:t>
      </w:r>
      <w:r>
        <w:rPr>
          <w:rFonts w:cs="Arial"/>
        </w:rPr>
        <w:tab/>
        <w:t>Cuando no ejerzan sus presupuestos de conformidad con las disposiciones aplicables.</w:t>
      </w:r>
    </w:p>
    <w:p w14:paraId="381A2521" w14:textId="77777777" w:rsidR="00D3344B" w:rsidRDefault="00D3344B">
      <w:pPr>
        <w:pStyle w:val="Estilo"/>
        <w:rPr>
          <w:rFonts w:cs="Arial"/>
        </w:rPr>
      </w:pPr>
    </w:p>
    <w:p w14:paraId="5E0F425F" w14:textId="77777777" w:rsidR="00D3344B" w:rsidRDefault="00143C25">
      <w:pPr>
        <w:pStyle w:val="Estilo"/>
        <w:rPr>
          <w:rFonts w:cs="Arial"/>
        </w:rPr>
      </w:pPr>
      <w:r>
        <w:rPr>
          <w:rFonts w:cs="Arial"/>
        </w:rPr>
        <w:t>Independientemente de lo anterior, la unidad presupuestal de que se trate y los servidores públicos que resulten responsables, están obligados a realizar el reintegro de los recursos que no hubiesen sido aplicados o comprobados correctamente, independientemente de las sanciones previstas en la ley aplicable en la materia.</w:t>
      </w:r>
    </w:p>
    <w:p w14:paraId="0A72191F" w14:textId="77777777" w:rsidR="00D3344B" w:rsidRDefault="00D3344B">
      <w:pPr>
        <w:pStyle w:val="Estilo"/>
        <w:rPr>
          <w:rFonts w:cs="Arial"/>
        </w:rPr>
      </w:pPr>
    </w:p>
    <w:p w14:paraId="563A6F3C" w14:textId="77777777" w:rsidR="00D3344B" w:rsidRDefault="00143C25">
      <w:pPr>
        <w:pStyle w:val="Estilo"/>
        <w:rPr>
          <w:rFonts w:cs="Arial"/>
        </w:rPr>
      </w:pPr>
      <w:r>
        <w:rPr>
          <w:rFonts w:cs="Arial"/>
          <w:b/>
        </w:rPr>
        <w:t>Artículo 294.</w:t>
      </w:r>
      <w:r>
        <w:rPr>
          <w:rFonts w:cs="Arial"/>
        </w:rPr>
        <w:t xml:space="preserve"> Las dependencias y entidades, y las demás unidades presupuestales a que refiere </w:t>
      </w:r>
      <w:proofErr w:type="gramStart"/>
      <w:r>
        <w:rPr>
          <w:rFonts w:cs="Arial"/>
        </w:rPr>
        <w:t>éste</w:t>
      </w:r>
      <w:proofErr w:type="gramEnd"/>
      <w:r>
        <w:rPr>
          <w:rFonts w:cs="Arial"/>
        </w:rPr>
        <w:t xml:space="preserve"> código, en el pago de servicios personales, observarán las disposiciones siguientes:</w:t>
      </w:r>
    </w:p>
    <w:p w14:paraId="1ACA3AC0" w14:textId="77777777" w:rsidR="00D3344B" w:rsidRDefault="00D3344B">
      <w:pPr>
        <w:pStyle w:val="Estilo"/>
        <w:rPr>
          <w:rFonts w:cs="Arial"/>
        </w:rPr>
      </w:pPr>
    </w:p>
    <w:p w14:paraId="5B3C8515" w14:textId="77777777" w:rsidR="00D3344B" w:rsidRDefault="00143C25">
      <w:pPr>
        <w:pStyle w:val="Estilo"/>
        <w:ind w:left="567" w:hanging="567"/>
        <w:rPr>
          <w:rFonts w:cs="Arial"/>
        </w:rPr>
      </w:pPr>
      <w:r>
        <w:rPr>
          <w:rFonts w:cs="Arial"/>
        </w:rPr>
        <w:t xml:space="preserve">I. </w:t>
      </w:r>
      <w:r>
        <w:rPr>
          <w:rFonts w:cs="Arial"/>
        </w:rPr>
        <w:tab/>
        <w:t>Ajustarse al número de plazas o empleos consignados en sus presupuestos aprobados;</w:t>
      </w:r>
    </w:p>
    <w:p w14:paraId="3BCA4C59" w14:textId="77777777" w:rsidR="00D3344B" w:rsidRDefault="00D3344B">
      <w:pPr>
        <w:pStyle w:val="Estilo"/>
        <w:ind w:left="567" w:hanging="567"/>
        <w:rPr>
          <w:rFonts w:cs="Arial"/>
        </w:rPr>
      </w:pPr>
    </w:p>
    <w:p w14:paraId="5ADFC461" w14:textId="77777777" w:rsidR="00D3344B" w:rsidRDefault="00143C25">
      <w:pPr>
        <w:pStyle w:val="Estilo"/>
        <w:ind w:left="567" w:hanging="567"/>
        <w:rPr>
          <w:rFonts w:cs="Arial"/>
        </w:rPr>
      </w:pPr>
      <w:r>
        <w:rPr>
          <w:rFonts w:cs="Arial"/>
        </w:rPr>
        <w:t xml:space="preserve">II. </w:t>
      </w:r>
      <w:r>
        <w:rPr>
          <w:rFonts w:cs="Arial"/>
        </w:rPr>
        <w:tab/>
        <w:t>Apegarse a las necesidades de personal que estrictamente requiera el desarrollo de sus programas aprobados;</w:t>
      </w:r>
    </w:p>
    <w:p w14:paraId="557D931B" w14:textId="77777777" w:rsidR="00D3344B" w:rsidRDefault="00D3344B">
      <w:pPr>
        <w:pStyle w:val="Estilo"/>
        <w:ind w:left="567" w:hanging="567"/>
        <w:rPr>
          <w:rFonts w:cs="Arial"/>
        </w:rPr>
      </w:pPr>
    </w:p>
    <w:p w14:paraId="4D8152CB" w14:textId="77777777" w:rsidR="00D3344B" w:rsidRDefault="00143C25">
      <w:pPr>
        <w:pStyle w:val="Estilo"/>
        <w:ind w:left="567" w:hanging="567"/>
        <w:rPr>
          <w:rFonts w:cs="Arial"/>
        </w:rPr>
      </w:pPr>
      <w:r>
        <w:rPr>
          <w:rFonts w:cs="Arial"/>
        </w:rPr>
        <w:t xml:space="preserve">III. </w:t>
      </w:r>
      <w:r>
        <w:rPr>
          <w:rFonts w:cs="Arial"/>
        </w:rPr>
        <w:tab/>
        <w:t>Tratándose de personal que desempeñe otro empleo, cargo, o comisión, remunerado por la Federación, el Estado o los municipios, se requerirá obtener previamente a la designación, nombramiento o contratación, declaración sobre la compatibilidad de los mismos;</w:t>
      </w:r>
    </w:p>
    <w:p w14:paraId="7552035E" w14:textId="77777777" w:rsidR="00D3344B" w:rsidRDefault="00D3344B">
      <w:pPr>
        <w:pStyle w:val="Estilo"/>
        <w:ind w:left="567" w:hanging="567"/>
        <w:rPr>
          <w:rFonts w:cs="Arial"/>
        </w:rPr>
      </w:pPr>
    </w:p>
    <w:p w14:paraId="6658343E" w14:textId="77777777" w:rsidR="00D3344B" w:rsidRDefault="00143C25">
      <w:pPr>
        <w:pStyle w:val="Estilo"/>
        <w:ind w:left="567" w:hanging="567"/>
        <w:rPr>
          <w:rFonts w:cs="Arial"/>
        </w:rPr>
      </w:pPr>
      <w:r>
        <w:rPr>
          <w:rFonts w:cs="Arial"/>
        </w:rPr>
        <w:t xml:space="preserve">IV. </w:t>
      </w:r>
      <w:r>
        <w:rPr>
          <w:rFonts w:cs="Arial"/>
        </w:rPr>
        <w:tab/>
        <w:t>La correspondiente asignación de remuneraciones, sueldos y honorarios se realizará de conformidad con los catálogos, tabuladores, cuotas y tarifas que establezca el Presupuesto de Egresos respectivo, el cual no podrá establecer para niveles o categorías similares, remuneraciones distintas entre unidades presupuestales, ni aprobarse en disposiciones distintas al Presupuesto de Egresos, y</w:t>
      </w:r>
    </w:p>
    <w:p w14:paraId="60D91B8B" w14:textId="77777777" w:rsidR="00D3344B" w:rsidRDefault="00D3344B">
      <w:pPr>
        <w:pStyle w:val="Estilo"/>
        <w:ind w:left="567" w:hanging="567"/>
        <w:rPr>
          <w:rFonts w:cs="Arial"/>
        </w:rPr>
      </w:pPr>
    </w:p>
    <w:p w14:paraId="0402885B" w14:textId="77777777" w:rsidR="00D3344B" w:rsidRDefault="00143C25">
      <w:pPr>
        <w:pStyle w:val="Estilo"/>
        <w:ind w:left="567" w:hanging="567"/>
        <w:rPr>
          <w:rFonts w:cs="Arial"/>
        </w:rPr>
      </w:pPr>
      <w:r>
        <w:rPr>
          <w:rFonts w:cs="Arial"/>
          <w:i/>
          <w:sz w:val="16"/>
        </w:rPr>
        <w:t>(REFORMADA, P.O. 16 DE NOVIEMBRE DE 2016)</w:t>
      </w:r>
    </w:p>
    <w:p w14:paraId="7035AAE7" w14:textId="77777777" w:rsidR="00D3344B" w:rsidRDefault="00143C25">
      <w:pPr>
        <w:pStyle w:val="Estilo"/>
        <w:ind w:left="567" w:hanging="567"/>
        <w:rPr>
          <w:rFonts w:cs="Arial"/>
        </w:rPr>
      </w:pPr>
      <w:r>
        <w:rPr>
          <w:rFonts w:cs="Arial"/>
        </w:rPr>
        <w:lastRenderedPageBreak/>
        <w:t xml:space="preserve">V. </w:t>
      </w:r>
      <w:r>
        <w:rPr>
          <w:rFonts w:cs="Arial"/>
        </w:rPr>
        <w:tab/>
        <w:t>Llevar un sistema de registro de su personal con base en el nombramiento, filiación y las normas que dicte la unidad administrativa a quien corresponda la administración de recursos humanos en la unidad presupuestal de que se trate.</w:t>
      </w:r>
    </w:p>
    <w:p w14:paraId="55EA4153" w14:textId="77777777" w:rsidR="00D3344B" w:rsidRDefault="00D3344B">
      <w:pPr>
        <w:pStyle w:val="Estilo"/>
        <w:rPr>
          <w:rFonts w:cs="Arial"/>
        </w:rPr>
      </w:pPr>
    </w:p>
    <w:p w14:paraId="16D8EC17" w14:textId="77777777" w:rsidR="00D3344B" w:rsidRDefault="00143C25">
      <w:pPr>
        <w:pStyle w:val="Estilo"/>
        <w:rPr>
          <w:rFonts w:cs="Arial"/>
        </w:rPr>
      </w:pPr>
      <w:r>
        <w:rPr>
          <w:rFonts w:cs="Arial"/>
          <w:i/>
          <w:sz w:val="16"/>
        </w:rPr>
        <w:t>(ADICIONADO, P.O. 16 DE NOVIEMBRE DE 2016)</w:t>
      </w:r>
    </w:p>
    <w:p w14:paraId="1AE5E727" w14:textId="77777777" w:rsidR="00D3344B" w:rsidRDefault="00143C25">
      <w:pPr>
        <w:pStyle w:val="Estilo"/>
        <w:rPr>
          <w:rFonts w:cs="Arial"/>
        </w:rPr>
      </w:pPr>
      <w:r>
        <w:rPr>
          <w:rFonts w:cs="Arial"/>
        </w:rPr>
        <w:t>La Secretaría, tesorería o unidad administrativa equivalente, contará con un sistema de registro y control de las erogaciones en materia de servicios personales.</w:t>
      </w:r>
    </w:p>
    <w:p w14:paraId="00E190DF" w14:textId="77777777" w:rsidR="00D3344B" w:rsidRDefault="00D3344B">
      <w:pPr>
        <w:pStyle w:val="Estilo"/>
        <w:rPr>
          <w:rFonts w:cs="Arial"/>
        </w:rPr>
      </w:pPr>
    </w:p>
    <w:p w14:paraId="687F7C59" w14:textId="77777777" w:rsidR="00D3344B" w:rsidRDefault="00143C25">
      <w:pPr>
        <w:pStyle w:val="Estilo"/>
        <w:rPr>
          <w:rFonts w:cs="Arial"/>
        </w:rPr>
      </w:pPr>
      <w:r>
        <w:rPr>
          <w:rFonts w:cs="Arial"/>
          <w:b/>
        </w:rPr>
        <w:t>Artículo 295.</w:t>
      </w:r>
      <w:r>
        <w:rPr>
          <w:rFonts w:cs="Arial"/>
        </w:rPr>
        <w:t xml:space="preserve"> El desempeño de un empleo, cargo o comisión remunerado con cargo al Presupuesto de Egresos, es incompatible con otro también remunerado por el Gobierno Federal, Estatal o Municipal, a través de cualesquiera de sus unidades presupuestales, siempre y cuando los dos o más empleos, cargos o comisiones tengan que desempeñarse en el mismo tiempo o en circunstancias físicas que imposibiliten el pleno cumplimiento de las obligaciones respectivas. Lo anterior no podrá justificarse, dispensarse o convenirse de ninguna manera, por lo que el servidor público de que se trate, deberá decidir sobre el empleo, cargo o comisión que pretenda desempeñar, quedando a partir de ese momento, separado y, en su caso, interrumpida su relación laboral respecto al empleo que resulte incompatible.</w:t>
      </w:r>
    </w:p>
    <w:p w14:paraId="7DD24B28" w14:textId="77777777" w:rsidR="00D3344B" w:rsidRDefault="00D3344B">
      <w:pPr>
        <w:pStyle w:val="Estilo"/>
        <w:rPr>
          <w:rFonts w:cs="Arial"/>
        </w:rPr>
      </w:pPr>
    </w:p>
    <w:p w14:paraId="079A2742" w14:textId="77777777" w:rsidR="00D3344B" w:rsidRDefault="00143C25">
      <w:pPr>
        <w:pStyle w:val="Estilo"/>
        <w:rPr>
          <w:rFonts w:cs="Arial"/>
        </w:rPr>
      </w:pPr>
      <w:r>
        <w:rPr>
          <w:rFonts w:cs="Arial"/>
        </w:rPr>
        <w:t>La Secretaría y las tesorerías, en el ámbito de su competencia, quedan facultadas para calificar los casos en que sea procedente la compatibilidad a que se refiere este artículo.</w:t>
      </w:r>
    </w:p>
    <w:p w14:paraId="3FE0CDD7" w14:textId="77777777" w:rsidR="00D3344B" w:rsidRDefault="00D3344B">
      <w:pPr>
        <w:pStyle w:val="Estilo"/>
        <w:rPr>
          <w:rFonts w:cs="Arial"/>
        </w:rPr>
      </w:pPr>
    </w:p>
    <w:p w14:paraId="2E459A28" w14:textId="77777777" w:rsidR="00D3344B" w:rsidRDefault="00143C25">
      <w:pPr>
        <w:pStyle w:val="Estilo"/>
        <w:rPr>
          <w:rFonts w:cs="Arial"/>
        </w:rPr>
      </w:pPr>
      <w:r>
        <w:rPr>
          <w:rFonts w:cs="Arial"/>
        </w:rPr>
        <w:t>Se exceptúa de lo dispuesto anteriormente, el ejercicio de la docencia, siempre y cuando no constituya empleo, cargo o comisión en el sector educativo, que origine la imposibilidad a que alude el presente artículo, en cuyo caso requerirá de la autorización señalada.</w:t>
      </w:r>
    </w:p>
    <w:p w14:paraId="3F37BD55" w14:textId="77777777" w:rsidR="00D3344B" w:rsidRDefault="00D3344B">
      <w:pPr>
        <w:pStyle w:val="Estilo"/>
        <w:rPr>
          <w:rFonts w:cs="Arial"/>
        </w:rPr>
      </w:pPr>
    </w:p>
    <w:p w14:paraId="586746AF" w14:textId="77777777" w:rsidR="00D3344B" w:rsidRDefault="00143C25">
      <w:pPr>
        <w:pStyle w:val="Estilo"/>
        <w:rPr>
          <w:rFonts w:cs="Arial"/>
        </w:rPr>
      </w:pPr>
      <w:r>
        <w:rPr>
          <w:rFonts w:cs="Arial"/>
          <w:b/>
        </w:rPr>
        <w:t>Artículo 296.</w:t>
      </w:r>
      <w:r>
        <w:rPr>
          <w:rFonts w:cs="Arial"/>
        </w:rPr>
        <w:t xml:space="preserve"> Cuando algún servidor público fallezca y tuviere cuando menos una antigüedad en el servicio de seis meses, los familiares o quienes hayan vivido con él en la fecha del fallecimiento y se hagan cargo de los gastos de inhumación, percibirán hasta el importe de cuatro meses de los sueldos, salarios y haberes que estuviere percibiendo en esa fecha. Los pagos de defunción sólo proceden en una sola plaza, </w:t>
      </w:r>
      <w:proofErr w:type="spellStart"/>
      <w:r>
        <w:rPr>
          <w:rFonts w:cs="Arial"/>
        </w:rPr>
        <w:t>aún</w:t>
      </w:r>
      <w:proofErr w:type="spellEnd"/>
      <w:r>
        <w:rPr>
          <w:rFonts w:cs="Arial"/>
        </w:rPr>
        <w:t xml:space="preserve"> cuando el servidor público hubiese ocupado dos o más de éstas, en cuyo caso se cubrirán con base en la que tenga una mayor remuneración.</w:t>
      </w:r>
    </w:p>
    <w:p w14:paraId="0D0F9B7E" w14:textId="77777777" w:rsidR="00D3344B" w:rsidRDefault="00D3344B">
      <w:pPr>
        <w:pStyle w:val="Estilo"/>
        <w:rPr>
          <w:rFonts w:cs="Arial"/>
        </w:rPr>
      </w:pPr>
    </w:p>
    <w:p w14:paraId="2ACCE42D" w14:textId="77777777" w:rsidR="00D3344B" w:rsidRDefault="00143C25">
      <w:pPr>
        <w:pStyle w:val="Estilo"/>
        <w:rPr>
          <w:rFonts w:cs="Arial"/>
        </w:rPr>
      </w:pPr>
      <w:r>
        <w:rPr>
          <w:rFonts w:cs="Arial"/>
          <w:b/>
        </w:rPr>
        <w:t>Artículo 297.</w:t>
      </w:r>
      <w:r>
        <w:rPr>
          <w:rFonts w:cs="Arial"/>
        </w:rPr>
        <w:t xml:space="preserve"> La Secretaría y las tesorerías quedan facultadas para efectuar en el momento de realizar los pagos correspondientes, los descuentos y retenciones que las leyes aplicables establezcan o que se hubiesen ordenado conforme a las mismas. Cuando los pagos los realice directamente una entidad presupuestal, será ésta quien bajo su responsabilidad los lleve a cabo.</w:t>
      </w:r>
    </w:p>
    <w:p w14:paraId="115A5D0E" w14:textId="77777777" w:rsidR="00D3344B" w:rsidRDefault="00D3344B">
      <w:pPr>
        <w:pStyle w:val="Estilo"/>
        <w:rPr>
          <w:rFonts w:cs="Arial"/>
        </w:rPr>
      </w:pPr>
    </w:p>
    <w:p w14:paraId="52B0993B" w14:textId="77777777" w:rsidR="00D3344B" w:rsidRDefault="00143C25">
      <w:pPr>
        <w:pStyle w:val="Estilo"/>
        <w:jc w:val="center"/>
        <w:rPr>
          <w:rFonts w:cs="Arial"/>
          <w:b/>
        </w:rPr>
      </w:pPr>
      <w:r>
        <w:rPr>
          <w:rFonts w:cs="Arial"/>
          <w:b/>
        </w:rPr>
        <w:t>Sección Sexta</w:t>
      </w:r>
    </w:p>
    <w:p w14:paraId="5BF360A5" w14:textId="77777777" w:rsidR="00D3344B" w:rsidRDefault="00143C25">
      <w:pPr>
        <w:pStyle w:val="Estilo"/>
        <w:jc w:val="center"/>
        <w:rPr>
          <w:rFonts w:cs="Arial"/>
          <w:b/>
        </w:rPr>
      </w:pPr>
      <w:r>
        <w:rPr>
          <w:rFonts w:cs="Arial"/>
          <w:b/>
        </w:rPr>
        <w:t>Modificaciones al Presupuesto</w:t>
      </w:r>
    </w:p>
    <w:p w14:paraId="22CF8F95" w14:textId="77777777" w:rsidR="00D3344B" w:rsidRDefault="00D3344B">
      <w:pPr>
        <w:pStyle w:val="Estilo"/>
        <w:rPr>
          <w:rFonts w:cs="Arial"/>
        </w:rPr>
      </w:pPr>
    </w:p>
    <w:p w14:paraId="0FC4015A" w14:textId="77777777" w:rsidR="00D3344B" w:rsidRDefault="00143C25">
      <w:pPr>
        <w:pStyle w:val="Estilo"/>
        <w:rPr>
          <w:rFonts w:cs="Arial"/>
        </w:rPr>
      </w:pPr>
      <w:r>
        <w:rPr>
          <w:rFonts w:cs="Arial"/>
          <w:i/>
          <w:sz w:val="16"/>
        </w:rPr>
        <w:t>(REFORMADO, P.O. 31 DE DICIEMBRE DE 2007)</w:t>
      </w:r>
    </w:p>
    <w:p w14:paraId="6D749257" w14:textId="77777777" w:rsidR="00D3344B" w:rsidRDefault="00143C25">
      <w:pPr>
        <w:pStyle w:val="Estilo"/>
        <w:rPr>
          <w:rFonts w:cs="Arial"/>
        </w:rPr>
      </w:pPr>
      <w:r>
        <w:rPr>
          <w:rFonts w:cs="Arial"/>
          <w:b/>
        </w:rPr>
        <w:lastRenderedPageBreak/>
        <w:t>Artículo 298.</w:t>
      </w:r>
      <w:r>
        <w:rPr>
          <w:rFonts w:cs="Arial"/>
        </w:rPr>
        <w:t xml:space="preserve">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2C1EF9BC" w14:textId="77777777" w:rsidR="00D3344B" w:rsidRDefault="00D3344B">
      <w:pPr>
        <w:pStyle w:val="Estilo"/>
        <w:rPr>
          <w:rFonts w:cs="Arial"/>
        </w:rPr>
      </w:pPr>
    </w:p>
    <w:p w14:paraId="3B5F6AF4" w14:textId="77777777" w:rsidR="00D3344B" w:rsidRDefault="00143C25">
      <w:pPr>
        <w:pStyle w:val="Estilo"/>
        <w:rPr>
          <w:rFonts w:cs="Arial"/>
        </w:rPr>
      </w:pPr>
      <w:r>
        <w:rPr>
          <w:rFonts w:cs="Arial"/>
          <w:i/>
          <w:sz w:val="16"/>
        </w:rPr>
        <w:t>(REFORMADO, P.O. 31 DE ENERO DE 2019)</w:t>
      </w:r>
    </w:p>
    <w:p w14:paraId="5696DB52" w14:textId="77777777" w:rsidR="00D3344B" w:rsidRDefault="00143C25">
      <w:pPr>
        <w:pStyle w:val="Estilo"/>
        <w:rPr>
          <w:rFonts w:cs="Arial"/>
        </w:rPr>
      </w:pPr>
      <w:r>
        <w:rPr>
          <w:rFonts w:cs="Arial"/>
          <w:b/>
        </w:rPr>
        <w:t>Artículo 299.</w:t>
      </w:r>
      <w:r>
        <w:rPr>
          <w:rFonts w:cs="Arial"/>
        </w:rPr>
        <w:t xml:space="preserve"> Cuando el Estado perciba mayores recursos en el transcurso del año por eficiencia en la recaudación derivada de fuentes locales o por mayores participaciones e incentivos económicos, una vez descontada la participación a los Municipios, el Ejecutivo Estatal solicitará al Congreso del Estado la autorización correspondiente para la aplicación de los recursos excedentes, mismos que se distribuirán a los poderes Ejecutivo, Legislativo y Judicial en la misma proporción que les corresponda respecto al presupuesto autorizado en el Decreto de Presupuesto de Egresos del Estado con relación a los recursos recaudados por fuentes locales y participaciones e incentivos del ejercicio que se trate, debiendo efectuarse los ajustes cada tres meses, liquidables al mes siguiente.</w:t>
      </w:r>
    </w:p>
    <w:p w14:paraId="7468B9F8" w14:textId="77777777" w:rsidR="00D3344B" w:rsidRDefault="00D3344B">
      <w:pPr>
        <w:pStyle w:val="Estilo"/>
        <w:rPr>
          <w:rFonts w:cs="Arial"/>
        </w:rPr>
      </w:pPr>
    </w:p>
    <w:p w14:paraId="70B34F7C" w14:textId="77777777" w:rsidR="00D3344B" w:rsidRDefault="00143C25">
      <w:pPr>
        <w:pStyle w:val="Estilo"/>
        <w:rPr>
          <w:rFonts w:cs="Arial"/>
        </w:rPr>
      </w:pPr>
      <w:r>
        <w:rPr>
          <w:rFonts w:cs="Arial"/>
        </w:rPr>
        <w:t>A efecto de que el gasto público tenga la fluidez necesaria, el Congreso del Estado deberá emitir la autorización señalada, en un plazo no mayor a quince días siguientes a la presentación de la solicitud.</w:t>
      </w:r>
    </w:p>
    <w:p w14:paraId="29FD3392" w14:textId="77777777" w:rsidR="00D3344B" w:rsidRDefault="00D3344B">
      <w:pPr>
        <w:pStyle w:val="Estilo"/>
        <w:rPr>
          <w:rFonts w:cs="Arial"/>
        </w:rPr>
      </w:pPr>
    </w:p>
    <w:p w14:paraId="71B034B0" w14:textId="77777777" w:rsidR="00D3344B" w:rsidRDefault="00143C25">
      <w:pPr>
        <w:pStyle w:val="Estilo"/>
        <w:rPr>
          <w:rFonts w:cs="Arial"/>
        </w:rPr>
      </w:pPr>
      <w:r>
        <w:rPr>
          <w:rFonts w:cs="Arial"/>
        </w:rPr>
        <w:t>Los recursos excedentes que reciban los poderes Ejecutivo, Legislativo, Judicial y los Municipios, deberán ser incorporados a su presupuesto y destinarlos a:</w:t>
      </w:r>
    </w:p>
    <w:p w14:paraId="0FE23D2D" w14:textId="77777777" w:rsidR="00D3344B" w:rsidRDefault="00D3344B">
      <w:pPr>
        <w:pStyle w:val="Estilo"/>
        <w:rPr>
          <w:rFonts w:cs="Arial"/>
        </w:rPr>
      </w:pPr>
    </w:p>
    <w:p w14:paraId="755196ED" w14:textId="77777777" w:rsidR="00D3344B" w:rsidRDefault="00143C25">
      <w:pPr>
        <w:pStyle w:val="Estilo"/>
        <w:rPr>
          <w:rFonts w:cs="Arial"/>
          <w:i/>
          <w:iCs/>
          <w:sz w:val="16"/>
          <w:szCs w:val="16"/>
        </w:rPr>
      </w:pPr>
      <w:r>
        <w:rPr>
          <w:rFonts w:cs="Arial"/>
          <w:i/>
          <w:iCs/>
          <w:sz w:val="16"/>
          <w:szCs w:val="16"/>
        </w:rPr>
        <w:t>(REFORMADA, P.O. 22 DE DICIEMBRE DE 2021)</w:t>
      </w:r>
    </w:p>
    <w:p w14:paraId="5617E90C" w14:textId="77777777" w:rsidR="00D3344B" w:rsidRDefault="00143C25">
      <w:pPr>
        <w:pStyle w:val="Estilo"/>
        <w:ind w:left="567" w:hanging="567"/>
        <w:rPr>
          <w:rFonts w:cs="Arial"/>
        </w:rPr>
      </w:pPr>
      <w:r>
        <w:rPr>
          <w:rFonts w:cs="Arial"/>
        </w:rPr>
        <w:t xml:space="preserve">I. </w:t>
      </w:r>
      <w:r>
        <w:rPr>
          <w:rFonts w:cs="Arial"/>
        </w:rPr>
        <w:tab/>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6E546160" w14:textId="77777777" w:rsidR="00D3344B" w:rsidRDefault="00D3344B">
      <w:pPr>
        <w:pStyle w:val="Estilo"/>
        <w:ind w:left="567" w:hanging="567"/>
        <w:rPr>
          <w:rFonts w:cs="Arial"/>
        </w:rPr>
      </w:pPr>
    </w:p>
    <w:p w14:paraId="36288EEB" w14:textId="77777777" w:rsidR="00D3344B" w:rsidRDefault="00143C25">
      <w:pPr>
        <w:pStyle w:val="Estilo"/>
        <w:ind w:left="993" w:hanging="426"/>
        <w:rPr>
          <w:rFonts w:cs="Arial"/>
        </w:rPr>
      </w:pPr>
      <w:r>
        <w:rPr>
          <w:rFonts w:cs="Arial"/>
        </w:rPr>
        <w:t xml:space="preserve">a) </w:t>
      </w:r>
      <w:r>
        <w:rPr>
          <w:rFonts w:cs="Arial"/>
        </w:rPr>
        <w:tab/>
        <w:t>Cuando la Entidad Federativa se clasifique en un nivel de endeudamiento elevado, de acuerdo al Sistema de Alertas, cuando menos el 50 por ciento;</w:t>
      </w:r>
    </w:p>
    <w:p w14:paraId="4CFFAEB4" w14:textId="77777777" w:rsidR="00D3344B" w:rsidRDefault="00D3344B">
      <w:pPr>
        <w:pStyle w:val="Estilo"/>
        <w:ind w:left="993" w:hanging="426"/>
        <w:rPr>
          <w:rFonts w:cs="Arial"/>
        </w:rPr>
      </w:pPr>
    </w:p>
    <w:p w14:paraId="07DE075C" w14:textId="77777777" w:rsidR="00D3344B" w:rsidRDefault="00143C25">
      <w:pPr>
        <w:pStyle w:val="Estilo"/>
        <w:ind w:left="993" w:hanging="426"/>
        <w:rPr>
          <w:rFonts w:cs="Arial"/>
        </w:rPr>
      </w:pPr>
      <w:r>
        <w:rPr>
          <w:rFonts w:cs="Arial"/>
        </w:rPr>
        <w:t xml:space="preserve">b) </w:t>
      </w:r>
      <w:r>
        <w:rPr>
          <w:rFonts w:cs="Arial"/>
        </w:rPr>
        <w:tab/>
        <w:t>Cuando la Entidad Federativa se clasifique en un nivel de endeudamiento en observación, de acuerdo al Sistema de Alertas, cuando menos el 30 por ciento, y</w:t>
      </w:r>
    </w:p>
    <w:p w14:paraId="6BCD1156" w14:textId="77777777" w:rsidR="00D3344B" w:rsidRDefault="00D3344B">
      <w:pPr>
        <w:pStyle w:val="Estilo"/>
        <w:ind w:left="567" w:hanging="567"/>
        <w:rPr>
          <w:rFonts w:cs="Arial"/>
        </w:rPr>
      </w:pPr>
    </w:p>
    <w:p w14:paraId="351F03EF" w14:textId="77777777" w:rsidR="00D3344B" w:rsidRDefault="00143C25">
      <w:pPr>
        <w:pStyle w:val="Estilo"/>
        <w:ind w:left="567" w:hanging="567"/>
        <w:rPr>
          <w:rFonts w:cs="Arial"/>
        </w:rPr>
      </w:pPr>
      <w:r>
        <w:rPr>
          <w:rFonts w:cs="Arial"/>
        </w:rPr>
        <w:t xml:space="preserve">II. </w:t>
      </w:r>
      <w:r>
        <w:rPr>
          <w:rFonts w:cs="Arial"/>
        </w:rPr>
        <w:tab/>
        <w:t>En su caso, el remanente para:</w:t>
      </w:r>
    </w:p>
    <w:p w14:paraId="01E6ACB0" w14:textId="77777777" w:rsidR="00D3344B" w:rsidRDefault="00D3344B">
      <w:pPr>
        <w:pStyle w:val="Estilo"/>
        <w:ind w:left="567" w:hanging="567"/>
        <w:rPr>
          <w:rFonts w:cs="Arial"/>
        </w:rPr>
      </w:pPr>
    </w:p>
    <w:p w14:paraId="097B8CA5" w14:textId="77777777" w:rsidR="00D3344B" w:rsidRDefault="00143C25">
      <w:pPr>
        <w:pStyle w:val="Estilo"/>
        <w:ind w:left="1134" w:hanging="567"/>
        <w:rPr>
          <w:rFonts w:cs="Arial"/>
        </w:rPr>
      </w:pPr>
      <w:r>
        <w:rPr>
          <w:rFonts w:cs="Arial"/>
        </w:rPr>
        <w:t xml:space="preserve">a) </w:t>
      </w:r>
      <w:r>
        <w:rPr>
          <w:rFonts w:cs="Arial"/>
        </w:rPr>
        <w:tab/>
        <w:t xml:space="preserve">Inversión pública productiva, a través del Fondo de Inversión Pública Productiva Estatal o Municipal, según sea el caso, con el fin de que los </w:t>
      </w:r>
      <w:r>
        <w:rPr>
          <w:rFonts w:cs="Arial"/>
        </w:rPr>
        <w:lastRenderedPageBreak/>
        <w:t>recursos correspondientes se ejerzan a más tardar en el ejercicio inmediato siguiente, e</w:t>
      </w:r>
    </w:p>
    <w:p w14:paraId="63CF4BF7" w14:textId="77777777" w:rsidR="00D3344B" w:rsidRDefault="00D3344B">
      <w:pPr>
        <w:pStyle w:val="Estilo"/>
        <w:ind w:left="1134" w:hanging="567"/>
        <w:rPr>
          <w:rFonts w:cs="Arial"/>
        </w:rPr>
      </w:pPr>
    </w:p>
    <w:p w14:paraId="22A23224" w14:textId="77777777" w:rsidR="00D3344B" w:rsidRDefault="00143C25">
      <w:pPr>
        <w:pStyle w:val="Estilo"/>
        <w:ind w:left="1134" w:hanging="567"/>
        <w:rPr>
          <w:rFonts w:cs="Arial"/>
        </w:rPr>
      </w:pPr>
      <w:r>
        <w:rPr>
          <w:rFonts w:cs="Arial"/>
        </w:rPr>
        <w:t xml:space="preserve">b) </w:t>
      </w:r>
      <w:r>
        <w:rPr>
          <w:rFonts w:cs="Arial"/>
        </w:rPr>
        <w:tab/>
        <w:t>El Fondo de Compensación Estatal o Municipal, según sea el caso, que tiene por objeto compensar la caída de Ingresos de libre disposición de ejercicios subsecuentes.</w:t>
      </w:r>
    </w:p>
    <w:p w14:paraId="436A5D74" w14:textId="77777777" w:rsidR="00D3344B" w:rsidRDefault="00D3344B">
      <w:pPr>
        <w:pStyle w:val="Estilo"/>
        <w:rPr>
          <w:rFonts w:cs="Arial"/>
        </w:rPr>
      </w:pPr>
    </w:p>
    <w:p w14:paraId="629004D4" w14:textId="77777777" w:rsidR="00D3344B" w:rsidRDefault="00143C25">
      <w:pPr>
        <w:pStyle w:val="Estilo"/>
        <w:rPr>
          <w:rFonts w:cs="Arial"/>
        </w:rPr>
      </w:pPr>
      <w:r>
        <w:rPr>
          <w:rFonts w:cs="Arial"/>
        </w:rPr>
        <w:t>Los Ingresos excedentes podrán destinarse a los rubros mencionados en el presente artículo, sin limitación alguna, siempre y cuando el Estado se clasifique en un nivel de endeudamiento sostenible de acuerdo al Sistema de Alertas.</w:t>
      </w:r>
    </w:p>
    <w:p w14:paraId="4A16231D" w14:textId="77777777" w:rsidR="00D3344B" w:rsidRDefault="00D3344B">
      <w:pPr>
        <w:pStyle w:val="Estilo"/>
        <w:rPr>
          <w:rFonts w:cs="Arial"/>
        </w:rPr>
      </w:pPr>
    </w:p>
    <w:p w14:paraId="4E4DF12B" w14:textId="77777777" w:rsidR="00D3344B" w:rsidRDefault="00143C25">
      <w:pPr>
        <w:pStyle w:val="Estilo"/>
        <w:rPr>
          <w:rFonts w:cs="Arial"/>
        </w:rPr>
      </w:pPr>
      <w:r>
        <w:rPr>
          <w:rFonts w:cs="Arial"/>
        </w:rPr>
        <w:t>Los municipios propondrán los proyectos y/o acciones a ejecutarse a sus cabildos, para su autorización. Sin que estos sean destinados a gasto corriente.</w:t>
      </w:r>
    </w:p>
    <w:p w14:paraId="1F29CC19" w14:textId="77777777" w:rsidR="00D3344B" w:rsidRDefault="00D3344B">
      <w:pPr>
        <w:pStyle w:val="Estilo"/>
        <w:rPr>
          <w:rFonts w:cs="Arial"/>
        </w:rPr>
      </w:pPr>
    </w:p>
    <w:p w14:paraId="2187ADE1" w14:textId="77777777" w:rsidR="00D3344B" w:rsidRDefault="00143C25">
      <w:pPr>
        <w:pStyle w:val="Estilo"/>
        <w:rPr>
          <w:rFonts w:cs="Arial"/>
        </w:rPr>
      </w:pPr>
      <w:r>
        <w:rPr>
          <w:rFonts w:cs="Arial"/>
        </w:rPr>
        <w:t>Los poderes Ejecutivo, Legislativo y Judicial, de igual forma requerirán autorización de su Órgano de Gobierno para la Ejecución de los proyectos y/o acciones. Sin que estos sean destinados a gasto corriente.</w:t>
      </w:r>
    </w:p>
    <w:p w14:paraId="6D265F8F" w14:textId="77777777" w:rsidR="00D3344B" w:rsidRDefault="00D3344B">
      <w:pPr>
        <w:pStyle w:val="Estilo"/>
        <w:rPr>
          <w:rFonts w:cs="Arial"/>
        </w:rPr>
      </w:pPr>
    </w:p>
    <w:p w14:paraId="742CF472" w14:textId="77777777" w:rsidR="00D3344B" w:rsidRDefault="00143C25">
      <w:pPr>
        <w:pStyle w:val="Estilo"/>
        <w:rPr>
          <w:rFonts w:cs="Arial"/>
        </w:rPr>
      </w:pPr>
      <w:r>
        <w:rPr>
          <w:rFonts w:cs="Arial"/>
        </w:rPr>
        <w:t xml:space="preserve">Los entes públicos que reciban recursos excedentes, </w:t>
      </w:r>
      <w:proofErr w:type="spellStart"/>
      <w:r>
        <w:rPr>
          <w:rFonts w:cs="Arial"/>
        </w:rPr>
        <w:t>aperturarán</w:t>
      </w:r>
      <w:proofErr w:type="spellEnd"/>
      <w:r>
        <w:rPr>
          <w:rFonts w:cs="Arial"/>
        </w:rPr>
        <w:t xml:space="preserve"> cuentas bancarias y registros contables específicos, para identificar los proyectos y/o acciones a realizar con aquellos.</w:t>
      </w:r>
    </w:p>
    <w:p w14:paraId="7BAAB139" w14:textId="77777777" w:rsidR="00D3344B" w:rsidRDefault="00D3344B">
      <w:pPr>
        <w:pStyle w:val="Estilo"/>
        <w:rPr>
          <w:rFonts w:cs="Arial"/>
        </w:rPr>
      </w:pPr>
    </w:p>
    <w:p w14:paraId="5E5DC2A1" w14:textId="77777777" w:rsidR="00D3344B" w:rsidRDefault="00143C25">
      <w:pPr>
        <w:pStyle w:val="Estilo"/>
        <w:rPr>
          <w:rFonts w:cs="Arial"/>
        </w:rPr>
      </w:pPr>
      <w:r>
        <w:rPr>
          <w:rFonts w:cs="Arial"/>
        </w:rPr>
        <w:t>El Órgano de Fiscalización Superior revisará la aplicación correcta de los excedentes.</w:t>
      </w:r>
    </w:p>
    <w:p w14:paraId="4E007C1F" w14:textId="77777777" w:rsidR="00D3344B" w:rsidRDefault="00D3344B">
      <w:pPr>
        <w:pStyle w:val="Estilo"/>
        <w:rPr>
          <w:rFonts w:cs="Arial"/>
        </w:rPr>
      </w:pPr>
    </w:p>
    <w:p w14:paraId="03A67EBE" w14:textId="77777777" w:rsidR="00D3344B" w:rsidRDefault="00143C25">
      <w:pPr>
        <w:pStyle w:val="Estilo"/>
        <w:rPr>
          <w:rFonts w:cs="Arial"/>
        </w:rPr>
      </w:pPr>
      <w:r>
        <w:rPr>
          <w:rFonts w:cs="Arial"/>
        </w:rPr>
        <w:t xml:space="preserve">Los recursos excedentes al considerarse parte de las participaciones federares e incentivos </w:t>
      </w:r>
      <w:proofErr w:type="gramStart"/>
      <w:r>
        <w:rPr>
          <w:rFonts w:cs="Arial"/>
        </w:rPr>
        <w:t>económicos</w:t>
      </w:r>
      <w:proofErr w:type="gramEnd"/>
      <w:r>
        <w:rPr>
          <w:rFonts w:cs="Arial"/>
        </w:rPr>
        <w:t xml:space="preserve"> así como de fuentes locales, se sumarán al presupuesto original de los Poderes del Estado contemplado en el Decreto de presupuesto de egresos del ejercicio de que se trate y la suma será su presupuesto base para el año siguiente.</w:t>
      </w:r>
    </w:p>
    <w:p w14:paraId="2558EB75" w14:textId="77777777" w:rsidR="00D3344B" w:rsidRDefault="00D3344B">
      <w:pPr>
        <w:pStyle w:val="Estilo"/>
        <w:rPr>
          <w:rFonts w:cs="Arial"/>
        </w:rPr>
      </w:pPr>
    </w:p>
    <w:p w14:paraId="5F4DB654" w14:textId="77777777" w:rsidR="00D3344B" w:rsidRDefault="00143C25">
      <w:pPr>
        <w:pStyle w:val="Estilo"/>
        <w:rPr>
          <w:rFonts w:cs="Arial"/>
          <w:i/>
          <w:iCs/>
          <w:sz w:val="16"/>
          <w:szCs w:val="16"/>
        </w:rPr>
      </w:pPr>
      <w:r>
        <w:rPr>
          <w:rFonts w:cs="Arial"/>
          <w:i/>
          <w:iCs/>
          <w:sz w:val="16"/>
          <w:szCs w:val="16"/>
        </w:rPr>
        <w:t>(ADICIONADO, P.O. 22 DE DICIEMBRE DE 2021)</w:t>
      </w:r>
    </w:p>
    <w:p w14:paraId="435891A7" w14:textId="77777777" w:rsidR="00D3344B" w:rsidRDefault="00143C25">
      <w:pPr>
        <w:pStyle w:val="Estilo"/>
        <w:rPr>
          <w:rFonts w:cs="Arial"/>
        </w:rPr>
      </w:pPr>
      <w:r>
        <w:rPr>
          <w:rFonts w:cs="Arial"/>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37D8850A" w14:textId="77777777" w:rsidR="00D3344B" w:rsidRDefault="00D3344B">
      <w:pPr>
        <w:pStyle w:val="Estilo"/>
        <w:rPr>
          <w:rFonts w:cs="Arial"/>
        </w:rPr>
      </w:pPr>
    </w:p>
    <w:p w14:paraId="0874B484" w14:textId="77777777" w:rsidR="00D3344B" w:rsidRDefault="00143C25">
      <w:pPr>
        <w:pStyle w:val="Estilo"/>
        <w:rPr>
          <w:rFonts w:cs="Arial"/>
          <w:i/>
          <w:iCs/>
          <w:sz w:val="16"/>
          <w:szCs w:val="16"/>
        </w:rPr>
      </w:pPr>
      <w:r>
        <w:rPr>
          <w:rFonts w:cs="Arial"/>
          <w:i/>
          <w:iCs/>
          <w:sz w:val="16"/>
          <w:szCs w:val="16"/>
        </w:rPr>
        <w:t>(ADICIONADO, P.O. 22 DE DICIEMBRE DE 2021)</w:t>
      </w:r>
    </w:p>
    <w:p w14:paraId="003DE44E" w14:textId="77777777" w:rsidR="00D3344B" w:rsidRDefault="00143C25">
      <w:pPr>
        <w:pStyle w:val="Estilo"/>
        <w:rPr>
          <w:rFonts w:cs="Arial"/>
        </w:rPr>
      </w:pPr>
      <w:r>
        <w:rPr>
          <w:rFonts w:cs="Arial"/>
        </w:rPr>
        <w:t>Tratándose de Ingresos de libre disposición que se encuentren destinados a un fin específico en términos de las leyes, no resultarán aplicables las disposiciones establecidas en el presente artículo.</w:t>
      </w:r>
    </w:p>
    <w:p w14:paraId="616C283A" w14:textId="77777777" w:rsidR="00D3344B" w:rsidRDefault="00D3344B">
      <w:pPr>
        <w:pStyle w:val="Estilo"/>
        <w:rPr>
          <w:rFonts w:cs="Arial"/>
        </w:rPr>
      </w:pPr>
    </w:p>
    <w:p w14:paraId="0D501324" w14:textId="77777777" w:rsidR="00D3344B" w:rsidRDefault="00143C25">
      <w:pPr>
        <w:pStyle w:val="Estilo"/>
        <w:rPr>
          <w:rFonts w:cs="Arial"/>
          <w:i/>
          <w:iCs/>
          <w:sz w:val="16"/>
          <w:szCs w:val="16"/>
        </w:rPr>
      </w:pPr>
      <w:r>
        <w:rPr>
          <w:rFonts w:cs="Arial"/>
          <w:i/>
          <w:iCs/>
          <w:sz w:val="16"/>
          <w:szCs w:val="16"/>
        </w:rPr>
        <w:t>(ADICIONADO, P.O. 26 DE DICIEMBRE DE 2022)</w:t>
      </w:r>
    </w:p>
    <w:p w14:paraId="53FAF450" w14:textId="77777777" w:rsidR="00D3344B" w:rsidRDefault="00143C25">
      <w:pPr>
        <w:pStyle w:val="Estilo"/>
        <w:rPr>
          <w:rFonts w:cs="Arial"/>
        </w:rPr>
      </w:pPr>
      <w:r>
        <w:rPr>
          <w:rFonts w:cs="Arial"/>
        </w:rPr>
        <w:t xml:space="preserve">Asimismo, si el Estado percibe menores recursos en el transcurso del año por disminuciones en la recaudación derivada de fuentes locales o por menores participaciones e incentivos económicos; una vez descontada la participación negativa a los Municipios, el Ejecutivo Estatal solicitará al Congreso del Estado la autorización correspondiente para efectuar la disminución en los recursos que se </w:t>
      </w:r>
      <w:r>
        <w:rPr>
          <w:rFonts w:cs="Arial"/>
        </w:rPr>
        <w:lastRenderedPageBreak/>
        <w:t>distribuyen a los poderes Ejecutivo, Legislativo y Judicial en la misma proporción que les corresponda respecto al presupuesto autorizado en el Decreto de Presupuesto de Egresos del Estado con relación a los recursos recaudados por fuentes locales y participaciones e incentivos del ejercicio que se trate, debiendo efectuarse los ajustes cada tres meses, liquidables al mes siguiente.</w:t>
      </w:r>
    </w:p>
    <w:p w14:paraId="5D7B8FA8" w14:textId="77777777" w:rsidR="00D3344B" w:rsidRDefault="00D3344B">
      <w:pPr>
        <w:pStyle w:val="Estilo"/>
        <w:rPr>
          <w:rFonts w:cs="Arial"/>
        </w:rPr>
      </w:pPr>
    </w:p>
    <w:p w14:paraId="6842FDC4" w14:textId="77777777" w:rsidR="00D3344B" w:rsidRDefault="00143C25">
      <w:pPr>
        <w:pStyle w:val="Estilo"/>
        <w:rPr>
          <w:rFonts w:cs="Arial"/>
        </w:rPr>
      </w:pPr>
      <w:r>
        <w:rPr>
          <w:rFonts w:cs="Arial"/>
          <w:i/>
          <w:sz w:val="16"/>
        </w:rPr>
        <w:t>(REFORMADO, P.O. 16 DE NOVIEMBRE DE 2016)</w:t>
      </w:r>
    </w:p>
    <w:p w14:paraId="6D0E2AF5" w14:textId="77777777" w:rsidR="00D3344B" w:rsidRDefault="00143C25">
      <w:pPr>
        <w:pStyle w:val="Estilo"/>
        <w:rPr>
          <w:rFonts w:cs="Arial"/>
        </w:rPr>
      </w:pPr>
      <w:r>
        <w:rPr>
          <w:rFonts w:cs="Arial"/>
          <w:b/>
        </w:rPr>
        <w:t>Artículo 300.</w:t>
      </w:r>
      <w:r>
        <w:rPr>
          <w:rFonts w:cs="Arial"/>
        </w:rPr>
        <w:t xml:space="preserve"> En los casos en que se presente una disminución no prevista de los ingresos, la Secretaría y las tesorerías, con la finalidad de cumplir con el principio de sostenibilidad del Balance presupuestario y del Balance presupuestario de recursos disponibles, determinarán los diferimientos, reducciones, modificaciones o cancelación de las asignaciones presupuéstales originalmente aprobadas en el Presupuesto de Egresos, cuidando de no afectar los programas considerados prioritarios, debiendo comunicarlo al Congreso del Estado mediante la presentación de la cuenta pública o al Ayuntamiento, según corresponda, y aplicando los ajustes en los rubros de gasto en el siguiente orden:</w:t>
      </w:r>
    </w:p>
    <w:p w14:paraId="5392E247" w14:textId="77777777" w:rsidR="00D3344B" w:rsidRDefault="00D3344B">
      <w:pPr>
        <w:pStyle w:val="Estilo"/>
        <w:rPr>
          <w:rFonts w:cs="Arial"/>
        </w:rPr>
      </w:pPr>
    </w:p>
    <w:p w14:paraId="44FF9F93" w14:textId="77777777" w:rsidR="00D3344B" w:rsidRDefault="00143C25">
      <w:pPr>
        <w:pStyle w:val="Estilo"/>
        <w:ind w:left="567" w:hanging="567"/>
        <w:rPr>
          <w:rFonts w:cs="Arial"/>
        </w:rPr>
      </w:pPr>
      <w:r>
        <w:rPr>
          <w:rFonts w:cs="Arial"/>
        </w:rPr>
        <w:t xml:space="preserve">I. </w:t>
      </w:r>
      <w:r>
        <w:rPr>
          <w:rFonts w:cs="Arial"/>
        </w:rPr>
        <w:tab/>
        <w:t>Gastos de comunicación social;</w:t>
      </w:r>
    </w:p>
    <w:p w14:paraId="1D99A5D1" w14:textId="77777777" w:rsidR="00D3344B" w:rsidRDefault="00D3344B">
      <w:pPr>
        <w:pStyle w:val="Estilo"/>
        <w:ind w:left="567" w:hanging="567"/>
        <w:rPr>
          <w:rFonts w:cs="Arial"/>
        </w:rPr>
      </w:pPr>
    </w:p>
    <w:p w14:paraId="2A7B0D7B" w14:textId="77777777" w:rsidR="00D3344B" w:rsidRDefault="00143C25">
      <w:pPr>
        <w:pStyle w:val="Estilo"/>
        <w:ind w:left="567" w:hanging="567"/>
        <w:rPr>
          <w:rFonts w:cs="Arial"/>
        </w:rPr>
      </w:pPr>
      <w:r>
        <w:rPr>
          <w:rFonts w:cs="Arial"/>
        </w:rPr>
        <w:t xml:space="preserve">II. </w:t>
      </w:r>
      <w:r>
        <w:rPr>
          <w:rFonts w:cs="Arial"/>
        </w:rPr>
        <w:tab/>
        <w:t>Gasto corriente que no constituya un subsidio entregado directamente a la población; en términos de lo dispuesto por el artículo 288, fracción VII del presente, y</w:t>
      </w:r>
    </w:p>
    <w:p w14:paraId="4DC0F742" w14:textId="77777777" w:rsidR="00D3344B" w:rsidRDefault="00D3344B">
      <w:pPr>
        <w:pStyle w:val="Estilo"/>
        <w:ind w:left="567" w:hanging="567"/>
        <w:rPr>
          <w:rFonts w:cs="Arial"/>
        </w:rPr>
      </w:pPr>
    </w:p>
    <w:p w14:paraId="7EDA7511" w14:textId="77777777" w:rsidR="00D3344B" w:rsidRDefault="00143C25">
      <w:pPr>
        <w:pStyle w:val="Estilo"/>
        <w:ind w:left="567" w:hanging="567"/>
        <w:rPr>
          <w:rFonts w:cs="Arial"/>
        </w:rPr>
      </w:pPr>
      <w:r>
        <w:rPr>
          <w:rFonts w:cs="Arial"/>
        </w:rPr>
        <w:t xml:space="preserve">III. </w:t>
      </w:r>
      <w:r>
        <w:rPr>
          <w:rFonts w:cs="Arial"/>
        </w:rPr>
        <w:tab/>
        <w:t>Gasto en servicios personales, prioritariamente las erogaciones por concepto de Percepciones extraordinarias.</w:t>
      </w:r>
    </w:p>
    <w:p w14:paraId="1DCA0211" w14:textId="77777777" w:rsidR="00D3344B" w:rsidRDefault="00D3344B">
      <w:pPr>
        <w:pStyle w:val="Estilo"/>
        <w:ind w:left="567" w:hanging="567"/>
        <w:rPr>
          <w:rFonts w:cs="Arial"/>
        </w:rPr>
      </w:pPr>
    </w:p>
    <w:p w14:paraId="69BE0770" w14:textId="77777777" w:rsidR="00D3344B" w:rsidRDefault="00143C25">
      <w:pPr>
        <w:pStyle w:val="Estilo"/>
        <w:rPr>
          <w:rFonts w:cs="Arial"/>
        </w:rPr>
      </w:pPr>
      <w:r>
        <w:rPr>
          <w:rFonts w:cs="Arial"/>
        </w:rPr>
        <w:t>En caso de que los ajustes anteriores no sean suficientes para compensar la disminución de ingresos, podrán realizarse ajustes en otros conceptos de gasto, siempre y cuando se procure no afectar los programas sociales.</w:t>
      </w:r>
    </w:p>
    <w:p w14:paraId="3A30358B" w14:textId="77777777" w:rsidR="00D3344B" w:rsidRDefault="00D3344B">
      <w:pPr>
        <w:pStyle w:val="Estilo"/>
        <w:rPr>
          <w:rFonts w:cs="Arial"/>
        </w:rPr>
      </w:pPr>
    </w:p>
    <w:p w14:paraId="6682F7E0" w14:textId="77777777" w:rsidR="00D3344B" w:rsidRDefault="00143C25">
      <w:pPr>
        <w:pStyle w:val="Estilo"/>
        <w:rPr>
          <w:rFonts w:cs="Arial"/>
        </w:rPr>
      </w:pPr>
      <w:r>
        <w:rPr>
          <w:rFonts w:cs="Arial"/>
          <w:i/>
          <w:sz w:val="16"/>
        </w:rPr>
        <w:t>(REFORMADO PRIMER PÁRRAFO, P.O. 26 DE DICIEMBRE DE 2022)</w:t>
      </w:r>
    </w:p>
    <w:p w14:paraId="496C392C" w14:textId="77777777" w:rsidR="00D3344B" w:rsidRDefault="00143C25">
      <w:pPr>
        <w:pStyle w:val="Estilo"/>
        <w:rPr>
          <w:rFonts w:cs="Arial"/>
        </w:rPr>
      </w:pPr>
      <w:r>
        <w:rPr>
          <w:rFonts w:cs="Arial"/>
          <w:b/>
        </w:rPr>
        <w:t>Artículo 301.</w:t>
      </w:r>
      <w:r>
        <w:rPr>
          <w:rFonts w:cs="Arial"/>
        </w:rPr>
        <w:t xml:space="preserve"> Cualquier modificación al presupuesto de egresos autorizado que implique traspasos y/o ampliaciones del gasto público relacionados con programas, sectores, entes, proyectos y capítulos, sólo requerirá autorización de la Secretaría, de las tesorerías, de los órganos de gobierno de los poderes Judicial y Legislativo y de los organismos autónomos, según corresponda, cuando el monto considerado no exceda del diez por ciento del presupuesto originalmente autorizado de fuentes locales y participaciones e incentivos económicos.</w:t>
      </w:r>
    </w:p>
    <w:p w14:paraId="57DA1CEF" w14:textId="77777777" w:rsidR="00D3344B" w:rsidRDefault="00D3344B">
      <w:pPr>
        <w:pStyle w:val="Estilo"/>
        <w:rPr>
          <w:rFonts w:cs="Arial"/>
        </w:rPr>
      </w:pPr>
    </w:p>
    <w:p w14:paraId="6594CF65" w14:textId="77777777" w:rsidR="00D3344B" w:rsidRDefault="00143C25">
      <w:pPr>
        <w:pStyle w:val="Estilo"/>
        <w:rPr>
          <w:rFonts w:cs="Arial"/>
        </w:rPr>
      </w:pPr>
      <w:r>
        <w:rPr>
          <w:rFonts w:cs="Arial"/>
        </w:rPr>
        <w:t>Cuando la modificación sea para ampliar el presupuesto por recursos excedentes o adicionales a que se refiere el artículo 299 de este Código, los poderes Ejecutivo, Legislativo y Judicial deberán presentar los proyectos específicos a los que destinarán los recursos, para su análisis y autorización del Congreso.</w:t>
      </w:r>
    </w:p>
    <w:p w14:paraId="18E535FA" w14:textId="77777777" w:rsidR="00D3344B" w:rsidRDefault="00D3344B">
      <w:pPr>
        <w:pStyle w:val="Estilo"/>
        <w:rPr>
          <w:rFonts w:cs="Arial"/>
        </w:rPr>
      </w:pPr>
    </w:p>
    <w:p w14:paraId="2C547AF5" w14:textId="77777777" w:rsidR="00D3344B" w:rsidRDefault="00143C25">
      <w:pPr>
        <w:pStyle w:val="Estilo"/>
        <w:rPr>
          <w:rFonts w:cs="Arial"/>
        </w:rPr>
      </w:pPr>
      <w:r>
        <w:rPr>
          <w:rFonts w:cs="Arial"/>
          <w:i/>
          <w:sz w:val="16"/>
        </w:rPr>
        <w:t>(REFORMADO, P.O. 22 DE DICIEMBRE DE 2021)</w:t>
      </w:r>
    </w:p>
    <w:p w14:paraId="3FFDD941" w14:textId="77777777" w:rsidR="00D3344B" w:rsidRDefault="00143C25">
      <w:pPr>
        <w:pStyle w:val="Estilo"/>
        <w:rPr>
          <w:rFonts w:cs="Arial"/>
        </w:rPr>
      </w:pPr>
      <w:r>
        <w:rPr>
          <w:rFonts w:cs="Arial"/>
        </w:rPr>
        <w:t xml:space="preserve">En ambos casos, no se podrán destinar recursos para gasto corriente en porcentaje superior al establecido en la Ley de Disciplina Financiera de las Entidades </w:t>
      </w:r>
      <w:r>
        <w:rPr>
          <w:rFonts w:cs="Arial"/>
        </w:rPr>
        <w:lastRenderedPageBreak/>
        <w:t>Federativas y Municipios, y en los supuestos allí previstos, o que impliquen reducción de metas, las cuales sólo procederán con la autorización de la Secretaría y cuando éstas obedezcan a reducciones presupuestales.</w:t>
      </w:r>
    </w:p>
    <w:p w14:paraId="08845AB3" w14:textId="77777777" w:rsidR="00D3344B" w:rsidRDefault="00D3344B">
      <w:pPr>
        <w:pStyle w:val="Estilo"/>
        <w:rPr>
          <w:rFonts w:cs="Arial"/>
        </w:rPr>
      </w:pPr>
    </w:p>
    <w:p w14:paraId="58982E76" w14:textId="77777777" w:rsidR="00D3344B" w:rsidRDefault="00143C25">
      <w:pPr>
        <w:pStyle w:val="Estilo"/>
        <w:rPr>
          <w:rFonts w:cs="Arial"/>
        </w:rPr>
      </w:pPr>
      <w:r>
        <w:rPr>
          <w:rFonts w:cs="Arial"/>
          <w:b/>
        </w:rPr>
        <w:t>Artículo 301 A.</w:t>
      </w:r>
      <w:r>
        <w:rPr>
          <w:rFonts w:cs="Arial"/>
        </w:rPr>
        <w:t xml:space="preserve"> </w:t>
      </w:r>
      <w:r>
        <w:rPr>
          <w:rFonts w:cs="Arial"/>
          <w:i/>
          <w:sz w:val="16"/>
        </w:rPr>
        <w:t>(DEROGADO, P.O. 31 DE DICIEMBRE DE 2007)</w:t>
      </w:r>
    </w:p>
    <w:p w14:paraId="613B4FDD" w14:textId="77777777" w:rsidR="00D3344B" w:rsidRDefault="00D3344B">
      <w:pPr>
        <w:pStyle w:val="Estilo"/>
        <w:rPr>
          <w:rFonts w:cs="Arial"/>
        </w:rPr>
      </w:pPr>
    </w:p>
    <w:p w14:paraId="3B73B9D0" w14:textId="77777777" w:rsidR="00D3344B" w:rsidRDefault="00D3344B">
      <w:pPr>
        <w:pStyle w:val="Estilo"/>
        <w:rPr>
          <w:rFonts w:cs="Arial"/>
        </w:rPr>
      </w:pPr>
    </w:p>
    <w:p w14:paraId="61AC22F2" w14:textId="77777777" w:rsidR="00D3344B" w:rsidRDefault="00143C25">
      <w:pPr>
        <w:pStyle w:val="Estilo"/>
        <w:jc w:val="center"/>
        <w:rPr>
          <w:rFonts w:cs="Arial"/>
          <w:b/>
        </w:rPr>
      </w:pPr>
      <w:r>
        <w:rPr>
          <w:rFonts w:cs="Arial"/>
          <w:b/>
        </w:rPr>
        <w:t>Capítulo V</w:t>
      </w:r>
    </w:p>
    <w:p w14:paraId="23C59B92" w14:textId="77777777" w:rsidR="00D3344B" w:rsidRDefault="00143C25">
      <w:pPr>
        <w:pStyle w:val="Estilo"/>
        <w:jc w:val="center"/>
        <w:rPr>
          <w:rFonts w:cs="Arial"/>
          <w:b/>
        </w:rPr>
      </w:pPr>
      <w:r>
        <w:rPr>
          <w:rFonts w:cs="Arial"/>
          <w:b/>
        </w:rPr>
        <w:t>Control y Evaluación del Gasto Público</w:t>
      </w:r>
    </w:p>
    <w:p w14:paraId="6EEDFAF7" w14:textId="77777777" w:rsidR="00D3344B" w:rsidRDefault="00D3344B">
      <w:pPr>
        <w:pStyle w:val="Estilo"/>
        <w:rPr>
          <w:rFonts w:cs="Arial"/>
        </w:rPr>
      </w:pPr>
    </w:p>
    <w:p w14:paraId="3AC1C826" w14:textId="77777777" w:rsidR="00D3344B" w:rsidRDefault="00143C25">
      <w:pPr>
        <w:pStyle w:val="Estilo"/>
        <w:rPr>
          <w:rFonts w:cs="Arial"/>
          <w:i/>
          <w:sz w:val="16"/>
          <w:szCs w:val="16"/>
        </w:rPr>
      </w:pPr>
      <w:r>
        <w:rPr>
          <w:rFonts w:cs="Arial"/>
          <w:i/>
          <w:sz w:val="16"/>
          <w:szCs w:val="16"/>
        </w:rPr>
        <w:t>(REFORMADO PRIMER PÁRRAFO, P.O. 30 DE DICIEMBRE DE 2015)</w:t>
      </w:r>
    </w:p>
    <w:p w14:paraId="37281B5E" w14:textId="77777777" w:rsidR="00D3344B" w:rsidRDefault="00143C25">
      <w:pPr>
        <w:pStyle w:val="Estilo"/>
        <w:rPr>
          <w:rFonts w:cs="Arial"/>
        </w:rPr>
      </w:pPr>
      <w:r>
        <w:rPr>
          <w:rFonts w:cs="Arial"/>
          <w:b/>
        </w:rPr>
        <w:t>Artículo 302.</w:t>
      </w:r>
      <w:r>
        <w:rPr>
          <w:rFonts w:cs="Arial"/>
        </w:rPr>
        <w:t xml:space="preserve"> Los titulares de las dependencias y entidades y las demás unidades presupuestales a que se refiere este código, en el ejercicio de su presupuesto son responsables de la planeación, programación, registro, comprobación y del control de los programas a su cargo, trámite de prórrogas y cierre de programas, de los recursos estatales y federales que se encuentren a su cargo, conforme a las disposiciones jurídicas aplicables. Asimismo, son responsables de verificar su exacta aplicación, del cumplimiento oportuno de los programas, de la eficiencia y eficacia con que se ejecuten, estando obligados a proporcionar a la Secretaría, tesorerías e instituciones federales, según corresponda, con la periodicidad y en los términos que las mismas determinen, los informes de los avances físicos, financieros y de evaluación del desempeño, para que en el ámbito de su competencia lleven a cabo la revisión, seguimiento y evaluación del cumplimiento de los objetivos y metas de los programas aprobados.</w:t>
      </w:r>
    </w:p>
    <w:p w14:paraId="18AEBC84" w14:textId="77777777" w:rsidR="00D3344B" w:rsidRDefault="00D3344B">
      <w:pPr>
        <w:pStyle w:val="Estilo"/>
        <w:rPr>
          <w:rFonts w:cs="Arial"/>
        </w:rPr>
      </w:pPr>
    </w:p>
    <w:p w14:paraId="0282E5DB" w14:textId="77777777" w:rsidR="00D3344B" w:rsidRDefault="00143C25">
      <w:pPr>
        <w:pStyle w:val="Estilo"/>
        <w:rPr>
          <w:rFonts w:cs="Arial"/>
        </w:rPr>
      </w:pPr>
      <w:r>
        <w:rPr>
          <w:rFonts w:cs="Arial"/>
        </w:rPr>
        <w:t>En el caso de los poderes Legislativo y Judicial y de los organismos autónomos, esta función corresponderá a los titulares de sus órganos de gobierno.</w:t>
      </w:r>
    </w:p>
    <w:p w14:paraId="72B8A420" w14:textId="77777777" w:rsidR="00D3344B" w:rsidRDefault="00D3344B">
      <w:pPr>
        <w:pStyle w:val="Estilo"/>
        <w:rPr>
          <w:rFonts w:cs="Arial"/>
        </w:rPr>
      </w:pPr>
    </w:p>
    <w:p w14:paraId="307D47DB" w14:textId="77777777" w:rsidR="00D3344B" w:rsidRDefault="00143C25">
      <w:pPr>
        <w:pStyle w:val="Estilo"/>
        <w:rPr>
          <w:rFonts w:cs="Arial"/>
          <w:i/>
          <w:sz w:val="16"/>
        </w:rPr>
      </w:pPr>
      <w:r>
        <w:rPr>
          <w:rFonts w:cs="Arial"/>
          <w:i/>
          <w:sz w:val="16"/>
        </w:rPr>
        <w:t>(REFORMADO, P.O. 22 DE DICIEMBRE DE 2021)</w:t>
      </w:r>
    </w:p>
    <w:p w14:paraId="513A5A13" w14:textId="77777777" w:rsidR="00D3344B" w:rsidRDefault="00143C25">
      <w:pPr>
        <w:pStyle w:val="Estilo"/>
        <w:rPr>
          <w:rFonts w:cs="Arial"/>
        </w:rPr>
      </w:pPr>
      <w:r>
        <w:rPr>
          <w:rFonts w:cs="Arial"/>
          <w:b/>
        </w:rPr>
        <w:t>Artículo 303.</w:t>
      </w:r>
      <w:r>
        <w:rPr>
          <w:rFonts w:cs="Arial"/>
        </w:rPr>
        <w:t xml:space="preserve"> La Secretaría, la Secretaría de la Función Pública, las tesorerías y el órgano de control correspondiente, en cualquier momento podrán comprobar si en la aplicación y comprobación del gasto público, se ha cumplido con las disposiciones legales vigentes, por parte de las unidades presupuestales, quienes estarán obligadas a proporcionar todas las facilidades necesarias para tal efecto.</w:t>
      </w:r>
    </w:p>
    <w:p w14:paraId="469E699D" w14:textId="77777777" w:rsidR="00D3344B" w:rsidRDefault="00D3344B">
      <w:pPr>
        <w:pStyle w:val="Estilo"/>
        <w:rPr>
          <w:rFonts w:cs="Arial"/>
        </w:rPr>
      </w:pPr>
    </w:p>
    <w:p w14:paraId="4646764A" w14:textId="77777777" w:rsidR="00D3344B" w:rsidRDefault="00143C25">
      <w:pPr>
        <w:pStyle w:val="Estilo"/>
        <w:rPr>
          <w:rFonts w:cs="Arial"/>
        </w:rPr>
      </w:pPr>
      <w:r>
        <w:rPr>
          <w:rFonts w:cs="Arial"/>
          <w:i/>
          <w:sz w:val="16"/>
        </w:rPr>
        <w:t xml:space="preserve">(REFORMADO PRIMER </w:t>
      </w:r>
      <w:proofErr w:type="gramStart"/>
      <w:r>
        <w:rPr>
          <w:rFonts w:cs="Arial"/>
          <w:i/>
          <w:sz w:val="16"/>
        </w:rPr>
        <w:t>PÁRRAFO,  22</w:t>
      </w:r>
      <w:proofErr w:type="gramEnd"/>
      <w:r>
        <w:rPr>
          <w:rFonts w:cs="Arial"/>
          <w:i/>
          <w:sz w:val="16"/>
        </w:rPr>
        <w:t xml:space="preserve"> DE DICIEMBRE DE 2021)</w:t>
      </w:r>
    </w:p>
    <w:p w14:paraId="1834CEF3" w14:textId="77777777" w:rsidR="00D3344B" w:rsidRDefault="00143C25">
      <w:pPr>
        <w:pStyle w:val="Estilo"/>
        <w:rPr>
          <w:rFonts w:cs="Arial"/>
        </w:rPr>
      </w:pPr>
      <w:r>
        <w:rPr>
          <w:rFonts w:cs="Arial"/>
          <w:b/>
        </w:rPr>
        <w:t>Artículo 304.</w:t>
      </w:r>
      <w:r>
        <w:rPr>
          <w:rFonts w:cs="Arial"/>
        </w:rPr>
        <w:t xml:space="preserve"> La Secretaría en coordinación con la Secretaría de la Función Pública y los órganos de control en el ámbito de sus competencias, efectuarán evaluaciones de la gestión y del desempeño a las dependencias y entidades, sobre el ejercicio del presupuesto de egresos, con relación a la ejecución de los programas aprobados en el mismo y su congruencia con el propio presupuesto.</w:t>
      </w:r>
    </w:p>
    <w:p w14:paraId="3CF4007E" w14:textId="77777777" w:rsidR="00D3344B" w:rsidRDefault="00D3344B">
      <w:pPr>
        <w:pStyle w:val="Estilo"/>
        <w:rPr>
          <w:rFonts w:cs="Arial"/>
        </w:rPr>
      </w:pPr>
    </w:p>
    <w:p w14:paraId="77C3AECC" w14:textId="77777777" w:rsidR="00D3344B" w:rsidRDefault="00143C25">
      <w:pPr>
        <w:pStyle w:val="Estilo"/>
        <w:rPr>
          <w:rFonts w:cs="Arial"/>
        </w:rPr>
      </w:pPr>
      <w:r>
        <w:rPr>
          <w:rFonts w:cs="Arial"/>
          <w:i/>
          <w:sz w:val="16"/>
        </w:rPr>
        <w:t>(REFORMADO, P.O. 23 DE DICIEMBRE DE 2008)</w:t>
      </w:r>
    </w:p>
    <w:p w14:paraId="2915BDD3" w14:textId="77777777" w:rsidR="00D3344B" w:rsidRDefault="00143C25">
      <w:pPr>
        <w:pStyle w:val="Estilo"/>
        <w:rPr>
          <w:rFonts w:cs="Arial"/>
        </w:rPr>
      </w:pPr>
      <w:r>
        <w:rPr>
          <w:rFonts w:cs="Arial"/>
        </w:rPr>
        <w:t>La evaluación se realizará a través de la verificación del grado de cumplimiento de objetivos y metas, con base en indicadores que permitan conocer los resultados de la aplicación de los recursos públicos.</w:t>
      </w:r>
    </w:p>
    <w:p w14:paraId="422008EA" w14:textId="77777777" w:rsidR="00D3344B" w:rsidRDefault="00D3344B">
      <w:pPr>
        <w:pStyle w:val="Estilo"/>
        <w:rPr>
          <w:rFonts w:cs="Arial"/>
        </w:rPr>
      </w:pPr>
    </w:p>
    <w:p w14:paraId="6202DADD" w14:textId="77777777" w:rsidR="00D3344B" w:rsidRDefault="00143C25">
      <w:pPr>
        <w:pStyle w:val="Estilo"/>
        <w:jc w:val="center"/>
        <w:rPr>
          <w:rFonts w:cs="Arial"/>
          <w:b/>
        </w:rPr>
      </w:pPr>
      <w:r>
        <w:rPr>
          <w:rFonts w:cs="Arial"/>
          <w:b/>
        </w:rPr>
        <w:lastRenderedPageBreak/>
        <w:t>TÍTULO DÉCIMO PRIMERO</w:t>
      </w:r>
    </w:p>
    <w:p w14:paraId="229332AB" w14:textId="77777777" w:rsidR="00D3344B" w:rsidRDefault="00143C25">
      <w:pPr>
        <w:pStyle w:val="Estilo"/>
        <w:jc w:val="center"/>
        <w:rPr>
          <w:rFonts w:cs="Arial"/>
          <w:b/>
        </w:rPr>
      </w:pPr>
      <w:r>
        <w:rPr>
          <w:rFonts w:cs="Arial"/>
          <w:b/>
        </w:rPr>
        <w:t>REGISTRO, CONTABILIDAD Y CUENTA PÚBLICA</w:t>
      </w:r>
    </w:p>
    <w:p w14:paraId="040B908F" w14:textId="77777777" w:rsidR="00D3344B" w:rsidRDefault="00D3344B">
      <w:pPr>
        <w:pStyle w:val="Estilo"/>
        <w:jc w:val="center"/>
        <w:rPr>
          <w:rFonts w:cs="Arial"/>
          <w:b/>
        </w:rPr>
      </w:pPr>
    </w:p>
    <w:p w14:paraId="4AB56789" w14:textId="77777777" w:rsidR="00D3344B" w:rsidRDefault="00143C25">
      <w:pPr>
        <w:pStyle w:val="Estilo"/>
        <w:jc w:val="center"/>
        <w:rPr>
          <w:rFonts w:cs="Arial"/>
          <w:b/>
        </w:rPr>
      </w:pPr>
      <w:r>
        <w:rPr>
          <w:rFonts w:cs="Arial"/>
          <w:b/>
        </w:rPr>
        <w:t>Capítulo Único</w:t>
      </w:r>
    </w:p>
    <w:p w14:paraId="2C51C558" w14:textId="77777777" w:rsidR="00D3344B" w:rsidRDefault="00D3344B">
      <w:pPr>
        <w:pStyle w:val="Estilo"/>
        <w:rPr>
          <w:rFonts w:cs="Arial"/>
        </w:rPr>
      </w:pPr>
    </w:p>
    <w:p w14:paraId="580C7AE3" w14:textId="77777777" w:rsidR="00D3344B" w:rsidRDefault="00143C25">
      <w:pPr>
        <w:pStyle w:val="Estilo"/>
        <w:rPr>
          <w:rFonts w:cs="Arial"/>
        </w:rPr>
      </w:pPr>
      <w:r>
        <w:rPr>
          <w:rFonts w:cs="Arial"/>
          <w:i/>
          <w:sz w:val="16"/>
        </w:rPr>
        <w:t>(REFORMADO, P.O. 29 DE DICIEMBRE DE 2010)</w:t>
      </w:r>
    </w:p>
    <w:p w14:paraId="71D33FF6" w14:textId="77777777" w:rsidR="00D3344B" w:rsidRDefault="00143C25">
      <w:pPr>
        <w:pStyle w:val="Estilo"/>
        <w:rPr>
          <w:rFonts w:cs="Arial"/>
        </w:rPr>
      </w:pPr>
      <w:r>
        <w:rPr>
          <w:rFonts w:cs="Arial"/>
          <w:b/>
        </w:rPr>
        <w:t>Artículo 305.</w:t>
      </w:r>
      <w:r>
        <w:rPr>
          <w:rFonts w:cs="Arial"/>
        </w:rPr>
        <w:t xml:space="preserve"> Las dependencias y entidades del poder Ejecutivo; los poderes Legislativo y Judicial; los Organismos Autónomos, los Municipios y en general todo organismo que ejerza recursos públicos registrará sus operaciones en un sistema presupuestal y contable en los términos establecidos en la Ley General de Contabilidad Gubernamental.</w:t>
      </w:r>
    </w:p>
    <w:p w14:paraId="5049B6FA" w14:textId="77777777" w:rsidR="00D3344B" w:rsidRDefault="00D3344B">
      <w:pPr>
        <w:pStyle w:val="Estilo"/>
        <w:rPr>
          <w:rFonts w:cs="Arial"/>
        </w:rPr>
      </w:pPr>
    </w:p>
    <w:p w14:paraId="36FD8357" w14:textId="77777777" w:rsidR="00D3344B" w:rsidRDefault="00143C25">
      <w:pPr>
        <w:pStyle w:val="Estilo"/>
        <w:rPr>
          <w:rFonts w:cs="Arial"/>
        </w:rPr>
      </w:pPr>
      <w:r>
        <w:rPr>
          <w:rFonts w:cs="Arial"/>
          <w:b/>
        </w:rPr>
        <w:t>Artículo 306.</w:t>
      </w:r>
      <w:r>
        <w:rPr>
          <w:rFonts w:cs="Arial"/>
        </w:rPr>
        <w:t xml:space="preserve"> </w:t>
      </w:r>
      <w:r>
        <w:rPr>
          <w:rFonts w:cs="Arial"/>
          <w:i/>
          <w:sz w:val="16"/>
        </w:rPr>
        <w:t>(DEROGADO, P.O. 29 DE DICIEMBRE DE 2010)</w:t>
      </w:r>
    </w:p>
    <w:p w14:paraId="36A47760" w14:textId="77777777" w:rsidR="00D3344B" w:rsidRDefault="00D3344B">
      <w:pPr>
        <w:pStyle w:val="Estilo"/>
        <w:rPr>
          <w:rFonts w:cs="Arial"/>
        </w:rPr>
      </w:pPr>
    </w:p>
    <w:p w14:paraId="5E845E63" w14:textId="77777777" w:rsidR="00D3344B" w:rsidRDefault="00143C25">
      <w:pPr>
        <w:pStyle w:val="Estilo"/>
        <w:rPr>
          <w:rFonts w:cs="Arial"/>
        </w:rPr>
      </w:pPr>
      <w:r>
        <w:rPr>
          <w:rFonts w:cs="Arial"/>
          <w:b/>
        </w:rPr>
        <w:t>Artículo 307.</w:t>
      </w:r>
      <w:r>
        <w:rPr>
          <w:rFonts w:cs="Arial"/>
        </w:rPr>
        <w:t xml:space="preserve"> </w:t>
      </w:r>
      <w:r>
        <w:rPr>
          <w:rFonts w:cs="Arial"/>
          <w:i/>
          <w:sz w:val="16"/>
        </w:rPr>
        <w:t>(DEROGADO, P.O. 29 DE DICIEMBRE DE 2010)</w:t>
      </w:r>
    </w:p>
    <w:p w14:paraId="1725E4DE" w14:textId="77777777" w:rsidR="00D3344B" w:rsidRDefault="00D3344B">
      <w:pPr>
        <w:pStyle w:val="Estilo"/>
        <w:rPr>
          <w:rFonts w:cs="Arial"/>
        </w:rPr>
      </w:pPr>
    </w:p>
    <w:p w14:paraId="23C9D784" w14:textId="77777777" w:rsidR="00D3344B" w:rsidRDefault="00143C25">
      <w:pPr>
        <w:pStyle w:val="Estilo"/>
        <w:rPr>
          <w:rFonts w:cs="Arial"/>
        </w:rPr>
      </w:pPr>
      <w:r>
        <w:rPr>
          <w:rFonts w:cs="Arial"/>
          <w:b/>
        </w:rPr>
        <w:t>Artículo 308.</w:t>
      </w:r>
      <w:r>
        <w:rPr>
          <w:rFonts w:cs="Arial"/>
        </w:rPr>
        <w:t xml:space="preserve"> Son objetivos de la contabilidad gubernamental:</w:t>
      </w:r>
    </w:p>
    <w:p w14:paraId="115DA5A4" w14:textId="77777777" w:rsidR="00D3344B" w:rsidRDefault="00D3344B">
      <w:pPr>
        <w:pStyle w:val="Estilo"/>
        <w:rPr>
          <w:rFonts w:cs="Arial"/>
        </w:rPr>
      </w:pPr>
    </w:p>
    <w:p w14:paraId="50A85161" w14:textId="77777777" w:rsidR="00D3344B" w:rsidRDefault="00143C25">
      <w:pPr>
        <w:pStyle w:val="Estilo"/>
        <w:ind w:left="567" w:hanging="567"/>
        <w:rPr>
          <w:rFonts w:cs="Arial"/>
        </w:rPr>
      </w:pPr>
      <w:r>
        <w:rPr>
          <w:rFonts w:cs="Arial"/>
        </w:rPr>
        <w:t xml:space="preserve">I. </w:t>
      </w:r>
      <w:r>
        <w:rPr>
          <w:rFonts w:cs="Arial"/>
        </w:rPr>
        <w:tab/>
        <w:t>Registrar contable y presupuestalmente los ingresos y los egresos públicos, y las operaciones financieras, y</w:t>
      </w:r>
    </w:p>
    <w:p w14:paraId="6446D70B" w14:textId="77777777" w:rsidR="00D3344B" w:rsidRDefault="00D3344B">
      <w:pPr>
        <w:pStyle w:val="Estilo"/>
        <w:ind w:left="567" w:hanging="567"/>
        <w:rPr>
          <w:rFonts w:cs="Arial"/>
        </w:rPr>
      </w:pPr>
    </w:p>
    <w:p w14:paraId="0CB4B4EA" w14:textId="77777777" w:rsidR="00D3344B" w:rsidRDefault="00143C25">
      <w:pPr>
        <w:pStyle w:val="Estilo"/>
        <w:ind w:left="567" w:hanging="567"/>
        <w:rPr>
          <w:rFonts w:cs="Arial"/>
        </w:rPr>
      </w:pPr>
      <w:r>
        <w:rPr>
          <w:rFonts w:cs="Arial"/>
        </w:rPr>
        <w:t xml:space="preserve">II. </w:t>
      </w:r>
      <w:r>
        <w:rPr>
          <w:rFonts w:cs="Arial"/>
        </w:rPr>
        <w:tab/>
        <w:t>Informar sobre la aplicación de los fondos públicos, para la evaluación de las acciones de gobierno, la planeación y programación de la gestión pública y para la integración de la cuenta pública.</w:t>
      </w:r>
    </w:p>
    <w:p w14:paraId="0B8D286A" w14:textId="77777777" w:rsidR="00D3344B" w:rsidRDefault="00D3344B">
      <w:pPr>
        <w:pStyle w:val="Estilo"/>
        <w:rPr>
          <w:rFonts w:cs="Arial"/>
        </w:rPr>
      </w:pPr>
    </w:p>
    <w:p w14:paraId="41540ED9" w14:textId="77777777" w:rsidR="00D3344B" w:rsidRDefault="00143C25">
      <w:pPr>
        <w:pStyle w:val="Estilo"/>
        <w:rPr>
          <w:rFonts w:cs="Arial"/>
        </w:rPr>
      </w:pPr>
      <w:r>
        <w:rPr>
          <w:rFonts w:cs="Arial"/>
          <w:b/>
        </w:rPr>
        <w:t>Artículo 309.</w:t>
      </w:r>
      <w:r>
        <w:rPr>
          <w:rFonts w:cs="Arial"/>
        </w:rPr>
        <w:t xml:space="preserve"> El registro contable y presupuestal que realicen las unidades presupuéstales, conforme con lo dispuesto por este código, se realizarán en un plazo no mayor de cinco días.</w:t>
      </w:r>
    </w:p>
    <w:p w14:paraId="50CA7858" w14:textId="77777777" w:rsidR="00D3344B" w:rsidRDefault="00D3344B">
      <w:pPr>
        <w:pStyle w:val="Estilo"/>
        <w:rPr>
          <w:rFonts w:cs="Arial"/>
        </w:rPr>
      </w:pPr>
    </w:p>
    <w:p w14:paraId="027795D3" w14:textId="77777777" w:rsidR="00D3344B" w:rsidRDefault="00143C25">
      <w:pPr>
        <w:pStyle w:val="Estilo"/>
        <w:rPr>
          <w:rFonts w:cs="Arial"/>
        </w:rPr>
      </w:pPr>
      <w:r>
        <w:rPr>
          <w:rFonts w:cs="Arial"/>
          <w:i/>
          <w:sz w:val="16"/>
        </w:rPr>
        <w:t>(REFORMADO, P.O. 31 DE DICIEMBRE DE 2007)</w:t>
      </w:r>
    </w:p>
    <w:p w14:paraId="40BB6890" w14:textId="77777777" w:rsidR="00D3344B" w:rsidRDefault="00143C25">
      <w:pPr>
        <w:pStyle w:val="Estilo"/>
        <w:rPr>
          <w:rFonts w:cs="Arial"/>
        </w:rPr>
      </w:pPr>
      <w:r>
        <w:rPr>
          <w:rFonts w:cs="Arial"/>
        </w:rPr>
        <w:t>Todo registro contable y presupuestal se soportará con los documentos comprobatorios originales, los que deberán permanecer bajo el resguardo y conservación de las dependencias y entidades, así como de las demás entidades presupuestales que ejercieron el gasto, y en su caso, de la Secretaría, de la Dirección General de Adquisiciones dependiente de la Oficialía Mayor de Gobierno o de las tesorerías, cuando así lo indiquen éstas, a disposición de los órganos de control y de fiscalización, por un término de cinco años contados a partir del ejercicio presupuestal siguiente al que corresponda.</w:t>
      </w:r>
    </w:p>
    <w:p w14:paraId="70A73CE5" w14:textId="77777777" w:rsidR="00D3344B" w:rsidRDefault="00D3344B">
      <w:pPr>
        <w:pStyle w:val="Estilo"/>
        <w:rPr>
          <w:rFonts w:cs="Arial"/>
        </w:rPr>
      </w:pPr>
    </w:p>
    <w:p w14:paraId="5AD81334" w14:textId="77777777" w:rsidR="00D3344B" w:rsidRDefault="00143C25">
      <w:pPr>
        <w:pStyle w:val="Estilo"/>
        <w:rPr>
          <w:rFonts w:cs="Arial"/>
        </w:rPr>
      </w:pPr>
      <w:r>
        <w:rPr>
          <w:rFonts w:cs="Arial"/>
          <w:i/>
          <w:sz w:val="16"/>
        </w:rPr>
        <w:t>(REFORMADO, P.O. 31 DE DICIEMBRE DE 2007)</w:t>
      </w:r>
    </w:p>
    <w:p w14:paraId="2E658F07" w14:textId="77777777" w:rsidR="00D3344B" w:rsidRDefault="00143C25">
      <w:pPr>
        <w:pStyle w:val="Estilo"/>
        <w:rPr>
          <w:rFonts w:cs="Arial"/>
        </w:rPr>
      </w:pPr>
      <w:r>
        <w:rPr>
          <w:rFonts w:cs="Arial"/>
        </w:rPr>
        <w:t>La documentación original que ampare inversiones en activo fijo, quedará bajo el resguardo de la Dirección General de Adquisiciones dependiente de la Oficialía Mayor de Gobierno misma que deberá conservar de tal forma que permita identificar a cada uno de los activos, hasta que se den de baja de los inventarios correspondientes.</w:t>
      </w:r>
    </w:p>
    <w:p w14:paraId="092CD0EB" w14:textId="77777777" w:rsidR="00D3344B" w:rsidRDefault="00D3344B">
      <w:pPr>
        <w:pStyle w:val="Estilo"/>
        <w:rPr>
          <w:rFonts w:cs="Arial"/>
        </w:rPr>
      </w:pPr>
    </w:p>
    <w:p w14:paraId="175784E4"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1391D72D" w14:textId="77777777" w:rsidR="00D3344B" w:rsidRDefault="00143C25">
      <w:pPr>
        <w:pStyle w:val="Estilo"/>
        <w:rPr>
          <w:rFonts w:cs="Arial"/>
        </w:rPr>
      </w:pPr>
      <w:r>
        <w:rPr>
          <w:rFonts w:cs="Arial"/>
          <w:i/>
          <w:sz w:val="16"/>
        </w:rPr>
        <w:lastRenderedPageBreak/>
        <w:t>(REFORMADO PRIMER PÁRRAFO, P.O. 23 DE DICIEMBRE DE 2008)</w:t>
      </w:r>
    </w:p>
    <w:p w14:paraId="5CF8A39A" w14:textId="77777777" w:rsidR="00D3344B" w:rsidRDefault="00143C25">
      <w:pPr>
        <w:pStyle w:val="Estilo"/>
        <w:rPr>
          <w:rFonts w:cs="Arial"/>
        </w:rPr>
      </w:pPr>
      <w:r>
        <w:rPr>
          <w:rFonts w:cs="Arial"/>
          <w:b/>
        </w:rPr>
        <w:t>Artículo 310.</w:t>
      </w:r>
      <w:r>
        <w:rPr>
          <w:rFonts w:cs="Arial"/>
        </w:rPr>
        <w:t xml:space="preserve"> Las unidades presupuestales proporcionarán a la Secretaría, Tesorería u órgano equivalente que corresponda, con la periodicidad que éstos determinen, la información presupuestal, contable, financiera y de evaluación del desempeño para la formulación de la cuenta pública.</w:t>
      </w:r>
    </w:p>
    <w:p w14:paraId="49A92502" w14:textId="77777777" w:rsidR="00D3344B" w:rsidRDefault="00D3344B">
      <w:pPr>
        <w:pStyle w:val="Estilo"/>
        <w:rPr>
          <w:rFonts w:cs="Arial"/>
        </w:rPr>
      </w:pPr>
    </w:p>
    <w:p w14:paraId="78FDA44D" w14:textId="77777777" w:rsidR="00D3344B" w:rsidRDefault="00143C25">
      <w:pPr>
        <w:pStyle w:val="Estilo"/>
        <w:rPr>
          <w:rFonts w:cs="Arial"/>
        </w:rPr>
      </w:pPr>
      <w:r>
        <w:rPr>
          <w:rFonts w:cs="Arial"/>
        </w:rPr>
        <w:t>En caso de que no se proporcione la información o la que reciban no cumpla con la forma y plazos establecidos por éstas, podrán suspender la ministración de recursos, hasta en tanto se regularicen.</w:t>
      </w:r>
    </w:p>
    <w:p w14:paraId="3595115D" w14:textId="77777777" w:rsidR="00D3344B" w:rsidRDefault="00D3344B">
      <w:pPr>
        <w:pStyle w:val="Estilo"/>
        <w:rPr>
          <w:rFonts w:cs="Arial"/>
        </w:rPr>
      </w:pPr>
    </w:p>
    <w:p w14:paraId="32C7EC23"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EL CÓDIGO.</w:t>
      </w:r>
    </w:p>
    <w:p w14:paraId="3ABABBE7" w14:textId="77777777" w:rsidR="00D3344B" w:rsidRDefault="00143C25">
      <w:pPr>
        <w:pStyle w:val="Estilo"/>
        <w:rPr>
          <w:rFonts w:cs="Arial"/>
        </w:rPr>
      </w:pPr>
      <w:r>
        <w:rPr>
          <w:rFonts w:cs="Arial"/>
          <w:i/>
          <w:sz w:val="16"/>
        </w:rPr>
        <w:t>(REFORMADO, P.O. 23 DE DICIEMBRE DE 2008)</w:t>
      </w:r>
    </w:p>
    <w:p w14:paraId="28C767CF" w14:textId="77777777" w:rsidR="00D3344B" w:rsidRDefault="00143C25">
      <w:pPr>
        <w:pStyle w:val="Estilo"/>
        <w:rPr>
          <w:rFonts w:cs="Arial"/>
        </w:rPr>
      </w:pPr>
      <w:r>
        <w:rPr>
          <w:rFonts w:cs="Arial"/>
          <w:b/>
        </w:rPr>
        <w:t>Artículo 311.</w:t>
      </w:r>
      <w:r>
        <w:rPr>
          <w:rFonts w:cs="Arial"/>
        </w:rPr>
        <w:t xml:space="preserve"> Los poderes Ejecutivo, Legislativo y Judicial, los municipios y organismos autónomos remitirán la cuenta pública correspondiente, al Congreso a través del Órgano de Fiscalización, en los plazos establecidos en el artículo 54, fracción XVII, inciso a), de la Constitución Local.</w:t>
      </w:r>
    </w:p>
    <w:p w14:paraId="04E63057" w14:textId="77777777" w:rsidR="00D3344B" w:rsidRDefault="00D3344B">
      <w:pPr>
        <w:pStyle w:val="Estilo"/>
        <w:rPr>
          <w:rFonts w:cs="Arial"/>
        </w:rPr>
      </w:pPr>
    </w:p>
    <w:p w14:paraId="0DD93FAB" w14:textId="77777777" w:rsidR="00D3344B" w:rsidRDefault="00143C25">
      <w:pPr>
        <w:pStyle w:val="Estilo"/>
        <w:jc w:val="center"/>
        <w:rPr>
          <w:rFonts w:cs="Arial"/>
          <w:b/>
        </w:rPr>
      </w:pPr>
      <w:r>
        <w:rPr>
          <w:rFonts w:cs="Arial"/>
          <w:b/>
        </w:rPr>
        <w:t>TÍTULO DÉCIMO SEGUNDO</w:t>
      </w:r>
    </w:p>
    <w:p w14:paraId="626C303A" w14:textId="77777777" w:rsidR="00D3344B" w:rsidRDefault="00143C25">
      <w:pPr>
        <w:pStyle w:val="Estilo"/>
        <w:jc w:val="center"/>
        <w:rPr>
          <w:rFonts w:cs="Arial"/>
          <w:b/>
        </w:rPr>
      </w:pPr>
      <w:r>
        <w:rPr>
          <w:rFonts w:cs="Arial"/>
          <w:b/>
        </w:rPr>
        <w:t>INFRACCIONES, SANCIONES Y DELITOS FISCALES</w:t>
      </w:r>
    </w:p>
    <w:p w14:paraId="6B83083F" w14:textId="77777777" w:rsidR="00D3344B" w:rsidRDefault="00D3344B">
      <w:pPr>
        <w:pStyle w:val="Estilo"/>
        <w:jc w:val="center"/>
        <w:rPr>
          <w:rFonts w:cs="Arial"/>
          <w:b/>
        </w:rPr>
      </w:pPr>
    </w:p>
    <w:p w14:paraId="1CE0374D" w14:textId="77777777" w:rsidR="00D3344B" w:rsidRDefault="00143C25">
      <w:pPr>
        <w:pStyle w:val="Estilo"/>
        <w:jc w:val="center"/>
        <w:rPr>
          <w:rFonts w:cs="Arial"/>
          <w:b/>
        </w:rPr>
      </w:pPr>
      <w:r>
        <w:rPr>
          <w:rFonts w:cs="Arial"/>
          <w:b/>
        </w:rPr>
        <w:t>Capítulo I</w:t>
      </w:r>
    </w:p>
    <w:p w14:paraId="60B6335A" w14:textId="77777777" w:rsidR="00D3344B" w:rsidRDefault="00143C25">
      <w:pPr>
        <w:pStyle w:val="Estilo"/>
        <w:jc w:val="center"/>
        <w:rPr>
          <w:rFonts w:cs="Arial"/>
          <w:b/>
        </w:rPr>
      </w:pPr>
      <w:r>
        <w:rPr>
          <w:rFonts w:cs="Arial"/>
          <w:b/>
        </w:rPr>
        <w:t>Generalidades</w:t>
      </w:r>
    </w:p>
    <w:p w14:paraId="48DCEE3E" w14:textId="77777777" w:rsidR="00D3344B" w:rsidRDefault="00D3344B">
      <w:pPr>
        <w:pStyle w:val="Estilo"/>
        <w:rPr>
          <w:rFonts w:cs="Arial"/>
        </w:rPr>
      </w:pPr>
    </w:p>
    <w:p w14:paraId="5EACA59A" w14:textId="77777777" w:rsidR="00D3344B" w:rsidRDefault="00143C25">
      <w:pPr>
        <w:pStyle w:val="Estilo"/>
        <w:rPr>
          <w:rFonts w:cs="Arial"/>
        </w:rPr>
      </w:pPr>
      <w:r>
        <w:rPr>
          <w:rFonts w:cs="Arial"/>
          <w:b/>
        </w:rPr>
        <w:t>Artículo 312.</w:t>
      </w:r>
      <w:r>
        <w:rPr>
          <w:rFonts w:cs="Arial"/>
        </w:rPr>
        <w:t xml:space="preserve"> Con independencia de las responsabilidades, sanciones o penas en que se incurra, de conformidad con otras leyes, del orden administrativo, civil o penal, las autoridades fiscales aplicarán las sanciones previstas por este código, cuando se incurra en los supuestos previstos como infracciones fiscales descritos por este mismo ordenamiento.</w:t>
      </w:r>
    </w:p>
    <w:p w14:paraId="2059E00F" w14:textId="77777777" w:rsidR="00D3344B" w:rsidRDefault="00D3344B">
      <w:pPr>
        <w:pStyle w:val="Estilo"/>
        <w:rPr>
          <w:rFonts w:cs="Arial"/>
        </w:rPr>
      </w:pPr>
    </w:p>
    <w:p w14:paraId="32F5747E" w14:textId="77777777" w:rsidR="00D3344B" w:rsidRDefault="00143C25">
      <w:pPr>
        <w:pStyle w:val="Estilo"/>
        <w:rPr>
          <w:rFonts w:cs="Arial"/>
        </w:rPr>
      </w:pPr>
      <w:r>
        <w:rPr>
          <w:rFonts w:cs="Arial"/>
        </w:rPr>
        <w:t>La aplicación de las multas por infracciones a las disposiciones fiscales, se hará independientemente de que se exija el pago de las contribuciones respectivas y sus accesorios.</w:t>
      </w:r>
    </w:p>
    <w:p w14:paraId="0D82E5D6" w14:textId="77777777" w:rsidR="00D3344B" w:rsidRDefault="00D3344B">
      <w:pPr>
        <w:pStyle w:val="Estilo"/>
        <w:rPr>
          <w:rFonts w:cs="Arial"/>
        </w:rPr>
      </w:pPr>
    </w:p>
    <w:p w14:paraId="71B7F0F8" w14:textId="77777777" w:rsidR="00D3344B" w:rsidRDefault="00143C25">
      <w:pPr>
        <w:pStyle w:val="Estilo"/>
        <w:rPr>
          <w:rFonts w:cs="Arial"/>
        </w:rPr>
      </w:pPr>
      <w:r>
        <w:rPr>
          <w:rFonts w:cs="Arial"/>
          <w:i/>
          <w:sz w:val="16"/>
        </w:rPr>
        <w:t>(ADICIONADO, P.O. 29 DE DICIEMBRE DE 2010)</w:t>
      </w:r>
    </w:p>
    <w:p w14:paraId="38A45D12" w14:textId="77777777" w:rsidR="00D3344B" w:rsidRDefault="00143C25">
      <w:pPr>
        <w:pStyle w:val="Estilo"/>
        <w:rPr>
          <w:rFonts w:cs="Arial"/>
        </w:rPr>
      </w:pPr>
      <w:r>
        <w:rPr>
          <w:rFonts w:cs="Arial"/>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14934280" w14:textId="77777777" w:rsidR="00D3344B" w:rsidRDefault="00D3344B">
      <w:pPr>
        <w:pStyle w:val="Estilo"/>
        <w:rPr>
          <w:rFonts w:cs="Arial"/>
        </w:rPr>
      </w:pPr>
    </w:p>
    <w:p w14:paraId="706ADC7F" w14:textId="77777777" w:rsidR="00D3344B" w:rsidRDefault="00143C25">
      <w:pPr>
        <w:pStyle w:val="Estilo"/>
        <w:rPr>
          <w:rFonts w:cs="Arial"/>
        </w:rPr>
      </w:pPr>
      <w:r>
        <w:rPr>
          <w:rFonts w:cs="Arial"/>
          <w:b/>
        </w:rPr>
        <w:t>Artículo 313.</w:t>
      </w:r>
      <w:r>
        <w:rPr>
          <w:rFonts w:cs="Arial"/>
        </w:rPr>
        <w:t xml:space="preserve"> Cuando con un solo acto u omisión se cometan varias infracciones, sólo se aplicará la que prevenga la sanción mayor.</w:t>
      </w:r>
    </w:p>
    <w:p w14:paraId="4E99F696" w14:textId="77777777" w:rsidR="00D3344B" w:rsidRDefault="00D3344B">
      <w:pPr>
        <w:pStyle w:val="Estilo"/>
        <w:rPr>
          <w:rFonts w:cs="Arial"/>
        </w:rPr>
      </w:pPr>
    </w:p>
    <w:p w14:paraId="0395BB7A" w14:textId="77777777" w:rsidR="00D3344B" w:rsidRDefault="00143C25">
      <w:pPr>
        <w:pStyle w:val="Estilo"/>
        <w:rPr>
          <w:rFonts w:cs="Arial"/>
        </w:rPr>
      </w:pPr>
      <w:r>
        <w:rPr>
          <w:rFonts w:cs="Arial"/>
          <w:i/>
          <w:sz w:val="16"/>
        </w:rPr>
        <w:t>(REFORMADO, P.O. 30 DE DICIEMBRE DE 2005)</w:t>
      </w:r>
    </w:p>
    <w:p w14:paraId="2245E8C6" w14:textId="77777777" w:rsidR="00D3344B" w:rsidRDefault="00143C25">
      <w:pPr>
        <w:pStyle w:val="Estilo"/>
        <w:rPr>
          <w:rFonts w:cs="Arial"/>
        </w:rPr>
      </w:pPr>
      <w:r>
        <w:rPr>
          <w:rFonts w:cs="Arial"/>
        </w:rPr>
        <w:t>En el caso de que la multa se pague dentro de los cuarenta y cinco días hábiles siguientes a la fecha en que se notifique al infractor la resolución por la cual se le imponga la sanción, la multa se reducirá en un 20% de su monto, sin necesidad de que la autoridad que la impuso dicte nueva resolución.</w:t>
      </w:r>
    </w:p>
    <w:p w14:paraId="6EFFC945" w14:textId="77777777" w:rsidR="00D3344B" w:rsidRDefault="00D3344B">
      <w:pPr>
        <w:pStyle w:val="Estilo"/>
        <w:rPr>
          <w:rFonts w:cs="Arial"/>
        </w:rPr>
      </w:pPr>
    </w:p>
    <w:p w14:paraId="65D957FF" w14:textId="77777777" w:rsidR="00D3344B" w:rsidRDefault="00143C25">
      <w:pPr>
        <w:pStyle w:val="Estilo"/>
        <w:rPr>
          <w:rFonts w:cs="Arial"/>
        </w:rPr>
      </w:pPr>
      <w:r>
        <w:rPr>
          <w:rFonts w:cs="Arial"/>
          <w:i/>
          <w:sz w:val="16"/>
        </w:rPr>
        <w:t>N. DE E. EN RELACIÓN CON LA ENTRADA EN VIGOR DEL PRESENTE PÁRRAFO, VÉASE TRANSITORIO ÚNICO DEL DECRETO QUE MODIFICA EL CÓDIGO.</w:t>
      </w:r>
    </w:p>
    <w:p w14:paraId="5E11BC42" w14:textId="77777777" w:rsidR="00D3344B" w:rsidRDefault="00143C25">
      <w:pPr>
        <w:pStyle w:val="Estilo"/>
        <w:rPr>
          <w:rFonts w:cs="Arial"/>
        </w:rPr>
      </w:pPr>
      <w:r>
        <w:rPr>
          <w:rFonts w:cs="Arial"/>
          <w:i/>
          <w:sz w:val="16"/>
        </w:rPr>
        <w:t>(ADICIONADO, P.O. 7 DE DICIEMBRE DE 2009)</w:t>
      </w:r>
    </w:p>
    <w:p w14:paraId="69701C05" w14:textId="77777777" w:rsidR="00D3344B" w:rsidRDefault="00143C25">
      <w:pPr>
        <w:pStyle w:val="Estilo"/>
        <w:rPr>
          <w:rFonts w:cs="Arial"/>
        </w:rPr>
      </w:pPr>
      <w:r>
        <w:rPr>
          <w:rFonts w:cs="Arial"/>
        </w:rPr>
        <w:t>Siempre que se omita el pago de una contribución cuya determinación corresponda a un servidor público, los accesorios serán a cargo exclusivamente de éste,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14:paraId="0CEFE92D" w14:textId="77777777" w:rsidR="00D3344B" w:rsidRDefault="00D3344B">
      <w:pPr>
        <w:pStyle w:val="Estilo"/>
        <w:rPr>
          <w:rFonts w:cs="Arial"/>
        </w:rPr>
      </w:pPr>
    </w:p>
    <w:p w14:paraId="6AD11266" w14:textId="77777777" w:rsidR="00D3344B" w:rsidRDefault="00143C25">
      <w:pPr>
        <w:pStyle w:val="Estilo"/>
        <w:rPr>
          <w:rFonts w:cs="Arial"/>
        </w:rPr>
      </w:pPr>
      <w:r>
        <w:rPr>
          <w:rFonts w:cs="Arial"/>
          <w:b/>
        </w:rPr>
        <w:t>Artículo 314.</w:t>
      </w:r>
      <w:r>
        <w:rPr>
          <w:rFonts w:cs="Arial"/>
        </w:rPr>
        <w:t xml:space="preserve"> No se impondrán sanciones cuando se cumplan de manera espontánea las obligaciones fiscales fuera de los plazos señalados en este código o cuando se haya incurrido en infracción a causa de fuerza mayor o caso fortuito.</w:t>
      </w:r>
    </w:p>
    <w:p w14:paraId="71BBD5F4" w14:textId="77777777" w:rsidR="00D3344B" w:rsidRDefault="00D3344B">
      <w:pPr>
        <w:pStyle w:val="Estilo"/>
        <w:rPr>
          <w:rFonts w:cs="Arial"/>
        </w:rPr>
      </w:pPr>
    </w:p>
    <w:p w14:paraId="4E0BD811" w14:textId="77777777" w:rsidR="00D3344B" w:rsidRDefault="00143C25">
      <w:pPr>
        <w:pStyle w:val="Estilo"/>
        <w:rPr>
          <w:rFonts w:cs="Arial"/>
        </w:rPr>
      </w:pPr>
      <w:r>
        <w:rPr>
          <w:rFonts w:cs="Arial"/>
          <w:b/>
        </w:rPr>
        <w:t>Artículo 315.</w:t>
      </w:r>
      <w:r>
        <w:rPr>
          <w:rFonts w:cs="Arial"/>
        </w:rPr>
        <w:t xml:space="preserve"> Se considerará que el cumplimiento no es espontáneo cuando:</w:t>
      </w:r>
    </w:p>
    <w:p w14:paraId="376CE9B4" w14:textId="77777777" w:rsidR="00D3344B" w:rsidRDefault="00D3344B">
      <w:pPr>
        <w:pStyle w:val="Estilo"/>
        <w:rPr>
          <w:rFonts w:cs="Arial"/>
        </w:rPr>
      </w:pPr>
    </w:p>
    <w:p w14:paraId="684E7CF3" w14:textId="77777777" w:rsidR="00D3344B" w:rsidRDefault="00143C25">
      <w:pPr>
        <w:pStyle w:val="Estilo"/>
        <w:ind w:left="567" w:hanging="567"/>
        <w:rPr>
          <w:rFonts w:cs="Arial"/>
        </w:rPr>
      </w:pPr>
      <w:r>
        <w:rPr>
          <w:rFonts w:cs="Arial"/>
        </w:rPr>
        <w:t xml:space="preserve">I. </w:t>
      </w:r>
      <w:r>
        <w:rPr>
          <w:rFonts w:cs="Arial"/>
        </w:rPr>
        <w:tab/>
        <w:t>La omisión sea descubierta por las autoridades fiscales;</w:t>
      </w:r>
    </w:p>
    <w:p w14:paraId="261C58F6" w14:textId="77777777" w:rsidR="00D3344B" w:rsidRDefault="00D3344B">
      <w:pPr>
        <w:pStyle w:val="Estilo"/>
        <w:ind w:left="567" w:hanging="567"/>
        <w:rPr>
          <w:rFonts w:cs="Arial"/>
        </w:rPr>
      </w:pPr>
    </w:p>
    <w:p w14:paraId="288D9150" w14:textId="77777777" w:rsidR="00D3344B" w:rsidRDefault="00143C25">
      <w:pPr>
        <w:pStyle w:val="Estilo"/>
        <w:ind w:left="567" w:hanging="567"/>
        <w:rPr>
          <w:rFonts w:cs="Arial"/>
        </w:rPr>
      </w:pPr>
      <w:r>
        <w:rPr>
          <w:rFonts w:cs="Arial"/>
        </w:rPr>
        <w:t xml:space="preserve">II. </w:t>
      </w:r>
      <w:r>
        <w:rPr>
          <w:rFonts w:cs="Arial"/>
        </w:rPr>
        <w:tab/>
        <w:t>La omisión haya sido corregida por el contribuyente después de que las autoridades fiscales hubieren notificado una orden de visita domiciliaria, o haya mediado requerimiento, notificación o cualquier otra gestión escrita notificada por las mismas, tendientes a la comprobación del cumplimiento de disposiciones fiscales, y</w:t>
      </w:r>
    </w:p>
    <w:p w14:paraId="5A0C6987" w14:textId="77777777" w:rsidR="00D3344B" w:rsidRDefault="00D3344B">
      <w:pPr>
        <w:pStyle w:val="Estilo"/>
        <w:ind w:left="567" w:hanging="567"/>
        <w:rPr>
          <w:rFonts w:cs="Arial"/>
        </w:rPr>
      </w:pPr>
    </w:p>
    <w:p w14:paraId="2939341D" w14:textId="77777777" w:rsidR="00D3344B" w:rsidRDefault="00143C25">
      <w:pPr>
        <w:pStyle w:val="Estilo"/>
        <w:rPr>
          <w:rFonts w:cs="Arial"/>
          <w:i/>
          <w:sz w:val="16"/>
        </w:rPr>
      </w:pPr>
      <w:r>
        <w:rPr>
          <w:rFonts w:cs="Arial"/>
        </w:rPr>
        <w:t xml:space="preserve">III. </w:t>
      </w:r>
      <w:r>
        <w:rPr>
          <w:rFonts w:cs="Arial"/>
        </w:rPr>
        <w:tab/>
      </w:r>
      <w:r>
        <w:rPr>
          <w:rFonts w:cs="Arial"/>
          <w:i/>
          <w:sz w:val="16"/>
        </w:rPr>
        <w:t>(DEROGADA, P.O. 22 DE DICIEMBRE DE 2021)</w:t>
      </w:r>
    </w:p>
    <w:p w14:paraId="12910EBC" w14:textId="77777777" w:rsidR="00D3344B" w:rsidRDefault="00D3344B">
      <w:pPr>
        <w:pStyle w:val="Estilo"/>
        <w:ind w:left="567" w:hanging="567"/>
        <w:rPr>
          <w:rFonts w:cs="Arial"/>
        </w:rPr>
      </w:pPr>
    </w:p>
    <w:p w14:paraId="61EEFFBD" w14:textId="77777777" w:rsidR="00D3344B" w:rsidRDefault="00D3344B">
      <w:pPr>
        <w:pStyle w:val="Estilo"/>
        <w:rPr>
          <w:rFonts w:cs="Arial"/>
        </w:rPr>
      </w:pPr>
    </w:p>
    <w:p w14:paraId="28D5CD67" w14:textId="77777777" w:rsidR="00D3344B" w:rsidRDefault="00143C25">
      <w:pPr>
        <w:pStyle w:val="Estilo"/>
        <w:rPr>
          <w:rFonts w:cs="Arial"/>
        </w:rPr>
      </w:pPr>
      <w:r>
        <w:rPr>
          <w:rFonts w:cs="Arial"/>
          <w:b/>
        </w:rPr>
        <w:t>Artículo 316.</w:t>
      </w:r>
      <w:r>
        <w:rPr>
          <w:rFonts w:cs="Arial"/>
        </w:rPr>
        <w:t xml:space="preserve"> La autoridad fiscal, al imponer las sanciones por infracciones a las disposiciones fiscales, emitirá resolución debidamente fundada y motivada, en la cual deberá considerar:</w:t>
      </w:r>
    </w:p>
    <w:p w14:paraId="2D35B6CB" w14:textId="77777777" w:rsidR="00D3344B" w:rsidRDefault="00D3344B">
      <w:pPr>
        <w:pStyle w:val="Estilo"/>
        <w:rPr>
          <w:rFonts w:cs="Arial"/>
        </w:rPr>
      </w:pPr>
    </w:p>
    <w:p w14:paraId="00B26370" w14:textId="77777777" w:rsidR="00D3344B" w:rsidRDefault="00143C25">
      <w:pPr>
        <w:pStyle w:val="Estilo"/>
        <w:ind w:left="567" w:hanging="567"/>
        <w:rPr>
          <w:rFonts w:cs="Arial"/>
        </w:rPr>
      </w:pPr>
      <w:r>
        <w:rPr>
          <w:rFonts w:cs="Arial"/>
        </w:rPr>
        <w:t xml:space="preserve">I. </w:t>
      </w:r>
      <w:r>
        <w:rPr>
          <w:rFonts w:cs="Arial"/>
        </w:rPr>
        <w:tab/>
        <w:t>Si la comisión de la infracción se realizó de manera intencional;</w:t>
      </w:r>
    </w:p>
    <w:p w14:paraId="569D836C" w14:textId="77777777" w:rsidR="00D3344B" w:rsidRDefault="00D3344B">
      <w:pPr>
        <w:pStyle w:val="Estilo"/>
        <w:ind w:left="567" w:hanging="567"/>
        <w:rPr>
          <w:rFonts w:cs="Arial"/>
        </w:rPr>
      </w:pPr>
    </w:p>
    <w:p w14:paraId="73C7A7DD" w14:textId="77777777" w:rsidR="00D3344B" w:rsidRDefault="00143C25">
      <w:pPr>
        <w:pStyle w:val="Estilo"/>
        <w:ind w:left="567" w:hanging="567"/>
        <w:rPr>
          <w:rFonts w:cs="Arial"/>
        </w:rPr>
      </w:pPr>
      <w:r>
        <w:rPr>
          <w:rFonts w:cs="Arial"/>
        </w:rPr>
        <w:t xml:space="preserve">II. </w:t>
      </w:r>
      <w:r>
        <w:rPr>
          <w:rFonts w:cs="Arial"/>
        </w:rPr>
        <w:tab/>
        <w:t>La gravedad de la infracción;</w:t>
      </w:r>
    </w:p>
    <w:p w14:paraId="4D7FC896" w14:textId="77777777" w:rsidR="00D3344B" w:rsidRDefault="00D3344B">
      <w:pPr>
        <w:pStyle w:val="Estilo"/>
        <w:ind w:left="567" w:hanging="567"/>
        <w:rPr>
          <w:rFonts w:cs="Arial"/>
        </w:rPr>
      </w:pPr>
    </w:p>
    <w:p w14:paraId="3A3F13B6" w14:textId="77777777" w:rsidR="00D3344B" w:rsidRDefault="00143C25">
      <w:pPr>
        <w:pStyle w:val="Estilo"/>
        <w:ind w:left="567" w:hanging="567"/>
        <w:rPr>
          <w:rFonts w:cs="Arial"/>
        </w:rPr>
      </w:pPr>
      <w:r>
        <w:rPr>
          <w:rFonts w:cs="Arial"/>
        </w:rPr>
        <w:t xml:space="preserve">III. </w:t>
      </w:r>
      <w:r>
        <w:rPr>
          <w:rFonts w:cs="Arial"/>
        </w:rPr>
        <w:tab/>
        <w:t>La condición socioeconómica del infractor, y</w:t>
      </w:r>
    </w:p>
    <w:p w14:paraId="20E3F234" w14:textId="77777777" w:rsidR="00D3344B" w:rsidRDefault="00D3344B">
      <w:pPr>
        <w:pStyle w:val="Estilo"/>
        <w:ind w:left="567" w:hanging="567"/>
        <w:rPr>
          <w:rFonts w:cs="Arial"/>
        </w:rPr>
      </w:pPr>
    </w:p>
    <w:p w14:paraId="63CF7A7F" w14:textId="77777777" w:rsidR="00D3344B" w:rsidRDefault="00143C25">
      <w:pPr>
        <w:pStyle w:val="Estilo"/>
        <w:ind w:left="567" w:hanging="567"/>
        <w:rPr>
          <w:rFonts w:cs="Arial"/>
        </w:rPr>
      </w:pPr>
      <w:r>
        <w:rPr>
          <w:rFonts w:cs="Arial"/>
        </w:rPr>
        <w:t xml:space="preserve">IV. </w:t>
      </w:r>
      <w:r>
        <w:rPr>
          <w:rFonts w:cs="Arial"/>
        </w:rPr>
        <w:tab/>
        <w:t>La reincidencia.</w:t>
      </w:r>
    </w:p>
    <w:p w14:paraId="299B5086" w14:textId="77777777" w:rsidR="00D3344B" w:rsidRDefault="00D3344B">
      <w:pPr>
        <w:pStyle w:val="Estilo"/>
        <w:rPr>
          <w:rFonts w:cs="Arial"/>
        </w:rPr>
      </w:pPr>
    </w:p>
    <w:p w14:paraId="466CFE38" w14:textId="77777777" w:rsidR="00D3344B" w:rsidRDefault="00143C25">
      <w:pPr>
        <w:pStyle w:val="Estilo"/>
        <w:rPr>
          <w:rFonts w:cs="Arial"/>
        </w:rPr>
      </w:pPr>
      <w:r>
        <w:rPr>
          <w:rFonts w:cs="Arial"/>
          <w:b/>
        </w:rPr>
        <w:t>Artículo 317.</w:t>
      </w:r>
      <w:r>
        <w:rPr>
          <w:rFonts w:cs="Arial"/>
        </w:rPr>
        <w:t xml:space="preserve"> Para efectos del artículo anterior, se considerará como agravantes, las siguientes:</w:t>
      </w:r>
    </w:p>
    <w:p w14:paraId="5E618681" w14:textId="77777777" w:rsidR="00D3344B" w:rsidRDefault="00D3344B">
      <w:pPr>
        <w:pStyle w:val="Estilo"/>
        <w:rPr>
          <w:rFonts w:cs="Arial"/>
        </w:rPr>
      </w:pPr>
    </w:p>
    <w:p w14:paraId="5E71ECBC" w14:textId="77777777" w:rsidR="00D3344B" w:rsidRDefault="00143C25">
      <w:pPr>
        <w:pStyle w:val="Estilo"/>
        <w:ind w:left="567" w:hanging="567"/>
        <w:rPr>
          <w:rFonts w:cs="Arial"/>
        </w:rPr>
      </w:pPr>
      <w:r>
        <w:rPr>
          <w:rFonts w:cs="Arial"/>
        </w:rPr>
        <w:t xml:space="preserve">I. </w:t>
      </w:r>
      <w:r>
        <w:rPr>
          <w:rFonts w:cs="Arial"/>
        </w:rPr>
        <w:tab/>
        <w:t>El hecho de que el infractor sea reincidente. Se da la reincidencia cuando:</w:t>
      </w:r>
    </w:p>
    <w:p w14:paraId="5393DB63" w14:textId="77777777" w:rsidR="00D3344B" w:rsidRDefault="00D3344B">
      <w:pPr>
        <w:pStyle w:val="Estilo"/>
        <w:ind w:left="567" w:hanging="567"/>
        <w:rPr>
          <w:rFonts w:cs="Arial"/>
        </w:rPr>
      </w:pPr>
    </w:p>
    <w:p w14:paraId="6A543ECD" w14:textId="77777777" w:rsidR="00D3344B" w:rsidRDefault="00143C25">
      <w:pPr>
        <w:pStyle w:val="Estilo"/>
        <w:ind w:left="1134" w:hanging="567"/>
        <w:rPr>
          <w:rFonts w:cs="Arial"/>
        </w:rPr>
      </w:pPr>
      <w:r>
        <w:rPr>
          <w:rFonts w:cs="Arial"/>
        </w:rPr>
        <w:t xml:space="preserve">a) </w:t>
      </w:r>
      <w:r>
        <w:rPr>
          <w:rFonts w:cs="Arial"/>
        </w:rPr>
        <w:tab/>
        <w:t xml:space="preserve">Tratándose de infracciones que tengan como consecuencia la omisión en el pago de contribuciones, la segunda o posteriores veces que se </w:t>
      </w:r>
      <w:r>
        <w:rPr>
          <w:rFonts w:cs="Arial"/>
        </w:rPr>
        <w:lastRenderedPageBreak/>
        <w:t>sancione al infractor por la comisión de una infracción que tenga esa consecuencia, y</w:t>
      </w:r>
    </w:p>
    <w:p w14:paraId="3CFA3682" w14:textId="77777777" w:rsidR="00D3344B" w:rsidRDefault="00D3344B">
      <w:pPr>
        <w:pStyle w:val="Estilo"/>
        <w:ind w:left="1134" w:hanging="567"/>
        <w:rPr>
          <w:rFonts w:cs="Arial"/>
        </w:rPr>
      </w:pPr>
    </w:p>
    <w:p w14:paraId="6609F29D" w14:textId="77777777" w:rsidR="00D3344B" w:rsidRDefault="00143C25">
      <w:pPr>
        <w:pStyle w:val="Estilo"/>
        <w:ind w:left="1134" w:hanging="567"/>
        <w:rPr>
          <w:rFonts w:cs="Arial"/>
        </w:rPr>
      </w:pPr>
      <w:r>
        <w:rPr>
          <w:rFonts w:cs="Arial"/>
        </w:rPr>
        <w:t xml:space="preserve">b) </w:t>
      </w:r>
      <w:r>
        <w:rPr>
          <w:rFonts w:cs="Arial"/>
        </w:rPr>
        <w:tab/>
        <w:t>Tratándose de infracciones que no impliquen la omisión en el pago de contribuciones, la segunda o posteriores veces que se sancione al infractor por la comisión de una infracción establecida en este código.</w:t>
      </w:r>
    </w:p>
    <w:p w14:paraId="26AD65A0" w14:textId="77777777" w:rsidR="00D3344B" w:rsidRDefault="00D3344B">
      <w:pPr>
        <w:pStyle w:val="Estilo"/>
        <w:ind w:left="567" w:hanging="567"/>
        <w:rPr>
          <w:rFonts w:cs="Arial"/>
        </w:rPr>
      </w:pPr>
    </w:p>
    <w:p w14:paraId="652076E0" w14:textId="77777777" w:rsidR="00D3344B" w:rsidRDefault="00143C25">
      <w:pPr>
        <w:pStyle w:val="Estilo"/>
        <w:ind w:left="567" w:hanging="567"/>
        <w:rPr>
          <w:rFonts w:cs="Arial"/>
        </w:rPr>
      </w:pPr>
      <w:r>
        <w:rPr>
          <w:rFonts w:cs="Arial"/>
        </w:rPr>
        <w:t xml:space="preserve">II. </w:t>
      </w:r>
      <w:r>
        <w:rPr>
          <w:rFonts w:cs="Arial"/>
        </w:rPr>
        <w:tab/>
        <w:t>También será agravante en la comisión de una infracción, cuando se dé cualquiera de los supuestos siguientes:</w:t>
      </w:r>
    </w:p>
    <w:p w14:paraId="297D61B8" w14:textId="77777777" w:rsidR="00D3344B" w:rsidRDefault="00D3344B">
      <w:pPr>
        <w:pStyle w:val="Estilo"/>
        <w:ind w:left="567" w:hanging="567"/>
        <w:rPr>
          <w:rFonts w:cs="Arial"/>
        </w:rPr>
      </w:pPr>
    </w:p>
    <w:p w14:paraId="4A1A8A5D" w14:textId="77777777" w:rsidR="00D3344B" w:rsidRDefault="00143C25">
      <w:pPr>
        <w:pStyle w:val="Estilo"/>
        <w:ind w:left="1134" w:hanging="567"/>
        <w:rPr>
          <w:rFonts w:cs="Arial"/>
        </w:rPr>
      </w:pPr>
      <w:r>
        <w:rPr>
          <w:rFonts w:cs="Arial"/>
        </w:rPr>
        <w:t xml:space="preserve">a) </w:t>
      </w:r>
      <w:r>
        <w:rPr>
          <w:rFonts w:cs="Arial"/>
        </w:rPr>
        <w:tab/>
        <w:t>Que se haga uso de documentos falsos, o en los que se hagan constar operaciones inexistentes;</w:t>
      </w:r>
    </w:p>
    <w:p w14:paraId="773AE64D" w14:textId="77777777" w:rsidR="00D3344B" w:rsidRDefault="00D3344B">
      <w:pPr>
        <w:pStyle w:val="Estilo"/>
        <w:ind w:left="1134" w:hanging="567"/>
        <w:rPr>
          <w:rFonts w:cs="Arial"/>
        </w:rPr>
      </w:pPr>
    </w:p>
    <w:p w14:paraId="29A213FB" w14:textId="77777777" w:rsidR="00D3344B" w:rsidRDefault="00143C25">
      <w:pPr>
        <w:pStyle w:val="Estilo"/>
        <w:ind w:left="1134" w:hanging="567"/>
        <w:rPr>
          <w:rFonts w:cs="Arial"/>
        </w:rPr>
      </w:pPr>
      <w:r>
        <w:rPr>
          <w:rFonts w:cs="Arial"/>
        </w:rPr>
        <w:t xml:space="preserve">b) </w:t>
      </w:r>
      <w:r>
        <w:rPr>
          <w:rFonts w:cs="Arial"/>
        </w:rPr>
        <w:tab/>
        <w:t>Que se utilicen, sin derecho a ello, documentos expedidos a nombre de un tercero para deducir su importe al calcular las contribuciones;</w:t>
      </w:r>
    </w:p>
    <w:p w14:paraId="49E54F56" w14:textId="77777777" w:rsidR="00D3344B" w:rsidRDefault="00D3344B">
      <w:pPr>
        <w:pStyle w:val="Estilo"/>
        <w:ind w:left="1134" w:hanging="567"/>
        <w:rPr>
          <w:rFonts w:cs="Arial"/>
        </w:rPr>
      </w:pPr>
    </w:p>
    <w:p w14:paraId="7D217732" w14:textId="77777777" w:rsidR="00D3344B" w:rsidRDefault="00143C25">
      <w:pPr>
        <w:pStyle w:val="Estilo"/>
        <w:ind w:left="1134" w:hanging="567"/>
        <w:rPr>
          <w:rFonts w:cs="Arial"/>
        </w:rPr>
      </w:pPr>
      <w:r>
        <w:rPr>
          <w:rFonts w:cs="Arial"/>
        </w:rPr>
        <w:t xml:space="preserve">c) </w:t>
      </w:r>
      <w:r>
        <w:rPr>
          <w:rFonts w:cs="Arial"/>
        </w:rPr>
        <w:tab/>
        <w:t>Que se lleven dos o más sistemas de contabilidad con distinto contenido;</w:t>
      </w:r>
    </w:p>
    <w:p w14:paraId="07E6BB05" w14:textId="77777777" w:rsidR="00D3344B" w:rsidRDefault="00D3344B">
      <w:pPr>
        <w:pStyle w:val="Estilo"/>
        <w:ind w:left="1134" w:hanging="567"/>
        <w:rPr>
          <w:rFonts w:cs="Arial"/>
        </w:rPr>
      </w:pPr>
    </w:p>
    <w:p w14:paraId="39A15A0D" w14:textId="77777777" w:rsidR="00D3344B" w:rsidRDefault="00143C25">
      <w:pPr>
        <w:pStyle w:val="Estilo"/>
        <w:ind w:left="1134" w:hanging="567"/>
        <w:rPr>
          <w:rFonts w:cs="Arial"/>
        </w:rPr>
      </w:pPr>
      <w:r>
        <w:rPr>
          <w:rFonts w:cs="Arial"/>
        </w:rPr>
        <w:t xml:space="preserve">d) </w:t>
      </w:r>
      <w:r>
        <w:rPr>
          <w:rFonts w:cs="Arial"/>
        </w:rPr>
        <w:tab/>
        <w:t>Que se lleven dos o más libros sociales similares con distinto contenido, y</w:t>
      </w:r>
    </w:p>
    <w:p w14:paraId="7E087724" w14:textId="77777777" w:rsidR="00D3344B" w:rsidRDefault="00D3344B">
      <w:pPr>
        <w:pStyle w:val="Estilo"/>
        <w:ind w:left="1134" w:hanging="567"/>
        <w:rPr>
          <w:rFonts w:cs="Arial"/>
        </w:rPr>
      </w:pPr>
    </w:p>
    <w:p w14:paraId="25CF98CA" w14:textId="77777777" w:rsidR="00D3344B" w:rsidRDefault="00143C25">
      <w:pPr>
        <w:pStyle w:val="Estilo"/>
        <w:ind w:left="1134" w:hanging="567"/>
        <w:rPr>
          <w:rFonts w:cs="Arial"/>
        </w:rPr>
      </w:pPr>
      <w:r>
        <w:rPr>
          <w:rFonts w:cs="Arial"/>
        </w:rPr>
        <w:t xml:space="preserve">e) </w:t>
      </w:r>
      <w:r>
        <w:rPr>
          <w:rFonts w:cs="Arial"/>
        </w:rPr>
        <w:tab/>
        <w:t>Que se destruya, ordene o permita la destrucción total o parcial de la contabilidad.</w:t>
      </w:r>
    </w:p>
    <w:p w14:paraId="282548D6" w14:textId="77777777" w:rsidR="00D3344B" w:rsidRDefault="00D3344B">
      <w:pPr>
        <w:pStyle w:val="Estilo"/>
        <w:ind w:left="567" w:hanging="567"/>
        <w:rPr>
          <w:rFonts w:cs="Arial"/>
        </w:rPr>
      </w:pPr>
    </w:p>
    <w:p w14:paraId="39681036" w14:textId="77777777" w:rsidR="00D3344B" w:rsidRDefault="00143C25">
      <w:pPr>
        <w:pStyle w:val="Estilo"/>
        <w:ind w:left="567" w:hanging="567"/>
        <w:rPr>
          <w:rFonts w:cs="Arial"/>
        </w:rPr>
      </w:pPr>
      <w:r>
        <w:rPr>
          <w:rFonts w:cs="Arial"/>
        </w:rPr>
        <w:t xml:space="preserve">III. </w:t>
      </w:r>
      <w:r>
        <w:rPr>
          <w:rFonts w:cs="Arial"/>
        </w:rPr>
        <w:tab/>
        <w:t>Igualmente es agravante, el que la comisión de la infracción sea en forma continuada, y</w:t>
      </w:r>
    </w:p>
    <w:p w14:paraId="6842B29E" w14:textId="77777777" w:rsidR="00D3344B" w:rsidRDefault="00D3344B">
      <w:pPr>
        <w:pStyle w:val="Estilo"/>
        <w:ind w:left="567" w:hanging="567"/>
        <w:rPr>
          <w:rFonts w:cs="Arial"/>
        </w:rPr>
      </w:pPr>
    </w:p>
    <w:p w14:paraId="61CB50C8" w14:textId="77777777" w:rsidR="00D3344B" w:rsidRDefault="00143C25">
      <w:pPr>
        <w:pStyle w:val="Estilo"/>
        <w:ind w:left="567" w:hanging="567"/>
        <w:rPr>
          <w:rFonts w:cs="Arial"/>
        </w:rPr>
      </w:pPr>
      <w:r>
        <w:rPr>
          <w:rFonts w:cs="Arial"/>
        </w:rPr>
        <w:t xml:space="preserve">IV. </w:t>
      </w:r>
      <w:r>
        <w:rPr>
          <w:rFonts w:cs="Arial"/>
        </w:rPr>
        <w:tab/>
        <w:t>Cuando por un solo acto u omisión se infrinjan diversas disposiciones fiscales.</w:t>
      </w:r>
    </w:p>
    <w:p w14:paraId="4FE6EC63" w14:textId="77777777" w:rsidR="00D3344B" w:rsidRDefault="00D3344B">
      <w:pPr>
        <w:pStyle w:val="Estilo"/>
        <w:rPr>
          <w:rFonts w:cs="Arial"/>
        </w:rPr>
      </w:pPr>
    </w:p>
    <w:p w14:paraId="690762BC" w14:textId="77777777" w:rsidR="00D3344B" w:rsidRDefault="00143C25">
      <w:pPr>
        <w:pStyle w:val="Estilo"/>
        <w:rPr>
          <w:rFonts w:cs="Arial"/>
        </w:rPr>
      </w:pPr>
      <w:r>
        <w:rPr>
          <w:rFonts w:cs="Arial"/>
          <w:b/>
        </w:rPr>
        <w:t>Artículo 318.</w:t>
      </w:r>
      <w:r>
        <w:rPr>
          <w:rFonts w:cs="Arial"/>
        </w:rPr>
        <w:t xml:space="preserve"> Cuando la comisión de una o varias infracciones origine la omisión total o parcial en el pago de contribuciones, y dicha omisión haya sido corregida por el contribuyente después de que las autoridades fiscales hubieran notificado una orden de visita domiciliaria, haya mediado requerimiento o cualquier otra gestión notificada por las mismas, tendientes a la comprobación del cumplimiento de las disposiciones fiscales, se aplicarán las siguientes multas:</w:t>
      </w:r>
    </w:p>
    <w:p w14:paraId="5B63BF28" w14:textId="77777777" w:rsidR="00D3344B" w:rsidRDefault="00D3344B">
      <w:pPr>
        <w:pStyle w:val="Estilo"/>
        <w:rPr>
          <w:rFonts w:cs="Arial"/>
        </w:rPr>
      </w:pPr>
    </w:p>
    <w:p w14:paraId="1CA93AD9" w14:textId="77777777" w:rsidR="00D3344B" w:rsidRDefault="00143C25">
      <w:pPr>
        <w:pStyle w:val="Estilo"/>
        <w:ind w:left="567" w:hanging="567"/>
        <w:rPr>
          <w:rFonts w:cs="Arial"/>
        </w:rPr>
      </w:pPr>
      <w:r>
        <w:rPr>
          <w:rFonts w:cs="Arial"/>
        </w:rPr>
        <w:t xml:space="preserve">I. </w:t>
      </w:r>
      <w:r>
        <w:rPr>
          <w:rFonts w:cs="Arial"/>
        </w:rPr>
        <w:tab/>
        <w:t>El 50 por ciento de las contribuciones omitidas, actualizadas, cuando el infractor las pague junto con sus accesorios antes de la notificación de la resolución que determine el monto de la contribución que omitió, y</w:t>
      </w:r>
    </w:p>
    <w:p w14:paraId="23435E17" w14:textId="77777777" w:rsidR="00D3344B" w:rsidRDefault="00D3344B">
      <w:pPr>
        <w:pStyle w:val="Estilo"/>
        <w:ind w:left="567" w:hanging="567"/>
        <w:rPr>
          <w:rFonts w:cs="Arial"/>
        </w:rPr>
      </w:pPr>
    </w:p>
    <w:p w14:paraId="6A7D683A" w14:textId="77777777" w:rsidR="00D3344B" w:rsidRDefault="00143C25">
      <w:pPr>
        <w:pStyle w:val="Estilo"/>
        <w:ind w:left="567" w:hanging="567"/>
        <w:rPr>
          <w:rFonts w:cs="Arial"/>
        </w:rPr>
      </w:pPr>
      <w:r>
        <w:rPr>
          <w:rFonts w:cs="Arial"/>
        </w:rPr>
        <w:t xml:space="preserve">II. </w:t>
      </w:r>
      <w:r>
        <w:rPr>
          <w:rFonts w:cs="Arial"/>
        </w:rPr>
        <w:tab/>
        <w:t>Del 70 al 100 por ciento de las contribuciones omitidas actualizadas en los demás casos;</w:t>
      </w:r>
    </w:p>
    <w:p w14:paraId="68146B09" w14:textId="77777777" w:rsidR="00D3344B" w:rsidRDefault="00D3344B">
      <w:pPr>
        <w:pStyle w:val="Estilo"/>
        <w:rPr>
          <w:rFonts w:cs="Arial"/>
        </w:rPr>
      </w:pPr>
    </w:p>
    <w:p w14:paraId="725B1CAC" w14:textId="77777777" w:rsidR="00D3344B" w:rsidRDefault="00143C25">
      <w:pPr>
        <w:pStyle w:val="Estilo"/>
        <w:rPr>
          <w:rFonts w:cs="Arial"/>
        </w:rPr>
      </w:pPr>
      <w:r>
        <w:rPr>
          <w:rFonts w:cs="Arial"/>
          <w:i/>
          <w:sz w:val="16"/>
        </w:rPr>
        <w:t>N. DE E. EN RELACIÓN CON LA ENTRADA EN VIGOR DE LA PRESENTE FRACCIÓN, VÉASE TRANSITORIO ÚNICO DEL DECRETO QUE MODIFICA EL CÓDIGO.</w:t>
      </w:r>
    </w:p>
    <w:p w14:paraId="2C67DB9C" w14:textId="77777777" w:rsidR="00D3344B" w:rsidRDefault="00143C25">
      <w:pPr>
        <w:pStyle w:val="Estilo"/>
        <w:rPr>
          <w:rFonts w:cs="Arial"/>
        </w:rPr>
      </w:pPr>
      <w:r>
        <w:rPr>
          <w:rFonts w:cs="Arial"/>
          <w:i/>
          <w:sz w:val="16"/>
        </w:rPr>
        <w:t>(ADICIONADA, P.O. 7 DE DICIEMBRE DE 2009)</w:t>
      </w:r>
    </w:p>
    <w:p w14:paraId="2760C385" w14:textId="77777777" w:rsidR="00D3344B" w:rsidRDefault="00143C25">
      <w:pPr>
        <w:pStyle w:val="Estilo"/>
        <w:ind w:left="567" w:hanging="567"/>
        <w:rPr>
          <w:rFonts w:cs="Arial"/>
        </w:rPr>
      </w:pPr>
      <w:r>
        <w:rPr>
          <w:rFonts w:cs="Arial"/>
        </w:rPr>
        <w:lastRenderedPageBreak/>
        <w:t xml:space="preserve">III. </w:t>
      </w:r>
      <w:r>
        <w:rPr>
          <w:rFonts w:cs="Arial"/>
        </w:rPr>
        <w:tab/>
        <w:t>Los contribuyentes que corrijan en forma total y satisfactoria su situación fiscal, después de iniciadas las facultades de comprobación y antes de que se emita la resolución que determine el crédito fiscal, tendrán derecho a una reducción del 30 % sobre las multas impuestas por infracciones establecidas en el artículo 320 de este código.</w:t>
      </w:r>
    </w:p>
    <w:p w14:paraId="4639829C" w14:textId="77777777" w:rsidR="00D3344B" w:rsidRDefault="00D3344B">
      <w:pPr>
        <w:pStyle w:val="Estilo"/>
        <w:ind w:left="567" w:hanging="567"/>
        <w:rPr>
          <w:rFonts w:cs="Arial"/>
        </w:rPr>
      </w:pPr>
    </w:p>
    <w:p w14:paraId="2754647A" w14:textId="77777777" w:rsidR="00D3344B" w:rsidRDefault="00143C25">
      <w:pPr>
        <w:pStyle w:val="Estilo"/>
        <w:ind w:left="567" w:hanging="567"/>
        <w:rPr>
          <w:rFonts w:cs="Arial"/>
          <w:i/>
          <w:iCs/>
          <w:sz w:val="16"/>
          <w:szCs w:val="16"/>
        </w:rPr>
      </w:pPr>
      <w:r>
        <w:rPr>
          <w:rFonts w:cs="Arial"/>
          <w:i/>
          <w:iCs/>
          <w:sz w:val="16"/>
          <w:szCs w:val="16"/>
        </w:rPr>
        <w:t>(ADICIONADA, P.O. 22 DE DICIEMBRE DE 2021)</w:t>
      </w:r>
    </w:p>
    <w:p w14:paraId="6B9F72EF" w14:textId="77777777" w:rsidR="00D3344B" w:rsidRDefault="00143C25">
      <w:pPr>
        <w:pStyle w:val="Estilo"/>
        <w:ind w:left="567" w:hanging="567"/>
        <w:rPr>
          <w:rFonts w:cs="Arial"/>
        </w:rPr>
      </w:pPr>
      <w:r>
        <w:rPr>
          <w:rFonts w:cs="Arial"/>
        </w:rPr>
        <w:t xml:space="preserve">IV. </w:t>
      </w:r>
      <w:r>
        <w:rPr>
          <w:rFonts w:cs="Arial"/>
        </w:rPr>
        <w:tab/>
        <w:t>Los contribuyentes que corrijan en forma total y satisfactoria su situación fiscal, después de iniciadas las facultades de comprobación y hasta antes de que se emita la resolución que determine el crédito fiscal, tendrán derecho a una reducción del 40%, sobre la multa impuesta por la omisión en el pago de contribuciones, establecida en la fracción I de este artículo.</w:t>
      </w:r>
    </w:p>
    <w:p w14:paraId="5F093A20" w14:textId="77777777" w:rsidR="00D3344B" w:rsidRDefault="00D3344B">
      <w:pPr>
        <w:pStyle w:val="Estilo"/>
        <w:rPr>
          <w:rFonts w:cs="Arial"/>
        </w:rPr>
      </w:pPr>
    </w:p>
    <w:p w14:paraId="0007CED9" w14:textId="77777777" w:rsidR="00D3344B" w:rsidRDefault="00143C25">
      <w:pPr>
        <w:pStyle w:val="Estilo"/>
        <w:rPr>
          <w:rFonts w:cs="Arial"/>
        </w:rPr>
      </w:pPr>
      <w:r>
        <w:rPr>
          <w:rFonts w:cs="Arial"/>
        </w:rPr>
        <w:t>Si las autoridades fiscales determinan contribuciones omitidas mayores que las consideradas por el contribuyente para calcular la multa en los términos de la fracción I de este artículo, aplicarán el por ciento que corresponda en los términos de la fracción II sobre el remanente no pagado de las contribuciones.</w:t>
      </w:r>
    </w:p>
    <w:p w14:paraId="4696F98D" w14:textId="77777777" w:rsidR="00D3344B" w:rsidRDefault="00D3344B">
      <w:pPr>
        <w:pStyle w:val="Estilo"/>
        <w:rPr>
          <w:rFonts w:cs="Arial"/>
        </w:rPr>
      </w:pPr>
    </w:p>
    <w:p w14:paraId="28F08233" w14:textId="77777777" w:rsidR="00D3344B" w:rsidRDefault="00143C25">
      <w:pPr>
        <w:pStyle w:val="Estilo"/>
        <w:rPr>
          <w:rFonts w:cs="Arial"/>
        </w:rPr>
      </w:pPr>
      <w:r>
        <w:rPr>
          <w:rFonts w:cs="Arial"/>
        </w:rPr>
        <w:t>El pago de las multas en los términos de la fracción I de este artículo se podrán efectuar por el infractor, sin necesidad de que las autoridades fiscales dicten resolución al respecto, utilizando para ello las formas fiscales aprobadas por dichas autoridades.</w:t>
      </w:r>
    </w:p>
    <w:p w14:paraId="2DBF95D3" w14:textId="77777777" w:rsidR="00D3344B" w:rsidRDefault="00D3344B">
      <w:pPr>
        <w:pStyle w:val="Estilo"/>
        <w:rPr>
          <w:rFonts w:cs="Arial"/>
        </w:rPr>
      </w:pPr>
    </w:p>
    <w:p w14:paraId="29E39B71" w14:textId="77777777" w:rsidR="00D3344B" w:rsidRDefault="00143C25">
      <w:pPr>
        <w:pStyle w:val="Estilo"/>
        <w:rPr>
          <w:rFonts w:cs="Arial"/>
        </w:rPr>
      </w:pPr>
      <w:r>
        <w:rPr>
          <w:rFonts w:cs="Arial"/>
        </w:rPr>
        <w:t>También se aplicarán las multas a que se refiere este artículo, cuando las infracciones consistan en devoluciones o compensaciones indebidas o en cantidad mayor de la que corresponda. En estos casos las multas se calcularán sobre el monto del beneficio indebido.</w:t>
      </w:r>
    </w:p>
    <w:p w14:paraId="1BCF0516" w14:textId="77777777" w:rsidR="00D3344B" w:rsidRDefault="00D3344B">
      <w:pPr>
        <w:pStyle w:val="Estilo"/>
        <w:rPr>
          <w:rFonts w:cs="Arial"/>
        </w:rPr>
      </w:pPr>
    </w:p>
    <w:p w14:paraId="7002D7F5" w14:textId="77777777" w:rsidR="00D3344B" w:rsidRDefault="00143C25">
      <w:pPr>
        <w:pStyle w:val="Estilo"/>
        <w:rPr>
          <w:rFonts w:cs="Arial"/>
        </w:rPr>
      </w:pPr>
      <w:r>
        <w:rPr>
          <w:rFonts w:cs="Arial"/>
          <w:b/>
        </w:rPr>
        <w:t>Artículo 319.</w:t>
      </w:r>
      <w:r>
        <w:rPr>
          <w:rFonts w:cs="Arial"/>
        </w:rPr>
        <w:t xml:space="preserve"> No se impondrá sanción alguna cuando el infractor demuestre o la autoridad aprecie que se incurrió en la infracción a causa de fuerza mayor o caso fortuito o debido a la extrema ignorancia o notoria pobreza del infractor.</w:t>
      </w:r>
    </w:p>
    <w:p w14:paraId="3823D055" w14:textId="77777777" w:rsidR="00D3344B" w:rsidRDefault="00D3344B">
      <w:pPr>
        <w:pStyle w:val="Estilo"/>
        <w:rPr>
          <w:rFonts w:cs="Arial"/>
        </w:rPr>
      </w:pPr>
    </w:p>
    <w:p w14:paraId="50FC304F" w14:textId="77777777" w:rsidR="00D3344B" w:rsidRDefault="00143C25">
      <w:pPr>
        <w:pStyle w:val="Estilo"/>
        <w:jc w:val="center"/>
        <w:rPr>
          <w:rFonts w:cs="Arial"/>
          <w:b/>
        </w:rPr>
      </w:pPr>
      <w:r>
        <w:rPr>
          <w:rFonts w:cs="Arial"/>
          <w:b/>
        </w:rPr>
        <w:t>Capítulo II</w:t>
      </w:r>
    </w:p>
    <w:p w14:paraId="75D621F5" w14:textId="77777777" w:rsidR="00D3344B" w:rsidRDefault="00143C25">
      <w:pPr>
        <w:pStyle w:val="Estilo"/>
        <w:jc w:val="center"/>
        <w:rPr>
          <w:rFonts w:cs="Arial"/>
          <w:b/>
        </w:rPr>
      </w:pPr>
      <w:r>
        <w:rPr>
          <w:rFonts w:cs="Arial"/>
          <w:b/>
        </w:rPr>
        <w:t>Infracciones y Sanciones</w:t>
      </w:r>
    </w:p>
    <w:p w14:paraId="32E1BD59" w14:textId="77777777" w:rsidR="00D3344B" w:rsidRDefault="00D3344B">
      <w:pPr>
        <w:pStyle w:val="Estilo"/>
        <w:rPr>
          <w:rFonts w:cs="Arial"/>
        </w:rPr>
      </w:pPr>
    </w:p>
    <w:p w14:paraId="1929D73A" w14:textId="77777777" w:rsidR="00D3344B" w:rsidRDefault="00143C25">
      <w:pPr>
        <w:pStyle w:val="Estilo"/>
        <w:rPr>
          <w:rFonts w:cs="Arial"/>
          <w:bCs/>
          <w:i/>
          <w:iCs/>
          <w:sz w:val="16"/>
          <w:szCs w:val="16"/>
        </w:rPr>
      </w:pPr>
      <w:r>
        <w:rPr>
          <w:rFonts w:cs="Arial"/>
          <w:bCs/>
          <w:i/>
          <w:iCs/>
          <w:sz w:val="16"/>
          <w:szCs w:val="16"/>
        </w:rPr>
        <w:t>(REFORMADO PRIMER PÁRRAFO, P.O. 22 DE DICIEMBRE DE 2021)</w:t>
      </w:r>
    </w:p>
    <w:p w14:paraId="75328204" w14:textId="77777777" w:rsidR="00D3344B" w:rsidRDefault="00143C25">
      <w:pPr>
        <w:pStyle w:val="Estilo"/>
        <w:rPr>
          <w:rFonts w:cs="Arial"/>
        </w:rPr>
      </w:pPr>
      <w:r>
        <w:rPr>
          <w:rFonts w:cs="Arial"/>
          <w:b/>
        </w:rPr>
        <w:t>Artículo 320.</w:t>
      </w:r>
      <w:r>
        <w:rPr>
          <w:rFonts w:cs="Arial"/>
        </w:rPr>
        <w:t xml:space="preserve"> Son infracciones relacionadas con la obligación de pago de las contribuciones, así como de la presentación de declaraciones, solicitudes, avisos y otros documentos señalados en el presente código, las que se describen a continuación, seguidas de la sanción correspondiente a cada una de ellas, expresada en multa equivalente a la UMA:</w:t>
      </w:r>
    </w:p>
    <w:p w14:paraId="2DB2CB44" w14:textId="77777777" w:rsidR="00D3344B" w:rsidRDefault="00D3344B">
      <w:pPr>
        <w:pStyle w:val="Estilo"/>
        <w:rPr>
          <w:rFonts w:cs="Arial"/>
        </w:rPr>
      </w:pPr>
    </w:p>
    <w:p w14:paraId="3F2CB443" w14:textId="77777777" w:rsidR="00D3344B" w:rsidRDefault="00143C25">
      <w:pPr>
        <w:pStyle w:val="Estilo"/>
        <w:ind w:left="567" w:hanging="567"/>
        <w:rPr>
          <w:rFonts w:cs="Arial"/>
        </w:rPr>
      </w:pPr>
      <w:r>
        <w:rPr>
          <w:rFonts w:cs="Arial"/>
        </w:rPr>
        <w:t xml:space="preserve">I. </w:t>
      </w:r>
      <w:r>
        <w:rPr>
          <w:rFonts w:cs="Arial"/>
        </w:rPr>
        <w:tab/>
        <w:t>No cumplir con las obligaciones que señala este código, respecto de:</w:t>
      </w:r>
    </w:p>
    <w:p w14:paraId="310C4FE6" w14:textId="77777777" w:rsidR="00D3344B" w:rsidRDefault="00D3344B">
      <w:pPr>
        <w:pStyle w:val="Estilo"/>
        <w:ind w:left="567" w:hanging="567"/>
        <w:rPr>
          <w:rFonts w:cs="Arial"/>
        </w:rPr>
      </w:pPr>
    </w:p>
    <w:p w14:paraId="4061F110" w14:textId="77777777" w:rsidR="00D3344B" w:rsidRDefault="00143C25">
      <w:pPr>
        <w:pStyle w:val="Estilo"/>
        <w:ind w:left="993" w:hanging="426"/>
        <w:rPr>
          <w:rFonts w:cs="Arial"/>
        </w:rPr>
      </w:pPr>
      <w:r>
        <w:rPr>
          <w:rFonts w:cs="Arial"/>
        </w:rPr>
        <w:t xml:space="preserve">a) </w:t>
      </w:r>
      <w:r>
        <w:rPr>
          <w:rFonts w:cs="Arial"/>
        </w:rPr>
        <w:tab/>
        <w:t>Solicitar su inscripción o cambio de situación fiscal en el registro estatal o municipal de contribuyentes, o fuera de los plazos señalados en este Código, multa de 10 a 30 UMA;</w:t>
      </w:r>
    </w:p>
    <w:p w14:paraId="0869C9BC" w14:textId="77777777" w:rsidR="00D3344B" w:rsidRDefault="00D3344B">
      <w:pPr>
        <w:pStyle w:val="Estilo"/>
        <w:ind w:left="993" w:hanging="426"/>
        <w:rPr>
          <w:rFonts w:cs="Arial"/>
        </w:rPr>
      </w:pPr>
    </w:p>
    <w:p w14:paraId="5D6CD962" w14:textId="77777777" w:rsidR="00D3344B" w:rsidRDefault="00143C25">
      <w:pPr>
        <w:pStyle w:val="Estilo"/>
        <w:ind w:left="993" w:hanging="426"/>
        <w:rPr>
          <w:rFonts w:cs="Arial"/>
        </w:rPr>
      </w:pPr>
      <w:r>
        <w:rPr>
          <w:rFonts w:cs="Arial"/>
        </w:rPr>
        <w:t xml:space="preserve">b) </w:t>
      </w:r>
      <w:r>
        <w:rPr>
          <w:rFonts w:cs="Arial"/>
        </w:rPr>
        <w:tab/>
        <w:t>Citar la clave del registro estatal o municipal de contribuyentes o utilizar alguna clave no asignada por la autoridad fiscal en las declaraciones, avisos, solicitudes y demás documentos que presenten ante las citadas autoridades, cuando se esté obligado conforme a este Código, multa de 3 a 10 UMA, e</w:t>
      </w:r>
    </w:p>
    <w:p w14:paraId="33DC6543" w14:textId="77777777" w:rsidR="00D3344B" w:rsidRDefault="00D3344B">
      <w:pPr>
        <w:pStyle w:val="Estilo"/>
        <w:ind w:left="993" w:hanging="426"/>
        <w:rPr>
          <w:rFonts w:cs="Arial"/>
        </w:rPr>
      </w:pPr>
    </w:p>
    <w:p w14:paraId="29257AF5" w14:textId="77777777" w:rsidR="00D3344B" w:rsidRDefault="00143C25">
      <w:pPr>
        <w:pStyle w:val="Estilo"/>
        <w:ind w:left="993" w:hanging="426"/>
        <w:rPr>
          <w:rFonts w:cs="Arial"/>
        </w:rPr>
      </w:pPr>
      <w:r>
        <w:rPr>
          <w:rFonts w:cs="Arial"/>
        </w:rPr>
        <w:t xml:space="preserve">c) </w:t>
      </w:r>
      <w:r>
        <w:rPr>
          <w:rFonts w:cs="Arial"/>
        </w:rPr>
        <w:tab/>
        <w:t>Señalar un domicilio fiscal distinto del que corresponda de conformidad con este Código, multa de 10 a 30 UMA.</w:t>
      </w:r>
    </w:p>
    <w:p w14:paraId="1DEAC4A6" w14:textId="77777777" w:rsidR="00D3344B" w:rsidRDefault="00D3344B">
      <w:pPr>
        <w:pStyle w:val="Estilo"/>
        <w:ind w:left="567" w:hanging="567"/>
        <w:rPr>
          <w:rFonts w:cs="Arial"/>
        </w:rPr>
      </w:pPr>
    </w:p>
    <w:p w14:paraId="5286DE42" w14:textId="77777777" w:rsidR="00D3344B" w:rsidRDefault="00143C25">
      <w:pPr>
        <w:pStyle w:val="Estilo"/>
        <w:ind w:left="567" w:hanging="567"/>
        <w:rPr>
          <w:rFonts w:cs="Arial"/>
        </w:rPr>
      </w:pPr>
      <w:r>
        <w:rPr>
          <w:rFonts w:cs="Arial"/>
        </w:rPr>
        <w:t xml:space="preserve">II. </w:t>
      </w:r>
      <w:r>
        <w:rPr>
          <w:rFonts w:cs="Arial"/>
        </w:rPr>
        <w:tab/>
        <w:t>Obtener o usar más de un número de registro para el cumplimiento de sus obligaciones, multa de 10 a 50 UMA;</w:t>
      </w:r>
    </w:p>
    <w:p w14:paraId="1B096E88" w14:textId="77777777" w:rsidR="00D3344B" w:rsidRDefault="00D3344B">
      <w:pPr>
        <w:pStyle w:val="Estilo"/>
        <w:ind w:left="567" w:hanging="567"/>
        <w:rPr>
          <w:rFonts w:cs="Arial"/>
        </w:rPr>
      </w:pPr>
    </w:p>
    <w:p w14:paraId="53E2281A" w14:textId="77777777" w:rsidR="00D3344B" w:rsidRDefault="00143C25">
      <w:pPr>
        <w:pStyle w:val="Estilo"/>
        <w:ind w:left="567" w:hanging="567"/>
        <w:rPr>
          <w:rFonts w:cs="Arial"/>
        </w:rPr>
      </w:pPr>
      <w:r>
        <w:rPr>
          <w:rFonts w:cs="Arial"/>
        </w:rPr>
        <w:t xml:space="preserve">III. </w:t>
      </w:r>
      <w:r>
        <w:rPr>
          <w:rFonts w:cs="Arial"/>
        </w:rPr>
        <w:tab/>
        <w:t>Utilizar interpósita persona para manifestar negociaciones propias o para percibir ingresos gravables, dejando de pagar total o parcialmente los impuestos correspondientes, multa de 10 a 50 UMA;</w:t>
      </w:r>
    </w:p>
    <w:p w14:paraId="26295F57" w14:textId="77777777" w:rsidR="00D3344B" w:rsidRDefault="00D3344B">
      <w:pPr>
        <w:pStyle w:val="Estilo"/>
        <w:ind w:left="567" w:hanging="567"/>
        <w:rPr>
          <w:rFonts w:cs="Arial"/>
        </w:rPr>
      </w:pPr>
    </w:p>
    <w:p w14:paraId="1C3B43AE" w14:textId="77777777" w:rsidR="00D3344B" w:rsidRDefault="00143C25">
      <w:pPr>
        <w:pStyle w:val="Estilo"/>
        <w:ind w:left="567" w:hanging="567"/>
        <w:rPr>
          <w:rFonts w:cs="Arial"/>
        </w:rPr>
      </w:pPr>
      <w:r>
        <w:rPr>
          <w:rFonts w:cs="Arial"/>
        </w:rPr>
        <w:t xml:space="preserve">IV. </w:t>
      </w:r>
      <w:r>
        <w:rPr>
          <w:rFonts w:cs="Arial"/>
        </w:rPr>
        <w:tab/>
        <w:t>Llevar doble juego de libros, no llevar los registros contables que establezcan las disposiciones fiscales o llevarlos en forma distinta a la señalada en este código, no hacer los asientos correspondientes o no hacerlos en forma completa o hacerlos en forma extemporánea, multa de 12 a 52 UMA;</w:t>
      </w:r>
    </w:p>
    <w:p w14:paraId="28A03118" w14:textId="77777777" w:rsidR="00D3344B" w:rsidRDefault="00D3344B">
      <w:pPr>
        <w:pStyle w:val="Estilo"/>
        <w:ind w:left="567" w:hanging="567"/>
        <w:rPr>
          <w:rFonts w:cs="Arial"/>
        </w:rPr>
      </w:pPr>
    </w:p>
    <w:p w14:paraId="2488391E" w14:textId="77777777" w:rsidR="00D3344B" w:rsidRDefault="00143C25">
      <w:pPr>
        <w:pStyle w:val="Estilo"/>
        <w:ind w:left="567" w:hanging="567"/>
        <w:rPr>
          <w:rFonts w:cs="Arial"/>
        </w:rPr>
      </w:pPr>
      <w:r>
        <w:rPr>
          <w:rFonts w:cs="Arial"/>
        </w:rPr>
        <w:t xml:space="preserve">V. </w:t>
      </w:r>
      <w:r>
        <w:rPr>
          <w:rFonts w:cs="Arial"/>
        </w:rPr>
        <w:tab/>
        <w:t xml:space="preserve">Alterar su contabilidad, con anotaciones, asientos, cuentas, nombres, cantidades, o datos falsos; modificar, raspar, o tachar en perjuicio de la hacienda pública estatal o municipal cualquier anotación asiento de constancia hecha en la contabilidad, mandar o consentir que se hagan alteraciones raspaduras o enmendaduras, se sancionará con multa de hasta un tanto de la contribución omitida, si se puede determinar </w:t>
      </w:r>
      <w:proofErr w:type="gramStart"/>
      <w:r>
        <w:rPr>
          <w:rFonts w:cs="Arial"/>
        </w:rPr>
        <w:t>ésta</w:t>
      </w:r>
      <w:proofErr w:type="gramEnd"/>
      <w:r>
        <w:rPr>
          <w:rFonts w:cs="Arial"/>
        </w:rPr>
        <w:t xml:space="preserve"> o en caso contrario de 20 a 80 UMA;</w:t>
      </w:r>
    </w:p>
    <w:p w14:paraId="1903EDBF" w14:textId="77777777" w:rsidR="00D3344B" w:rsidRDefault="00D3344B">
      <w:pPr>
        <w:pStyle w:val="Estilo"/>
        <w:ind w:left="567" w:hanging="567"/>
        <w:rPr>
          <w:rFonts w:cs="Arial"/>
        </w:rPr>
      </w:pPr>
    </w:p>
    <w:p w14:paraId="46C4748E" w14:textId="77777777" w:rsidR="00D3344B" w:rsidRDefault="00143C25">
      <w:pPr>
        <w:pStyle w:val="Estilo"/>
        <w:ind w:left="567" w:hanging="567"/>
        <w:rPr>
          <w:rFonts w:cs="Arial"/>
        </w:rPr>
      </w:pPr>
      <w:r>
        <w:rPr>
          <w:rFonts w:cs="Arial"/>
        </w:rPr>
        <w:t xml:space="preserve">VI. </w:t>
      </w:r>
      <w:r>
        <w:rPr>
          <w:rFonts w:cs="Arial"/>
        </w:rPr>
        <w:tab/>
        <w:t>Destruir o inutilizar los registros contables cuando no haya transcurrido el plazo durante el cual conforme a este código se deban conservar, multa de 20 a 80 UMA;</w:t>
      </w:r>
    </w:p>
    <w:p w14:paraId="79B83FF4" w14:textId="77777777" w:rsidR="00D3344B" w:rsidRDefault="00D3344B">
      <w:pPr>
        <w:pStyle w:val="Estilo"/>
        <w:ind w:left="567" w:hanging="567"/>
        <w:rPr>
          <w:rFonts w:cs="Arial"/>
        </w:rPr>
      </w:pPr>
    </w:p>
    <w:p w14:paraId="2C7A61B6" w14:textId="77777777" w:rsidR="00D3344B" w:rsidRDefault="00D3344B">
      <w:pPr>
        <w:pStyle w:val="Estilo"/>
        <w:ind w:left="567" w:hanging="567"/>
        <w:rPr>
          <w:rFonts w:cs="Arial"/>
        </w:rPr>
      </w:pPr>
    </w:p>
    <w:p w14:paraId="6E035683" w14:textId="77777777" w:rsidR="00D3344B" w:rsidRDefault="00143C25">
      <w:pPr>
        <w:pStyle w:val="Estilo"/>
        <w:ind w:left="567" w:hanging="567"/>
        <w:rPr>
          <w:rFonts w:cs="Arial"/>
        </w:rPr>
      </w:pPr>
      <w:r>
        <w:rPr>
          <w:rFonts w:cs="Arial"/>
        </w:rPr>
        <w:t xml:space="preserve">VII. </w:t>
      </w:r>
      <w:r>
        <w:rPr>
          <w:rFonts w:cs="Arial"/>
        </w:rPr>
        <w:tab/>
        <w:t>Faltar a la obligación de expedir o no entregar comprobantes o cualquier otro documento que señale este código, multa de cinco a diez veces el importe del comprobante no expedido;</w:t>
      </w:r>
    </w:p>
    <w:p w14:paraId="111ABFCD" w14:textId="77777777" w:rsidR="00D3344B" w:rsidRDefault="00D3344B">
      <w:pPr>
        <w:pStyle w:val="Estilo"/>
        <w:ind w:left="567" w:hanging="567"/>
        <w:rPr>
          <w:rFonts w:cs="Arial"/>
        </w:rPr>
      </w:pPr>
    </w:p>
    <w:p w14:paraId="4A3CD7A4" w14:textId="77777777" w:rsidR="00D3344B" w:rsidRDefault="00143C25">
      <w:pPr>
        <w:pStyle w:val="Estilo"/>
        <w:rPr>
          <w:rFonts w:eastAsia="Calibri" w:cs="Arial"/>
          <w:i/>
          <w:iCs/>
          <w:sz w:val="16"/>
          <w:szCs w:val="16"/>
        </w:rPr>
      </w:pPr>
      <w:r>
        <w:rPr>
          <w:rFonts w:eastAsia="Calibri" w:cs="Arial"/>
          <w:i/>
          <w:iCs/>
          <w:sz w:val="16"/>
          <w:szCs w:val="16"/>
        </w:rPr>
        <w:t>(REFORMADA, P.O. 29 DE NOVIEMBRE DE 2023)</w:t>
      </w:r>
    </w:p>
    <w:p w14:paraId="1B2982F3" w14:textId="77777777" w:rsidR="00D3344B" w:rsidRDefault="00143C25">
      <w:pPr>
        <w:pStyle w:val="Estilo"/>
        <w:ind w:left="567" w:hanging="567"/>
        <w:rPr>
          <w:rFonts w:cs="Arial"/>
        </w:rPr>
      </w:pPr>
      <w:r>
        <w:rPr>
          <w:rFonts w:cs="Arial"/>
        </w:rPr>
        <w:t xml:space="preserve">VIII. </w:t>
      </w:r>
      <w:r>
        <w:rPr>
          <w:rFonts w:cs="Arial"/>
        </w:rPr>
        <w:tab/>
        <w:t>No presentar en los plazos señalados en este código los avisos, declaraciones, pagos de contribuciones, solicitudes o documentos en general que exija este ordenamiento, o presentarlos a requerimiento de las autoridades, multa de 30 a 50 UMA.</w:t>
      </w:r>
    </w:p>
    <w:p w14:paraId="22916BFC" w14:textId="77777777" w:rsidR="00D3344B" w:rsidRDefault="00D3344B">
      <w:pPr>
        <w:pStyle w:val="Estilo"/>
        <w:ind w:left="567" w:hanging="567"/>
        <w:rPr>
          <w:rFonts w:cs="Arial"/>
        </w:rPr>
      </w:pPr>
    </w:p>
    <w:p w14:paraId="3FE875DE" w14:textId="77777777" w:rsidR="00D3344B" w:rsidRDefault="00143C25">
      <w:pPr>
        <w:pStyle w:val="Estilo"/>
        <w:ind w:left="567" w:hanging="567"/>
        <w:rPr>
          <w:rFonts w:cs="Arial"/>
        </w:rPr>
      </w:pPr>
      <w:r>
        <w:rPr>
          <w:rFonts w:cs="Arial"/>
        </w:rPr>
        <w:lastRenderedPageBreak/>
        <w:t xml:space="preserve">IX. </w:t>
      </w:r>
      <w:r>
        <w:rPr>
          <w:rFonts w:cs="Arial"/>
        </w:rPr>
        <w:tab/>
        <w:t>No proporcionar, comprobar o aclarar los informes, copias, datos, libros, o documentos en general, relacionados con el cumplimiento de las obligaciones fiscales, cuando las autoridades fiscales lo soliciten, multa de 10 a 30 UMA;</w:t>
      </w:r>
    </w:p>
    <w:p w14:paraId="53FE9EE3" w14:textId="77777777" w:rsidR="00D3344B" w:rsidRDefault="00D3344B">
      <w:pPr>
        <w:pStyle w:val="Estilo"/>
        <w:ind w:left="567" w:hanging="567"/>
        <w:rPr>
          <w:rFonts w:cs="Arial"/>
        </w:rPr>
      </w:pPr>
    </w:p>
    <w:p w14:paraId="6A22511D"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418EBFE5" w14:textId="77777777" w:rsidR="00D3344B" w:rsidRDefault="00143C25">
      <w:pPr>
        <w:pStyle w:val="Estilo"/>
        <w:ind w:left="567" w:hanging="567"/>
        <w:rPr>
          <w:rFonts w:cs="Arial"/>
        </w:rPr>
      </w:pPr>
      <w:r>
        <w:rPr>
          <w:rFonts w:cs="Arial"/>
        </w:rPr>
        <w:t xml:space="preserve">X. </w:t>
      </w:r>
      <w:r>
        <w:rPr>
          <w:rFonts w:cs="Arial"/>
        </w:rPr>
        <w:tab/>
        <w:t>Presentar las declaraciones, solicitudes, los avisos y documentos a que se refieren las fracciones anteriores en forma incompleta, con errores o en forma distinta a la señalada en este código, que traigan consigo la evasión fiscal, multa de 20 a 60 UMA, cuando no pueda precisarse el monto de la contribución omitida; en caso contrario será otro tanto de la misma;</w:t>
      </w:r>
    </w:p>
    <w:p w14:paraId="1C647F6C" w14:textId="77777777" w:rsidR="00D3344B" w:rsidRDefault="00D3344B">
      <w:pPr>
        <w:pStyle w:val="Estilo"/>
        <w:ind w:left="567" w:hanging="567"/>
        <w:rPr>
          <w:rFonts w:cs="Arial"/>
        </w:rPr>
      </w:pPr>
    </w:p>
    <w:p w14:paraId="567913CC" w14:textId="77777777" w:rsidR="00D3344B" w:rsidRDefault="00143C25">
      <w:pPr>
        <w:pStyle w:val="Estilo"/>
        <w:ind w:left="567" w:hanging="567"/>
        <w:rPr>
          <w:rFonts w:cs="Arial"/>
        </w:rPr>
      </w:pPr>
      <w:r>
        <w:rPr>
          <w:rFonts w:cs="Arial"/>
        </w:rPr>
        <w:t xml:space="preserve">XI. </w:t>
      </w:r>
      <w:r>
        <w:rPr>
          <w:rFonts w:cs="Arial"/>
        </w:rPr>
        <w:tab/>
        <w:t>Presentar avisos, declaraciones, solicitudes, datos, informes, libros y documentos en general, que presenten alteraciones o se encuentren falsificadas, la multa será la misma que la establecida en la fracción anterior;</w:t>
      </w:r>
    </w:p>
    <w:p w14:paraId="7DF95079" w14:textId="77777777" w:rsidR="00D3344B" w:rsidRDefault="00D3344B">
      <w:pPr>
        <w:pStyle w:val="Estilo"/>
        <w:ind w:left="567" w:hanging="567"/>
        <w:rPr>
          <w:rFonts w:cs="Arial"/>
        </w:rPr>
      </w:pPr>
    </w:p>
    <w:p w14:paraId="60912A37" w14:textId="77777777" w:rsidR="00D3344B" w:rsidRDefault="00143C25">
      <w:pPr>
        <w:pStyle w:val="Estilo"/>
        <w:ind w:left="567" w:hanging="567"/>
        <w:rPr>
          <w:rFonts w:cs="Arial"/>
        </w:rPr>
      </w:pPr>
      <w:r>
        <w:rPr>
          <w:rFonts w:cs="Arial"/>
        </w:rPr>
        <w:t xml:space="preserve">XII. </w:t>
      </w:r>
      <w:r>
        <w:rPr>
          <w:rFonts w:cs="Arial"/>
        </w:rPr>
        <w:tab/>
        <w:t>No pagar en forma total o parcial las contribuciones dentro de los plazos señalados por las autoridades fiscales, multa de 10 a 30 UMA;</w:t>
      </w:r>
    </w:p>
    <w:p w14:paraId="3C0D6E5A" w14:textId="77777777" w:rsidR="00D3344B" w:rsidRDefault="00D3344B">
      <w:pPr>
        <w:pStyle w:val="Estilo"/>
        <w:ind w:left="567" w:hanging="567"/>
        <w:rPr>
          <w:rFonts w:cs="Arial"/>
        </w:rPr>
      </w:pPr>
    </w:p>
    <w:p w14:paraId="6A4F3B86" w14:textId="77777777" w:rsidR="00D3344B" w:rsidRDefault="00143C25">
      <w:pPr>
        <w:pStyle w:val="Estilo"/>
        <w:ind w:left="567" w:hanging="567"/>
        <w:rPr>
          <w:rFonts w:cs="Arial"/>
        </w:rPr>
      </w:pPr>
      <w:r>
        <w:rPr>
          <w:rFonts w:cs="Arial"/>
        </w:rPr>
        <w:t xml:space="preserve">XIII. </w:t>
      </w:r>
      <w:r>
        <w:rPr>
          <w:rFonts w:cs="Arial"/>
        </w:rPr>
        <w:tab/>
        <w:t>Traficar con los documentos o comprobantes del cumplimiento de las obligaciones fiscales o hacer uso ilegal de ellos, multa de 20 a 60 UMA;</w:t>
      </w:r>
    </w:p>
    <w:p w14:paraId="7CAB72CC" w14:textId="77777777" w:rsidR="00D3344B" w:rsidRDefault="00D3344B">
      <w:pPr>
        <w:pStyle w:val="Estilo"/>
        <w:ind w:left="567" w:hanging="567"/>
        <w:rPr>
          <w:rFonts w:cs="Arial"/>
        </w:rPr>
      </w:pPr>
    </w:p>
    <w:p w14:paraId="585FE442" w14:textId="77777777" w:rsidR="00D3344B" w:rsidRDefault="00143C25">
      <w:pPr>
        <w:pStyle w:val="Estilo"/>
        <w:ind w:left="567" w:hanging="567"/>
        <w:rPr>
          <w:rFonts w:cs="Arial"/>
        </w:rPr>
      </w:pPr>
      <w:r>
        <w:rPr>
          <w:rFonts w:cs="Arial"/>
        </w:rPr>
        <w:t xml:space="preserve">XIV. </w:t>
      </w:r>
      <w:r>
        <w:rPr>
          <w:rFonts w:cs="Arial"/>
        </w:rPr>
        <w:tab/>
        <w:t>Resistirse por cualquier medio a las visitas en el domicilio fiscal o no proporcionar los datos, informes, documentos, registros, y en general los elementos necesarios para la práctica de la visita, multa de 20 a 100 UMA;</w:t>
      </w:r>
    </w:p>
    <w:p w14:paraId="71C4A465" w14:textId="77777777" w:rsidR="00D3344B" w:rsidRDefault="00D3344B">
      <w:pPr>
        <w:pStyle w:val="Estilo"/>
        <w:ind w:left="567" w:hanging="567"/>
        <w:rPr>
          <w:rFonts w:cs="Arial"/>
        </w:rPr>
      </w:pPr>
    </w:p>
    <w:p w14:paraId="1FE3B087" w14:textId="77777777" w:rsidR="00D3344B" w:rsidRDefault="00143C25">
      <w:pPr>
        <w:pStyle w:val="Estilo"/>
        <w:ind w:left="567" w:hanging="567"/>
        <w:rPr>
          <w:rFonts w:cs="Arial"/>
        </w:rPr>
      </w:pPr>
      <w:r>
        <w:rPr>
          <w:rFonts w:cs="Arial"/>
        </w:rPr>
        <w:t xml:space="preserve">XV. </w:t>
      </w:r>
      <w:r>
        <w:rPr>
          <w:rFonts w:cs="Arial"/>
        </w:rPr>
        <w:tab/>
        <w:t>No conservar los documentos y registros contables que se les entreguen en calidad de depósito por los visitadores al estarse practicando visitas de inspección y verificación, multa de 20 a 100 UMA;</w:t>
      </w:r>
    </w:p>
    <w:p w14:paraId="7CF7EC01" w14:textId="77777777" w:rsidR="00D3344B" w:rsidRDefault="00D3344B">
      <w:pPr>
        <w:pStyle w:val="Estilo"/>
        <w:ind w:left="567" w:hanging="567"/>
        <w:rPr>
          <w:rFonts w:cs="Arial"/>
        </w:rPr>
      </w:pPr>
    </w:p>
    <w:p w14:paraId="4E25CEB6" w14:textId="77777777" w:rsidR="00D3344B" w:rsidRDefault="00143C25">
      <w:pPr>
        <w:pStyle w:val="Estilo"/>
        <w:ind w:left="567" w:hanging="567"/>
        <w:rPr>
          <w:rFonts w:cs="Arial"/>
        </w:rPr>
      </w:pPr>
      <w:r>
        <w:rPr>
          <w:rFonts w:cs="Arial"/>
        </w:rPr>
        <w:t xml:space="preserve">XVI. </w:t>
      </w:r>
      <w:r>
        <w:rPr>
          <w:rFonts w:cs="Arial"/>
        </w:rPr>
        <w:tab/>
        <w:t>No obtengan y refrenden la licencia a que se refiere el artículo 155 de este código serán sancionadas independientemente de que se exija el pago de dichos derechos, de la siguiente manera:</w:t>
      </w:r>
    </w:p>
    <w:p w14:paraId="1B77E8C5" w14:textId="77777777" w:rsidR="00D3344B" w:rsidRDefault="00D3344B">
      <w:pPr>
        <w:pStyle w:val="Estilo"/>
        <w:ind w:left="567" w:hanging="567"/>
        <w:rPr>
          <w:rFonts w:cs="Arial"/>
        </w:rPr>
      </w:pPr>
    </w:p>
    <w:p w14:paraId="6229A06F" w14:textId="77777777" w:rsidR="00D3344B" w:rsidRDefault="00143C25">
      <w:pPr>
        <w:pStyle w:val="Estilo"/>
        <w:ind w:left="1134" w:hanging="567"/>
        <w:rPr>
          <w:rFonts w:cs="Arial"/>
        </w:rPr>
      </w:pPr>
      <w:r>
        <w:rPr>
          <w:rFonts w:cs="Arial"/>
        </w:rPr>
        <w:t xml:space="preserve">a) </w:t>
      </w:r>
      <w:r>
        <w:rPr>
          <w:rFonts w:cs="Arial"/>
        </w:rPr>
        <w:tab/>
        <w:t>Por expender bebidas alcohólicas sin contar con la licencia correspondiente, multa de 50 a 100 UMA;</w:t>
      </w:r>
    </w:p>
    <w:p w14:paraId="71FCBE7A" w14:textId="77777777" w:rsidR="00D3344B" w:rsidRDefault="00D3344B">
      <w:pPr>
        <w:pStyle w:val="Estilo"/>
        <w:ind w:left="1134" w:hanging="567"/>
        <w:rPr>
          <w:rFonts w:cs="Arial"/>
        </w:rPr>
      </w:pPr>
    </w:p>
    <w:p w14:paraId="08244DB4" w14:textId="77777777" w:rsidR="00D3344B" w:rsidRDefault="00143C25">
      <w:pPr>
        <w:pStyle w:val="Estilo"/>
        <w:ind w:left="1134" w:hanging="567"/>
        <w:rPr>
          <w:rFonts w:cs="Arial"/>
        </w:rPr>
      </w:pPr>
      <w:r>
        <w:rPr>
          <w:rFonts w:cs="Arial"/>
        </w:rPr>
        <w:t xml:space="preserve">b) </w:t>
      </w:r>
      <w:r>
        <w:rPr>
          <w:rFonts w:cs="Arial"/>
        </w:rPr>
        <w:tab/>
        <w:t>Por no solicitar la licencia en los plazos señalados en esta Ley, multa de 30 a 50 UMA;</w:t>
      </w:r>
    </w:p>
    <w:p w14:paraId="73C59DC5" w14:textId="77777777" w:rsidR="00D3344B" w:rsidRDefault="00D3344B">
      <w:pPr>
        <w:pStyle w:val="Estilo"/>
        <w:ind w:left="1134" w:hanging="567"/>
        <w:rPr>
          <w:rFonts w:cs="Arial"/>
        </w:rPr>
      </w:pPr>
    </w:p>
    <w:p w14:paraId="7F429549" w14:textId="77777777" w:rsidR="00D3344B" w:rsidRDefault="00143C25">
      <w:pPr>
        <w:pStyle w:val="Estilo"/>
        <w:ind w:left="1134" w:hanging="567"/>
        <w:rPr>
          <w:rFonts w:cs="Arial"/>
        </w:rPr>
      </w:pPr>
      <w:r>
        <w:rPr>
          <w:rFonts w:cs="Arial"/>
        </w:rPr>
        <w:t xml:space="preserve">c) </w:t>
      </w:r>
      <w:r>
        <w:rPr>
          <w:rFonts w:cs="Arial"/>
        </w:rPr>
        <w:tab/>
        <w:t>Por no realizar el refrendo de las licencias antes citadas, dentro del plazo establecido, multa de 10 a 30 UMA;</w:t>
      </w:r>
    </w:p>
    <w:p w14:paraId="38660223" w14:textId="77777777" w:rsidR="00D3344B" w:rsidRDefault="00D3344B">
      <w:pPr>
        <w:pStyle w:val="Estilo"/>
        <w:ind w:left="1134" w:hanging="567"/>
        <w:rPr>
          <w:rFonts w:cs="Arial"/>
        </w:rPr>
      </w:pPr>
    </w:p>
    <w:p w14:paraId="3C6CD2DB" w14:textId="77777777" w:rsidR="00D3344B" w:rsidRDefault="00143C25">
      <w:pPr>
        <w:pStyle w:val="Estilo"/>
        <w:ind w:left="1134" w:hanging="567"/>
        <w:rPr>
          <w:rFonts w:cs="Arial"/>
        </w:rPr>
      </w:pPr>
      <w:r>
        <w:rPr>
          <w:rFonts w:cs="Arial"/>
        </w:rPr>
        <w:t xml:space="preserve">d) </w:t>
      </w:r>
      <w:r>
        <w:rPr>
          <w:rFonts w:cs="Arial"/>
        </w:rPr>
        <w:tab/>
        <w:t>Por no presentar los avisos de cambio de actividad, multa de 50 a 100 UMA;</w:t>
      </w:r>
    </w:p>
    <w:p w14:paraId="35E1E2BE" w14:textId="77777777" w:rsidR="00D3344B" w:rsidRDefault="00D3344B">
      <w:pPr>
        <w:pStyle w:val="Estilo"/>
        <w:ind w:left="1134" w:hanging="567"/>
        <w:rPr>
          <w:rFonts w:cs="Arial"/>
        </w:rPr>
      </w:pPr>
    </w:p>
    <w:p w14:paraId="35C45BEE" w14:textId="77777777" w:rsidR="00D3344B" w:rsidRDefault="00143C25">
      <w:pPr>
        <w:pStyle w:val="Estilo"/>
        <w:ind w:left="1134" w:hanging="567"/>
        <w:rPr>
          <w:rFonts w:cs="Arial"/>
        </w:rPr>
      </w:pPr>
      <w:r>
        <w:rPr>
          <w:rFonts w:cs="Arial"/>
        </w:rPr>
        <w:lastRenderedPageBreak/>
        <w:t xml:space="preserve">e) </w:t>
      </w:r>
      <w:r>
        <w:rPr>
          <w:rFonts w:cs="Arial"/>
        </w:rPr>
        <w:tab/>
        <w:t>En el caso de que el contribuyente sea reincidente, se aplicará la multa máxima o cierre del establecimiento hasta subsanar la infracción, a juicio de la autoridad, y</w:t>
      </w:r>
    </w:p>
    <w:p w14:paraId="4907892F" w14:textId="77777777" w:rsidR="00D3344B" w:rsidRDefault="00D3344B">
      <w:pPr>
        <w:pStyle w:val="Estilo"/>
        <w:ind w:left="1134" w:hanging="567"/>
        <w:rPr>
          <w:rFonts w:cs="Arial"/>
        </w:rPr>
      </w:pPr>
    </w:p>
    <w:p w14:paraId="4126B41B" w14:textId="77777777" w:rsidR="00D3344B" w:rsidRDefault="00143C25">
      <w:pPr>
        <w:pStyle w:val="Estilo"/>
        <w:ind w:left="1134" w:hanging="567"/>
        <w:rPr>
          <w:rFonts w:cs="Arial"/>
        </w:rPr>
      </w:pPr>
      <w:r>
        <w:rPr>
          <w:rFonts w:cs="Arial"/>
        </w:rPr>
        <w:t xml:space="preserve">f) </w:t>
      </w:r>
      <w:r>
        <w:rPr>
          <w:rFonts w:cs="Arial"/>
        </w:rPr>
        <w:tab/>
        <w:t>En caso de que se encuentre a alguna de las personas señaladas en el artículo 155-B, en el interior de los establecimientos previstos en la fracción II del artículo 155 de este Código, se aplicará multa de 100 UMA; en caso de ser reincidente se aplicará multa de 100 UMA y cierre temporal del establecimiento por un periodo de 30 días naturales. Si el contribuyente incurriera en la misma infracción se aplicará multa de 100 UMA y la autoridad procederá a la clausura definitiva del establecimiento.</w:t>
      </w:r>
    </w:p>
    <w:p w14:paraId="04D83618" w14:textId="77777777" w:rsidR="00D3344B" w:rsidRDefault="00D3344B">
      <w:pPr>
        <w:pStyle w:val="Estilo"/>
        <w:ind w:left="567" w:hanging="567"/>
        <w:rPr>
          <w:rFonts w:cs="Arial"/>
        </w:rPr>
      </w:pPr>
    </w:p>
    <w:p w14:paraId="759FF8BA" w14:textId="77777777" w:rsidR="00D3344B" w:rsidRDefault="00143C25">
      <w:pPr>
        <w:pStyle w:val="Estilo"/>
        <w:rPr>
          <w:rFonts w:cs="Arial"/>
        </w:rPr>
      </w:pPr>
      <w:r>
        <w:rPr>
          <w:rFonts w:cs="Arial"/>
          <w:i/>
          <w:sz w:val="16"/>
        </w:rPr>
        <w:t>N. DE E. EN RELACIÓN CON LA ENTRADA EN VIGOR DE LA PRESENTE FRACCIÓN, VÉASE TRANSITORIO ÚNICO DEL DECRETO QUE MODIFICA EL CÓDIGO.</w:t>
      </w:r>
    </w:p>
    <w:p w14:paraId="1515F8C0" w14:textId="77777777" w:rsidR="00D3344B" w:rsidRDefault="00143C25">
      <w:pPr>
        <w:pStyle w:val="Estilo"/>
        <w:ind w:left="567" w:hanging="567"/>
        <w:rPr>
          <w:rFonts w:cs="Arial"/>
        </w:rPr>
      </w:pPr>
      <w:r>
        <w:rPr>
          <w:rFonts w:cs="Arial"/>
          <w:i/>
          <w:sz w:val="16"/>
        </w:rPr>
        <w:t>(REFORMADA, P.O. 7 DE DICIEMBRE DE 2009)</w:t>
      </w:r>
    </w:p>
    <w:p w14:paraId="06F496ED" w14:textId="77777777" w:rsidR="00D3344B" w:rsidRDefault="00143C25">
      <w:pPr>
        <w:pStyle w:val="Estilo"/>
        <w:ind w:left="567" w:hanging="567"/>
        <w:rPr>
          <w:rFonts w:cs="Arial"/>
        </w:rPr>
      </w:pPr>
      <w:r>
        <w:rPr>
          <w:rFonts w:cs="Arial"/>
        </w:rPr>
        <w:t>XVII.</w:t>
      </w:r>
      <w:r>
        <w:rPr>
          <w:rFonts w:cs="Arial"/>
        </w:rPr>
        <w:tab/>
        <w:t>El incumplimiento por parte de los prestadores de servicios de seguridad privada a las obligaciones establecidas en los ordenamientos jurídicos aplicables, será sancionado de acuerdo con lo siguiente, sin perjuicio de las sanciones previstas en otras disposiciones legales:</w:t>
      </w:r>
    </w:p>
    <w:p w14:paraId="704EA5E9" w14:textId="77777777" w:rsidR="00D3344B" w:rsidRDefault="00D3344B">
      <w:pPr>
        <w:pStyle w:val="Estilo"/>
        <w:ind w:left="567" w:hanging="567"/>
        <w:rPr>
          <w:rFonts w:cs="Arial"/>
        </w:rPr>
      </w:pPr>
    </w:p>
    <w:p w14:paraId="143FD51B" w14:textId="77777777" w:rsidR="00D3344B" w:rsidRDefault="00143C25">
      <w:pPr>
        <w:pStyle w:val="Estilo"/>
        <w:ind w:left="1134" w:hanging="567"/>
        <w:rPr>
          <w:rFonts w:cs="Arial"/>
        </w:rPr>
      </w:pPr>
      <w:r>
        <w:rPr>
          <w:rFonts w:cs="Arial"/>
        </w:rPr>
        <w:t xml:space="preserve">a) </w:t>
      </w:r>
      <w:r>
        <w:rPr>
          <w:rFonts w:cs="Arial"/>
        </w:rPr>
        <w:tab/>
        <w:t>Proporcionar los servicios de seguridad privada sin contar con la autorización correspondiente o sin haber obtenido el refrendo de la misma, multa de 1,850 a 5,000 UMA;</w:t>
      </w:r>
    </w:p>
    <w:p w14:paraId="6FDF3137" w14:textId="77777777" w:rsidR="00D3344B" w:rsidRDefault="00D3344B">
      <w:pPr>
        <w:pStyle w:val="Estilo"/>
        <w:ind w:left="1134" w:hanging="567"/>
        <w:rPr>
          <w:rFonts w:cs="Arial"/>
        </w:rPr>
      </w:pPr>
    </w:p>
    <w:p w14:paraId="607004F6" w14:textId="77777777" w:rsidR="00D3344B" w:rsidRDefault="00143C25">
      <w:pPr>
        <w:pStyle w:val="Estilo"/>
        <w:ind w:left="1134" w:hanging="567"/>
        <w:rPr>
          <w:rFonts w:cs="Arial"/>
        </w:rPr>
      </w:pPr>
      <w:r>
        <w:rPr>
          <w:rFonts w:cs="Arial"/>
        </w:rPr>
        <w:t xml:space="preserve">b) </w:t>
      </w:r>
      <w:r>
        <w:rPr>
          <w:rFonts w:cs="Arial"/>
        </w:rPr>
        <w:tab/>
        <w:t>Alterar la documentación que autorice la prestación del servicio, proporcionar información, documentación falsa o alterada para obtener la autorización correspondiente, multa de 1,500 a 1,850 UMA;</w:t>
      </w:r>
    </w:p>
    <w:p w14:paraId="447B467B" w14:textId="77777777" w:rsidR="00D3344B" w:rsidRDefault="00D3344B">
      <w:pPr>
        <w:pStyle w:val="Estilo"/>
        <w:ind w:left="1134" w:hanging="567"/>
        <w:rPr>
          <w:rFonts w:cs="Arial"/>
        </w:rPr>
      </w:pPr>
    </w:p>
    <w:p w14:paraId="484BB2DA" w14:textId="77777777" w:rsidR="00D3344B" w:rsidRDefault="00143C25">
      <w:pPr>
        <w:pStyle w:val="Estilo"/>
        <w:ind w:left="1134" w:hanging="567"/>
        <w:rPr>
          <w:rFonts w:cs="Arial"/>
        </w:rPr>
      </w:pPr>
      <w:r>
        <w:rPr>
          <w:rFonts w:cs="Arial"/>
        </w:rPr>
        <w:t xml:space="preserve">c) </w:t>
      </w:r>
      <w:r>
        <w:rPr>
          <w:rFonts w:cs="Arial"/>
        </w:rPr>
        <w:tab/>
        <w:t>Prestar el servicio en modalidades no autorizadas, multa de 800 a 1,000 UMA;</w:t>
      </w:r>
    </w:p>
    <w:p w14:paraId="1B192AB1" w14:textId="77777777" w:rsidR="00D3344B" w:rsidRDefault="00D3344B">
      <w:pPr>
        <w:pStyle w:val="Estilo"/>
        <w:ind w:left="1134" w:hanging="567"/>
        <w:rPr>
          <w:rFonts w:cs="Arial"/>
        </w:rPr>
      </w:pPr>
    </w:p>
    <w:p w14:paraId="2F878572" w14:textId="77777777" w:rsidR="00D3344B" w:rsidRDefault="00143C25">
      <w:pPr>
        <w:pStyle w:val="Estilo"/>
        <w:ind w:left="1134" w:hanging="567"/>
        <w:rPr>
          <w:rFonts w:cs="Arial"/>
        </w:rPr>
      </w:pPr>
      <w:r>
        <w:rPr>
          <w:rFonts w:cs="Arial"/>
        </w:rPr>
        <w:t xml:space="preserve">d) </w:t>
      </w:r>
      <w:r>
        <w:rPr>
          <w:rFonts w:cs="Arial"/>
        </w:rPr>
        <w:tab/>
        <w:t>Impedir por cualquier medio que la autoridad realice las visitas de inspección y verificación ordenadas, multa de 500 a 800 UMA;</w:t>
      </w:r>
    </w:p>
    <w:p w14:paraId="7D172247" w14:textId="77777777" w:rsidR="00D3344B" w:rsidRDefault="00D3344B">
      <w:pPr>
        <w:pStyle w:val="Estilo"/>
        <w:ind w:left="1134" w:hanging="567"/>
        <w:rPr>
          <w:rFonts w:cs="Arial"/>
        </w:rPr>
      </w:pPr>
    </w:p>
    <w:p w14:paraId="7B8B0303" w14:textId="77777777" w:rsidR="00D3344B" w:rsidRDefault="00143C25">
      <w:pPr>
        <w:pStyle w:val="Estilo"/>
        <w:ind w:left="1134" w:hanging="567"/>
        <w:rPr>
          <w:rFonts w:cs="Arial"/>
        </w:rPr>
      </w:pPr>
      <w:r>
        <w:rPr>
          <w:rFonts w:cs="Arial"/>
        </w:rPr>
        <w:t xml:space="preserve">e) </w:t>
      </w:r>
      <w:r>
        <w:rPr>
          <w:rFonts w:cs="Arial"/>
        </w:rPr>
        <w:tab/>
        <w:t>No realizar el registro de socios, representante o apoderado legal, directivos, personal administrativo y operativo ante la autoridad administrativa correspondiente, multa de 300 a 500 UMA, y</w:t>
      </w:r>
    </w:p>
    <w:p w14:paraId="1EFF88CC" w14:textId="77777777" w:rsidR="00D3344B" w:rsidRDefault="00D3344B">
      <w:pPr>
        <w:pStyle w:val="Estilo"/>
        <w:ind w:left="1134" w:hanging="567"/>
        <w:rPr>
          <w:rFonts w:cs="Arial"/>
        </w:rPr>
      </w:pPr>
    </w:p>
    <w:p w14:paraId="4C2FB394" w14:textId="77777777" w:rsidR="00D3344B" w:rsidRDefault="00143C25">
      <w:pPr>
        <w:pStyle w:val="Estilo"/>
        <w:ind w:left="1134" w:hanging="567"/>
        <w:rPr>
          <w:rFonts w:cs="Arial"/>
        </w:rPr>
      </w:pPr>
      <w:r>
        <w:rPr>
          <w:rFonts w:cs="Arial"/>
        </w:rPr>
        <w:t xml:space="preserve">f) </w:t>
      </w:r>
      <w:r>
        <w:rPr>
          <w:rFonts w:cs="Arial"/>
        </w:rPr>
        <w:tab/>
        <w:t>El incumplimiento a los demás ordenamientos legales aplicables a la materia, multa hasta por el equivalente a 300 UMA.</w:t>
      </w:r>
    </w:p>
    <w:p w14:paraId="5D091AD1" w14:textId="77777777" w:rsidR="00D3344B" w:rsidRDefault="00D3344B">
      <w:pPr>
        <w:pStyle w:val="Estilo"/>
        <w:rPr>
          <w:rFonts w:cs="Arial"/>
        </w:rPr>
      </w:pPr>
    </w:p>
    <w:p w14:paraId="4156ACE7" w14:textId="77777777" w:rsidR="00D3344B" w:rsidRDefault="00143C25">
      <w:pPr>
        <w:pStyle w:val="Estilo"/>
        <w:rPr>
          <w:rFonts w:eastAsia="Calibri" w:cs="Arial"/>
          <w:i/>
          <w:iCs/>
          <w:sz w:val="16"/>
          <w:szCs w:val="16"/>
        </w:rPr>
      </w:pPr>
      <w:r>
        <w:rPr>
          <w:rFonts w:eastAsia="Calibri" w:cs="Arial"/>
          <w:i/>
          <w:iCs/>
          <w:sz w:val="16"/>
          <w:szCs w:val="16"/>
        </w:rPr>
        <w:t>(ADICIONADA, P.O. 29 DE NOVIEMBRE DE 2023)</w:t>
      </w:r>
    </w:p>
    <w:p w14:paraId="3533DFC1" w14:textId="77777777" w:rsidR="00D3344B" w:rsidRDefault="00143C25">
      <w:pPr>
        <w:pStyle w:val="Textoindependiente"/>
        <w:spacing w:before="187"/>
        <w:ind w:left="709" w:right="226" w:hanging="709"/>
        <w:jc w:val="both"/>
        <w:rPr>
          <w:rFonts w:ascii="Arial" w:hAnsi="Arial" w:cs="Arial"/>
          <w:sz w:val="24"/>
          <w:szCs w:val="24"/>
        </w:rPr>
      </w:pPr>
      <w:r>
        <w:rPr>
          <w:rFonts w:ascii="Arial" w:hAnsi="Arial" w:cs="Arial"/>
          <w:sz w:val="24"/>
          <w:szCs w:val="24"/>
        </w:rPr>
        <w:t>XVIII.</w:t>
      </w:r>
      <w:r>
        <w:rPr>
          <w:rFonts w:ascii="Arial" w:hAnsi="Arial" w:cs="Arial"/>
          <w:sz w:val="24"/>
          <w:szCs w:val="24"/>
        </w:rPr>
        <w:tab/>
      </w:r>
      <w:r>
        <w:rPr>
          <w:rFonts w:ascii="Arial" w:hAnsi="Arial" w:cs="Arial"/>
          <w:sz w:val="24"/>
          <w:szCs w:val="24"/>
        </w:rPr>
        <w:tab/>
        <w:t>Los contribuyentes a que hace referencia el artículo 107 de este Código serán sancionados por las conductas siguientes:</w:t>
      </w:r>
    </w:p>
    <w:p w14:paraId="221BADAE" w14:textId="77777777" w:rsidR="00D3344B" w:rsidRDefault="00143C25">
      <w:pPr>
        <w:pStyle w:val="Prrafodelista"/>
        <w:widowControl w:val="0"/>
        <w:numPr>
          <w:ilvl w:val="0"/>
          <w:numId w:val="16"/>
        </w:numPr>
        <w:suppressAutoHyphens w:val="0"/>
        <w:spacing w:before="182" w:after="0" w:line="240" w:lineRule="auto"/>
        <w:ind w:left="1134" w:hanging="365"/>
        <w:contextualSpacing w:val="0"/>
        <w:jc w:val="both"/>
        <w:rPr>
          <w:rFonts w:ascii="Arial" w:hAnsi="Arial" w:cs="Arial"/>
          <w:sz w:val="24"/>
          <w:szCs w:val="24"/>
        </w:rPr>
      </w:pPr>
      <w:r>
        <w:rPr>
          <w:rFonts w:ascii="Arial" w:hAnsi="Arial" w:cs="Arial"/>
          <w:sz w:val="24"/>
          <w:szCs w:val="24"/>
        </w:rPr>
        <w:t>No</w:t>
      </w:r>
      <w:r>
        <w:rPr>
          <w:rFonts w:ascii="Arial" w:hAnsi="Arial" w:cs="Arial"/>
          <w:spacing w:val="-8"/>
          <w:sz w:val="24"/>
          <w:szCs w:val="24"/>
        </w:rPr>
        <w:t xml:space="preserve"> </w:t>
      </w:r>
      <w:r>
        <w:rPr>
          <w:rFonts w:ascii="Arial" w:hAnsi="Arial" w:cs="Arial"/>
          <w:sz w:val="24"/>
          <w:szCs w:val="24"/>
        </w:rPr>
        <w:t>dar</w:t>
      </w:r>
      <w:r>
        <w:rPr>
          <w:rFonts w:ascii="Arial" w:hAnsi="Arial" w:cs="Arial"/>
          <w:spacing w:val="-6"/>
          <w:sz w:val="24"/>
          <w:szCs w:val="24"/>
        </w:rPr>
        <w:t xml:space="preserve"> </w:t>
      </w:r>
      <w:r>
        <w:rPr>
          <w:rFonts w:ascii="Arial" w:hAnsi="Arial" w:cs="Arial"/>
          <w:sz w:val="24"/>
          <w:szCs w:val="24"/>
        </w:rPr>
        <w:t>aviso</w:t>
      </w:r>
      <w:r>
        <w:rPr>
          <w:rFonts w:ascii="Arial" w:hAnsi="Arial" w:cs="Arial"/>
          <w:spacing w:val="-4"/>
          <w:sz w:val="24"/>
          <w:szCs w:val="24"/>
        </w:rPr>
        <w:t xml:space="preserve"> </w:t>
      </w:r>
      <w:r>
        <w:rPr>
          <w:rFonts w:ascii="Arial" w:hAnsi="Arial" w:cs="Arial"/>
          <w:sz w:val="24"/>
          <w:szCs w:val="24"/>
        </w:rPr>
        <w:t>del</w:t>
      </w:r>
      <w:r>
        <w:rPr>
          <w:rFonts w:ascii="Arial" w:hAnsi="Arial" w:cs="Arial"/>
          <w:spacing w:val="-4"/>
          <w:sz w:val="24"/>
          <w:szCs w:val="24"/>
        </w:rPr>
        <w:t xml:space="preserve"> </w:t>
      </w:r>
      <w:r>
        <w:rPr>
          <w:rFonts w:ascii="Arial" w:hAnsi="Arial" w:cs="Arial"/>
          <w:sz w:val="24"/>
          <w:szCs w:val="24"/>
        </w:rPr>
        <w:t>espectáculo</w:t>
      </w:r>
      <w:r>
        <w:rPr>
          <w:rFonts w:ascii="Arial" w:hAnsi="Arial" w:cs="Arial"/>
          <w:spacing w:val="-5"/>
          <w:sz w:val="24"/>
          <w:szCs w:val="24"/>
        </w:rPr>
        <w:t xml:space="preserve"> </w:t>
      </w:r>
      <w:r>
        <w:rPr>
          <w:rFonts w:ascii="Arial" w:hAnsi="Arial" w:cs="Arial"/>
          <w:sz w:val="24"/>
          <w:szCs w:val="24"/>
        </w:rPr>
        <w:t>público</w:t>
      </w:r>
      <w:r>
        <w:rPr>
          <w:rFonts w:ascii="Arial" w:hAnsi="Arial" w:cs="Arial"/>
          <w:spacing w:val="-5"/>
          <w:sz w:val="24"/>
          <w:szCs w:val="24"/>
        </w:rPr>
        <w:t xml:space="preserve"> </w:t>
      </w:r>
      <w:r>
        <w:rPr>
          <w:rFonts w:ascii="Arial" w:hAnsi="Arial" w:cs="Arial"/>
          <w:sz w:val="24"/>
          <w:szCs w:val="24"/>
        </w:rPr>
        <w:t>5</w:t>
      </w:r>
      <w:r>
        <w:rPr>
          <w:rFonts w:ascii="Arial" w:hAnsi="Arial" w:cs="Arial"/>
          <w:spacing w:val="-5"/>
          <w:sz w:val="24"/>
          <w:szCs w:val="24"/>
        </w:rPr>
        <w:t xml:space="preserve"> </w:t>
      </w:r>
      <w:r>
        <w:rPr>
          <w:rFonts w:ascii="Arial" w:hAnsi="Arial" w:cs="Arial"/>
          <w:sz w:val="24"/>
          <w:szCs w:val="24"/>
        </w:rPr>
        <w:t>días</w:t>
      </w:r>
      <w:r>
        <w:rPr>
          <w:rFonts w:ascii="Arial" w:hAnsi="Arial" w:cs="Arial"/>
          <w:spacing w:val="-4"/>
          <w:sz w:val="24"/>
          <w:szCs w:val="24"/>
        </w:rPr>
        <w:t xml:space="preserve"> </w:t>
      </w:r>
      <w:r>
        <w:rPr>
          <w:rFonts w:ascii="Arial" w:hAnsi="Arial" w:cs="Arial"/>
          <w:sz w:val="24"/>
          <w:szCs w:val="24"/>
        </w:rPr>
        <w:t>antes</w:t>
      </w:r>
      <w:r>
        <w:rPr>
          <w:rFonts w:ascii="Arial" w:hAnsi="Arial" w:cs="Arial"/>
          <w:spacing w:val="-4"/>
          <w:sz w:val="24"/>
          <w:szCs w:val="24"/>
        </w:rPr>
        <w:t xml:space="preserve"> </w:t>
      </w:r>
      <w:r>
        <w:rPr>
          <w:rFonts w:ascii="Arial" w:hAnsi="Arial" w:cs="Arial"/>
          <w:sz w:val="24"/>
          <w:szCs w:val="24"/>
        </w:rPr>
        <w:t>del</w:t>
      </w:r>
      <w:r>
        <w:rPr>
          <w:rFonts w:ascii="Arial" w:hAnsi="Arial" w:cs="Arial"/>
          <w:spacing w:val="-4"/>
          <w:sz w:val="24"/>
          <w:szCs w:val="24"/>
        </w:rPr>
        <w:t xml:space="preserve"> </w:t>
      </w:r>
      <w:r>
        <w:rPr>
          <w:rFonts w:ascii="Arial" w:hAnsi="Arial" w:cs="Arial"/>
          <w:sz w:val="24"/>
          <w:szCs w:val="24"/>
        </w:rPr>
        <w:t>evento</w:t>
      </w:r>
      <w:r>
        <w:rPr>
          <w:rFonts w:ascii="Arial" w:hAnsi="Arial" w:cs="Arial"/>
          <w:spacing w:val="-5"/>
          <w:sz w:val="24"/>
          <w:szCs w:val="24"/>
        </w:rPr>
        <w:t xml:space="preserve"> </w:t>
      </w:r>
      <w:r>
        <w:rPr>
          <w:rFonts w:ascii="Arial" w:hAnsi="Arial" w:cs="Arial"/>
          <w:sz w:val="24"/>
          <w:szCs w:val="24"/>
        </w:rPr>
        <w:t>a</w:t>
      </w:r>
      <w:r>
        <w:rPr>
          <w:rFonts w:ascii="Arial" w:hAnsi="Arial" w:cs="Arial"/>
          <w:spacing w:val="-5"/>
          <w:sz w:val="24"/>
          <w:szCs w:val="24"/>
        </w:rPr>
        <w:t xml:space="preserve"> </w:t>
      </w:r>
      <w:r>
        <w:rPr>
          <w:rFonts w:ascii="Arial" w:hAnsi="Arial" w:cs="Arial"/>
          <w:sz w:val="24"/>
          <w:szCs w:val="24"/>
        </w:rPr>
        <w:t>realizar,</w:t>
      </w:r>
      <w:r>
        <w:rPr>
          <w:rFonts w:ascii="Arial" w:hAnsi="Arial" w:cs="Arial"/>
          <w:spacing w:val="-7"/>
          <w:sz w:val="24"/>
          <w:szCs w:val="24"/>
        </w:rPr>
        <w:t xml:space="preserve"> </w:t>
      </w:r>
      <w:r>
        <w:rPr>
          <w:rFonts w:ascii="Arial" w:hAnsi="Arial" w:cs="Arial"/>
          <w:sz w:val="24"/>
          <w:szCs w:val="24"/>
        </w:rPr>
        <w:t>multa</w:t>
      </w:r>
      <w:r>
        <w:rPr>
          <w:rFonts w:ascii="Arial" w:hAnsi="Arial" w:cs="Arial"/>
          <w:spacing w:val="-4"/>
          <w:sz w:val="24"/>
          <w:szCs w:val="24"/>
        </w:rPr>
        <w:t xml:space="preserve"> </w:t>
      </w:r>
      <w:r>
        <w:rPr>
          <w:rFonts w:ascii="Arial" w:hAnsi="Arial" w:cs="Arial"/>
          <w:sz w:val="24"/>
          <w:szCs w:val="24"/>
        </w:rPr>
        <w:t>de</w:t>
      </w:r>
      <w:r>
        <w:rPr>
          <w:rFonts w:ascii="Arial" w:hAnsi="Arial" w:cs="Arial"/>
          <w:spacing w:val="-7"/>
          <w:sz w:val="24"/>
          <w:szCs w:val="24"/>
        </w:rPr>
        <w:t xml:space="preserve"> </w:t>
      </w:r>
      <w:r>
        <w:rPr>
          <w:rFonts w:ascii="Arial" w:hAnsi="Arial" w:cs="Arial"/>
          <w:sz w:val="24"/>
          <w:szCs w:val="24"/>
        </w:rPr>
        <w:t>50</w:t>
      </w:r>
      <w:r>
        <w:rPr>
          <w:rFonts w:ascii="Arial" w:hAnsi="Arial" w:cs="Arial"/>
          <w:spacing w:val="-5"/>
          <w:sz w:val="24"/>
          <w:szCs w:val="24"/>
        </w:rPr>
        <w:t xml:space="preserve"> </w:t>
      </w:r>
      <w:r>
        <w:rPr>
          <w:rFonts w:ascii="Arial" w:hAnsi="Arial" w:cs="Arial"/>
          <w:sz w:val="24"/>
          <w:szCs w:val="24"/>
        </w:rPr>
        <w:t>a</w:t>
      </w:r>
      <w:r>
        <w:rPr>
          <w:rFonts w:ascii="Arial" w:hAnsi="Arial" w:cs="Arial"/>
          <w:spacing w:val="-4"/>
          <w:sz w:val="24"/>
          <w:szCs w:val="24"/>
        </w:rPr>
        <w:t xml:space="preserve"> </w:t>
      </w:r>
      <w:r>
        <w:rPr>
          <w:rFonts w:ascii="Arial" w:hAnsi="Arial" w:cs="Arial"/>
          <w:sz w:val="24"/>
          <w:szCs w:val="24"/>
        </w:rPr>
        <w:t>100</w:t>
      </w:r>
      <w:r>
        <w:rPr>
          <w:rFonts w:ascii="Arial" w:hAnsi="Arial" w:cs="Arial"/>
          <w:spacing w:val="-5"/>
          <w:sz w:val="24"/>
          <w:szCs w:val="24"/>
        </w:rPr>
        <w:t xml:space="preserve"> </w:t>
      </w:r>
      <w:r>
        <w:rPr>
          <w:rFonts w:ascii="Arial" w:hAnsi="Arial" w:cs="Arial"/>
          <w:spacing w:val="-2"/>
          <w:sz w:val="24"/>
          <w:szCs w:val="24"/>
        </w:rPr>
        <w:t>UMAS;</w:t>
      </w:r>
    </w:p>
    <w:p w14:paraId="1AE2B964" w14:textId="77777777" w:rsidR="00D3344B" w:rsidRDefault="00143C25">
      <w:pPr>
        <w:pStyle w:val="Prrafodelista"/>
        <w:widowControl w:val="0"/>
        <w:numPr>
          <w:ilvl w:val="0"/>
          <w:numId w:val="16"/>
        </w:numPr>
        <w:tabs>
          <w:tab w:val="left" w:pos="377"/>
        </w:tabs>
        <w:suppressAutoHyphens w:val="0"/>
        <w:spacing w:before="184" w:after="0" w:line="240" w:lineRule="auto"/>
        <w:ind w:left="1134" w:right="235" w:hanging="365"/>
        <w:contextualSpacing w:val="0"/>
        <w:jc w:val="both"/>
        <w:rPr>
          <w:rFonts w:ascii="Arial" w:hAnsi="Arial" w:cs="Arial"/>
          <w:sz w:val="24"/>
          <w:szCs w:val="24"/>
        </w:rPr>
      </w:pPr>
      <w:r>
        <w:rPr>
          <w:rFonts w:ascii="Arial" w:hAnsi="Arial" w:cs="Arial"/>
          <w:sz w:val="24"/>
          <w:szCs w:val="24"/>
        </w:rPr>
        <w:lastRenderedPageBreak/>
        <w:t>Por vender boletos para el acceso de espectáculos públicos sin autorización de la Secretaría de Finanzas, multa de 50 a 100 UMAS;</w:t>
      </w:r>
    </w:p>
    <w:p w14:paraId="06EEE841" w14:textId="77777777" w:rsidR="00D3344B" w:rsidRDefault="00143C25">
      <w:pPr>
        <w:pStyle w:val="Prrafodelista"/>
        <w:widowControl w:val="0"/>
        <w:numPr>
          <w:ilvl w:val="0"/>
          <w:numId w:val="16"/>
        </w:numPr>
        <w:suppressAutoHyphens w:val="0"/>
        <w:spacing w:before="186" w:after="0" w:line="240" w:lineRule="auto"/>
        <w:ind w:left="1134" w:hanging="365"/>
        <w:contextualSpacing w:val="0"/>
        <w:jc w:val="both"/>
        <w:rPr>
          <w:rFonts w:ascii="Arial" w:hAnsi="Arial" w:cs="Arial"/>
          <w:sz w:val="24"/>
          <w:szCs w:val="24"/>
        </w:rPr>
      </w:pPr>
      <w:r>
        <w:rPr>
          <w:rFonts w:ascii="Arial" w:hAnsi="Arial" w:cs="Arial"/>
          <w:sz w:val="24"/>
          <w:szCs w:val="24"/>
        </w:rPr>
        <w:t>Por</w:t>
      </w:r>
      <w:r>
        <w:rPr>
          <w:rFonts w:ascii="Arial" w:hAnsi="Arial" w:cs="Arial"/>
          <w:spacing w:val="-3"/>
          <w:sz w:val="24"/>
          <w:szCs w:val="24"/>
        </w:rPr>
        <w:t xml:space="preserve"> </w:t>
      </w:r>
      <w:r>
        <w:rPr>
          <w:rFonts w:ascii="Arial" w:hAnsi="Arial" w:cs="Arial"/>
          <w:sz w:val="24"/>
          <w:szCs w:val="24"/>
        </w:rPr>
        <w:t>expedir</w:t>
      </w:r>
      <w:r>
        <w:rPr>
          <w:rFonts w:ascii="Arial" w:hAnsi="Arial" w:cs="Arial"/>
          <w:spacing w:val="-3"/>
          <w:sz w:val="24"/>
          <w:szCs w:val="24"/>
        </w:rPr>
        <w:t xml:space="preserve"> </w:t>
      </w:r>
      <w:r>
        <w:rPr>
          <w:rFonts w:ascii="Arial" w:hAnsi="Arial" w:cs="Arial"/>
          <w:sz w:val="24"/>
          <w:szCs w:val="24"/>
        </w:rPr>
        <w:t>boletos</w:t>
      </w:r>
      <w:r>
        <w:rPr>
          <w:rFonts w:ascii="Arial" w:hAnsi="Arial" w:cs="Arial"/>
          <w:spacing w:val="-3"/>
          <w:sz w:val="24"/>
          <w:szCs w:val="24"/>
        </w:rPr>
        <w:t xml:space="preserve"> </w:t>
      </w:r>
      <w:r>
        <w:rPr>
          <w:rFonts w:ascii="Arial" w:hAnsi="Arial" w:cs="Arial"/>
          <w:sz w:val="24"/>
          <w:szCs w:val="24"/>
        </w:rPr>
        <w:t>sin</w:t>
      </w:r>
      <w:r>
        <w:rPr>
          <w:rFonts w:ascii="Arial" w:hAnsi="Arial" w:cs="Arial"/>
          <w:spacing w:val="-5"/>
          <w:sz w:val="24"/>
          <w:szCs w:val="24"/>
        </w:rPr>
        <w:t xml:space="preserve"> </w:t>
      </w:r>
      <w:r>
        <w:rPr>
          <w:rFonts w:ascii="Arial" w:hAnsi="Arial" w:cs="Arial"/>
          <w:sz w:val="24"/>
          <w:szCs w:val="24"/>
        </w:rPr>
        <w:t>los</w:t>
      </w:r>
      <w:r>
        <w:rPr>
          <w:rFonts w:ascii="Arial" w:hAnsi="Arial" w:cs="Arial"/>
          <w:spacing w:val="-3"/>
          <w:sz w:val="24"/>
          <w:szCs w:val="24"/>
        </w:rPr>
        <w:t xml:space="preserve"> </w:t>
      </w:r>
      <w:r>
        <w:rPr>
          <w:rFonts w:ascii="Arial" w:hAnsi="Arial" w:cs="Arial"/>
          <w:sz w:val="24"/>
          <w:szCs w:val="24"/>
        </w:rPr>
        <w:t>requisitos</w:t>
      </w:r>
      <w:r>
        <w:rPr>
          <w:rFonts w:ascii="Arial" w:hAnsi="Arial" w:cs="Arial"/>
          <w:spacing w:val="-2"/>
          <w:sz w:val="24"/>
          <w:szCs w:val="24"/>
        </w:rPr>
        <w:t xml:space="preserve"> </w:t>
      </w:r>
      <w:r>
        <w:rPr>
          <w:rFonts w:ascii="Arial" w:hAnsi="Arial" w:cs="Arial"/>
          <w:sz w:val="24"/>
          <w:szCs w:val="24"/>
        </w:rPr>
        <w:t>previstos</w:t>
      </w:r>
      <w:r>
        <w:rPr>
          <w:rFonts w:ascii="Arial" w:hAnsi="Arial" w:cs="Arial"/>
          <w:spacing w:val="-5"/>
          <w:sz w:val="24"/>
          <w:szCs w:val="24"/>
        </w:rPr>
        <w:t xml:space="preserve"> </w:t>
      </w:r>
      <w:r>
        <w:rPr>
          <w:rFonts w:ascii="Arial" w:hAnsi="Arial" w:cs="Arial"/>
          <w:sz w:val="24"/>
          <w:szCs w:val="24"/>
        </w:rPr>
        <w:t>en</w:t>
      </w:r>
      <w:r>
        <w:rPr>
          <w:rFonts w:ascii="Arial" w:hAnsi="Arial" w:cs="Arial"/>
          <w:spacing w:val="-3"/>
          <w:sz w:val="24"/>
          <w:szCs w:val="24"/>
        </w:rPr>
        <w:t xml:space="preserve"> </w:t>
      </w:r>
      <w:r>
        <w:rPr>
          <w:rFonts w:ascii="Arial" w:hAnsi="Arial" w:cs="Arial"/>
          <w:sz w:val="24"/>
          <w:szCs w:val="24"/>
        </w:rPr>
        <w:t>este</w:t>
      </w:r>
      <w:r>
        <w:rPr>
          <w:rFonts w:ascii="Arial" w:hAnsi="Arial" w:cs="Arial"/>
          <w:spacing w:val="-2"/>
          <w:sz w:val="24"/>
          <w:szCs w:val="24"/>
        </w:rPr>
        <w:t xml:space="preserve"> </w:t>
      </w:r>
      <w:r>
        <w:rPr>
          <w:rFonts w:ascii="Arial" w:hAnsi="Arial" w:cs="Arial"/>
          <w:sz w:val="24"/>
          <w:szCs w:val="24"/>
        </w:rPr>
        <w:t>Código,</w:t>
      </w:r>
      <w:r>
        <w:rPr>
          <w:rFonts w:ascii="Arial" w:hAnsi="Arial" w:cs="Arial"/>
          <w:spacing w:val="-6"/>
          <w:sz w:val="24"/>
          <w:szCs w:val="24"/>
        </w:rPr>
        <w:t xml:space="preserve"> </w:t>
      </w:r>
      <w:r>
        <w:rPr>
          <w:rFonts w:ascii="Arial" w:hAnsi="Arial" w:cs="Arial"/>
          <w:sz w:val="24"/>
          <w:szCs w:val="24"/>
        </w:rPr>
        <w:t>multa</w:t>
      </w:r>
      <w:r>
        <w:rPr>
          <w:rFonts w:ascii="Arial" w:hAnsi="Arial" w:cs="Arial"/>
          <w:spacing w:val="-3"/>
          <w:sz w:val="24"/>
          <w:szCs w:val="24"/>
        </w:rPr>
        <w:t xml:space="preserve"> </w:t>
      </w:r>
      <w:r>
        <w:rPr>
          <w:rFonts w:ascii="Arial" w:hAnsi="Arial" w:cs="Arial"/>
          <w:sz w:val="24"/>
          <w:szCs w:val="24"/>
        </w:rPr>
        <w:t>de</w:t>
      </w:r>
      <w:r>
        <w:rPr>
          <w:rFonts w:ascii="Arial" w:hAnsi="Arial" w:cs="Arial"/>
          <w:spacing w:val="-2"/>
          <w:sz w:val="24"/>
          <w:szCs w:val="24"/>
        </w:rPr>
        <w:t xml:space="preserve"> </w:t>
      </w:r>
      <w:r>
        <w:rPr>
          <w:rFonts w:ascii="Arial" w:hAnsi="Arial" w:cs="Arial"/>
          <w:sz w:val="24"/>
          <w:szCs w:val="24"/>
        </w:rPr>
        <w:t>30</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50</w:t>
      </w:r>
      <w:r>
        <w:rPr>
          <w:rFonts w:ascii="Arial" w:hAnsi="Arial" w:cs="Arial"/>
          <w:spacing w:val="-2"/>
          <w:sz w:val="24"/>
          <w:szCs w:val="24"/>
        </w:rPr>
        <w:t xml:space="preserve"> UMAS;</w:t>
      </w:r>
    </w:p>
    <w:p w14:paraId="1650BE90" w14:textId="77777777" w:rsidR="00D3344B" w:rsidRDefault="00143C25">
      <w:pPr>
        <w:pStyle w:val="Prrafodelista"/>
        <w:widowControl w:val="0"/>
        <w:numPr>
          <w:ilvl w:val="0"/>
          <w:numId w:val="16"/>
        </w:numPr>
        <w:suppressAutoHyphens w:val="0"/>
        <w:spacing w:before="184" w:after="0" w:line="240" w:lineRule="auto"/>
        <w:ind w:left="1134" w:right="229" w:hanging="365"/>
        <w:contextualSpacing w:val="0"/>
        <w:jc w:val="both"/>
        <w:rPr>
          <w:rFonts w:ascii="Arial" w:hAnsi="Arial" w:cs="Arial"/>
          <w:sz w:val="24"/>
          <w:szCs w:val="24"/>
        </w:rPr>
      </w:pPr>
      <w:r>
        <w:rPr>
          <w:rFonts w:ascii="Arial" w:hAnsi="Arial" w:cs="Arial"/>
          <w:sz w:val="24"/>
          <w:szCs w:val="24"/>
        </w:rPr>
        <w:t>Por</w:t>
      </w:r>
      <w:r>
        <w:rPr>
          <w:rFonts w:ascii="Arial" w:hAnsi="Arial" w:cs="Arial"/>
          <w:spacing w:val="-6"/>
          <w:sz w:val="24"/>
          <w:szCs w:val="24"/>
        </w:rPr>
        <w:t xml:space="preserve"> </w:t>
      </w:r>
      <w:r>
        <w:rPr>
          <w:rFonts w:ascii="Arial" w:hAnsi="Arial" w:cs="Arial"/>
          <w:sz w:val="24"/>
          <w:szCs w:val="24"/>
        </w:rPr>
        <w:t>permitir</w:t>
      </w:r>
      <w:r>
        <w:rPr>
          <w:rFonts w:ascii="Arial" w:hAnsi="Arial" w:cs="Arial"/>
          <w:spacing w:val="-6"/>
          <w:sz w:val="24"/>
          <w:szCs w:val="24"/>
        </w:rPr>
        <w:t xml:space="preserve"> </w:t>
      </w:r>
      <w:r>
        <w:rPr>
          <w:rFonts w:ascii="Arial" w:hAnsi="Arial" w:cs="Arial"/>
          <w:sz w:val="24"/>
          <w:szCs w:val="24"/>
        </w:rPr>
        <w:t>el</w:t>
      </w:r>
      <w:r>
        <w:rPr>
          <w:rFonts w:ascii="Arial" w:hAnsi="Arial" w:cs="Arial"/>
          <w:spacing w:val="-6"/>
          <w:sz w:val="24"/>
          <w:szCs w:val="24"/>
        </w:rPr>
        <w:t xml:space="preserve"> </w:t>
      </w:r>
      <w:r>
        <w:rPr>
          <w:rFonts w:ascii="Arial" w:hAnsi="Arial" w:cs="Arial"/>
          <w:sz w:val="24"/>
          <w:szCs w:val="24"/>
        </w:rPr>
        <w:t>acceso</w:t>
      </w:r>
      <w:r>
        <w:rPr>
          <w:rFonts w:ascii="Arial" w:hAnsi="Arial" w:cs="Arial"/>
          <w:spacing w:val="-7"/>
          <w:sz w:val="24"/>
          <w:szCs w:val="24"/>
        </w:rPr>
        <w:t xml:space="preserve"> </w:t>
      </w:r>
      <w:r>
        <w:rPr>
          <w:rFonts w:ascii="Arial" w:hAnsi="Arial" w:cs="Arial"/>
          <w:sz w:val="24"/>
          <w:szCs w:val="24"/>
        </w:rPr>
        <w:t>al</w:t>
      </w:r>
      <w:r>
        <w:rPr>
          <w:rFonts w:ascii="Arial" w:hAnsi="Arial" w:cs="Arial"/>
          <w:spacing w:val="-8"/>
          <w:sz w:val="24"/>
          <w:szCs w:val="24"/>
        </w:rPr>
        <w:t xml:space="preserve"> </w:t>
      </w:r>
      <w:r>
        <w:rPr>
          <w:rFonts w:ascii="Arial" w:hAnsi="Arial" w:cs="Arial"/>
          <w:sz w:val="24"/>
          <w:szCs w:val="24"/>
        </w:rPr>
        <w:t>espectador</w:t>
      </w:r>
      <w:r>
        <w:rPr>
          <w:rFonts w:ascii="Arial" w:hAnsi="Arial" w:cs="Arial"/>
          <w:spacing w:val="-6"/>
          <w:sz w:val="24"/>
          <w:szCs w:val="24"/>
        </w:rPr>
        <w:t xml:space="preserve"> </w:t>
      </w:r>
      <w:r>
        <w:rPr>
          <w:rFonts w:ascii="Arial" w:hAnsi="Arial" w:cs="Arial"/>
          <w:sz w:val="24"/>
          <w:szCs w:val="24"/>
        </w:rPr>
        <w:t>al</w:t>
      </w:r>
      <w:r>
        <w:rPr>
          <w:rFonts w:ascii="Arial" w:hAnsi="Arial" w:cs="Arial"/>
          <w:spacing w:val="-6"/>
          <w:sz w:val="24"/>
          <w:szCs w:val="24"/>
        </w:rPr>
        <w:t xml:space="preserve"> </w:t>
      </w:r>
      <w:r>
        <w:rPr>
          <w:rFonts w:ascii="Arial" w:hAnsi="Arial" w:cs="Arial"/>
          <w:sz w:val="24"/>
          <w:szCs w:val="24"/>
        </w:rPr>
        <w:t>evento</w:t>
      </w:r>
      <w:r>
        <w:rPr>
          <w:rFonts w:ascii="Arial" w:hAnsi="Arial" w:cs="Arial"/>
          <w:spacing w:val="-7"/>
          <w:sz w:val="24"/>
          <w:szCs w:val="24"/>
        </w:rPr>
        <w:t xml:space="preserve"> </w:t>
      </w:r>
      <w:r>
        <w:rPr>
          <w:rFonts w:ascii="Arial" w:hAnsi="Arial" w:cs="Arial"/>
          <w:sz w:val="24"/>
          <w:szCs w:val="24"/>
        </w:rPr>
        <w:t>público,</w:t>
      </w:r>
      <w:r>
        <w:rPr>
          <w:rFonts w:ascii="Arial" w:hAnsi="Arial" w:cs="Arial"/>
          <w:spacing w:val="-7"/>
          <w:sz w:val="24"/>
          <w:szCs w:val="24"/>
        </w:rPr>
        <w:t xml:space="preserve"> </w:t>
      </w:r>
      <w:r>
        <w:rPr>
          <w:rFonts w:ascii="Arial" w:hAnsi="Arial" w:cs="Arial"/>
          <w:sz w:val="24"/>
          <w:szCs w:val="24"/>
        </w:rPr>
        <w:t>sin</w:t>
      </w:r>
      <w:r>
        <w:rPr>
          <w:rFonts w:ascii="Arial" w:hAnsi="Arial" w:cs="Arial"/>
          <w:spacing w:val="-7"/>
          <w:sz w:val="24"/>
          <w:szCs w:val="24"/>
        </w:rPr>
        <w:t xml:space="preserve"> </w:t>
      </w:r>
      <w:r>
        <w:rPr>
          <w:rFonts w:ascii="Arial" w:hAnsi="Arial" w:cs="Arial"/>
          <w:sz w:val="24"/>
          <w:szCs w:val="24"/>
        </w:rPr>
        <w:t>boleto,</w:t>
      </w:r>
      <w:r>
        <w:rPr>
          <w:rFonts w:ascii="Arial" w:hAnsi="Arial" w:cs="Arial"/>
          <w:spacing w:val="-7"/>
          <w:sz w:val="24"/>
          <w:szCs w:val="24"/>
        </w:rPr>
        <w:t xml:space="preserve"> </w:t>
      </w:r>
      <w:r>
        <w:rPr>
          <w:rFonts w:ascii="Arial" w:hAnsi="Arial" w:cs="Arial"/>
          <w:sz w:val="24"/>
          <w:szCs w:val="24"/>
        </w:rPr>
        <w:t>excepto</w:t>
      </w:r>
      <w:r>
        <w:rPr>
          <w:rFonts w:ascii="Arial" w:hAnsi="Arial" w:cs="Arial"/>
          <w:spacing w:val="-7"/>
          <w:sz w:val="24"/>
          <w:szCs w:val="24"/>
        </w:rPr>
        <w:t xml:space="preserve"> </w:t>
      </w:r>
      <w:r>
        <w:rPr>
          <w:rFonts w:ascii="Arial" w:hAnsi="Arial" w:cs="Arial"/>
          <w:sz w:val="24"/>
          <w:szCs w:val="24"/>
        </w:rPr>
        <w:t>los</w:t>
      </w:r>
      <w:r>
        <w:rPr>
          <w:rFonts w:ascii="Arial" w:hAnsi="Arial" w:cs="Arial"/>
          <w:spacing w:val="-6"/>
          <w:sz w:val="24"/>
          <w:szCs w:val="24"/>
        </w:rPr>
        <w:t xml:space="preserve"> </w:t>
      </w:r>
      <w:r>
        <w:rPr>
          <w:rFonts w:ascii="Arial" w:hAnsi="Arial" w:cs="Arial"/>
          <w:sz w:val="24"/>
          <w:szCs w:val="24"/>
        </w:rPr>
        <w:t>que</w:t>
      </w:r>
      <w:r>
        <w:rPr>
          <w:rFonts w:ascii="Arial" w:hAnsi="Arial" w:cs="Arial"/>
          <w:spacing w:val="-7"/>
          <w:sz w:val="24"/>
          <w:szCs w:val="24"/>
        </w:rPr>
        <w:t xml:space="preserve"> </w:t>
      </w:r>
      <w:r>
        <w:rPr>
          <w:rFonts w:ascii="Arial" w:hAnsi="Arial" w:cs="Arial"/>
          <w:sz w:val="24"/>
          <w:szCs w:val="24"/>
        </w:rPr>
        <w:t>haya</w:t>
      </w:r>
      <w:r>
        <w:rPr>
          <w:rFonts w:ascii="Arial" w:hAnsi="Arial" w:cs="Arial"/>
          <w:spacing w:val="-7"/>
          <w:sz w:val="24"/>
          <w:szCs w:val="24"/>
        </w:rPr>
        <w:t xml:space="preserve"> </w:t>
      </w:r>
      <w:r>
        <w:rPr>
          <w:rFonts w:ascii="Arial" w:hAnsi="Arial" w:cs="Arial"/>
          <w:sz w:val="24"/>
          <w:szCs w:val="24"/>
        </w:rPr>
        <w:t>autorizado la</w:t>
      </w:r>
      <w:r>
        <w:rPr>
          <w:rFonts w:ascii="Arial" w:hAnsi="Arial" w:cs="Arial"/>
          <w:spacing w:val="-4"/>
          <w:sz w:val="24"/>
          <w:szCs w:val="24"/>
        </w:rPr>
        <w:t xml:space="preserve"> </w:t>
      </w:r>
      <w:r>
        <w:rPr>
          <w:rFonts w:ascii="Arial" w:hAnsi="Arial" w:cs="Arial"/>
          <w:sz w:val="24"/>
          <w:szCs w:val="24"/>
        </w:rPr>
        <w:t>Secretaría</w:t>
      </w:r>
      <w:r>
        <w:rPr>
          <w:rFonts w:ascii="Arial" w:hAnsi="Arial" w:cs="Arial"/>
          <w:spacing w:val="-4"/>
          <w:sz w:val="24"/>
          <w:szCs w:val="24"/>
        </w:rPr>
        <w:t xml:space="preserve"> </w:t>
      </w:r>
      <w:r>
        <w:rPr>
          <w:rFonts w:ascii="Arial" w:hAnsi="Arial" w:cs="Arial"/>
          <w:sz w:val="24"/>
          <w:szCs w:val="24"/>
        </w:rPr>
        <w:t>como</w:t>
      </w:r>
      <w:r>
        <w:rPr>
          <w:rFonts w:ascii="Arial" w:hAnsi="Arial" w:cs="Arial"/>
          <w:spacing w:val="-5"/>
          <w:sz w:val="24"/>
          <w:szCs w:val="24"/>
        </w:rPr>
        <w:t xml:space="preserve"> </w:t>
      </w:r>
      <w:r>
        <w:rPr>
          <w:rFonts w:ascii="Arial" w:hAnsi="Arial" w:cs="Arial"/>
          <w:sz w:val="24"/>
          <w:szCs w:val="24"/>
        </w:rPr>
        <w:t>cortesías,</w:t>
      </w:r>
      <w:r>
        <w:rPr>
          <w:rFonts w:ascii="Arial" w:hAnsi="Arial" w:cs="Arial"/>
          <w:spacing w:val="-4"/>
          <w:sz w:val="24"/>
          <w:szCs w:val="24"/>
        </w:rPr>
        <w:t xml:space="preserve"> </w:t>
      </w:r>
      <w:r>
        <w:rPr>
          <w:rFonts w:ascii="Arial" w:hAnsi="Arial" w:cs="Arial"/>
          <w:sz w:val="24"/>
          <w:szCs w:val="24"/>
        </w:rPr>
        <w:t>de</w:t>
      </w:r>
      <w:r>
        <w:rPr>
          <w:rFonts w:ascii="Arial" w:hAnsi="Arial" w:cs="Arial"/>
          <w:spacing w:val="-4"/>
          <w:sz w:val="24"/>
          <w:szCs w:val="24"/>
        </w:rPr>
        <w:t xml:space="preserve"> </w:t>
      </w:r>
      <w:r>
        <w:rPr>
          <w:rFonts w:ascii="Arial" w:hAnsi="Arial" w:cs="Arial"/>
          <w:sz w:val="24"/>
          <w:szCs w:val="24"/>
        </w:rPr>
        <w:t>conformidad</w:t>
      </w:r>
      <w:r>
        <w:rPr>
          <w:rFonts w:ascii="Arial" w:hAnsi="Arial" w:cs="Arial"/>
          <w:spacing w:val="-4"/>
          <w:sz w:val="24"/>
          <w:szCs w:val="24"/>
        </w:rPr>
        <w:t xml:space="preserve"> </w:t>
      </w:r>
      <w:r>
        <w:rPr>
          <w:rFonts w:ascii="Arial" w:hAnsi="Arial" w:cs="Arial"/>
          <w:sz w:val="24"/>
          <w:szCs w:val="24"/>
        </w:rPr>
        <w:t>con</w:t>
      </w:r>
      <w:r>
        <w:rPr>
          <w:rFonts w:ascii="Arial" w:hAnsi="Arial" w:cs="Arial"/>
          <w:spacing w:val="-4"/>
          <w:sz w:val="24"/>
          <w:szCs w:val="24"/>
        </w:rPr>
        <w:t xml:space="preserve"> </w:t>
      </w:r>
      <w:r>
        <w:rPr>
          <w:rFonts w:ascii="Arial" w:hAnsi="Arial" w:cs="Arial"/>
          <w:sz w:val="24"/>
          <w:szCs w:val="24"/>
        </w:rPr>
        <w:t>lo</w:t>
      </w:r>
      <w:r>
        <w:rPr>
          <w:rFonts w:ascii="Arial" w:hAnsi="Arial" w:cs="Arial"/>
          <w:spacing w:val="-5"/>
          <w:sz w:val="24"/>
          <w:szCs w:val="24"/>
        </w:rPr>
        <w:t xml:space="preserve"> </w:t>
      </w:r>
      <w:r>
        <w:rPr>
          <w:rFonts w:ascii="Arial" w:hAnsi="Arial" w:cs="Arial"/>
          <w:sz w:val="24"/>
          <w:szCs w:val="24"/>
        </w:rPr>
        <w:t>establecido</w:t>
      </w:r>
      <w:r>
        <w:rPr>
          <w:rFonts w:ascii="Arial" w:hAnsi="Arial" w:cs="Arial"/>
          <w:spacing w:val="-5"/>
          <w:sz w:val="24"/>
          <w:szCs w:val="24"/>
        </w:rPr>
        <w:t xml:space="preserve"> </w:t>
      </w:r>
      <w:r>
        <w:rPr>
          <w:rFonts w:ascii="Arial" w:hAnsi="Arial" w:cs="Arial"/>
          <w:sz w:val="24"/>
          <w:szCs w:val="24"/>
        </w:rPr>
        <w:t>en</w:t>
      </w:r>
      <w:r>
        <w:rPr>
          <w:rFonts w:ascii="Arial" w:hAnsi="Arial" w:cs="Arial"/>
          <w:spacing w:val="-4"/>
          <w:sz w:val="24"/>
          <w:szCs w:val="24"/>
        </w:rPr>
        <w:t xml:space="preserve"> </w:t>
      </w:r>
      <w:r>
        <w:rPr>
          <w:rFonts w:ascii="Arial" w:hAnsi="Arial" w:cs="Arial"/>
          <w:sz w:val="24"/>
          <w:szCs w:val="24"/>
        </w:rPr>
        <w:t>el</w:t>
      </w:r>
      <w:r>
        <w:rPr>
          <w:rFonts w:ascii="Arial" w:hAnsi="Arial" w:cs="Arial"/>
          <w:spacing w:val="-4"/>
          <w:sz w:val="24"/>
          <w:szCs w:val="24"/>
        </w:rPr>
        <w:t xml:space="preserve"> </w:t>
      </w:r>
      <w:r>
        <w:rPr>
          <w:rFonts w:ascii="Arial" w:hAnsi="Arial" w:cs="Arial"/>
          <w:sz w:val="24"/>
          <w:szCs w:val="24"/>
        </w:rPr>
        <w:t>cuarto</w:t>
      </w:r>
      <w:r>
        <w:rPr>
          <w:rFonts w:ascii="Arial" w:hAnsi="Arial" w:cs="Arial"/>
          <w:spacing w:val="-5"/>
          <w:sz w:val="24"/>
          <w:szCs w:val="24"/>
        </w:rPr>
        <w:t xml:space="preserve"> </w:t>
      </w:r>
      <w:r>
        <w:rPr>
          <w:rFonts w:ascii="Arial" w:hAnsi="Arial" w:cs="Arial"/>
          <w:sz w:val="24"/>
          <w:szCs w:val="24"/>
        </w:rPr>
        <w:t>párrafo</w:t>
      </w:r>
      <w:r>
        <w:rPr>
          <w:rFonts w:ascii="Arial" w:hAnsi="Arial" w:cs="Arial"/>
          <w:spacing w:val="-5"/>
          <w:sz w:val="24"/>
          <w:szCs w:val="24"/>
        </w:rPr>
        <w:t xml:space="preserve"> </w:t>
      </w:r>
      <w:r>
        <w:rPr>
          <w:rFonts w:ascii="Arial" w:hAnsi="Arial" w:cs="Arial"/>
          <w:sz w:val="24"/>
          <w:szCs w:val="24"/>
        </w:rPr>
        <w:t>del</w:t>
      </w:r>
      <w:r>
        <w:rPr>
          <w:rFonts w:ascii="Arial" w:hAnsi="Arial" w:cs="Arial"/>
          <w:spacing w:val="-4"/>
          <w:sz w:val="24"/>
          <w:szCs w:val="24"/>
        </w:rPr>
        <w:t xml:space="preserve"> </w:t>
      </w:r>
      <w:r>
        <w:rPr>
          <w:rFonts w:ascii="Arial" w:hAnsi="Arial" w:cs="Arial"/>
          <w:sz w:val="24"/>
          <w:szCs w:val="24"/>
        </w:rPr>
        <w:t>artículo</w:t>
      </w:r>
      <w:r>
        <w:rPr>
          <w:rFonts w:ascii="Arial" w:hAnsi="Arial" w:cs="Arial"/>
          <w:spacing w:val="-5"/>
          <w:sz w:val="24"/>
          <w:szCs w:val="24"/>
        </w:rPr>
        <w:t xml:space="preserve"> </w:t>
      </w:r>
      <w:r>
        <w:rPr>
          <w:rFonts w:ascii="Arial" w:hAnsi="Arial" w:cs="Arial"/>
          <w:sz w:val="24"/>
          <w:szCs w:val="24"/>
        </w:rPr>
        <w:t>108 de este Código, se cobrará multa de 30 a 50 UMAS, e</w:t>
      </w:r>
    </w:p>
    <w:p w14:paraId="32AB4F96" w14:textId="77777777" w:rsidR="00D3344B" w:rsidRDefault="00143C25">
      <w:pPr>
        <w:pStyle w:val="Prrafodelista"/>
        <w:widowControl w:val="0"/>
        <w:numPr>
          <w:ilvl w:val="0"/>
          <w:numId w:val="16"/>
        </w:numPr>
        <w:suppressAutoHyphens w:val="0"/>
        <w:spacing w:before="184" w:after="0" w:line="240" w:lineRule="auto"/>
        <w:ind w:left="1134" w:right="229" w:hanging="365"/>
        <w:contextualSpacing w:val="0"/>
        <w:jc w:val="both"/>
        <w:rPr>
          <w:rFonts w:ascii="Arial" w:hAnsi="Arial" w:cs="Arial"/>
          <w:sz w:val="24"/>
          <w:szCs w:val="24"/>
        </w:rPr>
      </w:pPr>
      <w:r>
        <w:rPr>
          <w:rFonts w:ascii="Arial" w:hAnsi="Arial" w:cs="Arial"/>
          <w:sz w:val="24"/>
          <w:szCs w:val="24"/>
        </w:rPr>
        <w:t>A las personas y/o entes públicos que, mediante cualquier acto, contrato presten o arrienden los inmuebles expresamente para que se lleven a cabo actividades gravadas del artículo 107 de este Código</w:t>
      </w:r>
      <w:r>
        <w:rPr>
          <w:rFonts w:ascii="Arial" w:hAnsi="Arial" w:cs="Arial"/>
          <w:spacing w:val="-12"/>
          <w:sz w:val="24"/>
          <w:szCs w:val="24"/>
        </w:rPr>
        <w:t xml:space="preserve"> </w:t>
      </w:r>
      <w:r>
        <w:rPr>
          <w:rFonts w:ascii="Arial" w:hAnsi="Arial" w:cs="Arial"/>
          <w:sz w:val="24"/>
          <w:szCs w:val="24"/>
        </w:rPr>
        <w:t>y</w:t>
      </w:r>
      <w:r>
        <w:rPr>
          <w:rFonts w:ascii="Arial" w:hAnsi="Arial" w:cs="Arial"/>
          <w:spacing w:val="-12"/>
          <w:sz w:val="24"/>
          <w:szCs w:val="24"/>
        </w:rPr>
        <w:t xml:space="preserve"> </w:t>
      </w:r>
      <w:r>
        <w:rPr>
          <w:rFonts w:ascii="Arial" w:hAnsi="Arial" w:cs="Arial"/>
          <w:sz w:val="24"/>
          <w:szCs w:val="24"/>
        </w:rPr>
        <w:t>que</w:t>
      </w:r>
      <w:r>
        <w:rPr>
          <w:rFonts w:ascii="Arial" w:hAnsi="Arial" w:cs="Arial"/>
          <w:spacing w:val="-12"/>
          <w:sz w:val="24"/>
          <w:szCs w:val="24"/>
        </w:rPr>
        <w:t xml:space="preserve"> </w:t>
      </w:r>
      <w:r>
        <w:rPr>
          <w:rFonts w:ascii="Arial" w:hAnsi="Arial" w:cs="Arial"/>
          <w:sz w:val="24"/>
          <w:szCs w:val="24"/>
        </w:rPr>
        <w:t>autoricen</w:t>
      </w:r>
      <w:r>
        <w:rPr>
          <w:rFonts w:ascii="Arial" w:hAnsi="Arial" w:cs="Arial"/>
          <w:spacing w:val="-12"/>
          <w:sz w:val="24"/>
          <w:szCs w:val="24"/>
        </w:rPr>
        <w:t xml:space="preserve"> </w:t>
      </w:r>
      <w:r>
        <w:rPr>
          <w:rFonts w:ascii="Arial" w:hAnsi="Arial" w:cs="Arial"/>
          <w:sz w:val="24"/>
          <w:szCs w:val="24"/>
        </w:rPr>
        <w:t>o</w:t>
      </w:r>
      <w:r>
        <w:rPr>
          <w:rFonts w:ascii="Arial" w:hAnsi="Arial" w:cs="Arial"/>
          <w:spacing w:val="-12"/>
          <w:sz w:val="24"/>
          <w:szCs w:val="24"/>
        </w:rPr>
        <w:t xml:space="preserve"> </w:t>
      </w:r>
      <w:r>
        <w:rPr>
          <w:rFonts w:ascii="Arial" w:hAnsi="Arial" w:cs="Arial"/>
          <w:sz w:val="24"/>
          <w:szCs w:val="24"/>
        </w:rPr>
        <w:t>permitan</w:t>
      </w:r>
      <w:r>
        <w:rPr>
          <w:rFonts w:ascii="Arial" w:hAnsi="Arial" w:cs="Arial"/>
          <w:spacing w:val="-12"/>
          <w:sz w:val="24"/>
          <w:szCs w:val="24"/>
        </w:rPr>
        <w:t xml:space="preserve"> </w:t>
      </w:r>
      <w:r>
        <w:rPr>
          <w:rFonts w:ascii="Arial" w:hAnsi="Arial" w:cs="Arial"/>
          <w:sz w:val="24"/>
          <w:szCs w:val="24"/>
        </w:rPr>
        <w:t>la</w:t>
      </w:r>
      <w:r>
        <w:rPr>
          <w:rFonts w:ascii="Arial" w:hAnsi="Arial" w:cs="Arial"/>
          <w:spacing w:val="-12"/>
          <w:sz w:val="24"/>
          <w:szCs w:val="24"/>
        </w:rPr>
        <w:t xml:space="preserve"> </w:t>
      </w:r>
      <w:r>
        <w:rPr>
          <w:rFonts w:ascii="Arial" w:hAnsi="Arial" w:cs="Arial"/>
          <w:sz w:val="24"/>
          <w:szCs w:val="24"/>
        </w:rPr>
        <w:t>realización</w:t>
      </w:r>
      <w:r>
        <w:rPr>
          <w:rFonts w:ascii="Arial" w:hAnsi="Arial" w:cs="Arial"/>
          <w:spacing w:val="-12"/>
          <w:sz w:val="24"/>
          <w:szCs w:val="24"/>
        </w:rPr>
        <w:t xml:space="preserve"> </w:t>
      </w:r>
      <w:r>
        <w:rPr>
          <w:rFonts w:ascii="Arial" w:hAnsi="Arial" w:cs="Arial"/>
          <w:sz w:val="24"/>
          <w:szCs w:val="24"/>
        </w:rPr>
        <w:t>del</w:t>
      </w:r>
      <w:r>
        <w:rPr>
          <w:rFonts w:ascii="Arial" w:hAnsi="Arial" w:cs="Arial"/>
          <w:spacing w:val="-11"/>
          <w:sz w:val="24"/>
          <w:szCs w:val="24"/>
        </w:rPr>
        <w:t xml:space="preserve"> </w:t>
      </w:r>
      <w:r>
        <w:rPr>
          <w:rFonts w:ascii="Arial" w:hAnsi="Arial" w:cs="Arial"/>
          <w:sz w:val="24"/>
          <w:szCs w:val="24"/>
        </w:rPr>
        <w:t>espectáculo</w:t>
      </w:r>
      <w:r>
        <w:rPr>
          <w:rFonts w:ascii="Arial" w:hAnsi="Arial" w:cs="Arial"/>
          <w:spacing w:val="-12"/>
          <w:sz w:val="24"/>
          <w:szCs w:val="24"/>
        </w:rPr>
        <w:t xml:space="preserve"> </w:t>
      </w:r>
      <w:r>
        <w:rPr>
          <w:rFonts w:ascii="Arial" w:hAnsi="Arial" w:cs="Arial"/>
          <w:sz w:val="24"/>
          <w:szCs w:val="24"/>
        </w:rPr>
        <w:t>público</w:t>
      </w:r>
      <w:r>
        <w:rPr>
          <w:rFonts w:ascii="Arial" w:hAnsi="Arial" w:cs="Arial"/>
          <w:spacing w:val="-12"/>
          <w:sz w:val="24"/>
          <w:szCs w:val="24"/>
        </w:rPr>
        <w:t xml:space="preserve"> </w:t>
      </w:r>
      <w:r>
        <w:rPr>
          <w:rFonts w:ascii="Arial" w:hAnsi="Arial" w:cs="Arial"/>
          <w:sz w:val="24"/>
          <w:szCs w:val="24"/>
        </w:rPr>
        <w:t>sin</w:t>
      </w:r>
      <w:r>
        <w:rPr>
          <w:rFonts w:ascii="Arial" w:hAnsi="Arial" w:cs="Arial"/>
          <w:spacing w:val="-12"/>
          <w:sz w:val="24"/>
          <w:szCs w:val="24"/>
        </w:rPr>
        <w:t xml:space="preserve"> </w:t>
      </w:r>
      <w:r>
        <w:rPr>
          <w:rFonts w:ascii="Arial" w:hAnsi="Arial" w:cs="Arial"/>
          <w:sz w:val="24"/>
          <w:szCs w:val="24"/>
        </w:rPr>
        <w:t>solicitar</w:t>
      </w:r>
      <w:r>
        <w:rPr>
          <w:rFonts w:ascii="Arial" w:hAnsi="Arial" w:cs="Arial"/>
          <w:spacing w:val="-11"/>
          <w:sz w:val="24"/>
          <w:szCs w:val="24"/>
        </w:rPr>
        <w:t xml:space="preserve"> </w:t>
      </w:r>
      <w:r>
        <w:rPr>
          <w:rFonts w:ascii="Arial" w:hAnsi="Arial" w:cs="Arial"/>
          <w:sz w:val="24"/>
          <w:szCs w:val="24"/>
        </w:rPr>
        <w:t>el</w:t>
      </w:r>
      <w:r>
        <w:rPr>
          <w:rFonts w:ascii="Arial" w:hAnsi="Arial" w:cs="Arial"/>
          <w:spacing w:val="-11"/>
          <w:sz w:val="24"/>
          <w:szCs w:val="24"/>
        </w:rPr>
        <w:t xml:space="preserve"> </w:t>
      </w:r>
      <w:r>
        <w:rPr>
          <w:rFonts w:ascii="Arial" w:hAnsi="Arial" w:cs="Arial"/>
          <w:sz w:val="24"/>
          <w:szCs w:val="24"/>
        </w:rPr>
        <w:t>comprobante de pago de dicho impuesto a los organizadores y/o comisiones encargadas de realizar, presentar dichos espectáculos públicos se les impondrá una multa de 150 a 200 UMAS.</w:t>
      </w:r>
    </w:p>
    <w:p w14:paraId="71190CF3" w14:textId="77777777" w:rsidR="00D3344B" w:rsidRDefault="00D3344B">
      <w:pPr>
        <w:pStyle w:val="Estilo"/>
        <w:rPr>
          <w:rFonts w:cs="Arial"/>
          <w:szCs w:val="24"/>
        </w:rPr>
      </w:pPr>
    </w:p>
    <w:p w14:paraId="6912AFD9" w14:textId="77777777" w:rsidR="00D3344B" w:rsidRDefault="00143C25">
      <w:pPr>
        <w:pStyle w:val="Estilo"/>
        <w:rPr>
          <w:rFonts w:cs="Arial"/>
          <w:szCs w:val="24"/>
        </w:rPr>
      </w:pPr>
      <w:r>
        <w:rPr>
          <w:rFonts w:cs="Arial"/>
          <w:szCs w:val="24"/>
        </w:rPr>
        <w:t>Cuando la liquidación de algún crédito fiscal esté encomendada a servidores públicos del Estado o de los municipios, estos serán responsables de las infracciones que se cometan y se les aplicarán las sanciones que correspondan, quedando únicamente obligados los contribuyentes a pagar el crédito fiscal omitido, excepto en los casos en que este código o alguna ley fiscal disponga que no se podrá exigir al contribuyente dicho pago.</w:t>
      </w:r>
    </w:p>
    <w:p w14:paraId="0CF1157D" w14:textId="77777777" w:rsidR="00D3344B" w:rsidRDefault="00D3344B">
      <w:pPr>
        <w:pStyle w:val="Estilo"/>
        <w:rPr>
          <w:rFonts w:cs="Arial"/>
        </w:rPr>
      </w:pPr>
    </w:p>
    <w:p w14:paraId="17D22757" w14:textId="77777777" w:rsidR="00D3344B" w:rsidRDefault="00143C25">
      <w:pPr>
        <w:pStyle w:val="Estilo"/>
        <w:rPr>
          <w:rFonts w:cs="Arial"/>
        </w:rPr>
      </w:pPr>
      <w:r>
        <w:rPr>
          <w:rFonts w:cs="Arial"/>
          <w:b/>
        </w:rPr>
        <w:t>Artículo 321.</w:t>
      </w:r>
      <w:r>
        <w:rPr>
          <w:rFonts w:cs="Arial"/>
        </w:rPr>
        <w:t xml:space="preserve"> Son infracciones y sanciones aplicables a notarios y corredores públicos, del </w:t>
      </w:r>
      <w:proofErr w:type="gramStart"/>
      <w:r>
        <w:rPr>
          <w:rFonts w:cs="Arial"/>
        </w:rPr>
        <w:t>Director</w:t>
      </w:r>
      <w:proofErr w:type="gramEnd"/>
      <w:r>
        <w:rPr>
          <w:rFonts w:cs="Arial"/>
        </w:rPr>
        <w:t xml:space="preserve"> del Registro Público de la Propiedad y del Comercio y Director de Notarías, las siguientes:</w:t>
      </w:r>
    </w:p>
    <w:p w14:paraId="743C00A8" w14:textId="77777777" w:rsidR="00D3344B" w:rsidRDefault="00D3344B">
      <w:pPr>
        <w:pStyle w:val="Estilo"/>
        <w:rPr>
          <w:rFonts w:cs="Arial"/>
        </w:rPr>
      </w:pPr>
    </w:p>
    <w:p w14:paraId="3CF214E2" w14:textId="77777777" w:rsidR="00D3344B" w:rsidRDefault="00143C25">
      <w:pPr>
        <w:pStyle w:val="Estilo"/>
        <w:ind w:left="567" w:hanging="567"/>
        <w:rPr>
          <w:rFonts w:cs="Arial"/>
        </w:rPr>
      </w:pPr>
      <w:r>
        <w:rPr>
          <w:rFonts w:cs="Arial"/>
        </w:rPr>
        <w:t xml:space="preserve">I. </w:t>
      </w:r>
      <w:r>
        <w:rPr>
          <w:rFonts w:cs="Arial"/>
        </w:rPr>
        <w:tab/>
        <w:t>Omitir el cálculo de las contribuciones causadas por los actos que consten en las escrituras y documentos otorgados ante su fe o expedir las notas de liquidación en forma que dé lugar a la evasión parcial o total de algún gravamen, la sanción correspondiente será de tres veces el importe de la contribución omitida y cuando no se pueda precisar dicho importe, multa de 100 a 300 UMA;</w:t>
      </w:r>
    </w:p>
    <w:p w14:paraId="2E17F2A7" w14:textId="77777777" w:rsidR="00D3344B" w:rsidRDefault="00D3344B">
      <w:pPr>
        <w:pStyle w:val="Estilo"/>
        <w:ind w:left="567" w:hanging="567"/>
        <w:rPr>
          <w:rFonts w:cs="Arial"/>
        </w:rPr>
      </w:pPr>
    </w:p>
    <w:p w14:paraId="67C4AE42" w14:textId="77777777" w:rsidR="00D3344B" w:rsidRDefault="00143C25">
      <w:pPr>
        <w:pStyle w:val="Estilo"/>
        <w:ind w:left="567" w:hanging="567"/>
        <w:rPr>
          <w:rFonts w:cs="Arial"/>
        </w:rPr>
      </w:pPr>
      <w:r>
        <w:rPr>
          <w:rFonts w:cs="Arial"/>
        </w:rPr>
        <w:t xml:space="preserve">II. </w:t>
      </w:r>
      <w:r>
        <w:rPr>
          <w:rFonts w:cs="Arial"/>
        </w:rPr>
        <w:tab/>
        <w:t>Autorizar actos, contratos o escrituras sin cerciorarse del cumplimiento de las contribuciones, estatales y municipales correspondientes, las sanciones previstas en la fracción anterior;</w:t>
      </w:r>
    </w:p>
    <w:p w14:paraId="7F5DFFA7" w14:textId="77777777" w:rsidR="00D3344B" w:rsidRDefault="00D3344B">
      <w:pPr>
        <w:pStyle w:val="Estilo"/>
        <w:ind w:left="567" w:hanging="567"/>
        <w:rPr>
          <w:rFonts w:cs="Arial"/>
        </w:rPr>
      </w:pPr>
    </w:p>
    <w:p w14:paraId="5425962A" w14:textId="77777777" w:rsidR="00D3344B" w:rsidRDefault="00143C25">
      <w:pPr>
        <w:pStyle w:val="Estilo"/>
        <w:ind w:left="567" w:hanging="567"/>
        <w:rPr>
          <w:rFonts w:cs="Arial"/>
        </w:rPr>
      </w:pPr>
      <w:r>
        <w:rPr>
          <w:rFonts w:cs="Arial"/>
        </w:rPr>
        <w:t xml:space="preserve">III. </w:t>
      </w:r>
      <w:r>
        <w:rPr>
          <w:rFonts w:cs="Arial"/>
        </w:rPr>
        <w:tab/>
        <w:t>No proporcionar los informes, documentos o datos que les soliciten las autoridades fiscales, en los plazos que se fijen, multa de 100 a 300 UMA;</w:t>
      </w:r>
    </w:p>
    <w:p w14:paraId="40FEA3B2" w14:textId="77777777" w:rsidR="00D3344B" w:rsidRDefault="00D3344B">
      <w:pPr>
        <w:pStyle w:val="Estilo"/>
        <w:ind w:left="567" w:hanging="567"/>
        <w:rPr>
          <w:rFonts w:cs="Arial"/>
        </w:rPr>
      </w:pPr>
    </w:p>
    <w:p w14:paraId="03DAC6B9" w14:textId="77777777" w:rsidR="00D3344B" w:rsidRDefault="00143C25">
      <w:pPr>
        <w:pStyle w:val="Estilo"/>
        <w:ind w:left="567" w:hanging="567"/>
        <w:rPr>
          <w:rFonts w:cs="Arial"/>
        </w:rPr>
      </w:pPr>
      <w:r>
        <w:rPr>
          <w:rFonts w:cs="Arial"/>
        </w:rPr>
        <w:t xml:space="preserve">IV. </w:t>
      </w:r>
      <w:r>
        <w:rPr>
          <w:rFonts w:cs="Arial"/>
        </w:rPr>
        <w:tab/>
        <w:t>Proporcionar datos o informes falsos o incorrectos o alterados o tachados, multa de 200 a 300 UMA;</w:t>
      </w:r>
    </w:p>
    <w:p w14:paraId="7B065FA0" w14:textId="77777777" w:rsidR="00D3344B" w:rsidRDefault="00D3344B">
      <w:pPr>
        <w:pStyle w:val="Estilo"/>
        <w:ind w:left="567" w:hanging="567"/>
        <w:rPr>
          <w:rFonts w:cs="Arial"/>
        </w:rPr>
      </w:pPr>
    </w:p>
    <w:p w14:paraId="3E8F74B6" w14:textId="77777777" w:rsidR="00D3344B" w:rsidRDefault="00143C25">
      <w:pPr>
        <w:pStyle w:val="Estilo"/>
        <w:ind w:left="567" w:hanging="567"/>
        <w:rPr>
          <w:rFonts w:cs="Arial"/>
        </w:rPr>
      </w:pPr>
      <w:r>
        <w:rPr>
          <w:rFonts w:cs="Arial"/>
        </w:rPr>
        <w:lastRenderedPageBreak/>
        <w:t xml:space="preserve">V. </w:t>
      </w:r>
      <w:r>
        <w:rPr>
          <w:rFonts w:cs="Arial"/>
        </w:rPr>
        <w:tab/>
        <w:t>Resistirse por cualquier medio a las visitas de verificación, multa de 150 a 500 UMA;</w:t>
      </w:r>
    </w:p>
    <w:p w14:paraId="207D4010" w14:textId="77777777" w:rsidR="00D3344B" w:rsidRDefault="00D3344B">
      <w:pPr>
        <w:pStyle w:val="Estilo"/>
        <w:ind w:left="567" w:hanging="567"/>
        <w:rPr>
          <w:rFonts w:cs="Arial"/>
        </w:rPr>
      </w:pPr>
    </w:p>
    <w:p w14:paraId="000F6668" w14:textId="77777777" w:rsidR="00D3344B" w:rsidRDefault="00143C25">
      <w:pPr>
        <w:pStyle w:val="Estilo"/>
        <w:ind w:left="567" w:hanging="567"/>
        <w:rPr>
          <w:rFonts w:cs="Arial"/>
        </w:rPr>
      </w:pPr>
      <w:r>
        <w:rPr>
          <w:rFonts w:cs="Arial"/>
        </w:rPr>
        <w:t xml:space="preserve">VI. </w:t>
      </w:r>
      <w:r>
        <w:rPr>
          <w:rFonts w:cs="Arial"/>
        </w:rPr>
        <w:tab/>
        <w:t>No expedir comprobantes de pago de los honorarios que perciban por los servicios que presten o lo hagan por un monto inferior al cobrado, de 500 a 1000 UMA y en caso de reincidencia se duplicará la sanción y se solicitará a la instancia que corresponda la cancelación de la patente correspondiente, y</w:t>
      </w:r>
    </w:p>
    <w:p w14:paraId="69D846EC" w14:textId="77777777" w:rsidR="00D3344B" w:rsidRDefault="00D3344B">
      <w:pPr>
        <w:pStyle w:val="Estilo"/>
        <w:ind w:left="567" w:hanging="567"/>
        <w:rPr>
          <w:rFonts w:cs="Arial"/>
        </w:rPr>
      </w:pPr>
    </w:p>
    <w:p w14:paraId="2925ACD8" w14:textId="77777777" w:rsidR="00D3344B" w:rsidRDefault="00143C25">
      <w:pPr>
        <w:pStyle w:val="Estilo"/>
        <w:ind w:left="567" w:hanging="567"/>
        <w:rPr>
          <w:rFonts w:cs="Arial"/>
        </w:rPr>
      </w:pPr>
      <w:r>
        <w:rPr>
          <w:rFonts w:cs="Arial"/>
        </w:rPr>
        <w:t xml:space="preserve">VII. </w:t>
      </w:r>
      <w:r>
        <w:rPr>
          <w:rFonts w:cs="Arial"/>
        </w:rPr>
        <w:tab/>
        <w:t>No enterar, dentro del plazo legal los créditos fiscales correspondientes a los actos en que intervengan, multa que no exceda de un tanto de lo que importe el crédito fiscal y los accesorios legales respectivos.</w:t>
      </w:r>
    </w:p>
    <w:p w14:paraId="2564AB2B" w14:textId="77777777" w:rsidR="00D3344B" w:rsidRDefault="00D3344B">
      <w:pPr>
        <w:pStyle w:val="Estilo"/>
        <w:rPr>
          <w:rFonts w:cs="Arial"/>
        </w:rPr>
      </w:pPr>
    </w:p>
    <w:p w14:paraId="22075C27" w14:textId="77777777" w:rsidR="00D3344B" w:rsidRDefault="00143C25">
      <w:pPr>
        <w:pStyle w:val="Estilo"/>
        <w:ind w:left="567" w:hanging="567"/>
        <w:rPr>
          <w:rFonts w:cs="Arial"/>
        </w:rPr>
      </w:pPr>
      <w:r>
        <w:rPr>
          <w:rFonts w:cs="Arial"/>
          <w:b/>
        </w:rPr>
        <w:t xml:space="preserve">Artículo 322. </w:t>
      </w:r>
      <w:r>
        <w:rPr>
          <w:rFonts w:cs="Arial"/>
        </w:rPr>
        <w:t>Son infracciones y sanciones aplicables a terceros:</w:t>
      </w:r>
    </w:p>
    <w:p w14:paraId="0F66FB3E" w14:textId="77777777" w:rsidR="00D3344B" w:rsidRDefault="00D3344B">
      <w:pPr>
        <w:pStyle w:val="Estilo"/>
        <w:ind w:left="567" w:hanging="567"/>
        <w:rPr>
          <w:rFonts w:cs="Arial"/>
        </w:rPr>
      </w:pPr>
    </w:p>
    <w:p w14:paraId="7CC14067" w14:textId="77777777" w:rsidR="00D3344B" w:rsidRDefault="00143C25">
      <w:pPr>
        <w:pStyle w:val="Estilo"/>
        <w:ind w:left="567" w:hanging="567"/>
        <w:rPr>
          <w:rFonts w:cs="Arial"/>
        </w:rPr>
      </w:pPr>
      <w:r>
        <w:rPr>
          <w:rFonts w:cs="Arial"/>
        </w:rPr>
        <w:t xml:space="preserve">I. </w:t>
      </w:r>
      <w:r>
        <w:rPr>
          <w:rFonts w:cs="Arial"/>
        </w:rPr>
        <w:tab/>
        <w:t>Hacer constar asientos, datos o documentos falsos, multa de 20 a 60 UMA;</w:t>
      </w:r>
    </w:p>
    <w:p w14:paraId="1CD0A92E" w14:textId="77777777" w:rsidR="00D3344B" w:rsidRDefault="00D3344B">
      <w:pPr>
        <w:pStyle w:val="Estilo"/>
        <w:ind w:left="567" w:hanging="567"/>
        <w:rPr>
          <w:rFonts w:cs="Arial"/>
        </w:rPr>
      </w:pPr>
    </w:p>
    <w:p w14:paraId="0BF703A2" w14:textId="77777777" w:rsidR="00D3344B" w:rsidRDefault="00143C25">
      <w:pPr>
        <w:pStyle w:val="Estilo"/>
        <w:ind w:left="567" w:hanging="567"/>
        <w:rPr>
          <w:rFonts w:cs="Arial"/>
        </w:rPr>
      </w:pPr>
      <w:r>
        <w:rPr>
          <w:rFonts w:cs="Arial"/>
        </w:rPr>
        <w:t xml:space="preserve">II. </w:t>
      </w:r>
      <w:r>
        <w:rPr>
          <w:rFonts w:cs="Arial"/>
        </w:rPr>
        <w:tab/>
        <w:t>Omitir el pago de las contribuciones que los contribuyentes les hubieren ministrado, multa de 20 a 60 UMA, si la contribución no estuviese determinada con precisión, de lo contrario, se aplicará un tanto de la contribución omitida;</w:t>
      </w:r>
    </w:p>
    <w:p w14:paraId="1E5320FD" w14:textId="77777777" w:rsidR="00D3344B" w:rsidRDefault="00D3344B">
      <w:pPr>
        <w:pStyle w:val="Estilo"/>
        <w:ind w:left="567" w:hanging="567"/>
        <w:rPr>
          <w:rFonts w:cs="Arial"/>
        </w:rPr>
      </w:pPr>
    </w:p>
    <w:p w14:paraId="76255A28" w14:textId="77777777" w:rsidR="00D3344B" w:rsidRDefault="00143C25">
      <w:pPr>
        <w:pStyle w:val="Estilo"/>
        <w:ind w:left="567" w:hanging="567"/>
        <w:rPr>
          <w:rFonts w:cs="Arial"/>
        </w:rPr>
      </w:pPr>
      <w:r>
        <w:rPr>
          <w:rFonts w:cs="Arial"/>
        </w:rPr>
        <w:t xml:space="preserve">III. </w:t>
      </w:r>
      <w:r>
        <w:rPr>
          <w:rFonts w:cs="Arial"/>
        </w:rPr>
        <w:tab/>
        <w:t>Consentir o tolerar que se inscriban a su nombre en el registro estatal o municipal de contribuyentes, negociaciones ajenas o percibir a nombre propio ingresos gravables que correspondan a otra persona, cuando esto último traiga como consecuencia la omisión del pago de contribuciones, multa de 20 a 60 UMA;</w:t>
      </w:r>
    </w:p>
    <w:p w14:paraId="12009EFB" w14:textId="77777777" w:rsidR="00D3344B" w:rsidRDefault="00D3344B">
      <w:pPr>
        <w:pStyle w:val="Estilo"/>
        <w:ind w:left="567" w:hanging="567"/>
        <w:rPr>
          <w:rFonts w:cs="Arial"/>
        </w:rPr>
      </w:pPr>
    </w:p>
    <w:p w14:paraId="3CDFACC5" w14:textId="77777777" w:rsidR="00D3344B" w:rsidRDefault="00143C25">
      <w:pPr>
        <w:pStyle w:val="Estilo"/>
        <w:ind w:left="567" w:hanging="567"/>
        <w:rPr>
          <w:rFonts w:cs="Arial"/>
        </w:rPr>
      </w:pPr>
      <w:r>
        <w:rPr>
          <w:rFonts w:cs="Arial"/>
        </w:rPr>
        <w:t xml:space="preserve">IV. </w:t>
      </w:r>
      <w:r>
        <w:rPr>
          <w:rFonts w:cs="Arial"/>
        </w:rPr>
        <w:tab/>
        <w:t>No proporcionar los informes, datos o documentos requeridos por las autoridades fiscales, relacionados con operaciones realizadas con contribuyentes sujetos a las facultades de comprobación, o no exhibirlos en los plazos fijados por este código, multa de 20 a 60 UMA, y</w:t>
      </w:r>
    </w:p>
    <w:p w14:paraId="6BF3D423" w14:textId="77777777" w:rsidR="00D3344B" w:rsidRDefault="00D3344B">
      <w:pPr>
        <w:pStyle w:val="Estilo"/>
        <w:ind w:left="567" w:hanging="567"/>
        <w:rPr>
          <w:rFonts w:cs="Arial"/>
        </w:rPr>
      </w:pPr>
    </w:p>
    <w:p w14:paraId="041E2300" w14:textId="77777777" w:rsidR="00D3344B" w:rsidRDefault="00143C25">
      <w:pPr>
        <w:pStyle w:val="Estilo"/>
        <w:ind w:left="567" w:hanging="567"/>
        <w:rPr>
          <w:rFonts w:cs="Arial"/>
        </w:rPr>
      </w:pPr>
      <w:r>
        <w:rPr>
          <w:rFonts w:cs="Arial"/>
        </w:rPr>
        <w:t xml:space="preserve">V. </w:t>
      </w:r>
      <w:r>
        <w:rPr>
          <w:rFonts w:cs="Arial"/>
        </w:rPr>
        <w:tab/>
        <w:t>Asesorar, aconsejar o prestar servicios a contribuyentes para omitir total o parcialmente el pago de alguna contribución en contravención a las disposiciones fiscales; colaborar a la alteración, inscripción de cuentas, asientos o datos falsos de la contabilidad o en los documentos que se expidan, multa de 20 a 200 UMA.</w:t>
      </w:r>
    </w:p>
    <w:p w14:paraId="13317A37" w14:textId="77777777" w:rsidR="00D3344B" w:rsidRDefault="00D3344B">
      <w:pPr>
        <w:pStyle w:val="Estilo"/>
        <w:rPr>
          <w:rFonts w:cs="Arial"/>
        </w:rPr>
      </w:pPr>
    </w:p>
    <w:p w14:paraId="6C2A40D5" w14:textId="77777777" w:rsidR="00D3344B" w:rsidRDefault="00143C25">
      <w:pPr>
        <w:pStyle w:val="Estilo"/>
        <w:rPr>
          <w:rFonts w:cs="Arial"/>
        </w:rPr>
      </w:pPr>
      <w:r>
        <w:rPr>
          <w:rFonts w:cs="Arial"/>
          <w:b/>
        </w:rPr>
        <w:t>Artículo 323.</w:t>
      </w:r>
      <w:r>
        <w:rPr>
          <w:rFonts w:cs="Arial"/>
        </w:rPr>
        <w:t xml:space="preserve"> Las autoridades fiscales, en su respectivo ámbito de competencia, podrán condonar total o parcialmente, las sanciones por infracciones a las disposiciones fiscales previstas en este capítulo, tomando en consideración las circunstancias del caso, la situación económica del contribuyente, la reincidencia y los motivos de la sanción.</w:t>
      </w:r>
    </w:p>
    <w:p w14:paraId="2C0615B4" w14:textId="77777777" w:rsidR="00D3344B" w:rsidRDefault="00D3344B">
      <w:pPr>
        <w:pStyle w:val="Estilo"/>
        <w:rPr>
          <w:rFonts w:cs="Arial"/>
        </w:rPr>
      </w:pPr>
    </w:p>
    <w:p w14:paraId="007B6AA5" w14:textId="77777777" w:rsidR="00D3344B" w:rsidRDefault="00143C25">
      <w:pPr>
        <w:pStyle w:val="Estilo"/>
        <w:rPr>
          <w:rFonts w:cs="Arial"/>
        </w:rPr>
      </w:pPr>
      <w:r>
        <w:rPr>
          <w:rFonts w:cs="Arial"/>
        </w:rPr>
        <w:t>La solicitud de condonación de multas en los términos de este artículo, no constituirá una instancia y las resoluciones que al respecto se emitan no podrán ser impugnadas por el medio de defensa que establece este código</w:t>
      </w:r>
    </w:p>
    <w:p w14:paraId="19B6DDA9" w14:textId="77777777" w:rsidR="00D3344B" w:rsidRDefault="00D3344B">
      <w:pPr>
        <w:pStyle w:val="Estilo"/>
        <w:rPr>
          <w:rFonts w:cs="Arial"/>
        </w:rPr>
      </w:pPr>
    </w:p>
    <w:p w14:paraId="17626C32" w14:textId="77777777" w:rsidR="00D3344B" w:rsidRDefault="00143C25">
      <w:pPr>
        <w:pStyle w:val="Estilo"/>
        <w:rPr>
          <w:rFonts w:cs="Arial"/>
        </w:rPr>
      </w:pPr>
      <w:r>
        <w:rPr>
          <w:rFonts w:cs="Arial"/>
        </w:rPr>
        <w:t>La solicitud dará lugar a la suspensión del procedimiento administrativo de ejecución, si así se pide y se garantiza el interés fiscal.</w:t>
      </w:r>
    </w:p>
    <w:p w14:paraId="35DD8A4D" w14:textId="77777777" w:rsidR="00D3344B" w:rsidRDefault="00D3344B">
      <w:pPr>
        <w:pStyle w:val="Estilo"/>
        <w:rPr>
          <w:rFonts w:cs="Arial"/>
        </w:rPr>
      </w:pPr>
    </w:p>
    <w:p w14:paraId="0F0F7CC9" w14:textId="77777777" w:rsidR="00D3344B" w:rsidRDefault="00143C25">
      <w:pPr>
        <w:pStyle w:val="Estilo"/>
        <w:rPr>
          <w:rFonts w:cs="Arial"/>
          <w:i/>
          <w:sz w:val="16"/>
          <w:szCs w:val="16"/>
        </w:rPr>
      </w:pPr>
      <w:r>
        <w:rPr>
          <w:rFonts w:cs="Arial"/>
          <w:i/>
          <w:sz w:val="16"/>
          <w:szCs w:val="16"/>
        </w:rPr>
        <w:t>(ADICIONADO [N. DE E. REFORMADO], P.O. 29 DE DICIEMBRE DE 2010)</w:t>
      </w:r>
    </w:p>
    <w:p w14:paraId="6032EDDB" w14:textId="77777777" w:rsidR="00D3344B" w:rsidRDefault="00143C25">
      <w:pPr>
        <w:pStyle w:val="Estilo"/>
        <w:rPr>
          <w:rFonts w:cs="Arial"/>
        </w:rPr>
      </w:pPr>
      <w:r>
        <w:rPr>
          <w:rFonts w:cs="Arial"/>
        </w:rPr>
        <w:t>Sólo procederá la condonación de multas que hayan quedado firmes y siempre que un acto administrativo conexo no sea materia de impugnación; así como las multas impuestas por las autoridades fiscales en el ejercicio de sus facultades de comprobación, cuando los contribuyentes autocorrijan en forma total y satisfactoria su situación fiscal, cubriendo las contribuciones y accesorios adeudados en una sola exhibición, antes de que se emita la resolución que determine el crédito fiscal.</w:t>
      </w:r>
    </w:p>
    <w:p w14:paraId="1CDBC54D" w14:textId="77777777" w:rsidR="00D3344B" w:rsidRDefault="00D3344B">
      <w:pPr>
        <w:pStyle w:val="Estilo"/>
        <w:rPr>
          <w:rFonts w:cs="Arial"/>
        </w:rPr>
      </w:pPr>
    </w:p>
    <w:p w14:paraId="362CCD2D" w14:textId="77777777" w:rsidR="00D3344B" w:rsidRDefault="00143C25">
      <w:pPr>
        <w:pStyle w:val="Estilo"/>
        <w:jc w:val="center"/>
        <w:rPr>
          <w:rFonts w:cs="Arial"/>
          <w:b/>
        </w:rPr>
      </w:pPr>
      <w:r>
        <w:rPr>
          <w:rFonts w:cs="Arial"/>
          <w:b/>
        </w:rPr>
        <w:t>Capítulo III</w:t>
      </w:r>
    </w:p>
    <w:p w14:paraId="6FC805A5" w14:textId="77777777" w:rsidR="00D3344B" w:rsidRDefault="00143C25">
      <w:pPr>
        <w:pStyle w:val="Estilo"/>
        <w:jc w:val="center"/>
        <w:rPr>
          <w:rFonts w:cs="Arial"/>
          <w:b/>
        </w:rPr>
      </w:pPr>
      <w:r>
        <w:rPr>
          <w:rFonts w:cs="Arial"/>
          <w:b/>
        </w:rPr>
        <w:t>Delitos Fiscales</w:t>
      </w:r>
    </w:p>
    <w:p w14:paraId="678D8406" w14:textId="77777777" w:rsidR="00D3344B" w:rsidRDefault="00D3344B">
      <w:pPr>
        <w:pStyle w:val="Estilo"/>
        <w:rPr>
          <w:rFonts w:cs="Arial"/>
        </w:rPr>
      </w:pPr>
    </w:p>
    <w:p w14:paraId="3B0EC866" w14:textId="77777777" w:rsidR="00D3344B" w:rsidRDefault="00143C25">
      <w:pPr>
        <w:pStyle w:val="Estilo"/>
        <w:rPr>
          <w:rFonts w:cs="Arial"/>
        </w:rPr>
      </w:pPr>
      <w:r>
        <w:rPr>
          <w:rFonts w:cs="Arial"/>
          <w:b/>
        </w:rPr>
        <w:t>Artículo 324.</w:t>
      </w:r>
      <w:r>
        <w:rPr>
          <w:rFonts w:cs="Arial"/>
        </w:rPr>
        <w:t xml:space="preserve"> En todos los casos previstos como delitos por el presente código se necesitará, como requisito previo, que exista denuncia formulada por la autoridad fiscal, y declaratoria de perjuicio o daño y estos sean cuantificables.</w:t>
      </w:r>
    </w:p>
    <w:p w14:paraId="412AD250" w14:textId="77777777" w:rsidR="00D3344B" w:rsidRDefault="00D3344B">
      <w:pPr>
        <w:pStyle w:val="Estilo"/>
        <w:rPr>
          <w:rFonts w:cs="Arial"/>
        </w:rPr>
      </w:pPr>
    </w:p>
    <w:p w14:paraId="22D31810" w14:textId="77777777" w:rsidR="00D3344B" w:rsidRDefault="00143C25">
      <w:pPr>
        <w:pStyle w:val="Estilo"/>
        <w:rPr>
          <w:rFonts w:cs="Arial"/>
        </w:rPr>
      </w:pPr>
      <w:r>
        <w:rPr>
          <w:rFonts w:cs="Arial"/>
        </w:rPr>
        <w:t>En los delitos fiscales, la secretaría o las tesorerías, en el ámbito de su respectiva competencia, harán la cuantificación correspondiente en la propia denuncia, misma que sólo surtirá efectos en el procedimiento penal.</w:t>
      </w:r>
    </w:p>
    <w:p w14:paraId="174EDEDA" w14:textId="77777777" w:rsidR="00D3344B" w:rsidRDefault="00D3344B">
      <w:pPr>
        <w:pStyle w:val="Estilo"/>
        <w:rPr>
          <w:rFonts w:cs="Arial"/>
        </w:rPr>
      </w:pPr>
    </w:p>
    <w:p w14:paraId="47C81E26" w14:textId="77777777" w:rsidR="00D3344B" w:rsidRDefault="00143C25">
      <w:pPr>
        <w:pStyle w:val="Estilo"/>
        <w:rPr>
          <w:rFonts w:cs="Arial"/>
        </w:rPr>
      </w:pPr>
      <w:r>
        <w:rPr>
          <w:rFonts w:cs="Arial"/>
        </w:rPr>
        <w:t>No se formulará denuncia por parte de la autoridad fiscal si quien hubiere omitido el pago total o parcial de alguna contribución u obtenido el beneficio indebido, lo entera espontáneamente con sus recargos y actualización, antes de que medie requerimiento, orden de visita domiciliaria o cualquier otra gestión, notificada por parte de la autoridad fiscal, que tenga como objetivo la comprobación del cumplimiento de las disposiciones fiscales.</w:t>
      </w:r>
    </w:p>
    <w:p w14:paraId="6339602F" w14:textId="77777777" w:rsidR="00D3344B" w:rsidRDefault="00D3344B">
      <w:pPr>
        <w:pStyle w:val="Estilo"/>
        <w:rPr>
          <w:rFonts w:cs="Arial"/>
        </w:rPr>
      </w:pPr>
    </w:p>
    <w:p w14:paraId="2B2BD6BF" w14:textId="77777777" w:rsidR="00D3344B" w:rsidRDefault="00143C25">
      <w:pPr>
        <w:pStyle w:val="Estilo"/>
        <w:rPr>
          <w:rFonts w:cs="Arial"/>
        </w:rPr>
      </w:pPr>
      <w:r>
        <w:rPr>
          <w:rFonts w:cs="Arial"/>
          <w:b/>
        </w:rPr>
        <w:t>Artículo 325.</w:t>
      </w:r>
      <w:r>
        <w:rPr>
          <w:rFonts w:cs="Arial"/>
        </w:rPr>
        <w:t xml:space="preserve"> Los procesos por los delitos a que se refiere este capítulo se sobreseerán a petición de la Secretaría o de las tesorerías, en el ámbito de su respectiva competencia, cuando los procesados paguen las contribuciones originadas por los hechos imputados, las sanciones y los recargos, respectivos o bien estos créditos fiscales queden garantizados a satisfacción de dichas autoridades. La petición anterior se hará discrecionalmente, antes de que el Ministerio Público formule conclusiones y surtirá efectos respecto de las personas a que la misma se refiera.</w:t>
      </w:r>
    </w:p>
    <w:p w14:paraId="4BDA37E6" w14:textId="77777777" w:rsidR="00D3344B" w:rsidRDefault="00D3344B">
      <w:pPr>
        <w:pStyle w:val="Estilo"/>
        <w:rPr>
          <w:rFonts w:cs="Arial"/>
        </w:rPr>
      </w:pPr>
    </w:p>
    <w:p w14:paraId="0D9F5C95" w14:textId="77777777" w:rsidR="00D3344B" w:rsidRDefault="00143C25">
      <w:pPr>
        <w:pStyle w:val="Estilo"/>
        <w:rPr>
          <w:rFonts w:cs="Arial"/>
        </w:rPr>
      </w:pPr>
      <w:r>
        <w:rPr>
          <w:rFonts w:cs="Arial"/>
          <w:b/>
        </w:rPr>
        <w:t>Artículo 326.</w:t>
      </w:r>
      <w:r>
        <w:rPr>
          <w:rFonts w:cs="Arial"/>
        </w:rPr>
        <w:t xml:space="preserve"> Es responsable de encubrimiento en materia fiscal, quien, sin previo acuerdo y sin haber participado en él, después de la ejecución del delito:</w:t>
      </w:r>
    </w:p>
    <w:p w14:paraId="35AF746E" w14:textId="77777777" w:rsidR="00D3344B" w:rsidRDefault="00D3344B">
      <w:pPr>
        <w:pStyle w:val="Estilo"/>
        <w:rPr>
          <w:rFonts w:cs="Arial"/>
        </w:rPr>
      </w:pPr>
    </w:p>
    <w:p w14:paraId="2712718F" w14:textId="77777777" w:rsidR="00D3344B" w:rsidRDefault="00143C25">
      <w:pPr>
        <w:pStyle w:val="Estilo"/>
        <w:ind w:left="567" w:hanging="567"/>
        <w:rPr>
          <w:rFonts w:cs="Arial"/>
        </w:rPr>
      </w:pPr>
      <w:r>
        <w:rPr>
          <w:rFonts w:cs="Arial"/>
        </w:rPr>
        <w:t xml:space="preserve">I. </w:t>
      </w:r>
      <w:r>
        <w:rPr>
          <w:rFonts w:cs="Arial"/>
        </w:rPr>
        <w:tab/>
        <w:t>Con ánimo de lucro adquiera, reciba, traslade u oculte el objeto del delito a sabiendas de que provenía de éste, o sí de acuerdo con las circunstancias debía presumir su legítima procedencia, o ayude a otro a los mismos fines, y</w:t>
      </w:r>
    </w:p>
    <w:p w14:paraId="099B4D60" w14:textId="77777777" w:rsidR="00D3344B" w:rsidRDefault="00D3344B">
      <w:pPr>
        <w:pStyle w:val="Estilo"/>
        <w:ind w:left="567" w:hanging="567"/>
        <w:rPr>
          <w:rFonts w:cs="Arial"/>
        </w:rPr>
      </w:pPr>
    </w:p>
    <w:p w14:paraId="25F407DC" w14:textId="77777777" w:rsidR="00D3344B" w:rsidRDefault="00143C25">
      <w:pPr>
        <w:pStyle w:val="Estilo"/>
        <w:ind w:left="567" w:hanging="567"/>
        <w:rPr>
          <w:rFonts w:cs="Arial"/>
        </w:rPr>
      </w:pPr>
      <w:r>
        <w:rPr>
          <w:rFonts w:cs="Arial"/>
        </w:rPr>
        <w:lastRenderedPageBreak/>
        <w:t xml:space="preserve">II. </w:t>
      </w:r>
      <w:r>
        <w:rPr>
          <w:rFonts w:cs="Arial"/>
        </w:rPr>
        <w:tab/>
        <w:t>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14:paraId="1DDE4E4D" w14:textId="77777777" w:rsidR="00D3344B" w:rsidRDefault="00D3344B">
      <w:pPr>
        <w:pStyle w:val="Estilo"/>
        <w:rPr>
          <w:rFonts w:cs="Arial"/>
        </w:rPr>
      </w:pPr>
    </w:p>
    <w:p w14:paraId="746EAF78" w14:textId="77777777" w:rsidR="00D3344B" w:rsidRDefault="00143C25">
      <w:pPr>
        <w:pStyle w:val="Estilo"/>
        <w:rPr>
          <w:rFonts w:cs="Arial"/>
        </w:rPr>
      </w:pPr>
      <w:r>
        <w:rPr>
          <w:rFonts w:cs="Arial"/>
        </w:rPr>
        <w:t>El encubrimiento a que se refiere este artículo se sancionará con prisión de tres meses a seis años.</w:t>
      </w:r>
    </w:p>
    <w:p w14:paraId="554E8415" w14:textId="77777777" w:rsidR="00D3344B" w:rsidRDefault="00D3344B">
      <w:pPr>
        <w:pStyle w:val="Estilo"/>
        <w:rPr>
          <w:rFonts w:cs="Arial"/>
        </w:rPr>
      </w:pPr>
    </w:p>
    <w:p w14:paraId="402DEC46" w14:textId="77777777" w:rsidR="00D3344B" w:rsidRDefault="00143C25">
      <w:pPr>
        <w:pStyle w:val="Estilo"/>
        <w:rPr>
          <w:rFonts w:cs="Arial"/>
        </w:rPr>
      </w:pPr>
      <w:r>
        <w:rPr>
          <w:rFonts w:cs="Arial"/>
          <w:b/>
        </w:rPr>
        <w:t>Artículo 327.</w:t>
      </w:r>
      <w:r>
        <w:rPr>
          <w:rFonts w:cs="Arial"/>
        </w:rPr>
        <w:t xml:space="preserve"> Se impondrá sanción de tres meses a seis años de prisión al depositario o interventor designado por las autoridades fiscales que, con perjuicio de la hacienda pública estatal o municipal, disponga para sí o para otro del bien depositado o de sus productos o de las garantías que de cualquier crédito fiscal se hubieren constituido, o bien los dañe, inutilice, oculte o no los ponga a disposición de la autoridad competente.</w:t>
      </w:r>
    </w:p>
    <w:p w14:paraId="3CCE20AE" w14:textId="77777777" w:rsidR="00D3344B" w:rsidRDefault="00D3344B">
      <w:pPr>
        <w:pStyle w:val="Estilo"/>
        <w:rPr>
          <w:rFonts w:cs="Arial"/>
        </w:rPr>
      </w:pPr>
    </w:p>
    <w:p w14:paraId="4AC89897" w14:textId="77777777" w:rsidR="00D3344B" w:rsidRDefault="00143C25">
      <w:pPr>
        <w:pStyle w:val="Estilo"/>
        <w:rPr>
          <w:rFonts w:cs="Arial"/>
        </w:rPr>
      </w:pPr>
      <w:r>
        <w:rPr>
          <w:rFonts w:cs="Arial"/>
          <w:b/>
        </w:rPr>
        <w:t>Artículo 328.</w:t>
      </w:r>
      <w:r>
        <w:rPr>
          <w:rFonts w:cs="Arial"/>
        </w:rPr>
        <w:t xml:space="preserve"> Comete el delito de defraudación fiscal quien mediante el uso de engaños o aprovechándose de manera intencional de algún error, omita total o parcialmente el pago de alguna contribución prevista por este código u obtenga un beneficio indebido en perjuicio de la hacienda pública estatal o municipal.</w:t>
      </w:r>
    </w:p>
    <w:p w14:paraId="0C92A97B" w14:textId="77777777" w:rsidR="00D3344B" w:rsidRDefault="00D3344B">
      <w:pPr>
        <w:pStyle w:val="Estilo"/>
        <w:rPr>
          <w:rFonts w:cs="Arial"/>
        </w:rPr>
      </w:pPr>
    </w:p>
    <w:p w14:paraId="717C983E" w14:textId="77777777" w:rsidR="00D3344B" w:rsidRDefault="00143C25">
      <w:pPr>
        <w:pStyle w:val="Estilo"/>
        <w:rPr>
          <w:rFonts w:cs="Arial"/>
        </w:rPr>
      </w:pPr>
      <w:r>
        <w:rPr>
          <w:rFonts w:cs="Arial"/>
          <w:b/>
        </w:rPr>
        <w:t xml:space="preserve">Artículo 329. </w:t>
      </w:r>
      <w:r>
        <w:rPr>
          <w:rFonts w:cs="Arial"/>
        </w:rPr>
        <w:t>Al que cometa el delito de defraudación fiscal se le impondrán de tres meses a un año de prisión, si el monto de lo defraudado no excede de 3,400 UMA; de seis meses a dos años, si rebasa esta cantidad, pero no excede del equivalente a 8,400 UMA, y de uno a seis años de prisión, si el monto de lo defraudado excede de dicha cantidad.</w:t>
      </w:r>
    </w:p>
    <w:p w14:paraId="53E96414" w14:textId="77777777" w:rsidR="00D3344B" w:rsidRDefault="00D3344B">
      <w:pPr>
        <w:pStyle w:val="Estilo"/>
        <w:rPr>
          <w:rFonts w:cs="Arial"/>
        </w:rPr>
      </w:pPr>
    </w:p>
    <w:p w14:paraId="3BB14049" w14:textId="77777777" w:rsidR="00D3344B" w:rsidRDefault="00143C25">
      <w:pPr>
        <w:pStyle w:val="Estilo"/>
        <w:rPr>
          <w:rFonts w:cs="Arial"/>
        </w:rPr>
      </w:pPr>
      <w:r>
        <w:rPr>
          <w:rFonts w:cs="Arial"/>
        </w:rPr>
        <w:t>Cuando no se pueda determinar la cuantía de lo que se defraudó, la pena será de tres meses a seis años de prisión.</w:t>
      </w:r>
    </w:p>
    <w:p w14:paraId="19FC1560" w14:textId="77777777" w:rsidR="00D3344B" w:rsidRDefault="00D3344B">
      <w:pPr>
        <w:pStyle w:val="Estilo"/>
        <w:rPr>
          <w:rFonts w:cs="Arial"/>
        </w:rPr>
      </w:pPr>
    </w:p>
    <w:p w14:paraId="76CCCA14" w14:textId="77777777" w:rsidR="00D3344B" w:rsidRDefault="00143C25">
      <w:pPr>
        <w:pStyle w:val="Estilo"/>
        <w:rPr>
          <w:rFonts w:cs="Arial"/>
        </w:rPr>
      </w:pPr>
      <w:r>
        <w:rPr>
          <w:rFonts w:cs="Arial"/>
        </w:rPr>
        <w:t>La penalidad se aumentará en una mitad, cuando el delito a que se refiere este artículo se cometa por:</w:t>
      </w:r>
    </w:p>
    <w:p w14:paraId="2971690A" w14:textId="77777777" w:rsidR="00D3344B" w:rsidRDefault="00D3344B">
      <w:pPr>
        <w:pStyle w:val="Estilo"/>
        <w:rPr>
          <w:rFonts w:cs="Arial"/>
        </w:rPr>
      </w:pPr>
    </w:p>
    <w:p w14:paraId="7ED75D33" w14:textId="77777777" w:rsidR="00D3344B" w:rsidRDefault="00143C25">
      <w:pPr>
        <w:pStyle w:val="Estilo"/>
        <w:ind w:left="567" w:hanging="567"/>
        <w:rPr>
          <w:rFonts w:cs="Arial"/>
        </w:rPr>
      </w:pPr>
      <w:r>
        <w:rPr>
          <w:rFonts w:cs="Arial"/>
        </w:rPr>
        <w:t xml:space="preserve">I. </w:t>
      </w:r>
      <w:r>
        <w:rPr>
          <w:rFonts w:cs="Arial"/>
        </w:rPr>
        <w:tab/>
        <w:t>Usar documentos falsos;</w:t>
      </w:r>
    </w:p>
    <w:p w14:paraId="271F730D" w14:textId="77777777" w:rsidR="00D3344B" w:rsidRDefault="00D3344B">
      <w:pPr>
        <w:pStyle w:val="Estilo"/>
        <w:ind w:left="567" w:hanging="567"/>
        <w:rPr>
          <w:rFonts w:cs="Arial"/>
        </w:rPr>
      </w:pPr>
    </w:p>
    <w:p w14:paraId="7C8D8792" w14:textId="77777777" w:rsidR="00D3344B" w:rsidRDefault="00143C25">
      <w:pPr>
        <w:pStyle w:val="Estilo"/>
        <w:ind w:left="567" w:hanging="567"/>
        <w:rPr>
          <w:rFonts w:cs="Arial"/>
        </w:rPr>
      </w:pPr>
      <w:r>
        <w:rPr>
          <w:rFonts w:cs="Arial"/>
        </w:rPr>
        <w:t xml:space="preserve">II. </w:t>
      </w:r>
      <w:r>
        <w:rPr>
          <w:rFonts w:cs="Arial"/>
        </w:rPr>
        <w:tab/>
        <w:t>Manifestar datos falsos para obtener de la autoridad fiscal la devolución de contribuciones que no le correspondan, y</w:t>
      </w:r>
    </w:p>
    <w:p w14:paraId="5C96E1AD" w14:textId="77777777" w:rsidR="00D3344B" w:rsidRDefault="00D3344B">
      <w:pPr>
        <w:pStyle w:val="Estilo"/>
        <w:ind w:left="567" w:hanging="567"/>
        <w:rPr>
          <w:rFonts w:cs="Arial"/>
        </w:rPr>
      </w:pPr>
    </w:p>
    <w:p w14:paraId="235C8A95" w14:textId="77777777" w:rsidR="00D3344B" w:rsidRDefault="00143C25">
      <w:pPr>
        <w:pStyle w:val="Estilo"/>
        <w:ind w:left="567" w:hanging="567"/>
        <w:rPr>
          <w:rFonts w:cs="Arial"/>
        </w:rPr>
      </w:pPr>
      <w:r>
        <w:rPr>
          <w:rFonts w:cs="Arial"/>
        </w:rPr>
        <w:t xml:space="preserve">III. </w:t>
      </w:r>
      <w:r>
        <w:rPr>
          <w:rFonts w:cs="Arial"/>
        </w:rPr>
        <w:tab/>
        <w:t>No llevar los sistemas o registros contables a que se esté obligado conforme a las disposiciones fiscales o asentar datos falsos en dichos sistemas o registros.</w:t>
      </w:r>
    </w:p>
    <w:p w14:paraId="303D3CB6" w14:textId="77777777" w:rsidR="00D3344B" w:rsidRDefault="00D3344B">
      <w:pPr>
        <w:pStyle w:val="Estilo"/>
        <w:rPr>
          <w:rFonts w:cs="Arial"/>
        </w:rPr>
      </w:pPr>
    </w:p>
    <w:p w14:paraId="384EF001" w14:textId="77777777" w:rsidR="00D3344B" w:rsidRDefault="00143C25">
      <w:pPr>
        <w:pStyle w:val="Estilo"/>
        <w:rPr>
          <w:rFonts w:cs="Arial"/>
        </w:rPr>
      </w:pPr>
      <w:r>
        <w:rPr>
          <w:rFonts w:cs="Arial"/>
          <w:b/>
        </w:rPr>
        <w:t>Artículo 330.</w:t>
      </w:r>
      <w:r>
        <w:rPr>
          <w:rFonts w:cs="Arial"/>
        </w:rPr>
        <w:t xml:space="preserve"> Cuando algún servidor público participe en cualquier forma, prestando ayuda o facilitando o cometiendo la conducta sancionada por este capítulo, además de la imposición de las sanciones a que en cada caso se haga acreedor éste, se aumentará el mínimo y máximo de la pena en una mitad.</w:t>
      </w:r>
    </w:p>
    <w:p w14:paraId="475A20B1" w14:textId="77777777" w:rsidR="00D3344B" w:rsidRDefault="00D3344B">
      <w:pPr>
        <w:pStyle w:val="Estilo"/>
        <w:rPr>
          <w:rFonts w:cs="Arial"/>
        </w:rPr>
      </w:pPr>
    </w:p>
    <w:p w14:paraId="67A50755" w14:textId="77777777" w:rsidR="00D3344B" w:rsidRDefault="00143C25">
      <w:pPr>
        <w:pStyle w:val="Estilo"/>
        <w:rPr>
          <w:rFonts w:cs="Arial"/>
        </w:rPr>
      </w:pPr>
      <w:r>
        <w:rPr>
          <w:rFonts w:cs="Arial"/>
          <w:b/>
        </w:rPr>
        <w:lastRenderedPageBreak/>
        <w:t>Artículo 331.</w:t>
      </w:r>
      <w:r>
        <w:rPr>
          <w:rFonts w:cs="Arial"/>
        </w:rPr>
        <w:t xml:space="preserve"> La acción penal que nazca de delitos fiscales prescribirá en un plazo igual al término medio aritmético de la sanción que corresponda al delito, que en ningún caso será inferior a un año, contados desde el día en que la autoridad fiscal tenga conocimiento de su comisión y del responsable; si no tiene ese conocimiento, el delito prescribirá en cinco años, que se computarán a partir de la fecha de la comisión de éste.</w:t>
      </w:r>
    </w:p>
    <w:p w14:paraId="41172A56" w14:textId="77777777" w:rsidR="00D3344B" w:rsidRDefault="00D3344B">
      <w:pPr>
        <w:pStyle w:val="Estilo"/>
        <w:rPr>
          <w:rFonts w:cs="Arial"/>
        </w:rPr>
      </w:pPr>
    </w:p>
    <w:p w14:paraId="30BFF2A5" w14:textId="77777777" w:rsidR="00D3344B" w:rsidRDefault="00143C25">
      <w:pPr>
        <w:pStyle w:val="Estilo"/>
        <w:rPr>
          <w:rFonts w:cs="Arial"/>
        </w:rPr>
      </w:pPr>
      <w:r>
        <w:rPr>
          <w:rFonts w:cs="Arial"/>
          <w:b/>
        </w:rPr>
        <w:t>Artículo 332.</w:t>
      </w:r>
      <w:r>
        <w:rPr>
          <w:rFonts w:cs="Arial"/>
        </w:rPr>
        <w:t xml:space="preserve"> En lo no previsto en el presente capítulo se aplicará, de manera supletoria, lo establecido en el Código Penal y de Procedimientos Penales vigentes en el Estado. El ejercicio de la acción penal se sujetará a lo dispuesto en el Código de Procedimientos Penales vigente en el Estado.</w:t>
      </w:r>
    </w:p>
    <w:p w14:paraId="4ECC6FC5" w14:textId="77777777" w:rsidR="00D3344B" w:rsidRDefault="00D3344B">
      <w:pPr>
        <w:pStyle w:val="Estilo"/>
        <w:rPr>
          <w:rFonts w:cs="Arial"/>
        </w:rPr>
      </w:pPr>
    </w:p>
    <w:p w14:paraId="13E8AB84" w14:textId="77777777" w:rsidR="00D3344B" w:rsidRDefault="00143C25">
      <w:pPr>
        <w:pStyle w:val="Estilo"/>
        <w:jc w:val="center"/>
        <w:rPr>
          <w:rFonts w:cs="Arial"/>
          <w:b/>
        </w:rPr>
      </w:pPr>
      <w:r>
        <w:rPr>
          <w:rFonts w:cs="Arial"/>
          <w:b/>
        </w:rPr>
        <w:t>TÍTULO DÉCIMO TERCERO</w:t>
      </w:r>
    </w:p>
    <w:p w14:paraId="60089D59" w14:textId="77777777" w:rsidR="00D3344B" w:rsidRDefault="00143C25">
      <w:pPr>
        <w:pStyle w:val="Estilo"/>
        <w:jc w:val="center"/>
        <w:rPr>
          <w:rFonts w:cs="Arial"/>
          <w:b/>
        </w:rPr>
      </w:pPr>
      <w:r>
        <w:rPr>
          <w:rFonts w:cs="Arial"/>
          <w:b/>
        </w:rPr>
        <w:t>PROCEDIMIENTOS ADMINISTRATIVOS</w:t>
      </w:r>
    </w:p>
    <w:p w14:paraId="45895A97" w14:textId="77777777" w:rsidR="00D3344B" w:rsidRDefault="00D3344B">
      <w:pPr>
        <w:pStyle w:val="Estilo"/>
        <w:jc w:val="center"/>
        <w:rPr>
          <w:rFonts w:cs="Arial"/>
          <w:b/>
        </w:rPr>
      </w:pPr>
    </w:p>
    <w:p w14:paraId="416524FA" w14:textId="77777777" w:rsidR="00D3344B" w:rsidRDefault="00143C25">
      <w:pPr>
        <w:pStyle w:val="Estilo"/>
        <w:jc w:val="center"/>
        <w:rPr>
          <w:rFonts w:cs="Arial"/>
          <w:b/>
        </w:rPr>
      </w:pPr>
      <w:r>
        <w:rPr>
          <w:rFonts w:cs="Arial"/>
          <w:b/>
        </w:rPr>
        <w:t>Capítulo I</w:t>
      </w:r>
    </w:p>
    <w:p w14:paraId="604867A8" w14:textId="77777777" w:rsidR="00D3344B" w:rsidRDefault="00143C25">
      <w:pPr>
        <w:pStyle w:val="Estilo"/>
        <w:jc w:val="center"/>
        <w:rPr>
          <w:rFonts w:cs="Arial"/>
          <w:b/>
        </w:rPr>
      </w:pPr>
      <w:r>
        <w:rPr>
          <w:rFonts w:cs="Arial"/>
          <w:b/>
        </w:rPr>
        <w:t>Generalidades</w:t>
      </w:r>
    </w:p>
    <w:p w14:paraId="54BD73E4" w14:textId="77777777" w:rsidR="00D3344B" w:rsidRDefault="00D3344B">
      <w:pPr>
        <w:pStyle w:val="Estilo"/>
        <w:rPr>
          <w:rFonts w:cs="Arial"/>
        </w:rPr>
      </w:pPr>
    </w:p>
    <w:p w14:paraId="0313E632" w14:textId="77777777" w:rsidR="00D3344B" w:rsidRDefault="00143C25">
      <w:pPr>
        <w:pStyle w:val="Estilo"/>
        <w:rPr>
          <w:rFonts w:cs="Arial"/>
        </w:rPr>
      </w:pPr>
      <w:r>
        <w:rPr>
          <w:rFonts w:cs="Arial"/>
          <w:b/>
        </w:rPr>
        <w:t>Artículo 333.</w:t>
      </w:r>
      <w:r>
        <w:rPr>
          <w:rFonts w:cs="Arial"/>
        </w:rPr>
        <w:t xml:space="preserve"> Podrá iniciarse el procedimiento administrativo de oficio o a petición de quien demuestre un interés legítimo en el mismo.</w:t>
      </w:r>
    </w:p>
    <w:p w14:paraId="2D72C303" w14:textId="77777777" w:rsidR="00D3344B" w:rsidRDefault="00D3344B">
      <w:pPr>
        <w:pStyle w:val="Estilo"/>
        <w:rPr>
          <w:rFonts w:cs="Arial"/>
        </w:rPr>
      </w:pPr>
    </w:p>
    <w:p w14:paraId="26B0226F" w14:textId="77777777" w:rsidR="00D3344B" w:rsidRDefault="00143C25">
      <w:pPr>
        <w:pStyle w:val="Estilo"/>
        <w:rPr>
          <w:rFonts w:cs="Arial"/>
        </w:rPr>
      </w:pPr>
      <w:r>
        <w:rPr>
          <w:rFonts w:cs="Arial"/>
          <w:b/>
        </w:rPr>
        <w:t>Artículo 334.</w:t>
      </w:r>
      <w:r>
        <w:rPr>
          <w:rFonts w:cs="Arial"/>
        </w:rPr>
        <w:t xml:space="preserve"> La autoridad fiscal adoptará las medidas necesarias para procurar la economía, eficacia y celeridad de los procedimientos administrativos.</w:t>
      </w:r>
    </w:p>
    <w:p w14:paraId="4E25CCB9" w14:textId="77777777" w:rsidR="00D3344B" w:rsidRDefault="00D3344B">
      <w:pPr>
        <w:pStyle w:val="Estilo"/>
        <w:rPr>
          <w:rFonts w:cs="Arial"/>
        </w:rPr>
      </w:pPr>
    </w:p>
    <w:p w14:paraId="1B2BAB3A" w14:textId="77777777" w:rsidR="00D3344B" w:rsidRDefault="00143C25">
      <w:pPr>
        <w:pStyle w:val="Estilo"/>
        <w:rPr>
          <w:rFonts w:cs="Arial"/>
        </w:rPr>
      </w:pPr>
      <w:r>
        <w:rPr>
          <w:rFonts w:cs="Arial"/>
          <w:b/>
        </w:rPr>
        <w:t>Artículo 335.</w:t>
      </w:r>
      <w:r>
        <w:rPr>
          <w:rFonts w:cs="Arial"/>
        </w:rPr>
        <w:t xml:space="preserve"> </w:t>
      </w:r>
      <w:r>
        <w:rPr>
          <w:rFonts w:cs="Arial"/>
          <w:i/>
          <w:sz w:val="16"/>
        </w:rPr>
        <w:t>(DEROGADO, P.O. 30 DE DICIEMBRE DE 2005)</w:t>
      </w:r>
    </w:p>
    <w:p w14:paraId="755497A0" w14:textId="77777777" w:rsidR="00D3344B" w:rsidRDefault="00D3344B">
      <w:pPr>
        <w:pStyle w:val="Estilo"/>
        <w:rPr>
          <w:rFonts w:cs="Arial"/>
        </w:rPr>
      </w:pPr>
    </w:p>
    <w:p w14:paraId="4949C0DF" w14:textId="77777777" w:rsidR="00D3344B" w:rsidRDefault="00143C25">
      <w:pPr>
        <w:pStyle w:val="Estilo"/>
        <w:rPr>
          <w:rFonts w:cs="Arial"/>
        </w:rPr>
      </w:pPr>
      <w:r>
        <w:rPr>
          <w:rFonts w:cs="Arial"/>
          <w:b/>
        </w:rPr>
        <w:t>Artículo 336.</w:t>
      </w:r>
      <w:r>
        <w:rPr>
          <w:rFonts w:cs="Arial"/>
        </w:rPr>
        <w:t xml:space="preserve"> Las autoridades fiscales, mediante acuerdo debidamente razonado, podrán habilitar los días y horas inhábiles, para la práctica de visitas domiciliarias, de notificaciones y de embargo precautorio, cuando lo estime necesario o el contribuyente realice actividades por las que deba pagar contribuciones fuera de horas o días hábiles.</w:t>
      </w:r>
    </w:p>
    <w:p w14:paraId="2D790CA5" w14:textId="77777777" w:rsidR="00D3344B" w:rsidRDefault="00D3344B">
      <w:pPr>
        <w:pStyle w:val="Estilo"/>
        <w:rPr>
          <w:rFonts w:cs="Arial"/>
        </w:rPr>
      </w:pPr>
    </w:p>
    <w:p w14:paraId="17E6E36C" w14:textId="77777777" w:rsidR="00D3344B" w:rsidRDefault="00143C25">
      <w:pPr>
        <w:pStyle w:val="Estilo"/>
        <w:rPr>
          <w:rFonts w:cs="Arial"/>
        </w:rPr>
      </w:pPr>
      <w:r>
        <w:rPr>
          <w:rFonts w:cs="Arial"/>
          <w:b/>
        </w:rPr>
        <w:t>Artículo 337.</w:t>
      </w:r>
      <w:r>
        <w:rPr>
          <w:rFonts w:cs="Arial"/>
        </w:rPr>
        <w:t xml:space="preserve"> La autoridad fiscal, durante el trámite de procedimiento administrativo, deberá mantener el orden y exigir que se le guarde respeto, tanto por los contribuyentes como de los servidores públicos y las demás personas que intervengan o acudan a los locales de las unidades administrativas, estando facultada para imponer correcciones disciplinarias. En caso de reincidencia, podrá duplicarse la multa prevista por la fracción segunda del artículo siguiente o solicitar el auxilio de la fuerza pública, levantando en todos los casos, acta circunstanciada en la que se hará constar lo acontecido.</w:t>
      </w:r>
    </w:p>
    <w:p w14:paraId="0FAF52AC" w14:textId="77777777" w:rsidR="00D3344B" w:rsidRDefault="00D3344B">
      <w:pPr>
        <w:pStyle w:val="Estilo"/>
        <w:rPr>
          <w:rFonts w:cs="Arial"/>
        </w:rPr>
      </w:pPr>
    </w:p>
    <w:p w14:paraId="540338F2" w14:textId="77777777" w:rsidR="00D3344B" w:rsidRDefault="00143C25">
      <w:pPr>
        <w:pStyle w:val="Estilo"/>
        <w:rPr>
          <w:rFonts w:cs="Arial"/>
        </w:rPr>
      </w:pPr>
      <w:r>
        <w:rPr>
          <w:rFonts w:cs="Arial"/>
          <w:i/>
          <w:sz w:val="16"/>
        </w:rPr>
        <w:t>(REFORMADO, P.O. 30 DE DICIEMBRE DE 2005)</w:t>
      </w:r>
    </w:p>
    <w:p w14:paraId="1AAC790D" w14:textId="77777777" w:rsidR="00D3344B" w:rsidRDefault="00143C25">
      <w:pPr>
        <w:pStyle w:val="Estilo"/>
        <w:rPr>
          <w:rFonts w:cs="Arial"/>
        </w:rPr>
      </w:pPr>
      <w:r>
        <w:rPr>
          <w:rFonts w:cs="Arial"/>
          <w:b/>
        </w:rPr>
        <w:t>Artículo 338.</w:t>
      </w:r>
      <w:r>
        <w:rPr>
          <w:rFonts w:cs="Arial"/>
        </w:rPr>
        <w:t xml:space="preserve"> Para efectos del artículo anterior, las autoridades fiscales, podrán, mediante acuerdo debidamente motivado y fundado, imponer las correcciones disciplinarias siguientes:</w:t>
      </w:r>
    </w:p>
    <w:p w14:paraId="65ACB918" w14:textId="77777777" w:rsidR="00D3344B" w:rsidRDefault="00D3344B">
      <w:pPr>
        <w:pStyle w:val="Estilo"/>
        <w:rPr>
          <w:rFonts w:cs="Arial"/>
        </w:rPr>
      </w:pPr>
    </w:p>
    <w:p w14:paraId="2E45B199" w14:textId="77777777" w:rsidR="00D3344B" w:rsidRDefault="00143C25">
      <w:pPr>
        <w:pStyle w:val="Estilo"/>
        <w:ind w:left="567" w:hanging="567"/>
        <w:rPr>
          <w:rFonts w:cs="Arial"/>
        </w:rPr>
      </w:pPr>
      <w:r>
        <w:rPr>
          <w:rFonts w:cs="Arial"/>
        </w:rPr>
        <w:lastRenderedPageBreak/>
        <w:t xml:space="preserve">I. </w:t>
      </w:r>
      <w:r>
        <w:rPr>
          <w:rFonts w:cs="Arial"/>
        </w:rPr>
        <w:tab/>
        <w:t>Apercibimiento, y</w:t>
      </w:r>
    </w:p>
    <w:p w14:paraId="42BB194B" w14:textId="77777777" w:rsidR="00D3344B" w:rsidRDefault="00D3344B">
      <w:pPr>
        <w:pStyle w:val="Estilo"/>
        <w:ind w:left="567" w:hanging="567"/>
        <w:rPr>
          <w:rFonts w:cs="Arial"/>
        </w:rPr>
      </w:pPr>
    </w:p>
    <w:p w14:paraId="1EC61C81" w14:textId="77777777" w:rsidR="00D3344B" w:rsidRDefault="00143C25">
      <w:pPr>
        <w:pStyle w:val="Estilo"/>
        <w:rPr>
          <w:rFonts w:cs="Arial"/>
        </w:rPr>
      </w:pPr>
      <w:r>
        <w:rPr>
          <w:rFonts w:cs="Arial"/>
        </w:rPr>
        <w:t>II.</w:t>
      </w:r>
      <w:r>
        <w:rPr>
          <w:rFonts w:cs="Arial"/>
        </w:rPr>
        <w:tab/>
        <w:t>Multa de 5 a 50 UMA.</w:t>
      </w:r>
    </w:p>
    <w:p w14:paraId="31403491" w14:textId="77777777" w:rsidR="00D3344B" w:rsidRDefault="00D3344B">
      <w:pPr>
        <w:pStyle w:val="Estilo"/>
        <w:rPr>
          <w:rFonts w:cs="Arial"/>
        </w:rPr>
      </w:pPr>
    </w:p>
    <w:p w14:paraId="072D5EE5" w14:textId="77777777" w:rsidR="00D3344B" w:rsidRDefault="00143C25">
      <w:pPr>
        <w:pStyle w:val="Estilo"/>
        <w:rPr>
          <w:rFonts w:cs="Arial"/>
        </w:rPr>
      </w:pPr>
      <w:r>
        <w:rPr>
          <w:rFonts w:cs="Arial"/>
          <w:b/>
        </w:rPr>
        <w:t>Artículo 339.</w:t>
      </w:r>
      <w:r>
        <w:rPr>
          <w:rFonts w:cs="Arial"/>
        </w:rPr>
        <w:t xml:space="preserve"> Los servidores públicos que conozcan o dictaminen y quienes los asesoren, estarán obligados a excusarse de intervenir en cualquier forma, dentro del procedimiento administrativo, en cualquiera de los casos siguientes:</w:t>
      </w:r>
    </w:p>
    <w:p w14:paraId="729E1DDA" w14:textId="77777777" w:rsidR="00D3344B" w:rsidRDefault="00D3344B">
      <w:pPr>
        <w:pStyle w:val="Estilo"/>
        <w:rPr>
          <w:rFonts w:cs="Arial"/>
        </w:rPr>
      </w:pPr>
    </w:p>
    <w:p w14:paraId="36EC29E9" w14:textId="77777777" w:rsidR="00D3344B" w:rsidRDefault="00143C25">
      <w:pPr>
        <w:pStyle w:val="Estilo"/>
        <w:ind w:left="567" w:hanging="567"/>
        <w:rPr>
          <w:rFonts w:cs="Arial"/>
        </w:rPr>
      </w:pPr>
      <w:r>
        <w:rPr>
          <w:rFonts w:cs="Arial"/>
        </w:rPr>
        <w:t xml:space="preserve">I. </w:t>
      </w:r>
      <w:r>
        <w:rPr>
          <w:rFonts w:cs="Arial"/>
        </w:rPr>
        <w:tab/>
        <w:t>Cuando tengan parentesco con el interesado, por consanguinidad dentro del cuarto grado o por afinidad dentro del segundo;</w:t>
      </w:r>
    </w:p>
    <w:p w14:paraId="1D1090E9" w14:textId="77777777" w:rsidR="00D3344B" w:rsidRDefault="00D3344B">
      <w:pPr>
        <w:pStyle w:val="Estilo"/>
        <w:ind w:left="567" w:hanging="567"/>
        <w:rPr>
          <w:rFonts w:cs="Arial"/>
        </w:rPr>
      </w:pPr>
    </w:p>
    <w:p w14:paraId="1F93F624" w14:textId="77777777" w:rsidR="00D3344B" w:rsidRDefault="00143C25">
      <w:pPr>
        <w:pStyle w:val="Estilo"/>
        <w:ind w:left="567" w:hanging="567"/>
        <w:rPr>
          <w:rFonts w:cs="Arial"/>
        </w:rPr>
      </w:pPr>
      <w:r>
        <w:rPr>
          <w:rFonts w:cs="Arial"/>
        </w:rPr>
        <w:t xml:space="preserve">II. </w:t>
      </w:r>
      <w:r>
        <w:rPr>
          <w:rFonts w:cs="Arial"/>
        </w:rPr>
        <w:tab/>
        <w:t>Cuando exista enemistad manifiesta o estrecha amistad con los interesados, y</w:t>
      </w:r>
    </w:p>
    <w:p w14:paraId="0A567F19" w14:textId="77777777" w:rsidR="00D3344B" w:rsidRDefault="00D3344B">
      <w:pPr>
        <w:pStyle w:val="Estilo"/>
        <w:ind w:left="567" w:hanging="567"/>
        <w:rPr>
          <w:rFonts w:cs="Arial"/>
        </w:rPr>
      </w:pPr>
    </w:p>
    <w:p w14:paraId="3356A884" w14:textId="77777777" w:rsidR="00D3344B" w:rsidRDefault="00143C25">
      <w:pPr>
        <w:pStyle w:val="Estilo"/>
        <w:ind w:left="567" w:hanging="567"/>
        <w:rPr>
          <w:rFonts w:cs="Arial"/>
        </w:rPr>
      </w:pPr>
      <w:r>
        <w:rPr>
          <w:rFonts w:cs="Arial"/>
        </w:rPr>
        <w:t xml:space="preserve">III. </w:t>
      </w:r>
      <w:r>
        <w:rPr>
          <w:rFonts w:cs="Arial"/>
        </w:rPr>
        <w:tab/>
        <w:t>Cuando tengan interés personal en el asunto.</w:t>
      </w:r>
    </w:p>
    <w:p w14:paraId="1E8B9FE7" w14:textId="77777777" w:rsidR="00D3344B" w:rsidRDefault="00D3344B">
      <w:pPr>
        <w:pStyle w:val="Estilo"/>
        <w:rPr>
          <w:rFonts w:cs="Arial"/>
        </w:rPr>
      </w:pPr>
    </w:p>
    <w:p w14:paraId="6D82337D" w14:textId="77777777" w:rsidR="00D3344B" w:rsidRDefault="00143C25">
      <w:pPr>
        <w:pStyle w:val="Estilo"/>
        <w:rPr>
          <w:rFonts w:cs="Arial"/>
        </w:rPr>
      </w:pPr>
      <w:r>
        <w:rPr>
          <w:rFonts w:cs="Arial"/>
          <w:b/>
        </w:rPr>
        <w:t>Artículo 340.</w:t>
      </w:r>
      <w:r>
        <w:rPr>
          <w:rFonts w:cs="Arial"/>
        </w:rPr>
        <w:t xml:space="preserve"> En cualquier estado del procedimiento, hasta antes de que se dicte resolución, el interesado podrá solicitar por escrito, la recusación del servidor público, expresando alguna de las causas de excusa forzosa, enumeradas en el artículo anterior, acompañando las pruebas necesarias, ante el mismo servidor público, quien deberá resolver en un plazo de tres días sin substanciar incidente. La omisión de resolver sobre la recusación y la que determine improcedente la misma, serán impugnables mediante el recurso previsto por este código, ante el superior jerárquico del propio servidor público.</w:t>
      </w:r>
    </w:p>
    <w:p w14:paraId="36FE22B2" w14:textId="77777777" w:rsidR="00D3344B" w:rsidRDefault="00D3344B">
      <w:pPr>
        <w:pStyle w:val="Estilo"/>
        <w:rPr>
          <w:rFonts w:cs="Arial"/>
        </w:rPr>
      </w:pPr>
    </w:p>
    <w:p w14:paraId="4E85C9E0" w14:textId="77777777" w:rsidR="00D3344B" w:rsidRDefault="00143C25">
      <w:pPr>
        <w:pStyle w:val="Estilo"/>
        <w:rPr>
          <w:rFonts w:cs="Arial"/>
        </w:rPr>
      </w:pPr>
      <w:r>
        <w:rPr>
          <w:rFonts w:cs="Arial"/>
          <w:b/>
        </w:rPr>
        <w:t>Artículo 341.</w:t>
      </w:r>
      <w:r>
        <w:rPr>
          <w:rFonts w:cs="Arial"/>
        </w:rPr>
        <w:t xml:space="preserve"> A falta de disposición expresa de este título, se aplicarán supletoriamente las disposiciones del Código de Procedimientos Civiles del Estado, en lo que fuere indispensable para regular el procedimiento.</w:t>
      </w:r>
    </w:p>
    <w:p w14:paraId="7D9E6D97" w14:textId="77777777" w:rsidR="00D3344B" w:rsidRDefault="00D3344B">
      <w:pPr>
        <w:pStyle w:val="Estilo"/>
        <w:rPr>
          <w:rFonts w:cs="Arial"/>
        </w:rPr>
      </w:pPr>
    </w:p>
    <w:p w14:paraId="41DF242E" w14:textId="77777777" w:rsidR="00D3344B" w:rsidRDefault="00143C25">
      <w:pPr>
        <w:pStyle w:val="Estilo"/>
        <w:jc w:val="center"/>
        <w:rPr>
          <w:rFonts w:cs="Arial"/>
          <w:b/>
        </w:rPr>
      </w:pPr>
      <w:r>
        <w:rPr>
          <w:rFonts w:cs="Arial"/>
          <w:b/>
        </w:rPr>
        <w:t>Capítulo II</w:t>
      </w:r>
    </w:p>
    <w:p w14:paraId="287BC8F6" w14:textId="77777777" w:rsidR="00D3344B" w:rsidRDefault="00143C25">
      <w:pPr>
        <w:pStyle w:val="Estilo"/>
        <w:jc w:val="center"/>
        <w:rPr>
          <w:rFonts w:cs="Arial"/>
          <w:b/>
        </w:rPr>
      </w:pPr>
      <w:r>
        <w:rPr>
          <w:rFonts w:cs="Arial"/>
          <w:b/>
        </w:rPr>
        <w:t>Formalidades</w:t>
      </w:r>
    </w:p>
    <w:p w14:paraId="2FD94D73" w14:textId="77777777" w:rsidR="00D3344B" w:rsidRDefault="00D3344B">
      <w:pPr>
        <w:pStyle w:val="Estilo"/>
        <w:rPr>
          <w:rFonts w:cs="Arial"/>
        </w:rPr>
      </w:pPr>
    </w:p>
    <w:p w14:paraId="3E7D0494" w14:textId="77777777" w:rsidR="00D3344B" w:rsidRDefault="00143C25">
      <w:pPr>
        <w:pStyle w:val="Estilo"/>
        <w:rPr>
          <w:rFonts w:cs="Arial"/>
        </w:rPr>
      </w:pPr>
      <w:r>
        <w:rPr>
          <w:rFonts w:cs="Arial"/>
          <w:b/>
        </w:rPr>
        <w:t>Artículo 342.</w:t>
      </w:r>
      <w:r>
        <w:rPr>
          <w:rFonts w:cs="Arial"/>
        </w:rPr>
        <w:t xml:space="preserve"> Las promociones que se presenten en los procedimientos administrativos previstos por este código, deberán presentarse en los formatos establecidos por la Secretaría, en el número de copias previstas en el propio formato y acompañar los anexos que en su caso éste requiera.</w:t>
      </w:r>
    </w:p>
    <w:p w14:paraId="5D256666" w14:textId="77777777" w:rsidR="00D3344B" w:rsidRDefault="00D3344B">
      <w:pPr>
        <w:pStyle w:val="Estilo"/>
        <w:rPr>
          <w:rFonts w:cs="Arial"/>
        </w:rPr>
      </w:pPr>
    </w:p>
    <w:p w14:paraId="7ED63F93" w14:textId="77777777" w:rsidR="00D3344B" w:rsidRDefault="00143C25">
      <w:pPr>
        <w:pStyle w:val="Estilo"/>
        <w:rPr>
          <w:rFonts w:cs="Arial"/>
        </w:rPr>
      </w:pPr>
      <w:r>
        <w:rPr>
          <w:rFonts w:cs="Arial"/>
          <w:i/>
          <w:sz w:val="16"/>
        </w:rPr>
        <w:t>(REFORMADO PRIMER PÁRRAFO, P.O. 30 DE DICIEMBRE DE 2005)</w:t>
      </w:r>
    </w:p>
    <w:p w14:paraId="7C51F983" w14:textId="77777777" w:rsidR="00D3344B" w:rsidRDefault="00143C25">
      <w:pPr>
        <w:pStyle w:val="Estilo"/>
        <w:rPr>
          <w:rFonts w:cs="Arial"/>
        </w:rPr>
      </w:pPr>
      <w:r>
        <w:rPr>
          <w:rFonts w:cs="Arial"/>
          <w:b/>
        </w:rPr>
        <w:t>Artículo 343.</w:t>
      </w:r>
      <w:r>
        <w:rPr>
          <w:rFonts w:cs="Arial"/>
        </w:rPr>
        <w:t xml:space="preserve"> Cuando no exista un formato específico, las promociones deberán presentarse cumpliendo los requisitos siguientes:</w:t>
      </w:r>
    </w:p>
    <w:p w14:paraId="6FDE1464" w14:textId="77777777" w:rsidR="00D3344B" w:rsidRDefault="00D3344B">
      <w:pPr>
        <w:pStyle w:val="Estilo"/>
        <w:rPr>
          <w:rFonts w:cs="Arial"/>
        </w:rPr>
      </w:pPr>
    </w:p>
    <w:p w14:paraId="35C13FA2" w14:textId="77777777" w:rsidR="00D3344B" w:rsidRDefault="00143C25">
      <w:pPr>
        <w:pStyle w:val="Estilo"/>
        <w:ind w:left="567" w:hanging="567"/>
        <w:rPr>
          <w:rFonts w:cs="Arial"/>
        </w:rPr>
      </w:pPr>
      <w:r>
        <w:rPr>
          <w:rFonts w:cs="Arial"/>
        </w:rPr>
        <w:t xml:space="preserve">I. </w:t>
      </w:r>
      <w:r>
        <w:rPr>
          <w:rFonts w:cs="Arial"/>
        </w:rPr>
        <w:tab/>
        <w:t>Formularse por escrito, en idioma español, sin tachaduras, ni enmendaduras;</w:t>
      </w:r>
    </w:p>
    <w:p w14:paraId="51B2F4B4" w14:textId="77777777" w:rsidR="00D3344B" w:rsidRDefault="00D3344B">
      <w:pPr>
        <w:pStyle w:val="Estilo"/>
        <w:ind w:left="567" w:hanging="567"/>
        <w:rPr>
          <w:rFonts w:cs="Arial"/>
        </w:rPr>
      </w:pPr>
    </w:p>
    <w:p w14:paraId="596288D6" w14:textId="77777777" w:rsidR="00D3344B" w:rsidRDefault="00143C25">
      <w:pPr>
        <w:pStyle w:val="Estilo"/>
        <w:ind w:left="567" w:hanging="567"/>
        <w:rPr>
          <w:rFonts w:cs="Arial"/>
        </w:rPr>
      </w:pPr>
      <w:r>
        <w:rPr>
          <w:rFonts w:cs="Arial"/>
        </w:rPr>
        <w:t xml:space="preserve">II. </w:t>
      </w:r>
      <w:r>
        <w:rPr>
          <w:rFonts w:cs="Arial"/>
        </w:rPr>
        <w:tab/>
        <w:t>Contener la firma autógrafa o la huella digital del promovente, en caso de no saber firmar, haciendo constar esta circunstancia y con la firma de otra persona que firme a ruego y encargo del promovente;</w:t>
      </w:r>
    </w:p>
    <w:p w14:paraId="342865B7" w14:textId="77777777" w:rsidR="00D3344B" w:rsidRDefault="00D3344B">
      <w:pPr>
        <w:pStyle w:val="Estilo"/>
        <w:ind w:left="567" w:hanging="567"/>
        <w:rPr>
          <w:rFonts w:cs="Arial"/>
        </w:rPr>
      </w:pPr>
    </w:p>
    <w:p w14:paraId="0CD2ED82" w14:textId="77777777" w:rsidR="00D3344B" w:rsidRDefault="00143C25">
      <w:pPr>
        <w:pStyle w:val="Estilo"/>
        <w:ind w:left="567" w:hanging="567"/>
        <w:rPr>
          <w:rFonts w:cs="Arial"/>
        </w:rPr>
      </w:pPr>
      <w:r>
        <w:rPr>
          <w:rFonts w:cs="Arial"/>
        </w:rPr>
        <w:t xml:space="preserve">III. </w:t>
      </w:r>
      <w:r>
        <w:rPr>
          <w:rFonts w:cs="Arial"/>
        </w:rPr>
        <w:tab/>
        <w:t>Indicar la autoridad a quien se dirige y el motivo o propósito de la promoción;</w:t>
      </w:r>
    </w:p>
    <w:p w14:paraId="12EE4768" w14:textId="77777777" w:rsidR="00D3344B" w:rsidRDefault="00D3344B">
      <w:pPr>
        <w:pStyle w:val="Estilo"/>
        <w:ind w:left="567" w:hanging="567"/>
        <w:rPr>
          <w:rFonts w:cs="Arial"/>
        </w:rPr>
      </w:pPr>
    </w:p>
    <w:p w14:paraId="5A361694" w14:textId="77777777" w:rsidR="00D3344B" w:rsidRDefault="00143C25">
      <w:pPr>
        <w:pStyle w:val="Estilo"/>
        <w:ind w:left="567" w:hanging="567"/>
        <w:rPr>
          <w:rFonts w:cs="Arial"/>
        </w:rPr>
      </w:pPr>
      <w:r>
        <w:rPr>
          <w:rFonts w:cs="Arial"/>
        </w:rPr>
        <w:t xml:space="preserve">IV. </w:t>
      </w:r>
      <w:r>
        <w:rPr>
          <w:rFonts w:cs="Arial"/>
        </w:rPr>
        <w:tab/>
        <w:t>Expresar la razón o denominación social o nombre del promovente;</w:t>
      </w:r>
    </w:p>
    <w:p w14:paraId="680D15A3" w14:textId="77777777" w:rsidR="00D3344B" w:rsidRDefault="00D3344B">
      <w:pPr>
        <w:pStyle w:val="Estilo"/>
        <w:ind w:left="567" w:hanging="567"/>
        <w:rPr>
          <w:rFonts w:cs="Arial"/>
        </w:rPr>
      </w:pPr>
    </w:p>
    <w:p w14:paraId="5904014E" w14:textId="77777777" w:rsidR="00D3344B" w:rsidRDefault="00143C25">
      <w:pPr>
        <w:pStyle w:val="Estilo"/>
        <w:ind w:left="567" w:hanging="567"/>
        <w:rPr>
          <w:rFonts w:cs="Arial"/>
        </w:rPr>
      </w:pPr>
      <w:r>
        <w:rPr>
          <w:rFonts w:cs="Arial"/>
          <w:i/>
          <w:sz w:val="16"/>
        </w:rPr>
        <w:t>(REFORMADA, P.O. 22 DE DICIEMBRE DE 2021)</w:t>
      </w:r>
    </w:p>
    <w:p w14:paraId="09B2E72E" w14:textId="77777777" w:rsidR="00D3344B" w:rsidRDefault="00143C25">
      <w:pPr>
        <w:pStyle w:val="Estilo"/>
        <w:ind w:left="567" w:hanging="567"/>
        <w:rPr>
          <w:rFonts w:cs="Arial"/>
        </w:rPr>
      </w:pPr>
      <w:r>
        <w:rPr>
          <w:rFonts w:cs="Arial"/>
        </w:rPr>
        <w:t xml:space="preserve">V. </w:t>
      </w:r>
      <w:r>
        <w:rPr>
          <w:rFonts w:cs="Arial"/>
        </w:rPr>
        <w:tab/>
        <w:t>Precisar el carácter con el que se promueve y acreditar la personalidad, de acuerdo con lo establecido en el artículo 345 de este Código;</w:t>
      </w:r>
    </w:p>
    <w:p w14:paraId="2F5B7B05" w14:textId="77777777" w:rsidR="00D3344B" w:rsidRDefault="00D3344B">
      <w:pPr>
        <w:pStyle w:val="Estilo"/>
        <w:ind w:left="567" w:hanging="567"/>
        <w:rPr>
          <w:rFonts w:cs="Arial"/>
        </w:rPr>
      </w:pPr>
    </w:p>
    <w:p w14:paraId="638B4834" w14:textId="77777777" w:rsidR="00D3344B" w:rsidRDefault="00143C25">
      <w:pPr>
        <w:pStyle w:val="Estilo"/>
        <w:ind w:left="567" w:hanging="567"/>
        <w:rPr>
          <w:rFonts w:cs="Arial"/>
        </w:rPr>
      </w:pPr>
      <w:r>
        <w:rPr>
          <w:rFonts w:cs="Arial"/>
        </w:rPr>
        <w:t xml:space="preserve">VI. </w:t>
      </w:r>
      <w:r>
        <w:rPr>
          <w:rFonts w:cs="Arial"/>
        </w:rPr>
        <w:tab/>
        <w:t>Señalar domicilio para recibir notificaciones, dentro de la población donde se encuentre la autoridad a quien se dirige, y</w:t>
      </w:r>
    </w:p>
    <w:p w14:paraId="715DE77A" w14:textId="77777777" w:rsidR="00D3344B" w:rsidRDefault="00D3344B">
      <w:pPr>
        <w:pStyle w:val="Estilo"/>
        <w:ind w:left="567" w:hanging="567"/>
        <w:rPr>
          <w:rFonts w:cs="Arial"/>
        </w:rPr>
      </w:pPr>
    </w:p>
    <w:p w14:paraId="3A862570" w14:textId="77777777" w:rsidR="00D3344B" w:rsidRDefault="00143C25">
      <w:pPr>
        <w:pStyle w:val="Estilo"/>
        <w:ind w:left="567" w:hanging="567"/>
        <w:rPr>
          <w:rFonts w:cs="Arial"/>
        </w:rPr>
      </w:pPr>
      <w:r>
        <w:rPr>
          <w:rFonts w:cs="Arial"/>
        </w:rPr>
        <w:t xml:space="preserve">VII. </w:t>
      </w:r>
      <w:r>
        <w:rPr>
          <w:rFonts w:cs="Arial"/>
        </w:rPr>
        <w:tab/>
        <w:t>Anexar los ejemplares que señalen las disposiciones legales y la documentación en que se apoye la promoción respectiva.</w:t>
      </w:r>
    </w:p>
    <w:p w14:paraId="475705BD" w14:textId="77777777" w:rsidR="00D3344B" w:rsidRDefault="00D3344B">
      <w:pPr>
        <w:pStyle w:val="Estilo"/>
        <w:rPr>
          <w:rFonts w:cs="Arial"/>
        </w:rPr>
      </w:pPr>
    </w:p>
    <w:p w14:paraId="70840B82" w14:textId="77777777" w:rsidR="00D3344B" w:rsidRDefault="00143C25">
      <w:pPr>
        <w:pStyle w:val="Estilo"/>
        <w:rPr>
          <w:rFonts w:cs="Arial"/>
        </w:rPr>
      </w:pPr>
      <w:r>
        <w:rPr>
          <w:rFonts w:cs="Arial"/>
          <w:b/>
        </w:rPr>
        <w:t>Artículo 344.</w:t>
      </w:r>
      <w:r>
        <w:rPr>
          <w:rFonts w:cs="Arial"/>
        </w:rPr>
        <w:t xml:space="preserve"> En el caso de no darse cumplimiento a la fracción II del artículo anterior, se tendrá por no interpuesta.</w:t>
      </w:r>
    </w:p>
    <w:p w14:paraId="14BA70FE" w14:textId="77777777" w:rsidR="00D3344B" w:rsidRDefault="00D3344B">
      <w:pPr>
        <w:pStyle w:val="Estilo"/>
        <w:rPr>
          <w:rFonts w:cs="Arial"/>
        </w:rPr>
      </w:pPr>
    </w:p>
    <w:p w14:paraId="4F8D7001" w14:textId="77777777" w:rsidR="00D3344B" w:rsidRDefault="00143C25">
      <w:pPr>
        <w:pStyle w:val="Estilo"/>
        <w:rPr>
          <w:rFonts w:cs="Arial"/>
        </w:rPr>
      </w:pPr>
      <w:r>
        <w:rPr>
          <w:rFonts w:cs="Arial"/>
        </w:rPr>
        <w:t xml:space="preserve">Si existe duda sobre la autenticidad de la firma o huella del promovente, la autoridad fiscal requerirá al promovente para </w:t>
      </w:r>
      <w:proofErr w:type="gramStart"/>
      <w:r>
        <w:rPr>
          <w:rFonts w:cs="Arial"/>
        </w:rPr>
        <w:t>que</w:t>
      </w:r>
      <w:proofErr w:type="gramEnd"/>
      <w:r>
        <w:rPr>
          <w:rFonts w:cs="Arial"/>
        </w:rPr>
        <w:t xml:space="preserve"> en un término de tres días, previa identificación, comparezca a ratificar el contenido y la firma del escrito correspondiente. Si el promovente negare la firma o el contenido o se rehusare a comparecer o contestar, se procederá en términos del primer párrafo de este artículo.</w:t>
      </w:r>
    </w:p>
    <w:p w14:paraId="000EA4E4" w14:textId="77777777" w:rsidR="00D3344B" w:rsidRDefault="00D3344B">
      <w:pPr>
        <w:pStyle w:val="Estilo"/>
        <w:rPr>
          <w:rFonts w:cs="Arial"/>
        </w:rPr>
      </w:pPr>
    </w:p>
    <w:p w14:paraId="4CD88017" w14:textId="77777777" w:rsidR="00D3344B" w:rsidRDefault="00143C25">
      <w:pPr>
        <w:pStyle w:val="Estilo"/>
        <w:rPr>
          <w:rFonts w:cs="Arial"/>
        </w:rPr>
      </w:pPr>
      <w:r>
        <w:rPr>
          <w:rFonts w:cs="Arial"/>
        </w:rPr>
        <w:t xml:space="preserve">Cuando no se cumplan los requisitos previstos por las fracciones III a VII del artículo anterior, la autoridad requerirá al promovente para </w:t>
      </w:r>
      <w:proofErr w:type="gramStart"/>
      <w:r>
        <w:rPr>
          <w:rFonts w:cs="Arial"/>
        </w:rPr>
        <w:t>que</w:t>
      </w:r>
      <w:proofErr w:type="gramEnd"/>
      <w:r>
        <w:rPr>
          <w:rFonts w:cs="Arial"/>
        </w:rPr>
        <w:t xml:space="preserve"> dentro del término de cinco días hábiles, cumpla con el requisito omitido, apercibido que de no hacerlo oportunamente se tendrá por no interpuesta.</w:t>
      </w:r>
    </w:p>
    <w:p w14:paraId="28B6D437" w14:textId="77777777" w:rsidR="00D3344B" w:rsidRDefault="00D3344B">
      <w:pPr>
        <w:pStyle w:val="Estilo"/>
        <w:rPr>
          <w:rFonts w:cs="Arial"/>
        </w:rPr>
      </w:pPr>
    </w:p>
    <w:p w14:paraId="08F80BA3"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2EE334E6" w14:textId="77777777" w:rsidR="00D3344B" w:rsidRDefault="00143C25">
      <w:pPr>
        <w:pStyle w:val="Estilo"/>
        <w:rPr>
          <w:rFonts w:cs="Arial"/>
        </w:rPr>
      </w:pPr>
      <w:r>
        <w:rPr>
          <w:rFonts w:cs="Arial"/>
          <w:b/>
        </w:rPr>
        <w:t>Artículo 345.</w:t>
      </w:r>
      <w:r>
        <w:rPr>
          <w:rFonts w:cs="Arial"/>
        </w:rPr>
        <w:t xml:space="preserve"> En los trámites administrativos, la gestión de negocios se aceptará bajo los requisitos siguientes:</w:t>
      </w:r>
    </w:p>
    <w:p w14:paraId="5D71165F" w14:textId="77777777" w:rsidR="00D3344B" w:rsidRDefault="00D3344B">
      <w:pPr>
        <w:pStyle w:val="Estilo"/>
        <w:rPr>
          <w:rFonts w:cs="Arial"/>
        </w:rPr>
      </w:pPr>
    </w:p>
    <w:p w14:paraId="56742AE7" w14:textId="77777777" w:rsidR="00D3344B" w:rsidRDefault="00143C25">
      <w:pPr>
        <w:pStyle w:val="Estilo"/>
        <w:ind w:left="567" w:hanging="567"/>
        <w:rPr>
          <w:rFonts w:cs="Arial"/>
        </w:rPr>
      </w:pPr>
      <w:r>
        <w:rPr>
          <w:rFonts w:cs="Arial"/>
        </w:rPr>
        <w:t>I.</w:t>
      </w:r>
      <w:r>
        <w:rPr>
          <w:rFonts w:cs="Arial"/>
        </w:rPr>
        <w:tab/>
        <w:t>La representación de las personas morales se acreditará ante las autoridades fiscales, mediante escritura pública otorgada ante Notario Público y registrada ante la Dirección de Notarias y Registros Públicos;</w:t>
      </w:r>
    </w:p>
    <w:p w14:paraId="419ECB71" w14:textId="77777777" w:rsidR="00D3344B" w:rsidRDefault="00D3344B">
      <w:pPr>
        <w:pStyle w:val="Estilo"/>
        <w:ind w:left="567" w:hanging="567"/>
        <w:rPr>
          <w:rFonts w:cs="Arial"/>
        </w:rPr>
      </w:pPr>
    </w:p>
    <w:p w14:paraId="03EF7AA2" w14:textId="77777777" w:rsidR="00D3344B" w:rsidRDefault="00143C25">
      <w:pPr>
        <w:pStyle w:val="Estilo"/>
        <w:ind w:left="567" w:hanging="567"/>
        <w:rPr>
          <w:rFonts w:cs="Arial"/>
        </w:rPr>
      </w:pPr>
      <w:r>
        <w:rPr>
          <w:rFonts w:cs="Arial"/>
        </w:rPr>
        <w:t>II.</w:t>
      </w:r>
      <w:r>
        <w:rPr>
          <w:rFonts w:cs="Arial"/>
        </w:rPr>
        <w:tab/>
        <w:t>Para el caso de las personas físicas, mediante carta poder otorgada ante dos testigos, además deberá anexar:</w:t>
      </w:r>
    </w:p>
    <w:p w14:paraId="15403E65" w14:textId="77777777" w:rsidR="00D3344B" w:rsidRDefault="00D3344B">
      <w:pPr>
        <w:pStyle w:val="Estilo"/>
        <w:ind w:left="851" w:hanging="284"/>
        <w:rPr>
          <w:rFonts w:cs="Arial"/>
        </w:rPr>
      </w:pPr>
    </w:p>
    <w:p w14:paraId="5CA65C3E" w14:textId="77777777" w:rsidR="00D3344B" w:rsidRDefault="00143C25">
      <w:pPr>
        <w:pStyle w:val="Estilo"/>
        <w:ind w:left="851" w:hanging="284"/>
        <w:rPr>
          <w:rFonts w:cs="Arial"/>
        </w:rPr>
      </w:pPr>
      <w:r>
        <w:rPr>
          <w:rFonts w:cs="Arial"/>
        </w:rPr>
        <w:t>a)</w:t>
      </w:r>
      <w:r>
        <w:rPr>
          <w:rFonts w:cs="Arial"/>
        </w:rPr>
        <w:tab/>
        <w:t>Identificación oficial vigente;</w:t>
      </w:r>
    </w:p>
    <w:p w14:paraId="752D8F29" w14:textId="77777777" w:rsidR="00D3344B" w:rsidRDefault="00143C25">
      <w:pPr>
        <w:pStyle w:val="Estilo"/>
        <w:ind w:left="851" w:hanging="284"/>
        <w:rPr>
          <w:rFonts w:cs="Arial"/>
        </w:rPr>
      </w:pPr>
      <w:r>
        <w:rPr>
          <w:rFonts w:cs="Arial"/>
        </w:rPr>
        <w:t>b)</w:t>
      </w:r>
      <w:r>
        <w:rPr>
          <w:rFonts w:cs="Arial"/>
        </w:rPr>
        <w:tab/>
        <w:t>Clave Única de Registro de Población actualizado;</w:t>
      </w:r>
    </w:p>
    <w:p w14:paraId="6FDA1386" w14:textId="77777777" w:rsidR="00D3344B" w:rsidRDefault="00143C25">
      <w:pPr>
        <w:pStyle w:val="Estilo"/>
        <w:ind w:left="851" w:hanging="284"/>
        <w:rPr>
          <w:rFonts w:cs="Arial"/>
        </w:rPr>
      </w:pPr>
      <w:r>
        <w:rPr>
          <w:rFonts w:cs="Arial"/>
        </w:rPr>
        <w:t>c)</w:t>
      </w:r>
      <w:r>
        <w:rPr>
          <w:rFonts w:cs="Arial"/>
        </w:rPr>
        <w:tab/>
        <w:t>Comprobante de domicilio;</w:t>
      </w:r>
    </w:p>
    <w:p w14:paraId="1C2BF0CC" w14:textId="77777777" w:rsidR="00D3344B" w:rsidRDefault="00143C25">
      <w:pPr>
        <w:pStyle w:val="Estilo"/>
        <w:ind w:left="851" w:hanging="284"/>
        <w:rPr>
          <w:rFonts w:cs="Arial"/>
        </w:rPr>
      </w:pPr>
      <w:r>
        <w:rPr>
          <w:rFonts w:cs="Arial"/>
        </w:rPr>
        <w:t>d)</w:t>
      </w:r>
      <w:r>
        <w:rPr>
          <w:rFonts w:cs="Arial"/>
        </w:rPr>
        <w:tab/>
        <w:t>Carta responsiva firmada por ambas partes;</w:t>
      </w:r>
    </w:p>
    <w:p w14:paraId="5CC171FD" w14:textId="77777777" w:rsidR="00D3344B" w:rsidRDefault="00143C25">
      <w:pPr>
        <w:pStyle w:val="Estilo"/>
        <w:ind w:left="851" w:hanging="284"/>
        <w:rPr>
          <w:rFonts w:cs="Arial"/>
        </w:rPr>
      </w:pPr>
      <w:r>
        <w:rPr>
          <w:rFonts w:cs="Arial"/>
        </w:rPr>
        <w:t>e)</w:t>
      </w:r>
      <w:r>
        <w:rPr>
          <w:rFonts w:cs="Arial"/>
        </w:rPr>
        <w:tab/>
        <w:t xml:space="preserve">Constancia de situación fiscal en la cual se establezca el giro de servicios profesionales debidamente inscrito en el Registro Federal de </w:t>
      </w:r>
      <w:r>
        <w:rPr>
          <w:rFonts w:cs="Arial"/>
        </w:rPr>
        <w:lastRenderedPageBreak/>
        <w:t>Contribuyentes, comprobando estar al corriente con sus obligaciones fiscales; e</w:t>
      </w:r>
    </w:p>
    <w:p w14:paraId="043ED360" w14:textId="77777777" w:rsidR="00D3344B" w:rsidRDefault="00143C25">
      <w:pPr>
        <w:pStyle w:val="Estilo"/>
        <w:ind w:left="851" w:hanging="284"/>
        <w:rPr>
          <w:rFonts w:cs="Arial"/>
        </w:rPr>
      </w:pPr>
      <w:r>
        <w:rPr>
          <w:rFonts w:cs="Arial"/>
        </w:rPr>
        <w:t>f)</w:t>
      </w:r>
      <w:r>
        <w:rPr>
          <w:rFonts w:cs="Arial"/>
        </w:rPr>
        <w:tab/>
        <w:t>Constancia de no adeudo de obligaciones fiscales estatales, con fecha no mayor a treinta días.</w:t>
      </w:r>
    </w:p>
    <w:p w14:paraId="793FC2E4" w14:textId="77777777" w:rsidR="00D3344B" w:rsidRDefault="00143C25">
      <w:pPr>
        <w:pStyle w:val="Estilo"/>
        <w:rPr>
          <w:rFonts w:cs="Arial"/>
        </w:rPr>
      </w:pPr>
      <w:r>
        <w:rPr>
          <w:rFonts w:cs="Arial"/>
        </w:rPr>
        <w:t xml:space="preserve"> </w:t>
      </w:r>
    </w:p>
    <w:p w14:paraId="1E24ADCD" w14:textId="77777777" w:rsidR="00D3344B" w:rsidRDefault="00143C25">
      <w:pPr>
        <w:pStyle w:val="Estilo"/>
        <w:rPr>
          <w:rFonts w:cs="Arial"/>
        </w:rPr>
      </w:pPr>
      <w:r>
        <w:rPr>
          <w:rFonts w:cs="Arial"/>
        </w:rPr>
        <w:t>Se exceptúa de los requisitos establecidos de esta fracción para personas físicas cuando el trámite sea realizado por un familiar, quien deberá acreditar el parentesco en línea recta, ascendente, descendente, o colateral hasta el segundo grado mediante documento idóneo.</w:t>
      </w:r>
    </w:p>
    <w:p w14:paraId="002C4674" w14:textId="77777777" w:rsidR="00D3344B" w:rsidRDefault="00D3344B">
      <w:pPr>
        <w:pStyle w:val="Estilo"/>
        <w:rPr>
          <w:rFonts w:cs="Arial"/>
        </w:rPr>
      </w:pPr>
    </w:p>
    <w:p w14:paraId="3D976D5D" w14:textId="77777777" w:rsidR="00D3344B" w:rsidRDefault="00143C25">
      <w:pPr>
        <w:pStyle w:val="Estilo"/>
        <w:rPr>
          <w:rFonts w:cs="Arial"/>
        </w:rPr>
      </w:pPr>
      <w:r>
        <w:rPr>
          <w:rFonts w:cs="Arial"/>
          <w:b/>
        </w:rPr>
        <w:t>Artículo 346.</w:t>
      </w:r>
      <w:r>
        <w:rPr>
          <w:rFonts w:cs="Arial"/>
        </w:rPr>
        <w:t xml:space="preserve"> Los promoventes podrán autorizar por escrito a personas que a su nombre y representación reciban sus notificaciones, sin que tal autorización implique que estas personas puedan representarlos o promover en su nombre.</w:t>
      </w:r>
    </w:p>
    <w:p w14:paraId="754B5C7B" w14:textId="77777777" w:rsidR="00D3344B" w:rsidRDefault="00D3344B">
      <w:pPr>
        <w:pStyle w:val="Estilo"/>
        <w:rPr>
          <w:rFonts w:cs="Arial"/>
        </w:rPr>
      </w:pPr>
    </w:p>
    <w:p w14:paraId="6727BEC9" w14:textId="77777777" w:rsidR="00D3344B" w:rsidRDefault="00143C25">
      <w:pPr>
        <w:pStyle w:val="Estilo"/>
        <w:jc w:val="center"/>
        <w:rPr>
          <w:rFonts w:cs="Arial"/>
          <w:b/>
        </w:rPr>
      </w:pPr>
      <w:r>
        <w:rPr>
          <w:rFonts w:cs="Arial"/>
          <w:b/>
        </w:rPr>
        <w:t>Capítulo III</w:t>
      </w:r>
    </w:p>
    <w:p w14:paraId="7ACF18A1" w14:textId="77777777" w:rsidR="00D3344B" w:rsidRDefault="00143C25">
      <w:pPr>
        <w:pStyle w:val="Estilo"/>
        <w:jc w:val="center"/>
        <w:rPr>
          <w:rFonts w:cs="Arial"/>
          <w:b/>
        </w:rPr>
      </w:pPr>
      <w:r>
        <w:rPr>
          <w:rFonts w:cs="Arial"/>
          <w:b/>
        </w:rPr>
        <w:t>Notificaciones</w:t>
      </w:r>
    </w:p>
    <w:p w14:paraId="75F0E31A" w14:textId="77777777" w:rsidR="00D3344B" w:rsidRDefault="00D3344B">
      <w:pPr>
        <w:pStyle w:val="Estilo"/>
        <w:rPr>
          <w:rFonts w:cs="Arial"/>
        </w:rPr>
      </w:pPr>
    </w:p>
    <w:p w14:paraId="35455E26" w14:textId="77777777" w:rsidR="00D3344B" w:rsidRDefault="00143C25">
      <w:pPr>
        <w:pStyle w:val="Estilo"/>
        <w:rPr>
          <w:rFonts w:cs="Arial"/>
        </w:rPr>
      </w:pPr>
      <w:r>
        <w:rPr>
          <w:rFonts w:cs="Arial"/>
          <w:b/>
        </w:rPr>
        <w:t>Artículo 347.</w:t>
      </w:r>
      <w:r>
        <w:rPr>
          <w:rFonts w:cs="Arial"/>
        </w:rPr>
        <w:t xml:space="preserve"> Las notificaciones de los actos administrativos se realizarán:</w:t>
      </w:r>
    </w:p>
    <w:p w14:paraId="41399B77" w14:textId="77777777" w:rsidR="00D3344B" w:rsidRDefault="00D3344B">
      <w:pPr>
        <w:pStyle w:val="Estilo"/>
        <w:rPr>
          <w:rFonts w:cs="Arial"/>
        </w:rPr>
      </w:pPr>
    </w:p>
    <w:p w14:paraId="5A0DFEE4" w14:textId="77777777" w:rsidR="00D3344B" w:rsidRDefault="00143C25">
      <w:pPr>
        <w:pStyle w:val="Estilo"/>
        <w:ind w:left="567" w:hanging="567"/>
        <w:rPr>
          <w:rFonts w:cs="Arial"/>
        </w:rPr>
      </w:pPr>
      <w:r>
        <w:rPr>
          <w:rFonts w:cs="Arial"/>
        </w:rPr>
        <w:t xml:space="preserve">I. </w:t>
      </w:r>
      <w:r>
        <w:rPr>
          <w:rFonts w:cs="Arial"/>
        </w:rPr>
        <w:tab/>
        <w:t>Personalmente, cuando se trate de requerimientos o cualquier otro acto considerado como de molestia al contribuyente;</w:t>
      </w:r>
    </w:p>
    <w:p w14:paraId="65F868C9" w14:textId="77777777" w:rsidR="00D3344B" w:rsidRDefault="00D3344B">
      <w:pPr>
        <w:pStyle w:val="Estilo"/>
        <w:ind w:left="567" w:hanging="567"/>
        <w:rPr>
          <w:rFonts w:cs="Arial"/>
        </w:rPr>
      </w:pPr>
    </w:p>
    <w:p w14:paraId="05D8DFCF" w14:textId="77777777" w:rsidR="00D3344B" w:rsidRDefault="00143C25">
      <w:pPr>
        <w:pStyle w:val="Estilo"/>
        <w:ind w:left="567" w:hanging="567"/>
        <w:rPr>
          <w:rFonts w:cs="Arial"/>
        </w:rPr>
      </w:pPr>
      <w:r>
        <w:rPr>
          <w:rFonts w:cs="Arial"/>
          <w:i/>
          <w:sz w:val="16"/>
        </w:rPr>
        <w:t>(REFORMADA, P.O. 31 DE DICIEMBRE DE 2007)</w:t>
      </w:r>
    </w:p>
    <w:p w14:paraId="6C0EB42E" w14:textId="77777777" w:rsidR="00D3344B" w:rsidRDefault="00143C25">
      <w:pPr>
        <w:pStyle w:val="Estilo"/>
        <w:ind w:left="567" w:hanging="567"/>
        <w:rPr>
          <w:rFonts w:cs="Arial"/>
        </w:rPr>
      </w:pPr>
      <w:r>
        <w:rPr>
          <w:rFonts w:cs="Arial"/>
        </w:rPr>
        <w:t xml:space="preserve">II. </w:t>
      </w:r>
      <w:r>
        <w:rPr>
          <w:rFonts w:cs="Arial"/>
        </w:rPr>
        <w:tab/>
        <w:t>Por edictos, únicamente en el caso de que la persona a quien deba notificarse hubiera fallecido y no se conozca al representante de la sucesión, hubiese desaparecido, se ignore su domicilio o que éste o el de su representante no se encuentre en territorio del Estado de Tlaxcala;</w:t>
      </w:r>
    </w:p>
    <w:p w14:paraId="0B233A75" w14:textId="77777777" w:rsidR="00D3344B" w:rsidRDefault="00D3344B">
      <w:pPr>
        <w:pStyle w:val="Estilo"/>
        <w:ind w:left="567" w:hanging="567"/>
        <w:rPr>
          <w:rFonts w:cs="Arial"/>
        </w:rPr>
      </w:pPr>
    </w:p>
    <w:p w14:paraId="618643CA" w14:textId="77777777" w:rsidR="00D3344B" w:rsidRDefault="00143C25">
      <w:pPr>
        <w:pStyle w:val="Estilo"/>
        <w:ind w:left="567" w:hanging="567"/>
        <w:rPr>
          <w:rFonts w:cs="Arial"/>
        </w:rPr>
      </w:pPr>
      <w:r>
        <w:rPr>
          <w:rFonts w:cs="Arial"/>
          <w:i/>
          <w:sz w:val="16"/>
        </w:rPr>
        <w:t>(REFORMADA, P.O. 31 DE DICIEMBRE DE 2007)</w:t>
      </w:r>
    </w:p>
    <w:p w14:paraId="76E37971" w14:textId="77777777" w:rsidR="00D3344B" w:rsidRDefault="00143C25">
      <w:pPr>
        <w:pStyle w:val="Estilo"/>
        <w:ind w:left="567" w:hanging="567"/>
        <w:rPr>
          <w:rFonts w:cs="Arial"/>
        </w:rPr>
      </w:pPr>
      <w:r>
        <w:rPr>
          <w:rFonts w:cs="Arial"/>
        </w:rPr>
        <w:t xml:space="preserve">III. </w:t>
      </w:r>
      <w:r>
        <w:rPr>
          <w:rFonts w:cs="Arial"/>
        </w:rPr>
        <w:tab/>
        <w:t>Por correo certificado con acuse de recibo, cuando se trate de citaciones;</w:t>
      </w:r>
    </w:p>
    <w:p w14:paraId="0FB6D4D2" w14:textId="77777777" w:rsidR="00D3344B" w:rsidRDefault="00D3344B">
      <w:pPr>
        <w:pStyle w:val="Estilo"/>
        <w:ind w:left="567" w:hanging="567"/>
        <w:rPr>
          <w:rFonts w:cs="Arial"/>
        </w:rPr>
      </w:pPr>
    </w:p>
    <w:p w14:paraId="740F3E00" w14:textId="77777777" w:rsidR="00D3344B" w:rsidRDefault="00143C25">
      <w:pPr>
        <w:pStyle w:val="Estilo"/>
        <w:ind w:left="567" w:hanging="567"/>
        <w:rPr>
          <w:rFonts w:cs="Arial"/>
        </w:rPr>
      </w:pPr>
      <w:r>
        <w:rPr>
          <w:rFonts w:cs="Arial"/>
        </w:rPr>
        <w:t xml:space="preserve">IV. </w:t>
      </w:r>
      <w:r>
        <w:rPr>
          <w:rFonts w:cs="Arial"/>
        </w:rPr>
        <w:tab/>
        <w:t>Por mensajería cuando se trate de actos distintos a los enumerados en las fracciones anteriores;</w:t>
      </w:r>
    </w:p>
    <w:p w14:paraId="07CA6B4F" w14:textId="77777777" w:rsidR="00D3344B" w:rsidRDefault="00D3344B">
      <w:pPr>
        <w:pStyle w:val="Estilo"/>
        <w:ind w:left="567" w:hanging="567"/>
        <w:rPr>
          <w:rFonts w:cs="Arial"/>
        </w:rPr>
      </w:pPr>
    </w:p>
    <w:p w14:paraId="7B8358FD" w14:textId="77777777" w:rsidR="00D3344B" w:rsidRDefault="00143C25">
      <w:pPr>
        <w:pStyle w:val="Estilo"/>
        <w:ind w:left="567" w:hanging="567"/>
        <w:rPr>
          <w:rFonts w:cs="Arial"/>
        </w:rPr>
      </w:pPr>
      <w:r>
        <w:rPr>
          <w:rFonts w:cs="Arial"/>
          <w:i/>
          <w:sz w:val="16"/>
        </w:rPr>
        <w:t>(REFORMADA, P.O. 22 DE DICIEMBRE DE 2021)</w:t>
      </w:r>
    </w:p>
    <w:p w14:paraId="78F9D0F3" w14:textId="77777777" w:rsidR="00D3344B" w:rsidRDefault="00143C25">
      <w:pPr>
        <w:pStyle w:val="Estilo"/>
        <w:ind w:left="567" w:hanging="567"/>
        <w:rPr>
          <w:rFonts w:cs="Arial"/>
        </w:rPr>
      </w:pPr>
      <w:r>
        <w:rPr>
          <w:rFonts w:cs="Arial"/>
        </w:rPr>
        <w:t xml:space="preserve">V. </w:t>
      </w:r>
      <w:r>
        <w:rPr>
          <w:rFonts w:cs="Arial"/>
        </w:rPr>
        <w:tab/>
        <w:t>Por estrados, cuando no se hubiere señalado domicilio en la misma población donde se encuentre radicado el procedimiento; la persona a quien deba notificarse desaparezca después de iniciadas las facultades de comprobación; se oponga a la diligencia de notificación; se presente un caso fortuito que impida la notificación; o cuando el contribuyente no sea localizable en el domicilio que haya señalado.</w:t>
      </w:r>
    </w:p>
    <w:p w14:paraId="22D201F9" w14:textId="77777777" w:rsidR="00D3344B" w:rsidRDefault="00D3344B">
      <w:pPr>
        <w:pStyle w:val="Estilo"/>
        <w:ind w:left="567" w:hanging="567"/>
        <w:rPr>
          <w:rFonts w:cs="Arial"/>
        </w:rPr>
      </w:pPr>
    </w:p>
    <w:p w14:paraId="6DA2857F" w14:textId="77777777" w:rsidR="00D3344B" w:rsidRDefault="00143C25">
      <w:pPr>
        <w:pStyle w:val="Estilo"/>
        <w:ind w:left="567" w:hanging="567"/>
        <w:rPr>
          <w:rFonts w:cs="Arial"/>
        </w:rPr>
      </w:pPr>
      <w:r>
        <w:rPr>
          <w:rFonts w:cs="Arial"/>
        </w:rPr>
        <w:t xml:space="preserve">VI. </w:t>
      </w:r>
      <w:r>
        <w:rPr>
          <w:rFonts w:cs="Arial"/>
        </w:rPr>
        <w:tab/>
      </w:r>
      <w:r>
        <w:rPr>
          <w:rFonts w:cs="Arial"/>
          <w:i/>
          <w:iCs/>
          <w:sz w:val="16"/>
          <w:szCs w:val="16"/>
        </w:rPr>
        <w:t>(DEROGADA, P.O. 22 DE DICIEMBRE DE 2021)</w:t>
      </w:r>
    </w:p>
    <w:p w14:paraId="0EE84363" w14:textId="77777777" w:rsidR="00D3344B" w:rsidRDefault="00D3344B">
      <w:pPr>
        <w:pStyle w:val="Estilo"/>
        <w:rPr>
          <w:rFonts w:cs="Arial"/>
        </w:rPr>
      </w:pPr>
    </w:p>
    <w:p w14:paraId="7F6DF651" w14:textId="77777777" w:rsidR="00D3344B" w:rsidRDefault="00143C25">
      <w:pPr>
        <w:pStyle w:val="Estilo"/>
        <w:rPr>
          <w:rFonts w:cs="Arial"/>
        </w:rPr>
      </w:pPr>
      <w:r>
        <w:rPr>
          <w:rFonts w:cs="Arial"/>
          <w:i/>
          <w:sz w:val="16"/>
        </w:rPr>
        <w:t>(REFORMADO, PRIMER PÁRRAFO, P.O. 30 DE DICIEMBRE DE 2005)</w:t>
      </w:r>
    </w:p>
    <w:p w14:paraId="388F7AF6" w14:textId="77777777" w:rsidR="00D3344B" w:rsidRDefault="00143C25">
      <w:pPr>
        <w:pStyle w:val="Estilo"/>
        <w:rPr>
          <w:rFonts w:cs="Arial"/>
        </w:rPr>
      </w:pPr>
      <w:r>
        <w:rPr>
          <w:rFonts w:cs="Arial"/>
          <w:b/>
        </w:rPr>
        <w:t>Artículo 348.</w:t>
      </w:r>
      <w:r>
        <w:rPr>
          <w:rFonts w:cs="Arial"/>
        </w:rPr>
        <w:t xml:space="preserve"> Las notificaciones personales se practicarán en el último domicilio que el contribuyente hubiere proporcionado ante la autoridad fiscal de que se trate, por </w:t>
      </w:r>
      <w:r>
        <w:rPr>
          <w:rFonts w:cs="Arial"/>
        </w:rPr>
        <w:lastRenderedPageBreak/>
        <w:t>un servidor público expresamente comisionado para fungir como notificador-ejecutor, el cual para ese solo efecto estará investido de fe pública.</w:t>
      </w:r>
    </w:p>
    <w:p w14:paraId="736CFAD1" w14:textId="77777777" w:rsidR="00D3344B" w:rsidRDefault="00D3344B">
      <w:pPr>
        <w:pStyle w:val="Estilo"/>
        <w:rPr>
          <w:rFonts w:cs="Arial"/>
        </w:rPr>
      </w:pPr>
    </w:p>
    <w:p w14:paraId="36DF20C2" w14:textId="77777777" w:rsidR="00D3344B" w:rsidRDefault="00143C25">
      <w:pPr>
        <w:pStyle w:val="Estilo"/>
        <w:rPr>
          <w:rFonts w:cs="Arial"/>
        </w:rPr>
      </w:pPr>
      <w:r>
        <w:rPr>
          <w:rFonts w:cs="Arial"/>
          <w:i/>
          <w:sz w:val="16"/>
        </w:rPr>
        <w:t>(REFORMADO, P.O. 30 DE DICIEMBRE DE 2005)</w:t>
      </w:r>
    </w:p>
    <w:p w14:paraId="28F87DA2" w14:textId="77777777" w:rsidR="00D3344B" w:rsidRDefault="00143C25">
      <w:pPr>
        <w:pStyle w:val="Estilo"/>
        <w:rPr>
          <w:rFonts w:cs="Arial"/>
        </w:rPr>
      </w:pPr>
      <w:r>
        <w:rPr>
          <w:rFonts w:cs="Arial"/>
        </w:rPr>
        <w:t>La diligencia se entenderá con la persona que deba ser notificada o su representante legal, a falta de ambos, el notificador-ejecutor deberá dejar citatorio con la persona que atienda la diligencia, para que se le espere a una hora fija del día hábil siguiente, bajo el apercibimiento de entender la diligencia con la persona que se encuentre en el domicilio o con el vecino más próximo; si en la fecha y hora señalada para desahogar la diligencia no se encontraren las personas citadas o se encontrare cerrado el domicilio, se entenderá la diligencia con la persona que se encuentre en el domicilio o con el vecino más próximo.</w:t>
      </w:r>
    </w:p>
    <w:p w14:paraId="5FF86A72" w14:textId="77777777" w:rsidR="00D3344B" w:rsidRDefault="00D3344B">
      <w:pPr>
        <w:pStyle w:val="Estilo"/>
        <w:rPr>
          <w:rFonts w:cs="Arial"/>
        </w:rPr>
      </w:pPr>
    </w:p>
    <w:p w14:paraId="581872E6" w14:textId="77777777" w:rsidR="00D3344B" w:rsidRDefault="00143C25">
      <w:pPr>
        <w:pStyle w:val="Estilo"/>
        <w:rPr>
          <w:rFonts w:cs="Arial"/>
        </w:rPr>
      </w:pPr>
      <w:r>
        <w:rPr>
          <w:rFonts w:cs="Arial"/>
        </w:rPr>
        <w:t>Las notificaciones deberán señalar la fecha en que éstas se efectúen, recabando el nombre y la firma de la persona con quien se entienda la diligencia, si dichas personas se niegan a recibirla se hará constar en el acta de notificación sin que este hecho afecte su validez.</w:t>
      </w:r>
    </w:p>
    <w:p w14:paraId="3CFCD971" w14:textId="77777777" w:rsidR="00D3344B" w:rsidRDefault="00D3344B">
      <w:pPr>
        <w:pStyle w:val="Estilo"/>
        <w:rPr>
          <w:rFonts w:cs="Arial"/>
        </w:rPr>
      </w:pPr>
    </w:p>
    <w:p w14:paraId="4B2E8F81"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54441E54" w14:textId="77777777" w:rsidR="00D3344B" w:rsidRDefault="00143C25">
      <w:pPr>
        <w:pStyle w:val="Estilo"/>
        <w:rPr>
          <w:rFonts w:cs="Arial"/>
        </w:rPr>
      </w:pPr>
      <w:r>
        <w:rPr>
          <w:rFonts w:cs="Arial"/>
        </w:rPr>
        <w:t>Igual tratamiento se observará, tratándose de los actos relativos al procedimiento administrativo de ejecución, en los que también el citatorio será siempre para la espera antes señalada y si la persona o su representante legal no esperaren, se practicará la diligencia con quien se encuentre en el domicilio o en su defecto con un vecino. En caso de que este último se negase a recibir la notificación, esta se hará por cualquiera de los medios previstos en el artículo 347 de este Código.</w:t>
      </w:r>
    </w:p>
    <w:p w14:paraId="544C6DE2" w14:textId="77777777" w:rsidR="00D3344B" w:rsidRDefault="00D3344B">
      <w:pPr>
        <w:pStyle w:val="Estilo"/>
        <w:rPr>
          <w:rFonts w:cs="Arial"/>
        </w:rPr>
      </w:pPr>
    </w:p>
    <w:p w14:paraId="13204A20"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58C86AFD" w14:textId="77777777" w:rsidR="00D3344B" w:rsidRDefault="00143C25">
      <w:pPr>
        <w:pStyle w:val="Estilo"/>
        <w:rPr>
          <w:rFonts w:cs="Arial"/>
        </w:rPr>
      </w:pPr>
      <w:r>
        <w:rPr>
          <w:rFonts w:cs="Arial"/>
          <w:i/>
          <w:sz w:val="16"/>
        </w:rPr>
        <w:t>(ADICIONADO, P.O. 23 DE DICIEMBRE DE 2008)</w:t>
      </w:r>
    </w:p>
    <w:p w14:paraId="1BBD630C" w14:textId="77777777" w:rsidR="00D3344B" w:rsidRDefault="00143C25">
      <w:pPr>
        <w:pStyle w:val="Estilo"/>
        <w:rPr>
          <w:rFonts w:cs="Arial"/>
        </w:rPr>
      </w:pPr>
      <w:r>
        <w:rPr>
          <w:rFonts w:cs="Arial"/>
        </w:rPr>
        <w:t>Cuando sea imposible localizar al contribuyente o a su representante legal, ni a los liquidadores, ni algún socio o responsable solidario y que además el lugar donde se situaba el domicilio fiscal se encuentra abandonado, se deberá levantar acta circunstanciada en el domicilio que tenga registrado el contribuyente como domicilio fiscal, haciendo constar este hecho, procediendo a realizar las investigaciones necesarias que den con la localización del contribuyente, con la finalidad de garantizar el interés fiscal se trabará el aseguramiento precautorio de bienes localizados.</w:t>
      </w:r>
    </w:p>
    <w:p w14:paraId="4B8D95DB" w14:textId="77777777" w:rsidR="00D3344B" w:rsidRDefault="00D3344B">
      <w:pPr>
        <w:pStyle w:val="Estilo"/>
        <w:rPr>
          <w:rFonts w:cs="Arial"/>
        </w:rPr>
      </w:pPr>
    </w:p>
    <w:p w14:paraId="11BACBE0" w14:textId="77777777" w:rsidR="00D3344B" w:rsidRDefault="00143C25">
      <w:pPr>
        <w:pStyle w:val="Estilo"/>
        <w:rPr>
          <w:rFonts w:cs="Arial"/>
        </w:rPr>
      </w:pPr>
      <w:r>
        <w:rPr>
          <w:rFonts w:cs="Arial"/>
          <w:i/>
          <w:sz w:val="16"/>
        </w:rPr>
        <w:t>(REFORMADO, P.O. 31 DE DICIEMBRE DE 2007)</w:t>
      </w:r>
    </w:p>
    <w:p w14:paraId="462C17A2" w14:textId="77777777" w:rsidR="00D3344B" w:rsidRDefault="00143C25">
      <w:pPr>
        <w:pStyle w:val="Estilo"/>
        <w:rPr>
          <w:rFonts w:cs="Arial"/>
        </w:rPr>
      </w:pPr>
      <w:r>
        <w:rPr>
          <w:rFonts w:cs="Arial"/>
        </w:rPr>
        <w:t>En toda notificación personal deberá levantarse acta circunstanciada en la que se harán constar los eventos ocurridos en la misma y los nombres de las personas que intervengan, que se identificarán a satisfacción del Notificador-Ejecutor, firmándose por éstas.</w:t>
      </w:r>
    </w:p>
    <w:p w14:paraId="249371BA" w14:textId="77777777" w:rsidR="00D3344B" w:rsidRDefault="00D3344B">
      <w:pPr>
        <w:pStyle w:val="Estilo"/>
        <w:rPr>
          <w:rFonts w:cs="Arial"/>
        </w:rPr>
      </w:pPr>
    </w:p>
    <w:p w14:paraId="477EB82C" w14:textId="77777777" w:rsidR="00D3344B" w:rsidRDefault="00143C25">
      <w:pPr>
        <w:pStyle w:val="Estilo"/>
        <w:rPr>
          <w:rFonts w:cs="Arial"/>
        </w:rPr>
      </w:pPr>
      <w:r>
        <w:rPr>
          <w:rFonts w:cs="Arial"/>
          <w:b/>
        </w:rPr>
        <w:t>Artículo 349.</w:t>
      </w:r>
      <w:r>
        <w:rPr>
          <w:rFonts w:cs="Arial"/>
        </w:rPr>
        <w:t xml:space="preserve"> Las notificaciones personales también podrán practicarse en el local que ocupen las oficinas de la autoridad fiscal, si la persona a quien deba notificarse se presenta en la misma, sin que esta circunstancia afecte su validez, siendo aplicable en lo conducente lo previsto por el último párrafo del artículo anterior.</w:t>
      </w:r>
    </w:p>
    <w:p w14:paraId="636C5463" w14:textId="77777777" w:rsidR="00D3344B" w:rsidRDefault="00D3344B">
      <w:pPr>
        <w:pStyle w:val="Estilo"/>
        <w:rPr>
          <w:rFonts w:cs="Arial"/>
        </w:rPr>
      </w:pPr>
    </w:p>
    <w:p w14:paraId="4DEE4317" w14:textId="77777777" w:rsidR="00D3344B" w:rsidRDefault="00143C25">
      <w:pPr>
        <w:pStyle w:val="Estilo"/>
        <w:rPr>
          <w:rFonts w:cs="Arial"/>
        </w:rPr>
      </w:pPr>
      <w:r>
        <w:rPr>
          <w:rFonts w:cs="Arial"/>
          <w:b/>
        </w:rPr>
        <w:t>Artículo 350.</w:t>
      </w:r>
      <w:r>
        <w:rPr>
          <w:rFonts w:cs="Arial"/>
        </w:rPr>
        <w:t xml:space="preserve"> Las notificaciones personales relacionadas con créditos fiscales provenientes de bienes inmuebles, a falta de domicilio señalado por el contribuyente, se practicarán en el propio inmueble si éste se encuentra edificado.</w:t>
      </w:r>
    </w:p>
    <w:p w14:paraId="48909D20" w14:textId="77777777" w:rsidR="00D3344B" w:rsidRDefault="00D3344B">
      <w:pPr>
        <w:pStyle w:val="Estilo"/>
        <w:rPr>
          <w:rFonts w:cs="Arial"/>
        </w:rPr>
      </w:pPr>
    </w:p>
    <w:p w14:paraId="6EE8B14F" w14:textId="77777777" w:rsidR="00D3344B" w:rsidRDefault="00143C25">
      <w:pPr>
        <w:pStyle w:val="Estilo"/>
        <w:rPr>
          <w:rFonts w:cs="Arial"/>
        </w:rPr>
      </w:pPr>
      <w:r>
        <w:rPr>
          <w:rFonts w:cs="Arial"/>
          <w:b/>
        </w:rPr>
        <w:t>Artículo 351.</w:t>
      </w:r>
      <w:r>
        <w:rPr>
          <w:rFonts w:cs="Arial"/>
        </w:rPr>
        <w:t xml:space="preserve"> </w:t>
      </w:r>
      <w:r>
        <w:rPr>
          <w:rFonts w:cs="Arial"/>
          <w:i/>
          <w:sz w:val="16"/>
        </w:rPr>
        <w:t>(DEROGADO, P.O. 30 DE DICIEMBRE DE 2005)</w:t>
      </w:r>
    </w:p>
    <w:p w14:paraId="6FE717FC" w14:textId="77777777" w:rsidR="00D3344B" w:rsidRDefault="00D3344B">
      <w:pPr>
        <w:pStyle w:val="Estilo"/>
        <w:rPr>
          <w:rFonts w:cs="Arial"/>
        </w:rPr>
      </w:pPr>
    </w:p>
    <w:p w14:paraId="0F901B28" w14:textId="77777777" w:rsidR="00D3344B" w:rsidRDefault="00143C25">
      <w:pPr>
        <w:pStyle w:val="Estilo"/>
        <w:rPr>
          <w:rFonts w:cs="Arial"/>
        </w:rPr>
      </w:pPr>
      <w:r>
        <w:rPr>
          <w:rFonts w:cs="Arial"/>
          <w:b/>
        </w:rPr>
        <w:t>Artículo 352.</w:t>
      </w:r>
      <w:r>
        <w:rPr>
          <w:rFonts w:cs="Arial"/>
        </w:rPr>
        <w:t xml:space="preserve"> Las notificaciones por edictos se realizarán haciendo publicaciones que contendrán un resumen de las resoluciones por notificar, dichas publicaciones deberán efectuarse por tres veces consecutivas en el Periódico Oficial del Gobierno del Estado y en uno de los de mayor circulación en el Estado, con cargo al contribuyente.</w:t>
      </w:r>
    </w:p>
    <w:p w14:paraId="266E83B5" w14:textId="77777777" w:rsidR="00D3344B" w:rsidRDefault="00D3344B">
      <w:pPr>
        <w:pStyle w:val="Estilo"/>
        <w:rPr>
          <w:rFonts w:cs="Arial"/>
        </w:rPr>
      </w:pPr>
    </w:p>
    <w:p w14:paraId="78BF76BD"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643B3582" w14:textId="77777777" w:rsidR="00D3344B" w:rsidRDefault="00143C25">
      <w:pPr>
        <w:pStyle w:val="Estilo"/>
        <w:rPr>
          <w:rFonts w:cs="Arial"/>
        </w:rPr>
      </w:pPr>
      <w:r>
        <w:rPr>
          <w:rFonts w:cs="Arial"/>
          <w:b/>
        </w:rPr>
        <w:t>Artículo 353.</w:t>
      </w:r>
      <w:r>
        <w:rPr>
          <w:rFonts w:cs="Arial"/>
        </w:rPr>
        <w:t xml:space="preserve"> Las notificaciones por estrados, se harán publicando durante diez días hábiles el documento que se pretenda notificar, en la página electrónica que al efecto establezcan las autoridades fiscales; dicho plazo se contará a partir del día siguiente a aquél en que el documento fue publicado; la autoridad dejará constancia de ello en el expediente respectivo. En estos casos se tendrá como fecha de notificación la del décimo primer día contado a partir del día siguiente a aquel en que se hubiera publicado el documento.</w:t>
      </w:r>
    </w:p>
    <w:p w14:paraId="4E809803" w14:textId="77777777" w:rsidR="00D3344B" w:rsidRDefault="00D3344B">
      <w:pPr>
        <w:pStyle w:val="Estilo"/>
        <w:rPr>
          <w:rFonts w:cs="Arial"/>
        </w:rPr>
      </w:pPr>
    </w:p>
    <w:p w14:paraId="3654987C" w14:textId="77777777" w:rsidR="00D3344B" w:rsidRDefault="00143C25">
      <w:pPr>
        <w:pStyle w:val="Estilo"/>
        <w:rPr>
          <w:rFonts w:cs="Arial"/>
        </w:rPr>
      </w:pPr>
      <w:r>
        <w:rPr>
          <w:rFonts w:cs="Arial"/>
          <w:i/>
          <w:sz w:val="16"/>
        </w:rPr>
        <w:t>(REFORMADO PRIMER PÁRRAFO, P.O. 30 DE DICIEMBRE DE 2005)</w:t>
      </w:r>
    </w:p>
    <w:p w14:paraId="666AAE60" w14:textId="77777777" w:rsidR="00D3344B" w:rsidRDefault="00143C25">
      <w:pPr>
        <w:pStyle w:val="Estilo"/>
        <w:rPr>
          <w:rFonts w:cs="Arial"/>
        </w:rPr>
      </w:pPr>
      <w:r>
        <w:rPr>
          <w:rFonts w:cs="Arial"/>
          <w:b/>
        </w:rPr>
        <w:t>Artículo 354.</w:t>
      </w:r>
      <w:r>
        <w:rPr>
          <w:rFonts w:cs="Arial"/>
        </w:rPr>
        <w:t xml:space="preserve"> Las notificaciones surtirán sus efectos el día hábil siguiente a aquél en que fueron hechas y al practicarlas deberá proporcionarse al interesado copia del acto administrativo que se notifique.</w:t>
      </w:r>
    </w:p>
    <w:p w14:paraId="25B09735" w14:textId="77777777" w:rsidR="00D3344B" w:rsidRDefault="00D3344B">
      <w:pPr>
        <w:pStyle w:val="Estilo"/>
        <w:rPr>
          <w:rFonts w:cs="Arial"/>
        </w:rPr>
      </w:pPr>
    </w:p>
    <w:p w14:paraId="02A5892D" w14:textId="77777777" w:rsidR="00D3344B" w:rsidRDefault="00143C25">
      <w:pPr>
        <w:pStyle w:val="Estilo"/>
        <w:rPr>
          <w:rFonts w:cs="Arial"/>
        </w:rPr>
      </w:pPr>
      <w:r>
        <w:rPr>
          <w:rFonts w:cs="Arial"/>
        </w:rPr>
        <w:t>Cuando la notificación la hagan directamente las autoridades fiscales deberá señalarse la fecha en que esta se efectúe, recabando el nombre y la firma de la persona con quien se entienda la diligencia. Si esta se niega a una u otra cosa se hará constar en el acta de la notificación.</w:t>
      </w:r>
    </w:p>
    <w:p w14:paraId="238C2A50" w14:textId="77777777" w:rsidR="00D3344B" w:rsidRDefault="00D3344B">
      <w:pPr>
        <w:pStyle w:val="Estilo"/>
        <w:rPr>
          <w:rFonts w:cs="Arial"/>
        </w:rPr>
      </w:pPr>
    </w:p>
    <w:p w14:paraId="534003EC" w14:textId="77777777" w:rsidR="00D3344B" w:rsidRDefault="00143C25">
      <w:pPr>
        <w:pStyle w:val="Estilo"/>
        <w:rPr>
          <w:rFonts w:cs="Arial"/>
        </w:rPr>
      </w:pPr>
      <w:r>
        <w:rPr>
          <w:rFonts w:cs="Arial"/>
        </w:rPr>
        <w:t>La manifestación que por cualquier medio haga el interesado o su representante legal de conocer el acto administrativo, surtirá efectos de notificación en forma desde la fecha en que manifieste haber tenido tal conocimiento, si este es anterior a aquella en que debiera surtir efectos la notificación de acuerdo con el párrafo anterior.</w:t>
      </w:r>
    </w:p>
    <w:p w14:paraId="59E362CE" w14:textId="77777777" w:rsidR="00D3344B" w:rsidRDefault="00D3344B">
      <w:pPr>
        <w:pStyle w:val="Estilo"/>
        <w:rPr>
          <w:rFonts w:cs="Arial"/>
        </w:rPr>
      </w:pPr>
    </w:p>
    <w:p w14:paraId="03524C29" w14:textId="77777777" w:rsidR="00D3344B" w:rsidRDefault="00143C25">
      <w:pPr>
        <w:pStyle w:val="Estilo"/>
        <w:rPr>
          <w:rFonts w:cs="Arial"/>
          <w:sz w:val="22"/>
        </w:rPr>
      </w:pPr>
      <w:r>
        <w:rPr>
          <w:rFonts w:cs="Arial"/>
          <w:b/>
          <w:sz w:val="22"/>
        </w:rPr>
        <w:t>Artículo 355.</w:t>
      </w:r>
      <w:r>
        <w:rPr>
          <w:rFonts w:cs="Arial"/>
          <w:sz w:val="22"/>
        </w:rPr>
        <w:t xml:space="preserve"> Cuando el notificador-ejecutor realice una notificación sin observar el procedimiento establecido en este código, se hará acreedor a una multa de 10 a 30 UMA a juicio de la autoridad fiscal competente, independientemente de la responsabilidad en que incurra de conformidad con la normatividad en la materia.</w:t>
      </w:r>
    </w:p>
    <w:p w14:paraId="074073C6" w14:textId="77777777" w:rsidR="00D3344B" w:rsidRDefault="00D3344B">
      <w:pPr>
        <w:pStyle w:val="Estilo"/>
        <w:rPr>
          <w:rFonts w:cs="Arial"/>
        </w:rPr>
      </w:pPr>
    </w:p>
    <w:p w14:paraId="4EA63338" w14:textId="77777777" w:rsidR="00D3344B" w:rsidRDefault="00143C25">
      <w:pPr>
        <w:pStyle w:val="Estilo"/>
        <w:jc w:val="center"/>
        <w:rPr>
          <w:rFonts w:cs="Arial"/>
          <w:b/>
        </w:rPr>
      </w:pPr>
      <w:r>
        <w:rPr>
          <w:rFonts w:cs="Arial"/>
          <w:b/>
        </w:rPr>
        <w:t>Capítulo IV</w:t>
      </w:r>
    </w:p>
    <w:p w14:paraId="5907D655" w14:textId="77777777" w:rsidR="00D3344B" w:rsidRDefault="00143C25">
      <w:pPr>
        <w:pStyle w:val="Estilo"/>
        <w:jc w:val="center"/>
        <w:rPr>
          <w:rFonts w:cs="Arial"/>
          <w:b/>
        </w:rPr>
      </w:pPr>
      <w:r>
        <w:rPr>
          <w:rFonts w:cs="Arial"/>
          <w:b/>
        </w:rPr>
        <w:t>Procedimiento de Ejecución</w:t>
      </w:r>
    </w:p>
    <w:p w14:paraId="1CB6541F" w14:textId="77777777" w:rsidR="00D3344B" w:rsidRDefault="00D3344B">
      <w:pPr>
        <w:pStyle w:val="Estilo"/>
        <w:jc w:val="center"/>
        <w:rPr>
          <w:rFonts w:cs="Arial"/>
          <w:b/>
        </w:rPr>
      </w:pPr>
    </w:p>
    <w:p w14:paraId="19C5E98E" w14:textId="77777777" w:rsidR="00D3344B" w:rsidRDefault="00143C25">
      <w:pPr>
        <w:pStyle w:val="Estilo"/>
        <w:jc w:val="center"/>
        <w:rPr>
          <w:rFonts w:cs="Arial"/>
          <w:b/>
        </w:rPr>
      </w:pPr>
      <w:r>
        <w:rPr>
          <w:rFonts w:cs="Arial"/>
          <w:b/>
        </w:rPr>
        <w:t>Sección Primera</w:t>
      </w:r>
    </w:p>
    <w:p w14:paraId="589D9A37" w14:textId="77777777" w:rsidR="00D3344B" w:rsidRDefault="00143C25">
      <w:pPr>
        <w:pStyle w:val="Estilo"/>
        <w:jc w:val="center"/>
        <w:rPr>
          <w:rFonts w:cs="Arial"/>
          <w:b/>
        </w:rPr>
      </w:pPr>
      <w:r>
        <w:rPr>
          <w:rFonts w:cs="Arial"/>
          <w:b/>
        </w:rPr>
        <w:lastRenderedPageBreak/>
        <w:t>Generalidades</w:t>
      </w:r>
    </w:p>
    <w:p w14:paraId="31322193" w14:textId="77777777" w:rsidR="00D3344B" w:rsidRDefault="00D3344B">
      <w:pPr>
        <w:pStyle w:val="Estilo"/>
        <w:jc w:val="center"/>
        <w:rPr>
          <w:rFonts w:cs="Arial"/>
          <w:b/>
        </w:rPr>
      </w:pPr>
    </w:p>
    <w:p w14:paraId="6B3EC5F6" w14:textId="77777777" w:rsidR="00D3344B" w:rsidRDefault="00143C25">
      <w:pPr>
        <w:pStyle w:val="Estilo"/>
        <w:rPr>
          <w:rFonts w:cs="Arial"/>
        </w:rPr>
      </w:pPr>
      <w:r>
        <w:rPr>
          <w:rFonts w:cs="Arial"/>
          <w:i/>
          <w:sz w:val="16"/>
        </w:rPr>
        <w:t>(REFORMADO, P.O. 22 DE DICIEMBRE DE 2021)</w:t>
      </w:r>
    </w:p>
    <w:p w14:paraId="623D6C18" w14:textId="77777777" w:rsidR="00D3344B" w:rsidRDefault="00143C25">
      <w:pPr>
        <w:pStyle w:val="Estilo"/>
        <w:rPr>
          <w:rFonts w:cs="Arial"/>
        </w:rPr>
      </w:pPr>
      <w:r>
        <w:rPr>
          <w:rFonts w:cs="Arial"/>
          <w:b/>
        </w:rPr>
        <w:t>Artículo 356.</w:t>
      </w:r>
      <w:r>
        <w:rPr>
          <w:rFonts w:cs="Arial"/>
        </w:rPr>
        <w:t xml:space="preserve"> Las autoridades fiscales están investidas de la facultad económica coactiva, para exigir el pago de los créditos fiscales y sus accesorios a cargo de los contribuyentes, que no hubieren sido cubiertos o garantizados dentro del plazo de 15 días hábiles siguientes a aquél en que surta efectos su notificación, a través del procedimiento administrativo de ejecución.</w:t>
      </w:r>
    </w:p>
    <w:p w14:paraId="6968CD20" w14:textId="77777777" w:rsidR="00D3344B" w:rsidRDefault="00D3344B">
      <w:pPr>
        <w:pStyle w:val="Estilo"/>
        <w:rPr>
          <w:rFonts w:cs="Arial"/>
        </w:rPr>
      </w:pPr>
    </w:p>
    <w:p w14:paraId="749240DA" w14:textId="77777777" w:rsidR="00D3344B" w:rsidRDefault="00143C25">
      <w:pPr>
        <w:pStyle w:val="Estilo"/>
        <w:rPr>
          <w:rFonts w:cs="Arial"/>
        </w:rPr>
      </w:pPr>
      <w:r>
        <w:rPr>
          <w:rFonts w:cs="Arial"/>
          <w:i/>
          <w:sz w:val="16"/>
        </w:rPr>
        <w:t>(ADICIONADO, P.O. 31 DE DICIEMBRE DE 2007)</w:t>
      </w:r>
    </w:p>
    <w:p w14:paraId="29CEF18B" w14:textId="77777777" w:rsidR="00D3344B" w:rsidRDefault="00143C25">
      <w:pPr>
        <w:pStyle w:val="Estilo"/>
        <w:rPr>
          <w:rFonts w:cs="Arial"/>
        </w:rPr>
      </w:pPr>
      <w:r>
        <w:rPr>
          <w:rFonts w:cs="Arial"/>
          <w:b/>
        </w:rPr>
        <w:t>Artículo 356 A.</w:t>
      </w:r>
      <w:r>
        <w:rPr>
          <w:rFonts w:cs="Arial"/>
        </w:rPr>
        <w:t xml:space="preserve"> Se podrá practicar el embargo precautorio sobre los bienes o la negociación del contribuyente para asegurar el interés fiscal, cuando:</w:t>
      </w:r>
    </w:p>
    <w:p w14:paraId="03152F33" w14:textId="77777777" w:rsidR="00D3344B" w:rsidRDefault="00D3344B">
      <w:pPr>
        <w:pStyle w:val="Estilo"/>
        <w:rPr>
          <w:rFonts w:cs="Arial"/>
        </w:rPr>
      </w:pPr>
    </w:p>
    <w:p w14:paraId="5EC078DD" w14:textId="77777777" w:rsidR="00D3344B" w:rsidRDefault="00143C25">
      <w:pPr>
        <w:pStyle w:val="Estilo"/>
        <w:ind w:left="567" w:hanging="567"/>
        <w:rPr>
          <w:rFonts w:cs="Arial"/>
        </w:rPr>
      </w:pPr>
      <w:r>
        <w:rPr>
          <w:rFonts w:cs="Arial"/>
        </w:rPr>
        <w:t xml:space="preserve">I. </w:t>
      </w:r>
      <w:r>
        <w:rPr>
          <w:rFonts w:cs="Arial"/>
        </w:rPr>
        <w:tab/>
        <w:t>El contribuyente se oponga u obstaculice la iniciación o desarrollo de las facultades de comprobación de las autoridades fiscales o no se pueda notificar su inicio por haber desaparecido o por ignorarse su domicilio;</w:t>
      </w:r>
    </w:p>
    <w:p w14:paraId="18E99F1D" w14:textId="77777777" w:rsidR="00D3344B" w:rsidRDefault="00D3344B">
      <w:pPr>
        <w:pStyle w:val="Estilo"/>
        <w:ind w:left="567" w:hanging="567"/>
        <w:rPr>
          <w:rFonts w:cs="Arial"/>
        </w:rPr>
      </w:pPr>
    </w:p>
    <w:p w14:paraId="5589EA6F" w14:textId="77777777" w:rsidR="00D3344B" w:rsidRDefault="00143C25">
      <w:pPr>
        <w:pStyle w:val="Estilo"/>
        <w:ind w:left="567" w:hanging="567"/>
        <w:rPr>
          <w:rFonts w:cs="Arial"/>
        </w:rPr>
      </w:pPr>
      <w:r>
        <w:rPr>
          <w:rFonts w:cs="Arial"/>
        </w:rPr>
        <w:t xml:space="preserve">II. </w:t>
      </w:r>
      <w:r>
        <w:rPr>
          <w:rFonts w:cs="Arial"/>
        </w:rPr>
        <w:tab/>
        <w:t>Después de iniciadas las facultades de comprobación, el contribuyente desaparezca, exista riesgo inminente de que oculte, enajene o dilapide sus bienes, o realice cualquier maniobra tendiente a evadir el cumplimiento de sus obligaciones fiscales, y</w:t>
      </w:r>
    </w:p>
    <w:p w14:paraId="26F3886E" w14:textId="77777777" w:rsidR="00D3344B" w:rsidRDefault="00D3344B">
      <w:pPr>
        <w:pStyle w:val="Estilo"/>
        <w:ind w:left="567" w:hanging="567"/>
        <w:rPr>
          <w:rFonts w:cs="Arial"/>
        </w:rPr>
      </w:pPr>
    </w:p>
    <w:p w14:paraId="67C5B136" w14:textId="77777777" w:rsidR="00D3344B" w:rsidRDefault="00143C25">
      <w:pPr>
        <w:pStyle w:val="Estilo"/>
        <w:ind w:left="567" w:hanging="567"/>
        <w:rPr>
          <w:rFonts w:cs="Arial"/>
        </w:rPr>
      </w:pPr>
      <w:r>
        <w:rPr>
          <w:rFonts w:cs="Arial"/>
        </w:rPr>
        <w:t xml:space="preserve">III. </w:t>
      </w:r>
      <w:r>
        <w:rPr>
          <w:rFonts w:cs="Arial"/>
        </w:rPr>
        <w:tab/>
        <w:t xml:space="preserve">El crédito fiscal no sea </w:t>
      </w:r>
      <w:proofErr w:type="gramStart"/>
      <w:r>
        <w:rPr>
          <w:rFonts w:cs="Arial"/>
        </w:rPr>
        <w:t>exigible</w:t>
      </w:r>
      <w:proofErr w:type="gramEnd"/>
      <w:r>
        <w:rPr>
          <w:rFonts w:cs="Arial"/>
        </w:rPr>
        <w:t xml:space="preserve"> pero haya sido determinado por el contribuyente o por la autoridad en el ejercicio de sus facultades de comprobación, cuando a juicio de ésta exista peligro inminente de que el obligado realice cualquier maniobra tendiente a evadir su cumplimiento. En este caso, la autoridad trabará el embargo precautorio hasta por un monto equivalente al de la contribución o contribuciones determinadas, incluyendo sus accesorios. Si el pago se hiciera dentro del plazo de treinta días, el contribuyente no estará obligado a cubrir los gastos que origine la diligencia y se levantará el embargo. Transcurrido el plazo antes señalado, sin que el obligado hubiera desvirtuado el monto del embargo precautorio, éste quedará firme.</w:t>
      </w:r>
    </w:p>
    <w:p w14:paraId="262C48E0" w14:textId="77777777" w:rsidR="00D3344B" w:rsidRDefault="00D3344B">
      <w:pPr>
        <w:pStyle w:val="Estilo"/>
        <w:rPr>
          <w:rFonts w:cs="Arial"/>
        </w:rPr>
      </w:pPr>
    </w:p>
    <w:p w14:paraId="0BF46E34" w14:textId="77777777" w:rsidR="00D3344B" w:rsidRDefault="00143C25">
      <w:pPr>
        <w:pStyle w:val="Estilo"/>
        <w:rPr>
          <w:rFonts w:cs="Arial"/>
        </w:rPr>
      </w:pPr>
      <w:r>
        <w:rPr>
          <w:rFonts w:cs="Arial"/>
        </w:rPr>
        <w:t>La autoridad que practique el embargo precautorio levantará acta circunstanciada en la que precisen las razones del embargo.</w:t>
      </w:r>
    </w:p>
    <w:p w14:paraId="3B34768A" w14:textId="77777777" w:rsidR="00D3344B" w:rsidRDefault="00D3344B">
      <w:pPr>
        <w:pStyle w:val="Estilo"/>
        <w:rPr>
          <w:rFonts w:cs="Arial"/>
        </w:rPr>
      </w:pPr>
    </w:p>
    <w:p w14:paraId="66B46811" w14:textId="77777777" w:rsidR="00D3344B" w:rsidRDefault="00143C25">
      <w:pPr>
        <w:pStyle w:val="Estilo"/>
        <w:rPr>
          <w:rFonts w:cs="Arial"/>
        </w:rPr>
      </w:pPr>
      <w:r>
        <w:rPr>
          <w:rFonts w:cs="Arial"/>
        </w:rPr>
        <w:t>En el caso de las fracciones I y II, el embargo precautorio quedará sin efectos si la autoridad fiscal no emite la resolución en la que se determinen créditos fiscales, dentro del plazo de treinta días, mismo que podrá ampliarse hasta seis meses en los casos en que se funde y motive el acto, contados desde la fecha en que fue practicado el embargo. Si dentro del plazo señalado la autoridad los determina, el embargo precautorio se convertirá en definitivo y se proseguirá el procedimiento administrativo de ejecución conforme a las disposiciones de esta Sección, debiendo dejar constancia de la resolución y de la notificación en el expediente de ejecución. Si el particular garantiza el interés fiscal en los términos señalados en este código se levantará el embargo.</w:t>
      </w:r>
    </w:p>
    <w:p w14:paraId="32094F82" w14:textId="77777777" w:rsidR="00D3344B" w:rsidRDefault="00D3344B">
      <w:pPr>
        <w:pStyle w:val="Estilo"/>
        <w:rPr>
          <w:rFonts w:cs="Arial"/>
        </w:rPr>
      </w:pPr>
    </w:p>
    <w:p w14:paraId="2A3C0751" w14:textId="77777777" w:rsidR="00D3344B" w:rsidRDefault="00143C25">
      <w:pPr>
        <w:pStyle w:val="Estilo"/>
        <w:rPr>
          <w:rFonts w:cs="Arial"/>
        </w:rPr>
      </w:pPr>
      <w:r>
        <w:rPr>
          <w:rFonts w:cs="Arial"/>
        </w:rPr>
        <w:t>El embargo precautorio practicado antes de la fecha en que el crédito fiscal sea exigible, se convertirá en definitivo al momento de la exigibilidad de dicho crédito fiscal y se aplicará el procedimiento administrativo de ejecución.</w:t>
      </w:r>
    </w:p>
    <w:p w14:paraId="5BF18724" w14:textId="77777777" w:rsidR="00D3344B" w:rsidRDefault="00D3344B">
      <w:pPr>
        <w:pStyle w:val="Estilo"/>
        <w:rPr>
          <w:rFonts w:cs="Arial"/>
        </w:rPr>
      </w:pPr>
    </w:p>
    <w:p w14:paraId="5BDA4C50" w14:textId="77777777" w:rsidR="00D3344B" w:rsidRDefault="00143C25">
      <w:pPr>
        <w:pStyle w:val="Estilo"/>
        <w:rPr>
          <w:rFonts w:cs="Arial"/>
        </w:rPr>
      </w:pPr>
      <w:r>
        <w:rPr>
          <w:rFonts w:cs="Arial"/>
          <w:b/>
        </w:rPr>
        <w:t>Artículo 357.</w:t>
      </w:r>
      <w:r>
        <w:rPr>
          <w:rFonts w:cs="Arial"/>
        </w:rPr>
        <w:t xml:space="preserve"> Las facultades de las autoridades fiscales se ejercerán en la forma y términos que dispongan las leyes y sus reglamentos interiores respectivos, sin perjuicio de que puedan delegar sus facultades de manera específica en los servidores públicos que determinen mediante acuerdo de carácter general, el cual deberá publicarse en el Periódico Oficial del Gobierno del Estado, para su observancia.</w:t>
      </w:r>
    </w:p>
    <w:p w14:paraId="60AE89E7" w14:textId="77777777" w:rsidR="00D3344B" w:rsidRDefault="00D3344B">
      <w:pPr>
        <w:pStyle w:val="Estilo"/>
        <w:rPr>
          <w:rFonts w:cs="Arial"/>
        </w:rPr>
      </w:pPr>
    </w:p>
    <w:p w14:paraId="22ED51E4" w14:textId="77777777" w:rsidR="00D3344B" w:rsidRDefault="00143C25">
      <w:pPr>
        <w:pStyle w:val="Estilo"/>
        <w:rPr>
          <w:rFonts w:cs="Arial"/>
        </w:rPr>
      </w:pPr>
      <w:r>
        <w:rPr>
          <w:rFonts w:cs="Arial"/>
          <w:b/>
        </w:rPr>
        <w:t>Artículo 358.</w:t>
      </w:r>
      <w:r>
        <w:rPr>
          <w:rFonts w:cs="Arial"/>
        </w:rPr>
        <w:t xml:space="preserve"> </w:t>
      </w:r>
      <w:r>
        <w:rPr>
          <w:rFonts w:cs="Arial"/>
          <w:i/>
          <w:iCs/>
          <w:sz w:val="16"/>
          <w:szCs w:val="16"/>
        </w:rPr>
        <w:t>(DEROGADO, P.O. 22 DE DICIEMBRE DE 2021)</w:t>
      </w:r>
    </w:p>
    <w:p w14:paraId="056B4BAF" w14:textId="77777777" w:rsidR="00D3344B" w:rsidRDefault="00D3344B">
      <w:pPr>
        <w:pStyle w:val="Estilo"/>
        <w:rPr>
          <w:rFonts w:cs="Arial"/>
        </w:rPr>
      </w:pPr>
    </w:p>
    <w:p w14:paraId="0043205E" w14:textId="77777777" w:rsidR="00D3344B" w:rsidRDefault="00143C25">
      <w:pPr>
        <w:pStyle w:val="Estilo"/>
        <w:rPr>
          <w:rFonts w:cs="Arial"/>
        </w:rPr>
      </w:pPr>
      <w:r>
        <w:rPr>
          <w:rFonts w:cs="Arial"/>
          <w:b/>
        </w:rPr>
        <w:t xml:space="preserve">Artículo 359. </w:t>
      </w:r>
      <w:r>
        <w:rPr>
          <w:rFonts w:cs="Arial"/>
        </w:rPr>
        <w:t>Cuando sea necesario emplear el procedimiento administrativo de ejecución para hacer efectivo un crédito fiscal, las personas físicas y las morales estarán obligadas a pagar el 2% del crédito fiscal, por concepto de gastos de ejecución, por cada una de las diligencias que a continuación se indican:</w:t>
      </w:r>
    </w:p>
    <w:p w14:paraId="2A3D5492" w14:textId="77777777" w:rsidR="00D3344B" w:rsidRDefault="00D3344B">
      <w:pPr>
        <w:pStyle w:val="Estilo"/>
        <w:rPr>
          <w:rFonts w:cs="Arial"/>
        </w:rPr>
      </w:pPr>
    </w:p>
    <w:p w14:paraId="0DE23524" w14:textId="77777777" w:rsidR="00D3344B" w:rsidRDefault="00143C25">
      <w:pPr>
        <w:pStyle w:val="Estilo"/>
        <w:rPr>
          <w:rFonts w:cs="Arial"/>
        </w:rPr>
      </w:pPr>
      <w:r>
        <w:rPr>
          <w:rFonts w:cs="Arial"/>
        </w:rPr>
        <w:t>I. Por el requerimiento de pago;</w:t>
      </w:r>
    </w:p>
    <w:p w14:paraId="3A1D6E9C" w14:textId="77777777" w:rsidR="00D3344B" w:rsidRDefault="00D3344B">
      <w:pPr>
        <w:pStyle w:val="Estilo"/>
        <w:rPr>
          <w:rFonts w:cs="Arial"/>
        </w:rPr>
      </w:pPr>
    </w:p>
    <w:p w14:paraId="162929EC" w14:textId="77777777" w:rsidR="00D3344B" w:rsidRDefault="00143C25">
      <w:pPr>
        <w:pStyle w:val="Estilo"/>
        <w:rPr>
          <w:rFonts w:cs="Arial"/>
        </w:rPr>
      </w:pPr>
      <w:r>
        <w:rPr>
          <w:rFonts w:cs="Arial"/>
        </w:rPr>
        <w:t>II. Por la del embargo, y</w:t>
      </w:r>
    </w:p>
    <w:p w14:paraId="4439EEA4" w14:textId="77777777" w:rsidR="00D3344B" w:rsidRDefault="00D3344B">
      <w:pPr>
        <w:pStyle w:val="Estilo"/>
        <w:rPr>
          <w:rFonts w:cs="Arial"/>
        </w:rPr>
      </w:pPr>
    </w:p>
    <w:p w14:paraId="7D84F459" w14:textId="77777777" w:rsidR="00D3344B" w:rsidRDefault="00143C25">
      <w:pPr>
        <w:pStyle w:val="Estilo"/>
        <w:rPr>
          <w:rFonts w:cs="Arial"/>
        </w:rPr>
      </w:pPr>
      <w:r>
        <w:rPr>
          <w:rFonts w:cs="Arial"/>
        </w:rPr>
        <w:t>III. Por la de remate, enajenación fuera de remate o adjudicación a la hacienda pública estatal o municipal.</w:t>
      </w:r>
    </w:p>
    <w:p w14:paraId="709EF450" w14:textId="77777777" w:rsidR="00D3344B" w:rsidRDefault="00D3344B">
      <w:pPr>
        <w:pStyle w:val="Estilo"/>
        <w:rPr>
          <w:rFonts w:cs="Arial"/>
        </w:rPr>
      </w:pPr>
    </w:p>
    <w:p w14:paraId="1D0F962E"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7A011296" w14:textId="77777777" w:rsidR="00D3344B" w:rsidRDefault="00143C25">
      <w:pPr>
        <w:pStyle w:val="Estilo"/>
        <w:rPr>
          <w:rFonts w:cs="Arial"/>
        </w:rPr>
      </w:pPr>
      <w:r>
        <w:rPr>
          <w:rFonts w:cs="Arial"/>
        </w:rPr>
        <w:t>Cuando en los casos de las fracciones anteriores, el 2% del crédito sea inferior a $560.00, se cobrará esta cantidad en vez del 2% del crédito.</w:t>
      </w:r>
    </w:p>
    <w:p w14:paraId="16330752" w14:textId="77777777" w:rsidR="00D3344B" w:rsidRDefault="00D3344B">
      <w:pPr>
        <w:pStyle w:val="Estilo"/>
        <w:rPr>
          <w:rFonts w:cs="Arial"/>
        </w:rPr>
      </w:pPr>
    </w:p>
    <w:p w14:paraId="3EAC8DF6" w14:textId="77777777" w:rsidR="00D3344B" w:rsidRDefault="00143C25">
      <w:pPr>
        <w:pStyle w:val="Estilo"/>
        <w:rPr>
          <w:rFonts w:eastAsia="Calibri" w:cs="Arial"/>
          <w:i/>
          <w:iCs/>
          <w:sz w:val="16"/>
          <w:szCs w:val="16"/>
        </w:rPr>
      </w:pPr>
      <w:r>
        <w:rPr>
          <w:rFonts w:eastAsia="Calibri" w:cs="Arial"/>
          <w:i/>
          <w:iCs/>
          <w:sz w:val="16"/>
          <w:szCs w:val="16"/>
        </w:rPr>
        <w:t>(REFORMADO, P.O. 29 DE NOVIEMBRE DE 2023)</w:t>
      </w:r>
    </w:p>
    <w:p w14:paraId="7CCEE08B" w14:textId="77777777" w:rsidR="00D3344B" w:rsidRDefault="00143C25">
      <w:pPr>
        <w:pStyle w:val="Estilo"/>
        <w:rPr>
          <w:rFonts w:cs="Arial"/>
        </w:rPr>
      </w:pPr>
      <w:r>
        <w:rPr>
          <w:rFonts w:cs="Arial"/>
        </w:rPr>
        <w:t>En ningún caso los gastos de ejecución, por cada una de las diligencias a que se refiere este artículo, excluyendo las erogaciones extraordinarias y las contribuciones que se paguen por el Estado o el Municipio para liberar de cualquier gravamen los bienes que sean objeto de remate, podrán exceder de $86,460.00.</w:t>
      </w:r>
    </w:p>
    <w:p w14:paraId="27892DF5" w14:textId="77777777" w:rsidR="00D3344B" w:rsidRDefault="00D3344B">
      <w:pPr>
        <w:pStyle w:val="Estilo"/>
        <w:rPr>
          <w:rFonts w:cs="Arial"/>
        </w:rPr>
      </w:pPr>
    </w:p>
    <w:p w14:paraId="54B4D46A" w14:textId="77777777" w:rsidR="00D3344B" w:rsidRDefault="00143C25">
      <w:pPr>
        <w:pStyle w:val="Estilo"/>
        <w:rPr>
          <w:rFonts w:cs="Arial"/>
        </w:rPr>
      </w:pPr>
      <w:r>
        <w:rPr>
          <w:rFonts w:cs="Arial"/>
        </w:rPr>
        <w:t xml:space="preserve">Asimismo, se pagarán por concepto de gastos de ejecución los extraordinarios en que se incurra con motivo del Procedimiento Administrativo de Ejecución, incluyendo los realizados en el ejercicio de las facultades señaladas en los artículos 356 y 356-A de este Código, así como, los que en su caso deriven de los embargos que se instauren para hacer efectiva la sanción contenida en el artículo 320 fracción VIII de este Código, que comprenderán los del transporte de los bienes embargados, de avalúos de impresión y publicación de convocatorias y edictos, de investigaciones, de inscripciones, de cancelaciones o de solicitudes de información en el Registro Público que corresponda, los erogados por la obtención de certificado de liberación de gravámenes, los honorarios de los depositarios y de los peritos, salvo cuando dichos depositarios renuncien expresamente al cobro de tales </w:t>
      </w:r>
      <w:r>
        <w:rPr>
          <w:rFonts w:cs="Arial"/>
        </w:rPr>
        <w:lastRenderedPageBreak/>
        <w:t>honorarios, los devengados por concepto de escrituración y las contribuciones que origine la transmisión de dominio de los bienes inmuebles enajenados o adjudicados a favor del Estado en los términos de lo previsto por el articulo 411 fracciones</w:t>
      </w:r>
    </w:p>
    <w:p w14:paraId="3845BA21" w14:textId="77777777" w:rsidR="00D3344B" w:rsidRDefault="00D3344B">
      <w:pPr>
        <w:pStyle w:val="Estilo"/>
        <w:rPr>
          <w:rFonts w:cs="Arial"/>
        </w:rPr>
      </w:pPr>
    </w:p>
    <w:p w14:paraId="660252BC" w14:textId="77777777" w:rsidR="00D3344B" w:rsidRDefault="00143C25">
      <w:pPr>
        <w:pStyle w:val="Estilo"/>
        <w:rPr>
          <w:rFonts w:cs="Arial"/>
        </w:rPr>
      </w:pPr>
      <w:r>
        <w:rPr>
          <w:rFonts w:cs="Arial"/>
        </w:rPr>
        <w:t>I y II de este Código, y las contribuciones que se paguen por el Estado para liberar de cualquier gravamen a los bienes que sean objeto de remate.</w:t>
      </w:r>
    </w:p>
    <w:p w14:paraId="022CF2D5" w14:textId="77777777" w:rsidR="00D3344B" w:rsidRDefault="00D3344B">
      <w:pPr>
        <w:pStyle w:val="Estilo"/>
        <w:rPr>
          <w:rFonts w:cs="Arial"/>
        </w:rPr>
      </w:pPr>
    </w:p>
    <w:p w14:paraId="116C8483" w14:textId="77777777" w:rsidR="00D3344B" w:rsidRDefault="00143C25">
      <w:pPr>
        <w:pStyle w:val="Estilo"/>
        <w:rPr>
          <w:rFonts w:cs="Arial"/>
        </w:rPr>
      </w:pPr>
      <w:r>
        <w:rPr>
          <w:rFonts w:cs="Arial"/>
        </w:rPr>
        <w:t>Los gastos de ejecución se determinarán por la autoridad ejecutora, debiendo pagarse junto con los demás créditos fiscales salvo que se interponga el recurso de revocación.</w:t>
      </w:r>
    </w:p>
    <w:p w14:paraId="0B2452BD" w14:textId="77777777" w:rsidR="00D3344B" w:rsidRDefault="00D3344B">
      <w:pPr>
        <w:pStyle w:val="Estilo"/>
        <w:rPr>
          <w:rFonts w:cs="Arial"/>
        </w:rPr>
      </w:pPr>
    </w:p>
    <w:p w14:paraId="0B86C92C" w14:textId="77777777" w:rsidR="00D3344B" w:rsidRDefault="00143C25">
      <w:pPr>
        <w:pStyle w:val="Estilo"/>
        <w:rPr>
          <w:rFonts w:cs="Arial"/>
        </w:rPr>
      </w:pPr>
      <w:r>
        <w:rPr>
          <w:rFonts w:cs="Arial"/>
        </w:rPr>
        <w:t>Los ingresos recaudados por concepto de gastos de ejecución, se destinarán al establecimiento de un fondo revolvente para gastos de cobranza, para programas de fomento con el público en general de cumplimiento de las obligaciones fiscales, para financiar los programas de formación de funcionarios fiscales, salvo que por ley estén destinados a otros fines. El destino de estos ingresos será con independencia del presupuesto que tengan asignado las autoridades fiscales estatales.</w:t>
      </w:r>
    </w:p>
    <w:p w14:paraId="4CE04C6A" w14:textId="77777777" w:rsidR="00D3344B" w:rsidRDefault="00D3344B">
      <w:pPr>
        <w:pStyle w:val="Estilo"/>
        <w:rPr>
          <w:rFonts w:cs="Arial"/>
        </w:rPr>
      </w:pPr>
    </w:p>
    <w:p w14:paraId="53E05786" w14:textId="77777777" w:rsidR="00D3344B" w:rsidRDefault="00143C25">
      <w:pPr>
        <w:pStyle w:val="Estilo"/>
        <w:rPr>
          <w:rFonts w:cs="Arial"/>
        </w:rPr>
      </w:pPr>
      <w:r>
        <w:rPr>
          <w:rFonts w:cs="Arial"/>
        </w:rPr>
        <w:t>Cuando las autoridades fiscales ordenen la práctica de un avalúo y éste resulte superior en más de un 10% del valor declarado por el contribuyente, éste deberá cubrir el costo de dicho avalúo.</w:t>
      </w:r>
    </w:p>
    <w:p w14:paraId="608A816D" w14:textId="77777777" w:rsidR="00D3344B" w:rsidRDefault="00D3344B">
      <w:pPr>
        <w:pStyle w:val="Estilo"/>
        <w:rPr>
          <w:rFonts w:cs="Arial"/>
        </w:rPr>
      </w:pPr>
    </w:p>
    <w:p w14:paraId="3C9412F5" w14:textId="77777777" w:rsidR="00D3344B" w:rsidRDefault="00143C25">
      <w:pPr>
        <w:pStyle w:val="Estilo"/>
        <w:rPr>
          <w:rFonts w:cs="Arial"/>
          <w:i/>
          <w:sz w:val="16"/>
          <w:szCs w:val="16"/>
        </w:rPr>
      </w:pPr>
      <w:r>
        <w:rPr>
          <w:rFonts w:cs="Arial"/>
          <w:i/>
          <w:sz w:val="16"/>
          <w:szCs w:val="16"/>
        </w:rPr>
        <w:t>(REFORMADO PRIMER PÁRRAFO, P.O. 22 DICIEMBRE 2021)</w:t>
      </w:r>
    </w:p>
    <w:p w14:paraId="17A80B1C" w14:textId="77777777" w:rsidR="00D3344B" w:rsidRDefault="00143C25">
      <w:pPr>
        <w:pStyle w:val="Estilo"/>
        <w:rPr>
          <w:rFonts w:cs="Arial"/>
        </w:rPr>
      </w:pPr>
      <w:r>
        <w:rPr>
          <w:rFonts w:cs="Arial"/>
          <w:b/>
        </w:rPr>
        <w:t>Artículo 360.</w:t>
      </w:r>
      <w:r>
        <w:rPr>
          <w:rFonts w:cs="Arial"/>
        </w:rPr>
        <w:t xml:space="preserve"> Los contribuyentes están obligados al pago de los gastos extraordinarios de ejecución que originen o en que se incurra con motivo del procedimiento administrativo de ejecución, los que únicamente comprenderán: los gastos de transporte de los bienes embargados, de avalúo, de impresión y publicación de convocatorias y edictos, de inscripción o cancelación de gravámenes en la Dirección de Notarías y Registro Público de la Propiedad y del Comercio, los erogados por la obtención del certificado de liberación de gravámenes y de los peritos, así como los honorarios de las personas que contraten los interventores. </w:t>
      </w:r>
    </w:p>
    <w:p w14:paraId="24BEFD4D" w14:textId="77777777" w:rsidR="00D3344B" w:rsidRDefault="00D3344B">
      <w:pPr>
        <w:pStyle w:val="Estilo"/>
        <w:rPr>
          <w:rFonts w:cs="Arial"/>
        </w:rPr>
      </w:pPr>
    </w:p>
    <w:p w14:paraId="4E083B6E" w14:textId="77777777" w:rsidR="00D3344B" w:rsidRDefault="00143C25">
      <w:pPr>
        <w:pStyle w:val="Estilo"/>
        <w:rPr>
          <w:rFonts w:cs="Arial"/>
        </w:rPr>
      </w:pPr>
      <w:r>
        <w:rPr>
          <w:rFonts w:cs="Arial"/>
          <w:i/>
          <w:sz w:val="16"/>
          <w:szCs w:val="16"/>
        </w:rPr>
        <w:t>(REFORMADO PRIMER PÁRRAFO, P.O. 22 DICIEMBRE 2021)</w:t>
      </w:r>
    </w:p>
    <w:p w14:paraId="2CDCB73D" w14:textId="77777777" w:rsidR="00D3344B" w:rsidRDefault="00143C25">
      <w:pPr>
        <w:pStyle w:val="Estilo"/>
        <w:rPr>
          <w:rFonts w:cs="Arial"/>
        </w:rPr>
      </w:pPr>
      <w:r>
        <w:rPr>
          <w:rFonts w:cs="Arial"/>
        </w:rPr>
        <w:t>Los gastos de ejecución ordinarios y extraordinarios se determinarán por la autoridad ejecutora al momento de aplicar el producto de la enajenación, debiendo pagarse junto con los demás conceptos del crédito fiscal.</w:t>
      </w:r>
    </w:p>
    <w:p w14:paraId="2A6E758E" w14:textId="77777777" w:rsidR="00D3344B" w:rsidRDefault="00D3344B">
      <w:pPr>
        <w:pStyle w:val="Estilo"/>
        <w:rPr>
          <w:rFonts w:cs="Arial"/>
        </w:rPr>
      </w:pPr>
    </w:p>
    <w:p w14:paraId="6AA08C9E" w14:textId="77777777" w:rsidR="00D3344B" w:rsidRDefault="00143C25">
      <w:pPr>
        <w:pStyle w:val="Estilo"/>
        <w:rPr>
          <w:rFonts w:cs="Arial"/>
        </w:rPr>
      </w:pPr>
      <w:r>
        <w:rPr>
          <w:rFonts w:cs="Arial"/>
        </w:rPr>
        <w:t>Todos los gastos mencionados a que se refiere el presente artículo son con cargo a los contribuyentes y en ningún caso podrán ser condonados total o parcialmente.</w:t>
      </w:r>
    </w:p>
    <w:p w14:paraId="2C3F86E8" w14:textId="77777777" w:rsidR="00D3344B" w:rsidRDefault="00D3344B">
      <w:pPr>
        <w:pStyle w:val="Estilo"/>
        <w:rPr>
          <w:rFonts w:cs="Arial"/>
        </w:rPr>
      </w:pPr>
    </w:p>
    <w:p w14:paraId="1C272F47" w14:textId="77777777" w:rsidR="00D3344B" w:rsidRDefault="00143C25">
      <w:pPr>
        <w:pStyle w:val="Estilo"/>
        <w:rPr>
          <w:rFonts w:cs="Arial"/>
          <w:i/>
          <w:sz w:val="16"/>
          <w:szCs w:val="16"/>
        </w:rPr>
      </w:pPr>
      <w:r>
        <w:rPr>
          <w:rFonts w:cs="Arial"/>
          <w:i/>
          <w:sz w:val="16"/>
          <w:szCs w:val="16"/>
        </w:rPr>
        <w:t>(REFORMADO PRIMER PÁRRAFO, P.O. 22 DICIEMBRE 2021)</w:t>
      </w:r>
    </w:p>
    <w:p w14:paraId="264D64BA" w14:textId="77777777" w:rsidR="00D3344B" w:rsidRDefault="00143C25">
      <w:pPr>
        <w:pStyle w:val="Estilo"/>
        <w:rPr>
          <w:rFonts w:cs="Arial"/>
        </w:rPr>
      </w:pPr>
      <w:r>
        <w:rPr>
          <w:rFonts w:cs="Arial"/>
          <w:b/>
        </w:rPr>
        <w:t>Artículo 361.</w:t>
      </w:r>
      <w:r>
        <w:rPr>
          <w:rFonts w:cs="Arial"/>
        </w:rPr>
        <w:t xml:space="preserve"> El procedimiento administrativo de ejecución se iniciará por la autoridad fiscal competente, dictándose mandamiento de ejecución motivado y fundado, que consistirá en una orden respectiva, en la que se expondrá las razones y fundamentos legales que la apoyen, disponiendo que se requiera el pago al deudor apercibiéndolo de en caso de no hacerlo en el acto se le embargarán bienes </w:t>
      </w:r>
      <w:r>
        <w:rPr>
          <w:rFonts w:cs="Arial"/>
        </w:rPr>
        <w:lastRenderedPageBreak/>
        <w:t>suficientes o se intervendrá la negociación con cargo a la caja para hacer efectivo el crédito fiscal y sus accesorios legales.</w:t>
      </w:r>
    </w:p>
    <w:p w14:paraId="021DF450" w14:textId="77777777" w:rsidR="00D3344B" w:rsidRDefault="00D3344B">
      <w:pPr>
        <w:pStyle w:val="Estilo"/>
        <w:rPr>
          <w:rFonts w:cs="Arial"/>
        </w:rPr>
      </w:pPr>
    </w:p>
    <w:p w14:paraId="52325224" w14:textId="77777777" w:rsidR="00D3344B" w:rsidRDefault="00143C25">
      <w:pPr>
        <w:pStyle w:val="Estilo"/>
        <w:rPr>
          <w:rFonts w:cs="Arial"/>
        </w:rPr>
      </w:pPr>
      <w:r>
        <w:rPr>
          <w:rFonts w:cs="Arial"/>
        </w:rPr>
        <w:t>En el caso de créditos fiscales del Estado, la Secretaría podrá encomendar a cualquier otra autoridad fiscal competente, la práctica de alguna de las diligencias derivadas del procedimiento, en auxilio de la que conozca del crédito.</w:t>
      </w:r>
    </w:p>
    <w:p w14:paraId="6F8607F1" w14:textId="77777777" w:rsidR="00D3344B" w:rsidRDefault="00D3344B">
      <w:pPr>
        <w:pStyle w:val="Estilo"/>
        <w:rPr>
          <w:rFonts w:cs="Arial"/>
        </w:rPr>
      </w:pPr>
    </w:p>
    <w:p w14:paraId="03EBA9BB" w14:textId="77777777" w:rsidR="00D3344B" w:rsidRDefault="00143C25">
      <w:pPr>
        <w:pStyle w:val="Estilo"/>
        <w:rPr>
          <w:rFonts w:cs="Arial"/>
        </w:rPr>
      </w:pPr>
      <w:r>
        <w:rPr>
          <w:rFonts w:cs="Arial"/>
        </w:rPr>
        <w:t>Si la exigibilidad del crédito y sus accesorios se origina por cese de la prórroga de la autorización para el pago en parcialidades o por error aritmético en las declaraciones, el deudor podrá efectuar el pago dentro de los seis días siguientes a la fecha en que surta efectos la notificación del requerimiento.</w:t>
      </w:r>
    </w:p>
    <w:p w14:paraId="02DB241C" w14:textId="77777777" w:rsidR="00D3344B" w:rsidRDefault="00D3344B">
      <w:pPr>
        <w:pStyle w:val="Estilo"/>
        <w:rPr>
          <w:rFonts w:cs="Arial"/>
        </w:rPr>
      </w:pPr>
    </w:p>
    <w:p w14:paraId="2C04E9FD" w14:textId="77777777" w:rsidR="00D3344B" w:rsidRDefault="00143C25">
      <w:pPr>
        <w:pStyle w:val="Estilo"/>
        <w:rPr>
          <w:rFonts w:cs="Arial"/>
        </w:rPr>
      </w:pPr>
      <w:r>
        <w:rPr>
          <w:rFonts w:cs="Arial"/>
        </w:rPr>
        <w:t>No se ejecutarán los actos administrativos cuando se garantice el interés fiscal, satisfaciendo los requisitos legales establecidos en este código.</w:t>
      </w:r>
    </w:p>
    <w:p w14:paraId="53916202" w14:textId="77777777" w:rsidR="00D3344B" w:rsidRDefault="00D3344B">
      <w:pPr>
        <w:pStyle w:val="Estilo"/>
        <w:rPr>
          <w:rFonts w:cs="Arial"/>
        </w:rPr>
      </w:pPr>
    </w:p>
    <w:p w14:paraId="0B69C211" w14:textId="77777777" w:rsidR="00D3344B" w:rsidRDefault="00143C25">
      <w:pPr>
        <w:pStyle w:val="Estilo"/>
        <w:rPr>
          <w:rFonts w:cs="Arial"/>
        </w:rPr>
      </w:pPr>
      <w:r>
        <w:rPr>
          <w:rFonts w:cs="Arial"/>
          <w:i/>
          <w:sz w:val="16"/>
        </w:rPr>
        <w:t>(REFORMADO, P.O. 27 DE DICIEMBRE DE 2021)</w:t>
      </w:r>
    </w:p>
    <w:p w14:paraId="7346C9C2" w14:textId="77777777" w:rsidR="00D3344B" w:rsidRDefault="00143C25">
      <w:pPr>
        <w:pStyle w:val="Estilo"/>
        <w:rPr>
          <w:rFonts w:cs="Arial"/>
        </w:rPr>
      </w:pPr>
      <w:r>
        <w:rPr>
          <w:rFonts w:cs="Arial"/>
        </w:rPr>
        <w:t>Tampoco se ejecutará el acto que determine un crédito fiscal hasta que venza el plazo de quince días hábiles siguientes a la fecha en que surta efectos su notificación, o se resuelva el medio de defensa que en su caso hubiese interpuesto el contribuyente a favor del fisco.</w:t>
      </w:r>
    </w:p>
    <w:p w14:paraId="7DB71188" w14:textId="77777777" w:rsidR="00D3344B" w:rsidRDefault="00D3344B">
      <w:pPr>
        <w:pStyle w:val="Estilo"/>
        <w:rPr>
          <w:rFonts w:cs="Arial"/>
        </w:rPr>
      </w:pPr>
    </w:p>
    <w:p w14:paraId="73288A8F" w14:textId="77777777" w:rsidR="00D3344B" w:rsidRDefault="00143C25">
      <w:pPr>
        <w:pStyle w:val="Estilo"/>
        <w:rPr>
          <w:rFonts w:cs="Arial"/>
        </w:rPr>
      </w:pPr>
      <w:r>
        <w:rPr>
          <w:rFonts w:cs="Arial"/>
        </w:rPr>
        <w:t>Si a más tardar al vencimiento del plazo antes citado, se impugna alguna resolución y se garantiza el interés fiscal, satisfaciendo los requisitos legales establecidos en este código, se suspenderá el procedimiento administrativo de ejecución.</w:t>
      </w:r>
    </w:p>
    <w:p w14:paraId="75588F66" w14:textId="77777777" w:rsidR="00D3344B" w:rsidRDefault="00D3344B">
      <w:pPr>
        <w:pStyle w:val="Estilo"/>
        <w:rPr>
          <w:rFonts w:cs="Arial"/>
        </w:rPr>
      </w:pPr>
    </w:p>
    <w:p w14:paraId="61823B35" w14:textId="77777777" w:rsidR="00D3344B" w:rsidRDefault="00143C25">
      <w:pPr>
        <w:pStyle w:val="Estilo"/>
        <w:rPr>
          <w:rFonts w:cs="Arial"/>
        </w:rPr>
      </w:pPr>
      <w:r>
        <w:rPr>
          <w:rFonts w:cs="Arial"/>
          <w:i/>
          <w:sz w:val="16"/>
        </w:rPr>
        <w:t>(REFORMADO, P.O. 22 DE DICIEMBRE DE 2021)</w:t>
      </w:r>
    </w:p>
    <w:p w14:paraId="5C264388" w14:textId="77777777" w:rsidR="00D3344B" w:rsidRDefault="00143C25">
      <w:pPr>
        <w:pStyle w:val="Estilo"/>
        <w:rPr>
          <w:rFonts w:cs="Arial"/>
        </w:rPr>
      </w:pPr>
      <w:r>
        <w:rPr>
          <w:rFonts w:cs="Arial"/>
          <w:b/>
        </w:rPr>
        <w:t>Artículo 362.</w:t>
      </w:r>
      <w:r>
        <w:rPr>
          <w:rFonts w:cs="Arial"/>
        </w:rPr>
        <w:t xml:space="preserve"> En el mismo mandamiento de ejecución la autoridad fiscal competente designará al servidor público que fungirá como notificador-ejecutor para practicar el requerimiento y el embargo de bienes, en su caso. Siendo indispensable apercibir al contribuyente o a sus representantes legales para que en caso de negarse o no presentarse a la práctica de la diligencia, el notificador-ejecutor la podrá llevar a cabo en su ausencia con la persona que se encuentre en el domicilio o emplear los medios legales que este código señala.</w:t>
      </w:r>
    </w:p>
    <w:p w14:paraId="42F9AC18" w14:textId="77777777" w:rsidR="00D3344B" w:rsidRDefault="00D3344B">
      <w:pPr>
        <w:pStyle w:val="Estilo"/>
        <w:rPr>
          <w:rFonts w:cs="Arial"/>
        </w:rPr>
      </w:pPr>
    </w:p>
    <w:p w14:paraId="7F4BFFF0" w14:textId="77777777" w:rsidR="00D3344B" w:rsidRDefault="00143C25">
      <w:pPr>
        <w:pStyle w:val="Estilo"/>
        <w:rPr>
          <w:rFonts w:cs="Arial"/>
        </w:rPr>
      </w:pPr>
      <w:r>
        <w:rPr>
          <w:rFonts w:cs="Arial"/>
          <w:i/>
          <w:sz w:val="16"/>
        </w:rPr>
        <w:t>(REFORMADO, P.O. 22 DE DICIEMBRE DE 2021)</w:t>
      </w:r>
    </w:p>
    <w:p w14:paraId="21A6979F" w14:textId="77777777" w:rsidR="00D3344B" w:rsidRDefault="00143C25">
      <w:pPr>
        <w:pStyle w:val="Estilo"/>
        <w:rPr>
          <w:rFonts w:cs="Arial"/>
        </w:rPr>
      </w:pPr>
      <w:r>
        <w:rPr>
          <w:rFonts w:cs="Arial"/>
          <w:b/>
        </w:rPr>
        <w:t>Artículo 363.</w:t>
      </w:r>
      <w:r>
        <w:rPr>
          <w:rFonts w:cs="Arial"/>
        </w:rPr>
        <w:t xml:space="preserve"> No será necesario instaurar el procedimiento administrativo de ejecución cuando el crédito fiscal haya sido garantizado mediante depósito en efectivo. En este caso la autoridad fiscal competente expedirá acuerdo ordenando su aplicación en pago del crédito correspondiente.</w:t>
      </w:r>
    </w:p>
    <w:p w14:paraId="0F1364F0" w14:textId="77777777" w:rsidR="00D3344B" w:rsidRDefault="00D3344B">
      <w:pPr>
        <w:pStyle w:val="Estilo"/>
        <w:rPr>
          <w:rFonts w:cs="Arial"/>
        </w:rPr>
      </w:pPr>
    </w:p>
    <w:p w14:paraId="76140B2C" w14:textId="77777777" w:rsidR="00D3344B" w:rsidRDefault="00143C25">
      <w:pPr>
        <w:pStyle w:val="Estilo"/>
        <w:rPr>
          <w:rFonts w:cs="Arial"/>
        </w:rPr>
      </w:pPr>
      <w:r>
        <w:rPr>
          <w:rFonts w:cs="Arial"/>
        </w:rPr>
        <w:t>Cuando el depósito no cubra el importe total del adeudo se iniciará el procedimiento administrativo de ejecución, sólo por la diferencia insoluta para hacerla efectiva al deudor.</w:t>
      </w:r>
    </w:p>
    <w:p w14:paraId="79FD9BD4" w14:textId="77777777" w:rsidR="00D3344B" w:rsidRDefault="00D3344B">
      <w:pPr>
        <w:pStyle w:val="Estilo"/>
        <w:rPr>
          <w:rFonts w:cs="Arial"/>
        </w:rPr>
      </w:pPr>
    </w:p>
    <w:p w14:paraId="1150162B" w14:textId="77777777" w:rsidR="00D3344B" w:rsidRDefault="00143C25">
      <w:pPr>
        <w:pStyle w:val="Estilo"/>
        <w:rPr>
          <w:rFonts w:cs="Arial"/>
        </w:rPr>
      </w:pPr>
      <w:r>
        <w:rPr>
          <w:rFonts w:cs="Arial"/>
          <w:i/>
          <w:sz w:val="16"/>
        </w:rPr>
        <w:t>(REFORMADO, P.O. 22 DE DICIEMBRE DE 2021)</w:t>
      </w:r>
    </w:p>
    <w:p w14:paraId="486F36BA" w14:textId="77777777" w:rsidR="00D3344B" w:rsidRDefault="00143C25">
      <w:pPr>
        <w:pStyle w:val="Estilo"/>
        <w:rPr>
          <w:rFonts w:cs="Arial"/>
        </w:rPr>
      </w:pPr>
      <w:r>
        <w:rPr>
          <w:rFonts w:cs="Arial"/>
          <w:b/>
        </w:rPr>
        <w:t>Artículo 364.</w:t>
      </w:r>
      <w:r>
        <w:rPr>
          <w:rFonts w:cs="Arial"/>
        </w:rPr>
        <w:t xml:space="preserve"> El notificador-ejecutor, designado por la autoridad fiscal competente, se constituirá en el domicilio fiscal del contribuyente y deberá identificarse ante la </w:t>
      </w:r>
      <w:r>
        <w:rPr>
          <w:rFonts w:cs="Arial"/>
        </w:rPr>
        <w:lastRenderedPageBreak/>
        <w:t>persona con quien se practicará la diligencia de requerimiento de pago y de embargo de bienes o intervención de la negociación con cargo a la caja, según sea el caso, debiendo notificar el mandamiento de ejecución conforme a las formalidades previstas en este Código para las notificaciones personales.</w:t>
      </w:r>
    </w:p>
    <w:p w14:paraId="6D9365DE" w14:textId="77777777" w:rsidR="00D3344B" w:rsidRDefault="00D3344B">
      <w:pPr>
        <w:pStyle w:val="Estilo"/>
        <w:rPr>
          <w:rFonts w:cs="Arial"/>
        </w:rPr>
      </w:pPr>
    </w:p>
    <w:p w14:paraId="4AB7EFDB" w14:textId="77777777" w:rsidR="00D3344B" w:rsidRDefault="00143C25">
      <w:pPr>
        <w:pStyle w:val="Estilo"/>
        <w:rPr>
          <w:rFonts w:cs="Arial"/>
        </w:rPr>
      </w:pPr>
      <w:r>
        <w:rPr>
          <w:rFonts w:cs="Arial"/>
        </w:rPr>
        <w:t>De esta diligencia se levantará acta circunstanciada de la que se entregará copia a la persona con la que se entienda la misma, junto con el mandamiento de ejecución.</w:t>
      </w:r>
    </w:p>
    <w:p w14:paraId="0D79884B" w14:textId="77777777" w:rsidR="00D3344B" w:rsidRDefault="00D3344B">
      <w:pPr>
        <w:pStyle w:val="Estilo"/>
        <w:rPr>
          <w:rFonts w:cs="Arial"/>
        </w:rPr>
      </w:pPr>
    </w:p>
    <w:p w14:paraId="0A6E4FA9" w14:textId="77777777" w:rsidR="00D3344B" w:rsidRDefault="00143C25">
      <w:pPr>
        <w:pStyle w:val="Estilo"/>
        <w:rPr>
          <w:rFonts w:cs="Arial"/>
        </w:rPr>
      </w:pPr>
      <w:r>
        <w:rPr>
          <w:rFonts w:cs="Arial"/>
        </w:rPr>
        <w:t>Tratándose de contribuciones relacionadas con bienes inmuebles, se estará a lo dispuesto por el artículo 350 de este Código.</w:t>
      </w:r>
    </w:p>
    <w:p w14:paraId="44F2B287" w14:textId="77777777" w:rsidR="00D3344B" w:rsidRDefault="00D3344B">
      <w:pPr>
        <w:pStyle w:val="Estilo"/>
        <w:rPr>
          <w:rFonts w:cs="Arial"/>
        </w:rPr>
      </w:pPr>
    </w:p>
    <w:p w14:paraId="2DB7BE5C" w14:textId="77777777" w:rsidR="00D3344B" w:rsidRDefault="00143C25">
      <w:pPr>
        <w:pStyle w:val="Estilo"/>
        <w:rPr>
          <w:rFonts w:cs="Arial"/>
        </w:rPr>
      </w:pPr>
      <w:r>
        <w:rPr>
          <w:rFonts w:cs="Arial"/>
          <w:b/>
        </w:rPr>
        <w:t>Artículo 365.</w:t>
      </w:r>
      <w:r>
        <w:rPr>
          <w:rFonts w:cs="Arial"/>
        </w:rPr>
        <w:t xml:space="preserve"> Una vez agotado el procedimiento administrativo de ejecución con el responsable principal, para iniciar el mismo en contra de un responsable solidario del crédito fiscal, es necesario notificarle el mandamiento de ejecución. La notificación deberá señalar además lo siguiente:</w:t>
      </w:r>
    </w:p>
    <w:p w14:paraId="7D0E96AD" w14:textId="77777777" w:rsidR="00D3344B" w:rsidRDefault="00D3344B">
      <w:pPr>
        <w:pStyle w:val="Estilo"/>
        <w:rPr>
          <w:rFonts w:cs="Arial"/>
        </w:rPr>
      </w:pPr>
    </w:p>
    <w:p w14:paraId="33B76116" w14:textId="77777777" w:rsidR="00D3344B" w:rsidRDefault="00143C25">
      <w:pPr>
        <w:pStyle w:val="Estilo"/>
        <w:ind w:left="567" w:hanging="567"/>
        <w:rPr>
          <w:rFonts w:cs="Arial"/>
        </w:rPr>
      </w:pPr>
      <w:r>
        <w:rPr>
          <w:rFonts w:cs="Arial"/>
        </w:rPr>
        <w:t xml:space="preserve">I. </w:t>
      </w:r>
      <w:r>
        <w:rPr>
          <w:rFonts w:cs="Arial"/>
        </w:rPr>
        <w:tab/>
        <w:t>El nombre del contribuyente;</w:t>
      </w:r>
    </w:p>
    <w:p w14:paraId="1D1454BF" w14:textId="77777777" w:rsidR="00D3344B" w:rsidRDefault="00D3344B">
      <w:pPr>
        <w:pStyle w:val="Estilo"/>
        <w:ind w:left="567" w:hanging="567"/>
        <w:rPr>
          <w:rFonts w:cs="Arial"/>
        </w:rPr>
      </w:pPr>
    </w:p>
    <w:p w14:paraId="3003EF5E" w14:textId="77777777" w:rsidR="00D3344B" w:rsidRDefault="00143C25">
      <w:pPr>
        <w:pStyle w:val="Estilo"/>
        <w:ind w:left="567" w:hanging="567"/>
        <w:rPr>
          <w:rFonts w:cs="Arial"/>
        </w:rPr>
      </w:pPr>
      <w:r>
        <w:rPr>
          <w:rFonts w:cs="Arial"/>
        </w:rPr>
        <w:t xml:space="preserve">II. </w:t>
      </w:r>
      <w:r>
        <w:rPr>
          <w:rFonts w:cs="Arial"/>
        </w:rPr>
        <w:tab/>
        <w:t>La resolución de la cual se derive el crédito fiscal y el monto de éste;</w:t>
      </w:r>
    </w:p>
    <w:p w14:paraId="2202A3AB" w14:textId="77777777" w:rsidR="00D3344B" w:rsidRDefault="00D3344B">
      <w:pPr>
        <w:pStyle w:val="Estilo"/>
        <w:ind w:left="567" w:hanging="567"/>
        <w:rPr>
          <w:rFonts w:cs="Arial"/>
        </w:rPr>
      </w:pPr>
    </w:p>
    <w:p w14:paraId="5A4DABA4" w14:textId="77777777" w:rsidR="00D3344B" w:rsidRDefault="00143C25">
      <w:pPr>
        <w:pStyle w:val="Estilo"/>
        <w:ind w:left="567" w:hanging="567"/>
        <w:rPr>
          <w:rFonts w:cs="Arial"/>
        </w:rPr>
      </w:pPr>
      <w:r>
        <w:rPr>
          <w:rFonts w:cs="Arial"/>
        </w:rPr>
        <w:t xml:space="preserve">III. </w:t>
      </w:r>
      <w:r>
        <w:rPr>
          <w:rFonts w:cs="Arial"/>
        </w:rPr>
        <w:tab/>
        <w:t>Los motivos y fundamentos por los cuales se le considere responsable solidario del crédito, y</w:t>
      </w:r>
    </w:p>
    <w:p w14:paraId="70BE8838" w14:textId="77777777" w:rsidR="00D3344B" w:rsidRDefault="00D3344B">
      <w:pPr>
        <w:pStyle w:val="Estilo"/>
        <w:ind w:left="567" w:hanging="567"/>
        <w:rPr>
          <w:rFonts w:cs="Arial"/>
        </w:rPr>
      </w:pPr>
    </w:p>
    <w:p w14:paraId="587CBDC9" w14:textId="77777777" w:rsidR="00D3344B" w:rsidRDefault="00143C25">
      <w:pPr>
        <w:pStyle w:val="Estilo"/>
        <w:ind w:left="567" w:hanging="567"/>
        <w:rPr>
          <w:rFonts w:cs="Arial"/>
        </w:rPr>
      </w:pPr>
      <w:r>
        <w:rPr>
          <w:rFonts w:cs="Arial"/>
        </w:rPr>
        <w:t xml:space="preserve">IV. </w:t>
      </w:r>
      <w:r>
        <w:rPr>
          <w:rFonts w:cs="Arial"/>
        </w:rPr>
        <w:tab/>
        <w:t>Que deberá proceder al pago del crédito dentro de los quince días hábiles siguientes.</w:t>
      </w:r>
    </w:p>
    <w:p w14:paraId="4489A229" w14:textId="77777777" w:rsidR="00D3344B" w:rsidRDefault="00D3344B">
      <w:pPr>
        <w:pStyle w:val="Estilo"/>
        <w:rPr>
          <w:rFonts w:cs="Arial"/>
        </w:rPr>
      </w:pPr>
    </w:p>
    <w:p w14:paraId="6F1EC613" w14:textId="77777777" w:rsidR="00D3344B" w:rsidRDefault="00143C25">
      <w:pPr>
        <w:pStyle w:val="Estilo"/>
        <w:jc w:val="center"/>
        <w:rPr>
          <w:rFonts w:cs="Arial"/>
          <w:b/>
        </w:rPr>
      </w:pPr>
      <w:r>
        <w:rPr>
          <w:rFonts w:cs="Arial"/>
          <w:b/>
        </w:rPr>
        <w:t>Sección Segunda</w:t>
      </w:r>
    </w:p>
    <w:p w14:paraId="0AA1B62D" w14:textId="77777777" w:rsidR="00D3344B" w:rsidRDefault="00143C25">
      <w:pPr>
        <w:pStyle w:val="Estilo"/>
        <w:jc w:val="center"/>
        <w:rPr>
          <w:rFonts w:cs="Arial"/>
          <w:b/>
        </w:rPr>
      </w:pPr>
      <w:r>
        <w:rPr>
          <w:rFonts w:cs="Arial"/>
          <w:b/>
        </w:rPr>
        <w:t>Embargo e Intervención</w:t>
      </w:r>
    </w:p>
    <w:p w14:paraId="78D685C8" w14:textId="77777777" w:rsidR="00D3344B" w:rsidRDefault="00D3344B">
      <w:pPr>
        <w:pStyle w:val="Estilo"/>
        <w:jc w:val="center"/>
        <w:rPr>
          <w:rFonts w:cs="Arial"/>
        </w:rPr>
      </w:pPr>
    </w:p>
    <w:p w14:paraId="58D734A7" w14:textId="77777777" w:rsidR="00D3344B" w:rsidRDefault="00143C25">
      <w:pPr>
        <w:pStyle w:val="Estilo"/>
        <w:rPr>
          <w:rFonts w:cs="Arial"/>
        </w:rPr>
      </w:pPr>
      <w:r>
        <w:rPr>
          <w:rFonts w:cs="Arial"/>
          <w:i/>
          <w:sz w:val="16"/>
        </w:rPr>
        <w:t>(REFORMADO PRIMER PÁRRAFO, P.O. 22 DE DICIEMBRE DE 2021)</w:t>
      </w:r>
    </w:p>
    <w:p w14:paraId="530BD331" w14:textId="77777777" w:rsidR="00D3344B" w:rsidRDefault="00143C25">
      <w:pPr>
        <w:pStyle w:val="Estilo"/>
        <w:rPr>
          <w:rFonts w:cs="Arial"/>
        </w:rPr>
      </w:pPr>
      <w:r>
        <w:rPr>
          <w:rFonts w:cs="Arial"/>
          <w:b/>
        </w:rPr>
        <w:t>Artículo 366.</w:t>
      </w:r>
      <w:r>
        <w:rPr>
          <w:rFonts w:cs="Arial"/>
        </w:rPr>
        <w:t xml:space="preserve"> Las autoridades fiscales, para hacer efectivo un crédito fiscal exigible y sus accesorios legales, en caso de que el deudor no cubra el importe en la misma diligencia de requerimiento podrán:</w:t>
      </w:r>
    </w:p>
    <w:p w14:paraId="07B1E78E" w14:textId="77777777" w:rsidR="00D3344B" w:rsidRDefault="00D3344B">
      <w:pPr>
        <w:pStyle w:val="Estilo"/>
        <w:rPr>
          <w:rFonts w:cs="Arial"/>
        </w:rPr>
      </w:pPr>
    </w:p>
    <w:p w14:paraId="4F0CE383" w14:textId="77777777" w:rsidR="00D3344B" w:rsidRDefault="00143C25">
      <w:pPr>
        <w:pStyle w:val="Estilo"/>
        <w:ind w:left="567" w:hanging="567"/>
        <w:rPr>
          <w:rFonts w:cs="Arial"/>
        </w:rPr>
      </w:pPr>
      <w:r>
        <w:rPr>
          <w:rFonts w:cs="Arial"/>
        </w:rPr>
        <w:t xml:space="preserve">I. </w:t>
      </w:r>
      <w:r>
        <w:rPr>
          <w:rFonts w:cs="Arial"/>
        </w:rPr>
        <w:tab/>
        <w:t>Embargar bienes suficientes para, en su caso, enajenarlos al mejor postor en pública almoneda o adjudicarlos a favor de la hacienda pública estatal o municipal; o</w:t>
      </w:r>
    </w:p>
    <w:p w14:paraId="3C8109E2" w14:textId="77777777" w:rsidR="00D3344B" w:rsidRDefault="00D3344B">
      <w:pPr>
        <w:pStyle w:val="Estilo"/>
        <w:ind w:left="567" w:hanging="567"/>
        <w:rPr>
          <w:rFonts w:cs="Arial"/>
        </w:rPr>
      </w:pPr>
    </w:p>
    <w:p w14:paraId="3D64EF27" w14:textId="77777777" w:rsidR="00D3344B" w:rsidRDefault="00143C25">
      <w:pPr>
        <w:pStyle w:val="Estilo"/>
        <w:ind w:left="567" w:hanging="567"/>
        <w:rPr>
          <w:rFonts w:cs="Arial"/>
        </w:rPr>
      </w:pPr>
      <w:r>
        <w:rPr>
          <w:rFonts w:cs="Arial"/>
        </w:rPr>
        <w:t xml:space="preserve">II. </w:t>
      </w:r>
      <w:r>
        <w:rPr>
          <w:rFonts w:cs="Arial"/>
        </w:rPr>
        <w:tab/>
        <w:t>Intervenir negociaciones con todo cuanto de hecho y por derecho les corresponda, mediante embargo de los ingresos necesarios para satisfacer el interés fiscal.</w:t>
      </w:r>
    </w:p>
    <w:p w14:paraId="64379304" w14:textId="77777777" w:rsidR="00D3344B" w:rsidRDefault="00D3344B">
      <w:pPr>
        <w:pStyle w:val="Estilo"/>
        <w:rPr>
          <w:rFonts w:cs="Arial"/>
        </w:rPr>
      </w:pPr>
    </w:p>
    <w:p w14:paraId="430FF737" w14:textId="77777777" w:rsidR="00D3344B" w:rsidRDefault="00143C25">
      <w:pPr>
        <w:pStyle w:val="Estilo"/>
        <w:rPr>
          <w:rFonts w:cs="Arial"/>
        </w:rPr>
      </w:pPr>
      <w:r>
        <w:rPr>
          <w:rFonts w:cs="Arial"/>
          <w:b/>
        </w:rPr>
        <w:t>Artículo 367.</w:t>
      </w:r>
      <w:r>
        <w:rPr>
          <w:rFonts w:cs="Arial"/>
        </w:rPr>
        <w:t xml:space="preserve"> El embargo de bienes en la vía administrativa, procederá:</w:t>
      </w:r>
    </w:p>
    <w:p w14:paraId="568BCEFF" w14:textId="77777777" w:rsidR="00D3344B" w:rsidRDefault="00D3344B">
      <w:pPr>
        <w:pStyle w:val="Estilo"/>
        <w:rPr>
          <w:rFonts w:cs="Arial"/>
        </w:rPr>
      </w:pPr>
    </w:p>
    <w:p w14:paraId="4C90FA8E"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70E90555" w14:textId="77777777" w:rsidR="00D3344B" w:rsidRDefault="00143C25">
      <w:pPr>
        <w:pStyle w:val="Estilo"/>
        <w:ind w:left="567" w:hanging="567"/>
        <w:rPr>
          <w:rFonts w:cs="Arial"/>
        </w:rPr>
      </w:pPr>
      <w:r>
        <w:rPr>
          <w:rFonts w:cs="Arial"/>
        </w:rPr>
        <w:t xml:space="preserve">I. </w:t>
      </w:r>
      <w:r>
        <w:rPr>
          <w:rFonts w:cs="Arial"/>
        </w:rPr>
        <w:tab/>
        <w:t>Transcurrido el plazo establecido en el artículo 45 de este Código, si el deudor no ha cubierto totalmente el crédito a su cargo;</w:t>
      </w:r>
    </w:p>
    <w:p w14:paraId="367E6F5D" w14:textId="77777777" w:rsidR="00D3344B" w:rsidRDefault="00D3344B">
      <w:pPr>
        <w:pStyle w:val="Estilo"/>
        <w:ind w:left="567" w:hanging="567"/>
        <w:rPr>
          <w:rFonts w:cs="Arial"/>
        </w:rPr>
      </w:pPr>
    </w:p>
    <w:p w14:paraId="2B830267" w14:textId="77777777" w:rsidR="00D3344B" w:rsidRDefault="00143C25">
      <w:pPr>
        <w:pStyle w:val="Estilo"/>
        <w:ind w:left="567" w:hanging="567"/>
        <w:rPr>
          <w:rFonts w:cs="Arial"/>
        </w:rPr>
      </w:pPr>
      <w:r>
        <w:rPr>
          <w:rFonts w:cs="Arial"/>
        </w:rPr>
        <w:t xml:space="preserve">II. </w:t>
      </w:r>
      <w:r>
        <w:rPr>
          <w:rFonts w:cs="Arial"/>
        </w:rPr>
        <w:tab/>
        <w:t>A petición del interesado, para garantizar un crédito fiscal;</w:t>
      </w:r>
    </w:p>
    <w:p w14:paraId="5BFFE50F" w14:textId="77777777" w:rsidR="00D3344B" w:rsidRDefault="00D3344B">
      <w:pPr>
        <w:pStyle w:val="Estilo"/>
        <w:ind w:left="567" w:hanging="567"/>
        <w:rPr>
          <w:rFonts w:cs="Arial"/>
        </w:rPr>
      </w:pPr>
    </w:p>
    <w:p w14:paraId="030360C5" w14:textId="77777777" w:rsidR="00D3344B" w:rsidRDefault="00143C25">
      <w:pPr>
        <w:pStyle w:val="Estilo"/>
        <w:ind w:left="567" w:hanging="567"/>
        <w:rPr>
          <w:rFonts w:cs="Arial"/>
        </w:rPr>
      </w:pPr>
      <w:r>
        <w:rPr>
          <w:rFonts w:cs="Arial"/>
        </w:rPr>
        <w:t xml:space="preserve">III. </w:t>
      </w:r>
      <w:r>
        <w:rPr>
          <w:rFonts w:cs="Arial"/>
        </w:rPr>
        <w:tab/>
        <w:t>Cuando a juicio de la autoridad fiscal, hubiere peligro de que el obligado se ausente, enajene u oculte sus bienes o realice cualquier maniobra tendiente a dejar insoluto el crédito;</w:t>
      </w:r>
    </w:p>
    <w:p w14:paraId="33A423C2" w14:textId="77777777" w:rsidR="00D3344B" w:rsidRDefault="00D3344B">
      <w:pPr>
        <w:pStyle w:val="Estilo"/>
        <w:ind w:left="567" w:hanging="567"/>
        <w:rPr>
          <w:rFonts w:cs="Arial"/>
        </w:rPr>
      </w:pPr>
    </w:p>
    <w:p w14:paraId="3AFC9A2D" w14:textId="77777777" w:rsidR="00D3344B" w:rsidRDefault="00143C25">
      <w:pPr>
        <w:pStyle w:val="Estilo"/>
        <w:ind w:left="567"/>
        <w:rPr>
          <w:rFonts w:cs="Arial"/>
        </w:rPr>
      </w:pPr>
      <w:r>
        <w:rPr>
          <w:rFonts w:cs="Arial"/>
        </w:rPr>
        <w:t>En estos casos, si el crédito fiscal se cubre dentro de los plazos legales, el deudor no estará obligado a pagar gastos de ejecución, y</w:t>
      </w:r>
    </w:p>
    <w:p w14:paraId="07B392E2" w14:textId="77777777" w:rsidR="00D3344B" w:rsidRDefault="00D3344B">
      <w:pPr>
        <w:pStyle w:val="Estilo"/>
        <w:ind w:left="567" w:hanging="567"/>
        <w:rPr>
          <w:rFonts w:cs="Arial"/>
        </w:rPr>
      </w:pPr>
    </w:p>
    <w:p w14:paraId="0F16961C" w14:textId="77777777" w:rsidR="00D3344B" w:rsidRDefault="00143C25">
      <w:pPr>
        <w:pStyle w:val="Estilo"/>
        <w:ind w:left="567" w:hanging="567"/>
        <w:rPr>
          <w:rFonts w:cs="Arial"/>
        </w:rPr>
      </w:pPr>
      <w:r>
        <w:rPr>
          <w:rFonts w:cs="Arial"/>
        </w:rPr>
        <w:t xml:space="preserve">IV. </w:t>
      </w:r>
      <w:r>
        <w:rPr>
          <w:rFonts w:cs="Arial"/>
        </w:rPr>
        <w:tab/>
        <w:t>Cuando al realizarse actos de inspección se descubran negociaciones, vehículos u objetos, cuya tenencia, producción, explotación o transporte deba ser manifestada a las autoridades fiscales o autorizadas por ellas, sin que se hubiere cumplido con las obligaciones respectivas.</w:t>
      </w:r>
    </w:p>
    <w:p w14:paraId="708977E0" w14:textId="77777777" w:rsidR="00D3344B" w:rsidRDefault="00D3344B">
      <w:pPr>
        <w:pStyle w:val="Estilo"/>
        <w:ind w:left="567" w:hanging="567"/>
        <w:rPr>
          <w:rFonts w:cs="Arial"/>
        </w:rPr>
      </w:pPr>
    </w:p>
    <w:p w14:paraId="64C8C60E" w14:textId="77777777" w:rsidR="00D3344B" w:rsidRDefault="00143C25">
      <w:pPr>
        <w:pStyle w:val="Estilo"/>
        <w:rPr>
          <w:rFonts w:cs="Arial"/>
        </w:rPr>
      </w:pPr>
      <w:r>
        <w:rPr>
          <w:rFonts w:cs="Arial"/>
        </w:rPr>
        <w:t>Tratándose de las fracciones III y IV de este artículo, la autoridad deberá iniciar el procedimiento tendiente a determinar y liquidar el crédito fiscal en un plazo que no excederá de treinta días.</w:t>
      </w:r>
    </w:p>
    <w:p w14:paraId="056306B1" w14:textId="77777777" w:rsidR="00D3344B" w:rsidRDefault="00D3344B">
      <w:pPr>
        <w:pStyle w:val="Estilo"/>
        <w:rPr>
          <w:rFonts w:cs="Arial"/>
        </w:rPr>
      </w:pPr>
    </w:p>
    <w:p w14:paraId="43047497" w14:textId="77777777" w:rsidR="00D3344B" w:rsidRDefault="00143C25">
      <w:pPr>
        <w:pStyle w:val="Estilo"/>
        <w:rPr>
          <w:rFonts w:cs="Arial"/>
        </w:rPr>
      </w:pPr>
      <w:r>
        <w:rPr>
          <w:rFonts w:cs="Arial"/>
          <w:i/>
          <w:sz w:val="16"/>
        </w:rPr>
        <w:t>(REFORMADO PRIMER PÁRRAFO, P.O. 24 DE DICIEMBRE DE 2003)</w:t>
      </w:r>
    </w:p>
    <w:p w14:paraId="1CF998DA" w14:textId="77777777" w:rsidR="00D3344B" w:rsidRDefault="00143C25">
      <w:pPr>
        <w:pStyle w:val="Estilo"/>
        <w:rPr>
          <w:rFonts w:cs="Arial"/>
        </w:rPr>
      </w:pPr>
      <w:r>
        <w:rPr>
          <w:rFonts w:cs="Arial"/>
          <w:b/>
        </w:rPr>
        <w:t>Artículo 368.</w:t>
      </w:r>
      <w:r>
        <w:rPr>
          <w:rFonts w:cs="Arial"/>
        </w:rPr>
        <w:t xml:space="preserve"> Agotado el procedimiento administrativo el Actuario que designe la autoridad fiscal competente, se constituirá en el domicilio del deudor y previa identificación, practicará la diligencia de embargo administrativo, observando las mismas formalidades de las notificaciones personales.</w:t>
      </w:r>
    </w:p>
    <w:p w14:paraId="2E69AE6D" w14:textId="77777777" w:rsidR="00D3344B" w:rsidRDefault="00D3344B">
      <w:pPr>
        <w:pStyle w:val="Estilo"/>
        <w:rPr>
          <w:rFonts w:cs="Arial"/>
        </w:rPr>
      </w:pPr>
    </w:p>
    <w:p w14:paraId="27554D29" w14:textId="77777777" w:rsidR="00D3344B" w:rsidRDefault="00143C25">
      <w:pPr>
        <w:pStyle w:val="Estilo"/>
        <w:rPr>
          <w:rFonts w:cs="Arial"/>
        </w:rPr>
      </w:pPr>
      <w:r>
        <w:rPr>
          <w:rFonts w:cs="Arial"/>
        </w:rPr>
        <w:t>Si el requerimiento de pago se hizo por edictos, la diligencia de embargo se entenderá con la autoridad municipal de la circunscripción de los bienes, salvo que en el momento de iniciarse la diligencia compareciere el deudor, en cuyo caso se entenderá con él.</w:t>
      </w:r>
    </w:p>
    <w:p w14:paraId="0E7DF544" w14:textId="77777777" w:rsidR="00D3344B" w:rsidRDefault="00D3344B">
      <w:pPr>
        <w:pStyle w:val="Estilo"/>
        <w:rPr>
          <w:rFonts w:cs="Arial"/>
        </w:rPr>
      </w:pPr>
    </w:p>
    <w:p w14:paraId="1136DD3D" w14:textId="77777777" w:rsidR="00D3344B" w:rsidRDefault="00143C25">
      <w:pPr>
        <w:pStyle w:val="Estilo"/>
        <w:rPr>
          <w:rFonts w:cs="Arial"/>
        </w:rPr>
      </w:pPr>
      <w:r>
        <w:rPr>
          <w:rFonts w:cs="Arial"/>
          <w:b/>
        </w:rPr>
        <w:t>Artículo 369.</w:t>
      </w:r>
      <w:r>
        <w:rPr>
          <w:rFonts w:cs="Arial"/>
        </w:rPr>
        <w:t xml:space="preserve"> El contribuyente deudor, su representante legal o, en su defecto, la persona con quien se entienda la diligencia, tendrá derecho a designar los bienes que deban embargarse, siempre que se sujete al siguiente orden:</w:t>
      </w:r>
    </w:p>
    <w:p w14:paraId="00D23518" w14:textId="77777777" w:rsidR="00D3344B" w:rsidRDefault="00D3344B">
      <w:pPr>
        <w:pStyle w:val="Estilo"/>
        <w:rPr>
          <w:rFonts w:cs="Arial"/>
        </w:rPr>
      </w:pPr>
    </w:p>
    <w:p w14:paraId="1B4B9B95" w14:textId="77777777" w:rsidR="00D3344B" w:rsidRDefault="00143C25">
      <w:pPr>
        <w:pStyle w:val="Estilo"/>
        <w:ind w:left="567" w:hanging="567"/>
        <w:rPr>
          <w:rFonts w:cs="Arial"/>
        </w:rPr>
      </w:pPr>
      <w:r>
        <w:rPr>
          <w:rFonts w:cs="Arial"/>
        </w:rPr>
        <w:t xml:space="preserve">I. </w:t>
      </w:r>
      <w:r>
        <w:rPr>
          <w:rFonts w:cs="Arial"/>
        </w:rPr>
        <w:tab/>
        <w:t>Dinero, inversiones y depósitos bancarios, alhajas, objetos de arte y metales preciosos;</w:t>
      </w:r>
    </w:p>
    <w:p w14:paraId="3E9C7002" w14:textId="77777777" w:rsidR="00D3344B" w:rsidRDefault="00D3344B">
      <w:pPr>
        <w:pStyle w:val="Estilo"/>
        <w:ind w:left="567" w:hanging="567"/>
        <w:rPr>
          <w:rFonts w:cs="Arial"/>
        </w:rPr>
      </w:pPr>
    </w:p>
    <w:p w14:paraId="1281C9A5" w14:textId="77777777" w:rsidR="00D3344B" w:rsidRDefault="00143C25">
      <w:pPr>
        <w:pStyle w:val="Estilo"/>
        <w:ind w:left="567" w:hanging="567"/>
        <w:rPr>
          <w:rFonts w:cs="Arial"/>
        </w:rPr>
      </w:pPr>
      <w:r>
        <w:rPr>
          <w:rFonts w:cs="Arial"/>
        </w:rPr>
        <w:t xml:space="preserve">II. </w:t>
      </w:r>
      <w:r>
        <w:rPr>
          <w:rFonts w:cs="Arial"/>
        </w:rPr>
        <w:tab/>
        <w:t>Acciones, bonos, cupones vencidos, valores inmobiliarios y, en general, documentos de crédito de inmediato y fácil cobro, a cargo de instituciones o empresas particulares de reconocida solvencia;</w:t>
      </w:r>
    </w:p>
    <w:p w14:paraId="182170B2" w14:textId="77777777" w:rsidR="00D3344B" w:rsidRDefault="00D3344B">
      <w:pPr>
        <w:pStyle w:val="Estilo"/>
        <w:ind w:left="567" w:hanging="567"/>
        <w:rPr>
          <w:rFonts w:cs="Arial"/>
        </w:rPr>
      </w:pPr>
    </w:p>
    <w:p w14:paraId="55ED2784" w14:textId="77777777" w:rsidR="00D3344B" w:rsidRDefault="00143C25">
      <w:pPr>
        <w:pStyle w:val="Estilo"/>
        <w:ind w:left="567" w:hanging="567"/>
        <w:rPr>
          <w:rFonts w:cs="Arial"/>
        </w:rPr>
      </w:pPr>
      <w:r>
        <w:rPr>
          <w:rFonts w:cs="Arial"/>
        </w:rPr>
        <w:t xml:space="preserve">III. </w:t>
      </w:r>
      <w:r>
        <w:rPr>
          <w:rFonts w:cs="Arial"/>
        </w:rPr>
        <w:tab/>
        <w:t>Frutos o rentas de toda especie;</w:t>
      </w:r>
    </w:p>
    <w:p w14:paraId="0611DE67" w14:textId="77777777" w:rsidR="00D3344B" w:rsidRDefault="00D3344B">
      <w:pPr>
        <w:pStyle w:val="Estilo"/>
        <w:ind w:left="567" w:hanging="567"/>
        <w:rPr>
          <w:rFonts w:cs="Arial"/>
        </w:rPr>
      </w:pPr>
    </w:p>
    <w:p w14:paraId="768DDB06" w14:textId="77777777" w:rsidR="00D3344B" w:rsidRDefault="00143C25">
      <w:pPr>
        <w:pStyle w:val="Estilo"/>
        <w:ind w:left="567" w:hanging="567"/>
        <w:rPr>
          <w:rFonts w:cs="Arial"/>
        </w:rPr>
      </w:pPr>
      <w:r>
        <w:rPr>
          <w:rFonts w:cs="Arial"/>
        </w:rPr>
        <w:t xml:space="preserve">IV. </w:t>
      </w:r>
      <w:r>
        <w:rPr>
          <w:rFonts w:cs="Arial"/>
        </w:rPr>
        <w:tab/>
        <w:t>Bienes muebles no comprendidos en las fracciones anteriores;</w:t>
      </w:r>
    </w:p>
    <w:p w14:paraId="3B186B91" w14:textId="77777777" w:rsidR="00D3344B" w:rsidRDefault="00D3344B">
      <w:pPr>
        <w:pStyle w:val="Estilo"/>
        <w:ind w:left="567" w:hanging="567"/>
        <w:rPr>
          <w:rFonts w:cs="Arial"/>
        </w:rPr>
      </w:pPr>
    </w:p>
    <w:p w14:paraId="32E37337" w14:textId="77777777" w:rsidR="00D3344B" w:rsidRDefault="00143C25">
      <w:pPr>
        <w:pStyle w:val="Estilo"/>
        <w:ind w:left="567" w:hanging="567"/>
        <w:rPr>
          <w:rFonts w:cs="Arial"/>
        </w:rPr>
      </w:pPr>
      <w:r>
        <w:rPr>
          <w:rFonts w:cs="Arial"/>
        </w:rPr>
        <w:lastRenderedPageBreak/>
        <w:t xml:space="preserve">V </w:t>
      </w:r>
      <w:r>
        <w:rPr>
          <w:rFonts w:cs="Arial"/>
        </w:rPr>
        <w:tab/>
        <w:t>Bienes inmuebles propiedad del contribuyente deudor, que se encuentren ubicados dentro de la jurisdicción de la autoridad que hubiese realizado el requerimiento;</w:t>
      </w:r>
    </w:p>
    <w:p w14:paraId="5AC7E124" w14:textId="77777777" w:rsidR="00D3344B" w:rsidRDefault="00D3344B">
      <w:pPr>
        <w:pStyle w:val="Estilo"/>
        <w:ind w:left="567" w:hanging="567"/>
        <w:rPr>
          <w:rFonts w:cs="Arial"/>
        </w:rPr>
      </w:pPr>
    </w:p>
    <w:p w14:paraId="41150BF4" w14:textId="77777777" w:rsidR="00D3344B" w:rsidRDefault="00143C25">
      <w:pPr>
        <w:pStyle w:val="Estilo"/>
        <w:ind w:left="567" w:hanging="567"/>
        <w:rPr>
          <w:rFonts w:cs="Arial"/>
        </w:rPr>
      </w:pPr>
      <w:r>
        <w:rPr>
          <w:rFonts w:cs="Arial"/>
        </w:rPr>
        <w:t xml:space="preserve">VI. </w:t>
      </w:r>
      <w:r>
        <w:rPr>
          <w:rFonts w:cs="Arial"/>
        </w:rPr>
        <w:tab/>
        <w:t>Negociaciones comerciales, industriales o agrícolas, y</w:t>
      </w:r>
    </w:p>
    <w:p w14:paraId="5F785C5E" w14:textId="77777777" w:rsidR="00D3344B" w:rsidRDefault="00D3344B">
      <w:pPr>
        <w:pStyle w:val="Estilo"/>
        <w:ind w:left="567" w:hanging="567"/>
        <w:rPr>
          <w:rFonts w:cs="Arial"/>
        </w:rPr>
      </w:pPr>
    </w:p>
    <w:p w14:paraId="277C5BFD" w14:textId="77777777" w:rsidR="00D3344B" w:rsidRDefault="00143C25">
      <w:pPr>
        <w:pStyle w:val="Estilo"/>
        <w:ind w:left="567" w:hanging="567"/>
        <w:rPr>
          <w:rFonts w:cs="Arial"/>
        </w:rPr>
      </w:pPr>
      <w:r>
        <w:rPr>
          <w:rFonts w:cs="Arial"/>
        </w:rPr>
        <w:t xml:space="preserve">VII. </w:t>
      </w:r>
      <w:r>
        <w:rPr>
          <w:rFonts w:cs="Arial"/>
        </w:rPr>
        <w:tab/>
        <w:t>Créditos o derechos no comprendidos en las fracciones anteriores.</w:t>
      </w:r>
    </w:p>
    <w:p w14:paraId="68E1CA94" w14:textId="77777777" w:rsidR="00D3344B" w:rsidRDefault="00D3344B">
      <w:pPr>
        <w:pStyle w:val="Estilo"/>
        <w:rPr>
          <w:rFonts w:cs="Arial"/>
        </w:rPr>
      </w:pPr>
    </w:p>
    <w:p w14:paraId="39258F85" w14:textId="77777777" w:rsidR="00D3344B" w:rsidRDefault="00143C25">
      <w:pPr>
        <w:pStyle w:val="Estilo"/>
        <w:rPr>
          <w:rFonts w:cs="Arial"/>
        </w:rPr>
      </w:pPr>
      <w:r>
        <w:rPr>
          <w:rFonts w:cs="Arial"/>
          <w:i/>
          <w:sz w:val="16"/>
        </w:rPr>
        <w:t>(ADICIONADO, P.O. 24 DE DICIEMBRE DE 2003)</w:t>
      </w:r>
    </w:p>
    <w:p w14:paraId="70FFAF8A" w14:textId="77777777" w:rsidR="00D3344B" w:rsidRDefault="00143C25">
      <w:pPr>
        <w:pStyle w:val="Estilo"/>
        <w:rPr>
          <w:rFonts w:cs="Arial"/>
        </w:rPr>
      </w:pPr>
      <w:r>
        <w:rPr>
          <w:rFonts w:cs="Arial"/>
        </w:rPr>
        <w:t>La persona con quien se entienda la diligencia de embargo podrá designar dos testigos y si no lo hiciere o al terminar la diligencia los testigos designados se negaren a firmar, así lo hará constar el actuario en el acta, sin que estas circunstancias afecten la legalidad del embargo.</w:t>
      </w:r>
    </w:p>
    <w:p w14:paraId="1BFE3340" w14:textId="77777777" w:rsidR="00D3344B" w:rsidRDefault="00D3344B">
      <w:pPr>
        <w:pStyle w:val="Estilo"/>
        <w:rPr>
          <w:rFonts w:cs="Arial"/>
        </w:rPr>
      </w:pPr>
    </w:p>
    <w:p w14:paraId="0200EA4E" w14:textId="77777777" w:rsidR="00D3344B" w:rsidRDefault="00143C25">
      <w:pPr>
        <w:pStyle w:val="Estilo"/>
        <w:rPr>
          <w:rFonts w:cs="Arial"/>
        </w:rPr>
      </w:pPr>
      <w:r>
        <w:rPr>
          <w:rFonts w:cs="Arial"/>
          <w:i/>
          <w:sz w:val="16"/>
        </w:rPr>
        <w:t>(REFORMADO PRIMER PÁRRAFO, P.O. 30 DE DICIEMBRE DE 2005)</w:t>
      </w:r>
    </w:p>
    <w:p w14:paraId="782973D2" w14:textId="77777777" w:rsidR="00D3344B" w:rsidRDefault="00143C25">
      <w:pPr>
        <w:pStyle w:val="Estilo"/>
        <w:rPr>
          <w:rFonts w:cs="Arial"/>
        </w:rPr>
      </w:pPr>
      <w:r>
        <w:rPr>
          <w:rFonts w:cs="Arial"/>
          <w:b/>
        </w:rPr>
        <w:t>Artículo 370.</w:t>
      </w:r>
      <w:r>
        <w:rPr>
          <w:rFonts w:cs="Arial"/>
        </w:rPr>
        <w:t xml:space="preserve"> El notificador-ejecutor podrá señalar los bienes a embargar, sin sujetarse al orden establecido en el artículo anterior, en los casos siguientes:</w:t>
      </w:r>
    </w:p>
    <w:p w14:paraId="694D360D" w14:textId="77777777" w:rsidR="00D3344B" w:rsidRDefault="00D3344B">
      <w:pPr>
        <w:pStyle w:val="Estilo"/>
        <w:ind w:left="567" w:hanging="567"/>
        <w:rPr>
          <w:rFonts w:cs="Arial"/>
        </w:rPr>
      </w:pPr>
    </w:p>
    <w:p w14:paraId="521F7DBE" w14:textId="77777777" w:rsidR="00D3344B" w:rsidRDefault="00143C25">
      <w:pPr>
        <w:pStyle w:val="Estilo"/>
        <w:ind w:left="567" w:hanging="567"/>
        <w:rPr>
          <w:rFonts w:cs="Arial"/>
        </w:rPr>
      </w:pPr>
      <w:r>
        <w:rPr>
          <w:rFonts w:cs="Arial"/>
        </w:rPr>
        <w:t xml:space="preserve">I. </w:t>
      </w:r>
      <w:r>
        <w:rPr>
          <w:rFonts w:cs="Arial"/>
        </w:rPr>
        <w:tab/>
        <w:t>Cuando el contribuyente o la persona con quien se entienda la diligencia no señale bienes;</w:t>
      </w:r>
    </w:p>
    <w:p w14:paraId="1D27C6E1" w14:textId="77777777" w:rsidR="00D3344B" w:rsidRDefault="00D3344B">
      <w:pPr>
        <w:pStyle w:val="Estilo"/>
        <w:ind w:left="567" w:hanging="567"/>
        <w:rPr>
          <w:rFonts w:cs="Arial"/>
        </w:rPr>
      </w:pPr>
    </w:p>
    <w:p w14:paraId="1A056BF3" w14:textId="77777777" w:rsidR="00D3344B" w:rsidRDefault="00143C25">
      <w:pPr>
        <w:pStyle w:val="Estilo"/>
        <w:ind w:left="567" w:hanging="567"/>
        <w:rPr>
          <w:rFonts w:cs="Arial"/>
          <w:i/>
          <w:iCs/>
          <w:sz w:val="16"/>
          <w:szCs w:val="16"/>
        </w:rPr>
      </w:pPr>
      <w:r>
        <w:rPr>
          <w:rFonts w:cs="Arial"/>
          <w:i/>
          <w:iCs/>
          <w:sz w:val="16"/>
          <w:szCs w:val="16"/>
        </w:rPr>
        <w:t>(REFORMADA, P.O. 22 DE DICIEMBRE DE 2021)</w:t>
      </w:r>
    </w:p>
    <w:p w14:paraId="5D0B0452" w14:textId="77777777" w:rsidR="00D3344B" w:rsidRDefault="00143C25">
      <w:pPr>
        <w:pStyle w:val="Estilo"/>
        <w:ind w:left="567" w:hanging="567"/>
        <w:rPr>
          <w:rFonts w:cs="Arial"/>
        </w:rPr>
      </w:pPr>
      <w:r>
        <w:rPr>
          <w:rFonts w:cs="Arial"/>
        </w:rPr>
        <w:t xml:space="preserve">II. </w:t>
      </w:r>
      <w:r>
        <w:rPr>
          <w:rFonts w:cs="Arial"/>
        </w:rPr>
        <w:tab/>
        <w:t>Cuando los bienes señalados por el contribuyente o la persona con quien se entienda la diligencia, no sean suficientes, a juicio del notificador- ejecutor;</w:t>
      </w:r>
    </w:p>
    <w:p w14:paraId="0AB19CBA" w14:textId="77777777" w:rsidR="00D3344B" w:rsidRDefault="00D3344B">
      <w:pPr>
        <w:pStyle w:val="Estilo"/>
        <w:ind w:left="567" w:hanging="567"/>
        <w:rPr>
          <w:rFonts w:cs="Arial"/>
        </w:rPr>
      </w:pPr>
    </w:p>
    <w:p w14:paraId="5AD6445D" w14:textId="77777777" w:rsidR="00D3344B" w:rsidRDefault="00143C25">
      <w:pPr>
        <w:pStyle w:val="Estilo"/>
        <w:ind w:left="567" w:hanging="567"/>
        <w:rPr>
          <w:rFonts w:cs="Arial"/>
        </w:rPr>
      </w:pPr>
      <w:r>
        <w:rPr>
          <w:rFonts w:cs="Arial"/>
        </w:rPr>
        <w:t xml:space="preserve">III. </w:t>
      </w:r>
      <w:r>
        <w:rPr>
          <w:rFonts w:cs="Arial"/>
        </w:rPr>
        <w:tab/>
        <w:t>Cuando el contribuyente o la persona con quien se entienda la diligencia, no siga el orden señalado, al hacer la designación, y</w:t>
      </w:r>
    </w:p>
    <w:p w14:paraId="690997D9" w14:textId="77777777" w:rsidR="00D3344B" w:rsidRDefault="00D3344B">
      <w:pPr>
        <w:pStyle w:val="Estilo"/>
        <w:ind w:left="567" w:hanging="567"/>
        <w:rPr>
          <w:rFonts w:cs="Arial"/>
        </w:rPr>
      </w:pPr>
    </w:p>
    <w:p w14:paraId="30134789" w14:textId="77777777" w:rsidR="00D3344B" w:rsidRDefault="00143C25">
      <w:pPr>
        <w:pStyle w:val="Estilo"/>
        <w:ind w:left="567" w:hanging="567"/>
        <w:rPr>
          <w:rFonts w:cs="Arial"/>
        </w:rPr>
      </w:pPr>
      <w:r>
        <w:rPr>
          <w:rFonts w:cs="Arial"/>
        </w:rPr>
        <w:t xml:space="preserve">IV. </w:t>
      </w:r>
      <w:r>
        <w:rPr>
          <w:rFonts w:cs="Arial"/>
        </w:rPr>
        <w:tab/>
        <w:t>Cuando el contribuyente o la persona con quien se entienda la diligencia, teniendo otros bienes susceptibles de embargo, señalare:</w:t>
      </w:r>
    </w:p>
    <w:p w14:paraId="6EAC153A" w14:textId="77777777" w:rsidR="00D3344B" w:rsidRDefault="00D3344B">
      <w:pPr>
        <w:pStyle w:val="Estilo"/>
        <w:rPr>
          <w:rFonts w:cs="Arial"/>
        </w:rPr>
      </w:pPr>
    </w:p>
    <w:p w14:paraId="5AB756B1" w14:textId="77777777" w:rsidR="00D3344B" w:rsidRDefault="00143C25">
      <w:pPr>
        <w:pStyle w:val="Estilo"/>
        <w:ind w:left="1134" w:hanging="567"/>
        <w:rPr>
          <w:rFonts w:cs="Arial"/>
        </w:rPr>
      </w:pPr>
      <w:r>
        <w:rPr>
          <w:rFonts w:cs="Arial"/>
        </w:rPr>
        <w:t xml:space="preserve">a) </w:t>
      </w:r>
      <w:r>
        <w:rPr>
          <w:rFonts w:cs="Arial"/>
        </w:rPr>
        <w:tab/>
        <w:t>Bienes de fácil descomposición, deterioro o materiales peligrosos;</w:t>
      </w:r>
    </w:p>
    <w:p w14:paraId="4685B19F" w14:textId="77777777" w:rsidR="00D3344B" w:rsidRDefault="00D3344B">
      <w:pPr>
        <w:pStyle w:val="Estilo"/>
        <w:ind w:left="1134" w:hanging="567"/>
        <w:rPr>
          <w:rFonts w:cs="Arial"/>
        </w:rPr>
      </w:pPr>
    </w:p>
    <w:p w14:paraId="11FBFB21" w14:textId="77777777" w:rsidR="00D3344B" w:rsidRDefault="00143C25">
      <w:pPr>
        <w:pStyle w:val="Estilo"/>
        <w:ind w:left="1134" w:hanging="567"/>
        <w:rPr>
          <w:rFonts w:cs="Arial"/>
        </w:rPr>
      </w:pPr>
      <w:r>
        <w:rPr>
          <w:rFonts w:cs="Arial"/>
        </w:rPr>
        <w:t xml:space="preserve">b) </w:t>
      </w:r>
      <w:r>
        <w:rPr>
          <w:rFonts w:cs="Arial"/>
        </w:rPr>
        <w:tab/>
        <w:t>Bienes ubicados fuera del Estado o de la jurisdicción de la Autoridad Fiscal que realice el requerimiento; o</w:t>
      </w:r>
    </w:p>
    <w:p w14:paraId="0ADDD6B7" w14:textId="77777777" w:rsidR="00D3344B" w:rsidRDefault="00D3344B">
      <w:pPr>
        <w:pStyle w:val="Estilo"/>
        <w:ind w:left="1134" w:hanging="567"/>
        <w:rPr>
          <w:rFonts w:cs="Arial"/>
        </w:rPr>
      </w:pPr>
    </w:p>
    <w:p w14:paraId="7B82E705" w14:textId="77777777" w:rsidR="00D3344B" w:rsidRDefault="00143C25">
      <w:pPr>
        <w:pStyle w:val="Estilo"/>
        <w:ind w:left="1134" w:hanging="567"/>
        <w:rPr>
          <w:rFonts w:cs="Arial"/>
        </w:rPr>
      </w:pPr>
      <w:r>
        <w:rPr>
          <w:rFonts w:cs="Arial"/>
        </w:rPr>
        <w:t xml:space="preserve">c) </w:t>
      </w:r>
      <w:r>
        <w:rPr>
          <w:rFonts w:cs="Arial"/>
        </w:rPr>
        <w:tab/>
        <w:t>Bienes que ya tuviesen cualquier gravamen.</w:t>
      </w:r>
    </w:p>
    <w:p w14:paraId="67E5A206" w14:textId="77777777" w:rsidR="00D3344B" w:rsidRDefault="00D3344B">
      <w:pPr>
        <w:pStyle w:val="Estilo"/>
        <w:rPr>
          <w:rFonts w:cs="Arial"/>
        </w:rPr>
      </w:pPr>
    </w:p>
    <w:p w14:paraId="6F85C014" w14:textId="77777777" w:rsidR="00D3344B" w:rsidRDefault="00143C25">
      <w:pPr>
        <w:pStyle w:val="Estilo"/>
        <w:rPr>
          <w:rFonts w:cs="Arial"/>
          <w:i/>
          <w:iCs/>
          <w:sz w:val="16"/>
          <w:szCs w:val="16"/>
        </w:rPr>
      </w:pPr>
      <w:r>
        <w:rPr>
          <w:rFonts w:cs="Arial"/>
          <w:i/>
          <w:iCs/>
          <w:sz w:val="16"/>
          <w:szCs w:val="16"/>
        </w:rPr>
        <w:t>(REFORMADO, P.O. 22 DE DICIEMBRE DE 2021)</w:t>
      </w:r>
    </w:p>
    <w:p w14:paraId="7926C1CA" w14:textId="77777777" w:rsidR="00D3344B" w:rsidRDefault="00143C25">
      <w:pPr>
        <w:pStyle w:val="Estilo"/>
        <w:rPr>
          <w:rFonts w:cs="Arial"/>
        </w:rPr>
      </w:pPr>
      <w:r>
        <w:rPr>
          <w:rFonts w:cs="Arial"/>
        </w:rPr>
        <w:t>Si al estarse practicando la diligencia de embargo, el deudor comprueba el pago del crédito y de los accesorios causados o bien, exhibe el documento que compruebe que garantizó el crédito fiscal, el notificador-ejecutor suspenderá dicha diligencia, haciendo constar esa situación en el acta respectiva.</w:t>
      </w:r>
    </w:p>
    <w:p w14:paraId="5EE54C68" w14:textId="77777777" w:rsidR="00D3344B" w:rsidRDefault="00D3344B">
      <w:pPr>
        <w:pStyle w:val="Estilo"/>
        <w:rPr>
          <w:rFonts w:cs="Arial"/>
        </w:rPr>
      </w:pPr>
    </w:p>
    <w:p w14:paraId="1DB10C86" w14:textId="77777777" w:rsidR="00D3344B" w:rsidRDefault="00143C25">
      <w:pPr>
        <w:pStyle w:val="Estilo"/>
        <w:rPr>
          <w:rFonts w:cs="Arial"/>
        </w:rPr>
      </w:pPr>
      <w:r>
        <w:rPr>
          <w:rFonts w:cs="Arial"/>
          <w:i/>
          <w:sz w:val="16"/>
        </w:rPr>
        <w:t>(REFORMADO, P.O. 30 DE DICIEMBRE DE 2005)</w:t>
      </w:r>
    </w:p>
    <w:p w14:paraId="2C3A22E2" w14:textId="77777777" w:rsidR="00D3344B" w:rsidRDefault="00143C25">
      <w:pPr>
        <w:pStyle w:val="Estilo"/>
        <w:rPr>
          <w:rFonts w:cs="Arial"/>
        </w:rPr>
      </w:pPr>
      <w:r>
        <w:rPr>
          <w:rFonts w:cs="Arial"/>
          <w:b/>
        </w:rPr>
        <w:t>Artículo 371.</w:t>
      </w:r>
      <w:r>
        <w:rPr>
          <w:rFonts w:cs="Arial"/>
        </w:rPr>
        <w:t xml:space="preserve"> En el supuesto de que los bienes señalados para trabar el embargo estén sujetos a cédula hipotecaria o ya embargados por otras autoridades no fiscales, se practicará no obstante el embargo administrativo. Los bienes </w:t>
      </w:r>
      <w:r>
        <w:rPr>
          <w:rFonts w:cs="Arial"/>
        </w:rPr>
        <w:lastRenderedPageBreak/>
        <w:t>embargados se entregarán al depositario designado por la autoridad fiscal competente o por el notificador-ejecutor que lleve a cabo la diligencia, y se dará aviso a la autoridad correspondiente para que el o los interesados puedan hacer valer su reclamación de preferencia.</w:t>
      </w:r>
    </w:p>
    <w:p w14:paraId="4D590667" w14:textId="77777777" w:rsidR="00D3344B" w:rsidRDefault="00D3344B">
      <w:pPr>
        <w:pStyle w:val="Estilo"/>
        <w:rPr>
          <w:rFonts w:cs="Arial"/>
        </w:rPr>
      </w:pPr>
    </w:p>
    <w:p w14:paraId="6B577023" w14:textId="77777777" w:rsidR="00D3344B" w:rsidRDefault="00143C25">
      <w:pPr>
        <w:pStyle w:val="Estilo"/>
        <w:rPr>
          <w:rFonts w:cs="Arial"/>
        </w:rPr>
      </w:pPr>
      <w:r>
        <w:rPr>
          <w:rFonts w:cs="Arial"/>
          <w:i/>
          <w:sz w:val="16"/>
        </w:rPr>
        <w:t>(REFORMADO, P.O. 30 DE DICIEMBRE DE 2005)</w:t>
      </w:r>
    </w:p>
    <w:p w14:paraId="1475DCF0" w14:textId="77777777" w:rsidR="00D3344B" w:rsidRDefault="00143C25">
      <w:pPr>
        <w:pStyle w:val="Estilo"/>
        <w:rPr>
          <w:rFonts w:cs="Arial"/>
        </w:rPr>
      </w:pPr>
      <w:r>
        <w:rPr>
          <w:rFonts w:cs="Arial"/>
          <w:b/>
        </w:rPr>
        <w:t>Artículo 372.</w:t>
      </w:r>
      <w:r>
        <w:rPr>
          <w:rFonts w:cs="Arial"/>
        </w:rPr>
        <w:t xml:space="preserve"> Si al designarse bienes para el embargo administrativo, se opusiere un tercero fundándose en el dominio de ellos, no se practicará el embargo si demuestra en el mismo acto su propiedad con prueba documental suficiente a juicio del notificador-ejecutor.</w:t>
      </w:r>
    </w:p>
    <w:p w14:paraId="08A99E29" w14:textId="77777777" w:rsidR="00D3344B" w:rsidRDefault="00D3344B">
      <w:pPr>
        <w:pStyle w:val="Estilo"/>
        <w:rPr>
          <w:rFonts w:cs="Arial"/>
        </w:rPr>
      </w:pPr>
    </w:p>
    <w:p w14:paraId="6E253C7F" w14:textId="77777777" w:rsidR="00D3344B" w:rsidRDefault="00143C25">
      <w:pPr>
        <w:pStyle w:val="Estilo"/>
        <w:rPr>
          <w:rFonts w:cs="Arial"/>
        </w:rPr>
      </w:pPr>
      <w:r>
        <w:rPr>
          <w:rFonts w:cs="Arial"/>
        </w:rPr>
        <w:t>La determinación tomada en este momento tendrá el carácter de provisional y deberá ser sometida, en todos los casos, a ratificación de la instancia de la autoridad fiscal que resulte competente, la que deberá allegarse de los documentos exhibidos en el momento de la diligencia. Si a juicio de ésta, las pruebas no son suficientes, ordenará al notificador-ejecutor que continúe con el embargo y notificará al interesado que puede hacer valer la tercería en los términos de este Código.</w:t>
      </w:r>
    </w:p>
    <w:p w14:paraId="258EB76B" w14:textId="77777777" w:rsidR="00D3344B" w:rsidRDefault="00D3344B">
      <w:pPr>
        <w:pStyle w:val="Estilo"/>
        <w:rPr>
          <w:rFonts w:cs="Arial"/>
        </w:rPr>
      </w:pPr>
    </w:p>
    <w:p w14:paraId="6F1F5145" w14:textId="77777777" w:rsidR="00D3344B" w:rsidRDefault="00143C25">
      <w:pPr>
        <w:pStyle w:val="Estilo"/>
        <w:rPr>
          <w:rFonts w:cs="Arial"/>
        </w:rPr>
      </w:pPr>
      <w:r>
        <w:rPr>
          <w:rFonts w:cs="Arial"/>
          <w:b/>
        </w:rPr>
        <w:t>Artículo 373.</w:t>
      </w:r>
      <w:r>
        <w:rPr>
          <w:rFonts w:cs="Arial"/>
        </w:rPr>
        <w:t xml:space="preserve"> Quedan exceptuados de embargo:</w:t>
      </w:r>
    </w:p>
    <w:p w14:paraId="1F7DB642" w14:textId="77777777" w:rsidR="00D3344B" w:rsidRDefault="00D3344B">
      <w:pPr>
        <w:pStyle w:val="Estilo"/>
        <w:rPr>
          <w:rFonts w:cs="Arial"/>
        </w:rPr>
      </w:pPr>
    </w:p>
    <w:p w14:paraId="34C5D4EC" w14:textId="77777777" w:rsidR="00D3344B" w:rsidRDefault="00143C25">
      <w:pPr>
        <w:pStyle w:val="Estilo"/>
        <w:ind w:left="567" w:hanging="567"/>
        <w:rPr>
          <w:rFonts w:cs="Arial"/>
        </w:rPr>
      </w:pPr>
      <w:r>
        <w:rPr>
          <w:rFonts w:cs="Arial"/>
        </w:rPr>
        <w:t xml:space="preserve">I. </w:t>
      </w:r>
      <w:r>
        <w:rPr>
          <w:rFonts w:cs="Arial"/>
        </w:rPr>
        <w:tab/>
        <w:t>Las prendas de vestir del contribuyente y de sus familiares;</w:t>
      </w:r>
    </w:p>
    <w:p w14:paraId="24863E7F" w14:textId="77777777" w:rsidR="00D3344B" w:rsidRDefault="00D3344B">
      <w:pPr>
        <w:pStyle w:val="Estilo"/>
        <w:ind w:left="567" w:hanging="567"/>
        <w:rPr>
          <w:rFonts w:cs="Arial"/>
        </w:rPr>
      </w:pPr>
    </w:p>
    <w:p w14:paraId="4D186308" w14:textId="77777777" w:rsidR="00D3344B" w:rsidRDefault="00143C25">
      <w:pPr>
        <w:pStyle w:val="Estilo"/>
        <w:ind w:left="567" w:hanging="567"/>
        <w:rPr>
          <w:rFonts w:cs="Arial"/>
        </w:rPr>
      </w:pPr>
      <w:r>
        <w:rPr>
          <w:rFonts w:cs="Arial"/>
        </w:rPr>
        <w:t xml:space="preserve">II. </w:t>
      </w:r>
      <w:r>
        <w:rPr>
          <w:rFonts w:cs="Arial"/>
        </w:rPr>
        <w:tab/>
        <w:t>Los muebles de la casa habitación, que sean de uso indispensable del contribuyente y de sus familiares, a juicio del Actuario;</w:t>
      </w:r>
    </w:p>
    <w:p w14:paraId="3B9BFC07" w14:textId="77777777" w:rsidR="00D3344B" w:rsidRDefault="00D3344B">
      <w:pPr>
        <w:pStyle w:val="Estilo"/>
        <w:ind w:left="567" w:hanging="567"/>
        <w:rPr>
          <w:rFonts w:cs="Arial"/>
        </w:rPr>
      </w:pPr>
    </w:p>
    <w:p w14:paraId="6A207560" w14:textId="77777777" w:rsidR="00D3344B" w:rsidRDefault="00143C25">
      <w:pPr>
        <w:pStyle w:val="Estilo"/>
        <w:ind w:left="567" w:hanging="567"/>
        <w:rPr>
          <w:rFonts w:cs="Arial"/>
        </w:rPr>
      </w:pPr>
      <w:r>
        <w:rPr>
          <w:rFonts w:cs="Arial"/>
        </w:rPr>
        <w:t xml:space="preserve">III. </w:t>
      </w:r>
      <w:r>
        <w:rPr>
          <w:rFonts w:cs="Arial"/>
        </w:rPr>
        <w:tab/>
        <w:t>Los libros, instrumentos, útiles y mobiliario de oficina, indispensable para el ejercicio de la profesión, arte u oficio a que se dedique el contribuyente;</w:t>
      </w:r>
    </w:p>
    <w:p w14:paraId="7A43E619" w14:textId="77777777" w:rsidR="00D3344B" w:rsidRDefault="00D3344B">
      <w:pPr>
        <w:pStyle w:val="Estilo"/>
        <w:ind w:left="567" w:hanging="567"/>
        <w:rPr>
          <w:rFonts w:cs="Arial"/>
        </w:rPr>
      </w:pPr>
    </w:p>
    <w:p w14:paraId="19DF4173" w14:textId="77777777" w:rsidR="00D3344B" w:rsidRDefault="00143C25">
      <w:pPr>
        <w:pStyle w:val="Estilo"/>
        <w:ind w:left="567" w:hanging="567"/>
        <w:rPr>
          <w:rFonts w:cs="Arial"/>
        </w:rPr>
      </w:pPr>
      <w:r>
        <w:rPr>
          <w:rFonts w:cs="Arial"/>
        </w:rPr>
        <w:t xml:space="preserve">IV. </w:t>
      </w:r>
      <w:r>
        <w:rPr>
          <w:rFonts w:cs="Arial"/>
        </w:rPr>
        <w:tab/>
        <w:t>La maquinaria, enseres y semovientes propios de las actividades de las negociaciones industriales, comerciales, agrícolas y ganaderas, en cuanto fueren necesarios para su funcionamiento, pero podrán ser objeto de embargo cuando éste recaiga en la totalidad de la negociación;</w:t>
      </w:r>
    </w:p>
    <w:p w14:paraId="24DE8FB4" w14:textId="77777777" w:rsidR="00D3344B" w:rsidRDefault="00D3344B">
      <w:pPr>
        <w:pStyle w:val="Estilo"/>
        <w:ind w:left="567" w:hanging="567"/>
        <w:rPr>
          <w:rFonts w:cs="Arial"/>
        </w:rPr>
      </w:pPr>
    </w:p>
    <w:p w14:paraId="093BA557" w14:textId="77777777" w:rsidR="00D3344B" w:rsidRDefault="00143C25">
      <w:pPr>
        <w:pStyle w:val="Estilo"/>
        <w:ind w:left="567" w:hanging="567"/>
        <w:rPr>
          <w:rFonts w:cs="Arial"/>
        </w:rPr>
      </w:pPr>
      <w:r>
        <w:rPr>
          <w:rFonts w:cs="Arial"/>
        </w:rPr>
        <w:t xml:space="preserve">V. </w:t>
      </w:r>
      <w:r>
        <w:rPr>
          <w:rFonts w:cs="Arial"/>
        </w:rPr>
        <w:tab/>
        <w:t>Las pensiones alimenticias;</w:t>
      </w:r>
    </w:p>
    <w:p w14:paraId="5042AFE1" w14:textId="77777777" w:rsidR="00D3344B" w:rsidRDefault="00D3344B">
      <w:pPr>
        <w:pStyle w:val="Estilo"/>
        <w:ind w:left="567" w:hanging="567"/>
        <w:rPr>
          <w:rFonts w:cs="Arial"/>
        </w:rPr>
      </w:pPr>
    </w:p>
    <w:p w14:paraId="29622A33" w14:textId="77777777" w:rsidR="00D3344B" w:rsidRDefault="00143C25">
      <w:pPr>
        <w:pStyle w:val="Estilo"/>
        <w:ind w:left="567" w:hanging="567"/>
        <w:rPr>
          <w:rFonts w:cs="Arial"/>
        </w:rPr>
      </w:pPr>
      <w:r>
        <w:rPr>
          <w:rFonts w:cs="Arial"/>
        </w:rPr>
        <w:t xml:space="preserve">VI. </w:t>
      </w:r>
      <w:r>
        <w:rPr>
          <w:rFonts w:cs="Arial"/>
        </w:rPr>
        <w:tab/>
        <w:t>Los granos, mientras éstos no hayan sido cosechados, pero no los derechos sobre las siembras;</w:t>
      </w:r>
    </w:p>
    <w:p w14:paraId="35F9A9BD" w14:textId="77777777" w:rsidR="00D3344B" w:rsidRDefault="00D3344B">
      <w:pPr>
        <w:pStyle w:val="Estilo"/>
        <w:ind w:left="567" w:hanging="567"/>
        <w:rPr>
          <w:rFonts w:cs="Arial"/>
        </w:rPr>
      </w:pPr>
    </w:p>
    <w:p w14:paraId="45F18EE0" w14:textId="77777777" w:rsidR="00D3344B" w:rsidRDefault="00143C25">
      <w:pPr>
        <w:pStyle w:val="Estilo"/>
        <w:ind w:left="567" w:hanging="567"/>
        <w:rPr>
          <w:rFonts w:cs="Arial"/>
        </w:rPr>
      </w:pPr>
      <w:r>
        <w:rPr>
          <w:rFonts w:cs="Arial"/>
        </w:rPr>
        <w:t xml:space="preserve">VII. </w:t>
      </w:r>
      <w:r>
        <w:rPr>
          <w:rFonts w:cs="Arial"/>
        </w:rPr>
        <w:tab/>
        <w:t>El derecho de usufructo, pero no los frutos de éste;</w:t>
      </w:r>
    </w:p>
    <w:p w14:paraId="5F0311B2" w14:textId="77777777" w:rsidR="00D3344B" w:rsidRDefault="00D3344B">
      <w:pPr>
        <w:pStyle w:val="Estilo"/>
        <w:ind w:left="567" w:hanging="567"/>
        <w:rPr>
          <w:rFonts w:cs="Arial"/>
        </w:rPr>
      </w:pPr>
    </w:p>
    <w:p w14:paraId="13CAD034" w14:textId="77777777" w:rsidR="00D3344B" w:rsidRDefault="00143C25">
      <w:pPr>
        <w:pStyle w:val="Estilo"/>
        <w:ind w:left="567" w:hanging="567"/>
        <w:rPr>
          <w:rFonts w:cs="Arial"/>
        </w:rPr>
      </w:pPr>
      <w:r>
        <w:rPr>
          <w:rFonts w:cs="Arial"/>
        </w:rPr>
        <w:t xml:space="preserve">VIII. </w:t>
      </w:r>
      <w:r>
        <w:rPr>
          <w:rFonts w:cs="Arial"/>
        </w:rPr>
        <w:tab/>
        <w:t>Los derechos de uso o de habitación;</w:t>
      </w:r>
    </w:p>
    <w:p w14:paraId="66A21C00" w14:textId="77777777" w:rsidR="00D3344B" w:rsidRDefault="00D3344B">
      <w:pPr>
        <w:pStyle w:val="Estilo"/>
        <w:ind w:left="567" w:hanging="567"/>
        <w:rPr>
          <w:rFonts w:cs="Arial"/>
        </w:rPr>
      </w:pPr>
    </w:p>
    <w:p w14:paraId="74192648" w14:textId="77777777" w:rsidR="00D3344B" w:rsidRDefault="00143C25">
      <w:pPr>
        <w:pStyle w:val="Estilo"/>
        <w:ind w:left="567" w:hanging="567"/>
        <w:rPr>
          <w:rFonts w:cs="Arial"/>
        </w:rPr>
      </w:pPr>
      <w:r>
        <w:rPr>
          <w:rFonts w:cs="Arial"/>
        </w:rPr>
        <w:t xml:space="preserve">IX. </w:t>
      </w:r>
      <w:r>
        <w:rPr>
          <w:rFonts w:cs="Arial"/>
        </w:rPr>
        <w:tab/>
        <w:t>El patrimonio de familia en los términos que establezcan las leyes, desde su inscripción en el Registro Público de la Propiedad y del Comercio;</w:t>
      </w:r>
    </w:p>
    <w:p w14:paraId="03DE82C9" w14:textId="77777777" w:rsidR="00D3344B" w:rsidRDefault="00D3344B">
      <w:pPr>
        <w:pStyle w:val="Estilo"/>
        <w:ind w:left="567" w:hanging="567"/>
        <w:rPr>
          <w:rFonts w:cs="Arial"/>
        </w:rPr>
      </w:pPr>
    </w:p>
    <w:p w14:paraId="0A4BF86B" w14:textId="77777777" w:rsidR="00D3344B" w:rsidRDefault="00143C25">
      <w:pPr>
        <w:pStyle w:val="Estilo"/>
        <w:ind w:left="567" w:hanging="567"/>
        <w:rPr>
          <w:rFonts w:cs="Arial"/>
        </w:rPr>
      </w:pPr>
      <w:r>
        <w:rPr>
          <w:rFonts w:cs="Arial"/>
        </w:rPr>
        <w:lastRenderedPageBreak/>
        <w:t xml:space="preserve">X. </w:t>
      </w:r>
      <w:r>
        <w:rPr>
          <w:rFonts w:cs="Arial"/>
        </w:rPr>
        <w:tab/>
        <w:t>Los sueldos y los salarios de los trabajadores, en los términos que establezca la Ley Federal del Trabajo;</w:t>
      </w:r>
    </w:p>
    <w:p w14:paraId="1F85D878" w14:textId="77777777" w:rsidR="00D3344B" w:rsidRDefault="00D3344B">
      <w:pPr>
        <w:pStyle w:val="Estilo"/>
        <w:ind w:left="567" w:hanging="567"/>
        <w:rPr>
          <w:rFonts w:cs="Arial"/>
        </w:rPr>
      </w:pPr>
    </w:p>
    <w:p w14:paraId="6CCE44E3" w14:textId="77777777" w:rsidR="00D3344B" w:rsidRDefault="00143C25">
      <w:pPr>
        <w:pStyle w:val="Estilo"/>
        <w:ind w:left="567" w:hanging="567"/>
        <w:rPr>
          <w:rFonts w:cs="Arial"/>
        </w:rPr>
      </w:pPr>
      <w:r>
        <w:rPr>
          <w:rFonts w:cs="Arial"/>
        </w:rPr>
        <w:t xml:space="preserve">XI. </w:t>
      </w:r>
      <w:r>
        <w:rPr>
          <w:rFonts w:cs="Arial"/>
        </w:rPr>
        <w:tab/>
        <w:t>Las armas, vehículos y caballos que los militares en servicio deban usar conforme a las leyes;</w:t>
      </w:r>
    </w:p>
    <w:p w14:paraId="4035BBBD" w14:textId="77777777" w:rsidR="00D3344B" w:rsidRDefault="00D3344B">
      <w:pPr>
        <w:pStyle w:val="Estilo"/>
        <w:ind w:left="567" w:hanging="567"/>
        <w:rPr>
          <w:rFonts w:cs="Arial"/>
        </w:rPr>
      </w:pPr>
    </w:p>
    <w:p w14:paraId="6870247D" w14:textId="77777777" w:rsidR="00D3344B" w:rsidRDefault="00143C25">
      <w:pPr>
        <w:pStyle w:val="Estilo"/>
        <w:ind w:left="567" w:hanging="567"/>
        <w:rPr>
          <w:rFonts w:cs="Arial"/>
        </w:rPr>
      </w:pPr>
      <w:r>
        <w:rPr>
          <w:rFonts w:cs="Arial"/>
        </w:rPr>
        <w:t xml:space="preserve">XII. </w:t>
      </w:r>
      <w:r>
        <w:rPr>
          <w:rFonts w:cs="Arial"/>
        </w:rPr>
        <w:tab/>
        <w:t>Las pensiones civiles y militares, concedidas por el Gobierno Federal, del Estado o de los municipios, así como por instituciones especializadas o empresas particulares;</w:t>
      </w:r>
    </w:p>
    <w:p w14:paraId="3134BFA7" w14:textId="77777777" w:rsidR="00D3344B" w:rsidRDefault="00D3344B">
      <w:pPr>
        <w:pStyle w:val="Estilo"/>
        <w:ind w:left="567" w:hanging="567"/>
        <w:rPr>
          <w:rFonts w:cs="Arial"/>
        </w:rPr>
      </w:pPr>
    </w:p>
    <w:p w14:paraId="4FA94741" w14:textId="77777777" w:rsidR="00D3344B" w:rsidRDefault="00143C25">
      <w:pPr>
        <w:pStyle w:val="Estilo"/>
        <w:ind w:left="567" w:hanging="567"/>
        <w:rPr>
          <w:rFonts w:cs="Arial"/>
        </w:rPr>
      </w:pPr>
      <w:r>
        <w:rPr>
          <w:rFonts w:cs="Arial"/>
        </w:rPr>
        <w:t xml:space="preserve">XIII. </w:t>
      </w:r>
      <w:r>
        <w:rPr>
          <w:rFonts w:cs="Arial"/>
        </w:rPr>
        <w:tab/>
        <w:t>Las tierras comunales y ejidales, sean de explotación colectiva o parcelas de uso individual del ejidatario, pero no las cosechas que pertenezcan personalmente a los ejidatarios en los términos de la Ley Agraria;</w:t>
      </w:r>
    </w:p>
    <w:p w14:paraId="2C1F5D6F" w14:textId="77777777" w:rsidR="00D3344B" w:rsidRDefault="00D3344B">
      <w:pPr>
        <w:pStyle w:val="Estilo"/>
        <w:ind w:left="567" w:hanging="567"/>
        <w:rPr>
          <w:rFonts w:cs="Arial"/>
        </w:rPr>
      </w:pPr>
    </w:p>
    <w:p w14:paraId="4A50367A" w14:textId="77777777" w:rsidR="00D3344B" w:rsidRDefault="00143C25">
      <w:pPr>
        <w:pStyle w:val="Estilo"/>
        <w:ind w:left="567" w:hanging="567"/>
        <w:rPr>
          <w:rFonts w:cs="Arial"/>
        </w:rPr>
      </w:pPr>
      <w:r>
        <w:rPr>
          <w:rFonts w:cs="Arial"/>
        </w:rPr>
        <w:t xml:space="preserve">XIV. </w:t>
      </w:r>
      <w:r>
        <w:rPr>
          <w:rFonts w:cs="Arial"/>
        </w:rPr>
        <w:tab/>
        <w:t>La renta vitalicia para alimentos, en los términos del Código Civil del Estado, y</w:t>
      </w:r>
    </w:p>
    <w:p w14:paraId="0246C748" w14:textId="77777777" w:rsidR="00D3344B" w:rsidRDefault="00D3344B">
      <w:pPr>
        <w:pStyle w:val="Estilo"/>
        <w:ind w:left="567" w:hanging="567"/>
        <w:rPr>
          <w:rFonts w:cs="Arial"/>
        </w:rPr>
      </w:pPr>
    </w:p>
    <w:p w14:paraId="7057CA47" w14:textId="77777777" w:rsidR="00D3344B" w:rsidRDefault="00143C25">
      <w:pPr>
        <w:pStyle w:val="Estilo"/>
        <w:ind w:left="567" w:hanging="567"/>
        <w:rPr>
          <w:rFonts w:cs="Arial"/>
        </w:rPr>
      </w:pPr>
      <w:r>
        <w:rPr>
          <w:rFonts w:cs="Arial"/>
        </w:rPr>
        <w:t xml:space="preserve">XV. </w:t>
      </w:r>
      <w:r>
        <w:rPr>
          <w:rFonts w:cs="Arial"/>
        </w:rPr>
        <w:tab/>
        <w:t>Las servidumbres, cuando no se embargue también el predio dominante.</w:t>
      </w:r>
    </w:p>
    <w:p w14:paraId="72F7FDAE" w14:textId="77777777" w:rsidR="00D3344B" w:rsidRDefault="00D3344B">
      <w:pPr>
        <w:pStyle w:val="Estilo"/>
        <w:rPr>
          <w:rFonts w:cs="Arial"/>
        </w:rPr>
      </w:pPr>
    </w:p>
    <w:p w14:paraId="2ECBDEBE" w14:textId="77777777" w:rsidR="00D3344B" w:rsidRDefault="00143C25">
      <w:pPr>
        <w:pStyle w:val="Estilo"/>
        <w:rPr>
          <w:rFonts w:cs="Arial"/>
        </w:rPr>
      </w:pPr>
      <w:r>
        <w:rPr>
          <w:rFonts w:cs="Arial"/>
          <w:i/>
          <w:sz w:val="16"/>
        </w:rPr>
        <w:t>(REFORMADO, P.O. 30 DE DICIEMBRE DE 2005)</w:t>
      </w:r>
    </w:p>
    <w:p w14:paraId="5E2CF377" w14:textId="77777777" w:rsidR="00D3344B" w:rsidRDefault="00143C25">
      <w:pPr>
        <w:pStyle w:val="Estilo"/>
        <w:rPr>
          <w:rFonts w:cs="Arial"/>
        </w:rPr>
      </w:pPr>
      <w:r>
        <w:rPr>
          <w:rFonts w:cs="Arial"/>
          <w:b/>
        </w:rPr>
        <w:t>Artículo 374.</w:t>
      </w:r>
      <w:r>
        <w:rPr>
          <w:rFonts w:cs="Arial"/>
        </w:rPr>
        <w:t xml:space="preserve"> El notificador-ejecutor trabará ejecución en bienes bastantes para cubrir los créditos fiscales y los gastos de ejecución, poniendo todo lo embargado, previa identificación, bajo la guarda del o de los depositarios que fueren necesarios y que, salvo cuando los hubiera designado anticipadamente la autoridad fiscal competente, nombrará el notificador-ejecutor en el mismo acto de la diligencia. El nombramiento de depositario podrá recaer en el propio contribuyente.</w:t>
      </w:r>
    </w:p>
    <w:p w14:paraId="7D851144" w14:textId="77777777" w:rsidR="00D3344B" w:rsidRDefault="00D3344B">
      <w:pPr>
        <w:pStyle w:val="Estilo"/>
        <w:rPr>
          <w:rFonts w:cs="Arial"/>
        </w:rPr>
      </w:pPr>
    </w:p>
    <w:p w14:paraId="74F45343" w14:textId="77777777" w:rsidR="00D3344B" w:rsidRDefault="00143C25">
      <w:pPr>
        <w:pStyle w:val="Estilo"/>
        <w:rPr>
          <w:rFonts w:cs="Arial"/>
        </w:rPr>
      </w:pPr>
      <w:r>
        <w:rPr>
          <w:rFonts w:cs="Arial"/>
          <w:i/>
          <w:sz w:val="16"/>
        </w:rPr>
        <w:t>(REFORMADO, P.O. 30 DE DICIEMBRE DE 2005)</w:t>
      </w:r>
    </w:p>
    <w:p w14:paraId="5C2B3164" w14:textId="77777777" w:rsidR="00D3344B" w:rsidRDefault="00143C25">
      <w:pPr>
        <w:pStyle w:val="Estilo"/>
        <w:rPr>
          <w:rFonts w:cs="Arial"/>
        </w:rPr>
      </w:pPr>
      <w:r>
        <w:rPr>
          <w:rFonts w:cs="Arial"/>
          <w:b/>
        </w:rPr>
        <w:t>Artículo 375.</w:t>
      </w:r>
      <w:r>
        <w:rPr>
          <w:rFonts w:cs="Arial"/>
        </w:rPr>
        <w:t xml:space="preserve"> Si el contribuyente o cualquiera otra persona, impidiere materialmente al notificador-ejecutor el acceso al domicilio señalado para la práctica de la diligencia o al lugar en que se encuentren los bienes, siempre que el caso lo requiera, el notificador-ejecutor solicitará el auxilio de la policía o fuerza pública para llevar adelante la diligencia de ejecución.</w:t>
      </w:r>
    </w:p>
    <w:p w14:paraId="0012B381" w14:textId="77777777" w:rsidR="00D3344B" w:rsidRDefault="00D3344B">
      <w:pPr>
        <w:pStyle w:val="Estilo"/>
        <w:rPr>
          <w:rFonts w:cs="Arial"/>
        </w:rPr>
      </w:pPr>
    </w:p>
    <w:p w14:paraId="687D1E19" w14:textId="77777777" w:rsidR="00D3344B" w:rsidRDefault="00143C25">
      <w:pPr>
        <w:pStyle w:val="Estilo"/>
        <w:rPr>
          <w:rFonts w:cs="Arial"/>
        </w:rPr>
      </w:pPr>
      <w:r>
        <w:rPr>
          <w:rFonts w:cs="Arial"/>
          <w:i/>
          <w:sz w:val="16"/>
        </w:rPr>
        <w:t>(REFORMADO, P.O. 30 DE DICIEMBRE DE 2005)</w:t>
      </w:r>
    </w:p>
    <w:p w14:paraId="22F894CE" w14:textId="77777777" w:rsidR="00D3344B" w:rsidRDefault="00143C25">
      <w:pPr>
        <w:pStyle w:val="Estilo"/>
        <w:rPr>
          <w:rFonts w:cs="Arial"/>
        </w:rPr>
      </w:pPr>
      <w:r>
        <w:rPr>
          <w:rFonts w:cs="Arial"/>
          <w:b/>
        </w:rPr>
        <w:t>Artículo 376.</w:t>
      </w:r>
      <w:r>
        <w:rPr>
          <w:rFonts w:cs="Arial"/>
        </w:rPr>
        <w:t xml:space="preserve"> El embargo podrá ampliarse en cualquier momento del procedimiento administrativo de ejecución, cuando las autoridades fiscales estimen que los bienes embargados son insuficientes para cubrir las contribuciones fiscales insolutas y los vencimientos futuros.</w:t>
      </w:r>
    </w:p>
    <w:p w14:paraId="35715D48" w14:textId="77777777" w:rsidR="00D3344B" w:rsidRDefault="00D3344B">
      <w:pPr>
        <w:pStyle w:val="Estilo"/>
        <w:rPr>
          <w:rFonts w:cs="Arial"/>
        </w:rPr>
      </w:pPr>
    </w:p>
    <w:p w14:paraId="591460B5" w14:textId="77777777" w:rsidR="00D3344B" w:rsidRDefault="00143C25">
      <w:pPr>
        <w:pStyle w:val="Estilo"/>
        <w:rPr>
          <w:rFonts w:cs="Arial"/>
        </w:rPr>
      </w:pPr>
      <w:r>
        <w:rPr>
          <w:rFonts w:cs="Arial"/>
          <w:i/>
          <w:sz w:val="16"/>
        </w:rPr>
        <w:t>(REFORMADO, P.O. 30 DE DICIEMBRE DE 2005)</w:t>
      </w:r>
    </w:p>
    <w:p w14:paraId="7DCED984" w14:textId="77777777" w:rsidR="00D3344B" w:rsidRDefault="00143C25">
      <w:pPr>
        <w:pStyle w:val="Estilo"/>
        <w:rPr>
          <w:rFonts w:cs="Arial"/>
        </w:rPr>
      </w:pPr>
      <w:r>
        <w:rPr>
          <w:rFonts w:cs="Arial"/>
          <w:b/>
        </w:rPr>
        <w:t>Artículo 377.</w:t>
      </w:r>
      <w:r>
        <w:rPr>
          <w:rFonts w:cs="Arial"/>
        </w:rPr>
        <w:t xml:space="preserve"> En caso de </w:t>
      </w:r>
      <w:proofErr w:type="gramStart"/>
      <w:r>
        <w:rPr>
          <w:rFonts w:cs="Arial"/>
        </w:rPr>
        <w:t>que</w:t>
      </w:r>
      <w:proofErr w:type="gramEnd"/>
      <w:r>
        <w:rPr>
          <w:rFonts w:cs="Arial"/>
        </w:rPr>
        <w:t xml:space="preserve"> durante el embargo, la persona con quien se entienda la diligencia no abriere las puertas del edificio, departamento, condominio, casa, bodega, accesoria, negociación y cualquier otra construcción, señalados para la traba del embargo o en los que se presuma que existen bienes muebles embargables, el notificador-ejecutor, previa razón que asiente en el acta, hará que ante dos testigos sean rotas las cerraduras que fuere necesario, para que continúe la diligencia.</w:t>
      </w:r>
    </w:p>
    <w:p w14:paraId="037B8E06" w14:textId="77777777" w:rsidR="00D3344B" w:rsidRDefault="00D3344B">
      <w:pPr>
        <w:pStyle w:val="Estilo"/>
        <w:rPr>
          <w:rFonts w:cs="Arial"/>
        </w:rPr>
      </w:pPr>
    </w:p>
    <w:p w14:paraId="36043367" w14:textId="77777777" w:rsidR="00D3344B" w:rsidRDefault="00143C25">
      <w:pPr>
        <w:pStyle w:val="Estilo"/>
        <w:rPr>
          <w:rFonts w:cs="Arial"/>
        </w:rPr>
      </w:pPr>
      <w:r>
        <w:rPr>
          <w:rFonts w:cs="Arial"/>
        </w:rPr>
        <w:t>En igual forma procederá el notificador-ejecutor a la apertura, cuando la persona con quien se entienda la diligencia no abriere los muebles en los que aquél suponga se guardan dinero, alhajas, objetos de arte u otros bienes embargables. Si no fuere factible abrir las cerraduras en ese momento, el mismo notificador-ejecutor trabará embargo en los muebles cerrados y su contenido, los sellará y enviará en depósito a la autoridad fiscal competente, donde serán abiertos en el término de tres días por el deudor o por su representante legal y en caso contrario, por un experto designado por la autoridad fiscal competente, en presencia de dos testigos.</w:t>
      </w:r>
    </w:p>
    <w:p w14:paraId="5A34CB3C" w14:textId="77777777" w:rsidR="00D3344B" w:rsidRDefault="00D3344B">
      <w:pPr>
        <w:pStyle w:val="Estilo"/>
        <w:rPr>
          <w:rFonts w:cs="Arial"/>
        </w:rPr>
      </w:pPr>
    </w:p>
    <w:p w14:paraId="3665AE50" w14:textId="77777777" w:rsidR="00D3344B" w:rsidRDefault="00143C25">
      <w:pPr>
        <w:pStyle w:val="Estilo"/>
        <w:rPr>
          <w:rFonts w:cs="Arial"/>
        </w:rPr>
      </w:pPr>
      <w:r>
        <w:rPr>
          <w:rFonts w:cs="Arial"/>
        </w:rPr>
        <w:t>El notificador-ejecutor levantará un acta haciendo constar el inventario completo de los bienes embargados, la cual deberá ser firmada por el mismo, los testigos y el depositario designado. En la oficina en que tenga lugar la apertura, quedará a disposición del deudor una copia del acta a que se refiere este párrafo.</w:t>
      </w:r>
    </w:p>
    <w:p w14:paraId="75DD1404" w14:textId="77777777" w:rsidR="00D3344B" w:rsidRDefault="00D3344B">
      <w:pPr>
        <w:pStyle w:val="Estilo"/>
        <w:rPr>
          <w:rFonts w:cs="Arial"/>
        </w:rPr>
      </w:pPr>
    </w:p>
    <w:p w14:paraId="3D55DF4E" w14:textId="77777777" w:rsidR="00D3344B" w:rsidRDefault="00143C25">
      <w:pPr>
        <w:pStyle w:val="Estilo"/>
        <w:rPr>
          <w:rFonts w:cs="Arial"/>
        </w:rPr>
      </w:pPr>
      <w:r>
        <w:rPr>
          <w:rFonts w:cs="Arial"/>
        </w:rPr>
        <w:t>Si no fuere factible la apertura de las cerraduras de cajas u otros objetos unidos a un inmueble o de difícil transportación, el notificador-ejecutor trabará embargo sobre ellos y su contenido y los sellará; para su apertura se seguirá el procedimiento establecido en los dos párrafos anteriores.</w:t>
      </w:r>
    </w:p>
    <w:p w14:paraId="226484EF" w14:textId="77777777" w:rsidR="00D3344B" w:rsidRDefault="00D3344B">
      <w:pPr>
        <w:pStyle w:val="Estilo"/>
        <w:rPr>
          <w:rFonts w:cs="Arial"/>
        </w:rPr>
      </w:pPr>
    </w:p>
    <w:p w14:paraId="054C9740" w14:textId="77777777" w:rsidR="00D3344B" w:rsidRDefault="00143C25">
      <w:pPr>
        <w:pStyle w:val="Estilo"/>
        <w:rPr>
          <w:rFonts w:cs="Arial"/>
        </w:rPr>
      </w:pPr>
      <w:r>
        <w:rPr>
          <w:rFonts w:cs="Arial"/>
          <w:b/>
        </w:rPr>
        <w:t>Artículo 378.</w:t>
      </w:r>
      <w:r>
        <w:rPr>
          <w:rFonts w:cs="Arial"/>
        </w:rPr>
        <w:t xml:space="preserve"> Cuando el embargo recaiga sobre créditos, será notificado personalmente por el Actuario, a los deudores del contribuyente embargado, para que realicen el pago de las cantidades respectivas ante la autoridad fiscal competente, apercibidos de doble pago en caso de desobediencia.</w:t>
      </w:r>
    </w:p>
    <w:p w14:paraId="66531E3B" w14:textId="77777777" w:rsidR="00D3344B" w:rsidRDefault="00D3344B">
      <w:pPr>
        <w:pStyle w:val="Estilo"/>
        <w:rPr>
          <w:rFonts w:cs="Arial"/>
        </w:rPr>
      </w:pPr>
    </w:p>
    <w:p w14:paraId="1DBBAF2D" w14:textId="77777777" w:rsidR="00D3344B" w:rsidRDefault="00143C25">
      <w:pPr>
        <w:pStyle w:val="Estilo"/>
        <w:rPr>
          <w:rFonts w:cs="Arial"/>
        </w:rPr>
      </w:pPr>
      <w:r>
        <w:rPr>
          <w:rFonts w:cs="Arial"/>
        </w:rPr>
        <w:t xml:space="preserve">Si en cumplimiento de lo dispuesto en el párrafo anterior de este artículo, se paga un crédito cuya cancelación deba anotarse en el Registro Público correspondiente, la autoridad fiscal competente requerirá al contribuyente, acreedor de los créditos embargados, para </w:t>
      </w:r>
      <w:proofErr w:type="gramStart"/>
      <w:r>
        <w:rPr>
          <w:rFonts w:cs="Arial"/>
        </w:rPr>
        <w:t>que</w:t>
      </w:r>
      <w:proofErr w:type="gramEnd"/>
      <w:r>
        <w:rPr>
          <w:rFonts w:cs="Arial"/>
        </w:rPr>
        <w:t xml:space="preserve"> dentro de los cinco días siguientes a la notificación, firme la escritura de pago y cancelación o el documento en que se haga constar el finiquito.</w:t>
      </w:r>
    </w:p>
    <w:p w14:paraId="443C20D9" w14:textId="77777777" w:rsidR="00D3344B" w:rsidRDefault="00D3344B">
      <w:pPr>
        <w:pStyle w:val="Estilo"/>
        <w:rPr>
          <w:rFonts w:cs="Arial"/>
        </w:rPr>
      </w:pPr>
    </w:p>
    <w:p w14:paraId="51C4F3F5" w14:textId="77777777" w:rsidR="00D3344B" w:rsidRDefault="00143C25">
      <w:pPr>
        <w:pStyle w:val="Estilo"/>
        <w:rPr>
          <w:rFonts w:cs="Arial"/>
        </w:rPr>
      </w:pPr>
      <w:r>
        <w:rPr>
          <w:rFonts w:cs="Arial"/>
        </w:rPr>
        <w:t>En caso de omisión por parte del contribuyente referido, transcurrido el plazo indicado, la autoridad fiscal competente firmará la escritura o documentos relativos en rebeldía de aquél, lo que hará del conocimiento del Registro Público correspondiente, para los efectos procedentes.</w:t>
      </w:r>
    </w:p>
    <w:p w14:paraId="0BCFD0A7" w14:textId="77777777" w:rsidR="00D3344B" w:rsidRDefault="00D3344B">
      <w:pPr>
        <w:pStyle w:val="Estilo"/>
        <w:rPr>
          <w:rFonts w:cs="Arial"/>
        </w:rPr>
      </w:pPr>
    </w:p>
    <w:p w14:paraId="3E84578E" w14:textId="77777777" w:rsidR="00D3344B" w:rsidRDefault="00143C25">
      <w:pPr>
        <w:pStyle w:val="Estilo"/>
        <w:rPr>
          <w:rFonts w:cs="Arial"/>
        </w:rPr>
      </w:pPr>
      <w:r>
        <w:rPr>
          <w:rFonts w:cs="Arial"/>
          <w:b/>
        </w:rPr>
        <w:t>Artículo 379.</w:t>
      </w:r>
      <w:r>
        <w:rPr>
          <w:rFonts w:cs="Arial"/>
        </w:rPr>
        <w:t xml:space="preserve"> Los bienes muebles o inmuebles y negociaciones embargados se dejarán bajo la guarda del o de los depositarios que fueren necesarios. La autoridad fiscal competente, bajo su responsabilidad, podrá remover libremente a los depositarios, quienes desempeñarán su cargo conforme a las disposiciones legales aplicables.</w:t>
      </w:r>
    </w:p>
    <w:p w14:paraId="761FC7F6" w14:textId="77777777" w:rsidR="00D3344B" w:rsidRDefault="00D3344B">
      <w:pPr>
        <w:pStyle w:val="Estilo"/>
        <w:rPr>
          <w:rFonts w:cs="Arial"/>
        </w:rPr>
      </w:pPr>
    </w:p>
    <w:p w14:paraId="3C471F5B" w14:textId="77777777" w:rsidR="00D3344B" w:rsidRDefault="00143C25">
      <w:pPr>
        <w:pStyle w:val="Estilo"/>
        <w:rPr>
          <w:rFonts w:cs="Arial"/>
        </w:rPr>
      </w:pPr>
      <w:r>
        <w:rPr>
          <w:rFonts w:cs="Arial"/>
          <w:b/>
        </w:rPr>
        <w:t>Artículo 380.</w:t>
      </w:r>
      <w:r>
        <w:rPr>
          <w:rFonts w:cs="Arial"/>
        </w:rPr>
        <w:t xml:space="preserve"> El embargo de inmuebles o de negociaciones de cualquier género, se inscribirá en el Registro Público de la Propiedad y del Comercio del Estado.</w:t>
      </w:r>
    </w:p>
    <w:p w14:paraId="0F8AAA9F" w14:textId="77777777" w:rsidR="00D3344B" w:rsidRDefault="00D3344B">
      <w:pPr>
        <w:pStyle w:val="Estilo"/>
        <w:rPr>
          <w:rFonts w:cs="Arial"/>
        </w:rPr>
      </w:pPr>
    </w:p>
    <w:p w14:paraId="55C050F4" w14:textId="77777777" w:rsidR="00D3344B" w:rsidRDefault="00143C25">
      <w:pPr>
        <w:pStyle w:val="Estilo"/>
        <w:rPr>
          <w:rFonts w:cs="Arial"/>
        </w:rPr>
      </w:pPr>
      <w:r>
        <w:rPr>
          <w:rFonts w:cs="Arial"/>
          <w:b/>
        </w:rPr>
        <w:lastRenderedPageBreak/>
        <w:t>Artículo 381.</w:t>
      </w:r>
      <w:r>
        <w:rPr>
          <w:rFonts w:cs="Arial"/>
        </w:rPr>
        <w:t xml:space="preserve"> En los embargos de bienes raíces o de negociaciones, los depositarios tendrán el carácter de administradores o de interventores con cargo a la caja, según el caso, con las facultades y obligaciones señaladas en este código.</w:t>
      </w:r>
    </w:p>
    <w:p w14:paraId="4DEE8D83" w14:textId="77777777" w:rsidR="00D3344B" w:rsidRDefault="00D3344B">
      <w:pPr>
        <w:pStyle w:val="Estilo"/>
        <w:rPr>
          <w:rFonts w:cs="Arial"/>
        </w:rPr>
      </w:pPr>
    </w:p>
    <w:p w14:paraId="53B7B181" w14:textId="77777777" w:rsidR="00D3344B" w:rsidRDefault="00143C25">
      <w:pPr>
        <w:pStyle w:val="Estilo"/>
        <w:rPr>
          <w:rFonts w:cs="Arial"/>
        </w:rPr>
      </w:pPr>
      <w:r>
        <w:rPr>
          <w:rFonts w:cs="Arial"/>
          <w:b/>
        </w:rPr>
        <w:t>Artículo 382.</w:t>
      </w:r>
      <w:r>
        <w:rPr>
          <w:rFonts w:cs="Arial"/>
        </w:rPr>
        <w:t xml:space="preserve"> El interventor encargado de la caja, después de separar las cantidades que correspondan por concepto de salarios y demás créditos preferentes, deberá retirar de la negociación intervenida el diez por ciento de los ingresos en dinero y enterarlos en la caja de la autoridad fiscal competente diariamente o a medida que se efectúe la recaudación.</w:t>
      </w:r>
    </w:p>
    <w:p w14:paraId="492196AD" w14:textId="77777777" w:rsidR="00D3344B" w:rsidRDefault="00D3344B">
      <w:pPr>
        <w:pStyle w:val="Estilo"/>
        <w:rPr>
          <w:rFonts w:cs="Arial"/>
        </w:rPr>
      </w:pPr>
    </w:p>
    <w:p w14:paraId="289E4B82" w14:textId="77777777" w:rsidR="00D3344B" w:rsidRDefault="00143C25">
      <w:pPr>
        <w:pStyle w:val="Estilo"/>
        <w:rPr>
          <w:rFonts w:cs="Arial"/>
        </w:rPr>
      </w:pPr>
      <w:r>
        <w:rPr>
          <w:rFonts w:cs="Arial"/>
        </w:rPr>
        <w:t>Si la negociación embargada fuere improductiva o estuviere abandonada, la autoridad fiscal competente podrá arrendarla a terceros debidamente capacitados, para que realicen la explotación respectiva. Los productos del arrendamiento serán destinados al pago del crédito fiscal.</w:t>
      </w:r>
    </w:p>
    <w:p w14:paraId="5BC379D7" w14:textId="77777777" w:rsidR="00D3344B" w:rsidRDefault="00D3344B">
      <w:pPr>
        <w:pStyle w:val="Estilo"/>
        <w:rPr>
          <w:rFonts w:cs="Arial"/>
        </w:rPr>
      </w:pPr>
    </w:p>
    <w:p w14:paraId="75260F1C" w14:textId="77777777" w:rsidR="00D3344B" w:rsidRDefault="00143C25">
      <w:pPr>
        <w:pStyle w:val="Estilo"/>
        <w:rPr>
          <w:rFonts w:cs="Arial"/>
        </w:rPr>
      </w:pPr>
      <w:r>
        <w:rPr>
          <w:rFonts w:cs="Arial"/>
        </w:rPr>
        <w:t>Cuando el interventor tenga conocimiento de irregularidades en el manejo de la negociación o de operaciones que pongan en peligro los intereses de la hacienda pública estatal o municipal, según corresponda, dictará las medidas provisionales urgentes que estime necesarias para proteger dichos intereses y dará cuenta a la autoridad fiscal competente, la que podrá ratificarlas o modificarlas.</w:t>
      </w:r>
    </w:p>
    <w:p w14:paraId="501E957D" w14:textId="77777777" w:rsidR="00D3344B" w:rsidRDefault="00D3344B">
      <w:pPr>
        <w:pStyle w:val="Estilo"/>
        <w:rPr>
          <w:rFonts w:cs="Arial"/>
        </w:rPr>
      </w:pPr>
    </w:p>
    <w:p w14:paraId="4059C10A" w14:textId="77777777" w:rsidR="00D3344B" w:rsidRDefault="00143C25">
      <w:pPr>
        <w:pStyle w:val="Estilo"/>
        <w:rPr>
          <w:rFonts w:cs="Arial"/>
        </w:rPr>
      </w:pPr>
      <w:r>
        <w:rPr>
          <w:rFonts w:cs="Arial"/>
        </w:rPr>
        <w:t>Si las medidas a que se refiere el párrafo anterior no fueren acatadas, la autoridad fiscal competente ordenará que cese la intervención con cargo a la caja, y la podrá convertir en administración, o bien procederá a enajenar la negociación, conforme a las disposiciones legales aplicables.</w:t>
      </w:r>
    </w:p>
    <w:p w14:paraId="4E4F744C" w14:textId="77777777" w:rsidR="00D3344B" w:rsidRDefault="00D3344B">
      <w:pPr>
        <w:pStyle w:val="Estilo"/>
        <w:rPr>
          <w:rFonts w:cs="Arial"/>
        </w:rPr>
      </w:pPr>
    </w:p>
    <w:p w14:paraId="592D7561" w14:textId="77777777" w:rsidR="00D3344B" w:rsidRDefault="00143C25">
      <w:pPr>
        <w:pStyle w:val="Estilo"/>
        <w:rPr>
          <w:rFonts w:cs="Arial"/>
        </w:rPr>
      </w:pPr>
      <w:r>
        <w:rPr>
          <w:rFonts w:cs="Arial"/>
          <w:b/>
        </w:rPr>
        <w:t>Artículo 383.</w:t>
      </w:r>
      <w:r>
        <w:rPr>
          <w:rFonts w:cs="Arial"/>
        </w:rPr>
        <w:t xml:space="preserve">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autoridad fiscal competente, así como para otorgar los poderes generales o especiales que juzgue convenientes, revocar los otorgados por el contribuyente de que se trate y los que él mismo hubiere conferido.</w:t>
      </w:r>
    </w:p>
    <w:p w14:paraId="3FFCE80D" w14:textId="77777777" w:rsidR="00D3344B" w:rsidRDefault="00D3344B">
      <w:pPr>
        <w:pStyle w:val="Estilo"/>
        <w:rPr>
          <w:rFonts w:cs="Arial"/>
        </w:rPr>
      </w:pPr>
    </w:p>
    <w:p w14:paraId="645EFE15" w14:textId="77777777" w:rsidR="00D3344B" w:rsidRDefault="00143C25">
      <w:pPr>
        <w:pStyle w:val="Estilo"/>
        <w:rPr>
          <w:rFonts w:cs="Arial"/>
        </w:rPr>
      </w:pPr>
      <w:r>
        <w:rPr>
          <w:rFonts w:cs="Arial"/>
        </w:rPr>
        <w:t>El interventor administrador no quedará supeditado en su actuación a las resoluciones o decisiones del contribuyente, consejo de administración, asamblea de accionistas, socios, directores o gerentes, cualquiera que sea la denominación que se les otorgue.</w:t>
      </w:r>
    </w:p>
    <w:p w14:paraId="2B4650C9" w14:textId="77777777" w:rsidR="00D3344B" w:rsidRDefault="00D3344B">
      <w:pPr>
        <w:pStyle w:val="Estilo"/>
        <w:rPr>
          <w:rFonts w:cs="Arial"/>
        </w:rPr>
      </w:pPr>
    </w:p>
    <w:p w14:paraId="4395EABD" w14:textId="77777777" w:rsidR="00D3344B" w:rsidRDefault="00143C25">
      <w:pPr>
        <w:pStyle w:val="Estilo"/>
        <w:rPr>
          <w:rFonts w:cs="Arial"/>
        </w:rPr>
      </w:pPr>
      <w:r>
        <w:rPr>
          <w:rFonts w:cs="Arial"/>
        </w:rPr>
        <w:t>Tratándose de negociaciones que no constituyan una sociedad, el interventor administrador tendrá todas las facultades del dueño para la conservación y buena marcha del negocio.</w:t>
      </w:r>
    </w:p>
    <w:p w14:paraId="695B2595" w14:textId="77777777" w:rsidR="00D3344B" w:rsidRDefault="00D3344B">
      <w:pPr>
        <w:pStyle w:val="Estilo"/>
        <w:rPr>
          <w:rFonts w:cs="Arial"/>
        </w:rPr>
      </w:pPr>
    </w:p>
    <w:p w14:paraId="68BDA58F" w14:textId="77777777" w:rsidR="00D3344B" w:rsidRDefault="00143C25">
      <w:pPr>
        <w:pStyle w:val="Estilo"/>
        <w:rPr>
          <w:rFonts w:cs="Arial"/>
        </w:rPr>
      </w:pPr>
      <w:r>
        <w:rPr>
          <w:rFonts w:cs="Arial"/>
          <w:b/>
        </w:rPr>
        <w:t>Artículo 384.</w:t>
      </w:r>
      <w:r>
        <w:rPr>
          <w:rFonts w:cs="Arial"/>
        </w:rPr>
        <w:t xml:space="preserve"> El interventor administrador tendrá las obligaciones siguientes:</w:t>
      </w:r>
    </w:p>
    <w:p w14:paraId="4E855662" w14:textId="77777777" w:rsidR="00D3344B" w:rsidRDefault="00D3344B">
      <w:pPr>
        <w:pStyle w:val="Estilo"/>
        <w:rPr>
          <w:rFonts w:cs="Arial"/>
        </w:rPr>
      </w:pPr>
    </w:p>
    <w:p w14:paraId="6C4FDBF8" w14:textId="77777777" w:rsidR="00D3344B" w:rsidRDefault="00143C25">
      <w:pPr>
        <w:pStyle w:val="Estilo"/>
        <w:ind w:left="567" w:hanging="567"/>
        <w:rPr>
          <w:rFonts w:cs="Arial"/>
        </w:rPr>
      </w:pPr>
      <w:r>
        <w:rPr>
          <w:rFonts w:cs="Arial"/>
        </w:rPr>
        <w:lastRenderedPageBreak/>
        <w:t xml:space="preserve">I. </w:t>
      </w:r>
      <w:r>
        <w:rPr>
          <w:rFonts w:cs="Arial"/>
        </w:rPr>
        <w:tab/>
        <w:t>Rendir cuentas mensuales comprobadas a la autoridad fiscal competente;</w:t>
      </w:r>
    </w:p>
    <w:p w14:paraId="4EB6A849" w14:textId="77777777" w:rsidR="00D3344B" w:rsidRDefault="00D3344B">
      <w:pPr>
        <w:pStyle w:val="Estilo"/>
        <w:ind w:left="567" w:hanging="567"/>
        <w:rPr>
          <w:rFonts w:cs="Arial"/>
        </w:rPr>
      </w:pPr>
    </w:p>
    <w:p w14:paraId="5062E7A3" w14:textId="77777777" w:rsidR="00D3344B" w:rsidRDefault="00143C25">
      <w:pPr>
        <w:pStyle w:val="Estilo"/>
        <w:ind w:left="567" w:hanging="567"/>
        <w:rPr>
          <w:rFonts w:cs="Arial"/>
        </w:rPr>
      </w:pPr>
      <w:r>
        <w:rPr>
          <w:rFonts w:cs="Arial"/>
        </w:rPr>
        <w:t xml:space="preserve">II. </w:t>
      </w:r>
      <w:r>
        <w:rPr>
          <w:rFonts w:cs="Arial"/>
        </w:rPr>
        <w:tab/>
        <w:t>Recaudar el diez por ciento de las ventas o ingresos diarios en la negociación intervenida y entregar su importe en la caja de la autoridad fiscal competente a medida que se efectúe la recaudación. Cuando se trate de bienes inmuebles, la recaudación se sujetará a las fechas en que se generen los ingresos respectivos, y</w:t>
      </w:r>
    </w:p>
    <w:p w14:paraId="7D5D405D" w14:textId="77777777" w:rsidR="00D3344B" w:rsidRDefault="00D3344B">
      <w:pPr>
        <w:pStyle w:val="Estilo"/>
        <w:ind w:left="567" w:hanging="567"/>
        <w:rPr>
          <w:rFonts w:cs="Arial"/>
        </w:rPr>
      </w:pPr>
    </w:p>
    <w:p w14:paraId="7D7B1C0E" w14:textId="77777777" w:rsidR="00D3344B" w:rsidRDefault="00143C25">
      <w:pPr>
        <w:pStyle w:val="Estilo"/>
        <w:ind w:left="567" w:hanging="567"/>
        <w:rPr>
          <w:rFonts w:cs="Arial"/>
        </w:rPr>
      </w:pPr>
      <w:r>
        <w:rPr>
          <w:rFonts w:cs="Arial"/>
        </w:rPr>
        <w:t xml:space="preserve">III. </w:t>
      </w:r>
      <w:r>
        <w:rPr>
          <w:rFonts w:cs="Arial"/>
        </w:rPr>
        <w:tab/>
        <w:t>El interventor administrador no podrá enajenar los bienes del activo fijo.</w:t>
      </w:r>
    </w:p>
    <w:p w14:paraId="76F0310E" w14:textId="77777777" w:rsidR="00D3344B" w:rsidRDefault="00D3344B">
      <w:pPr>
        <w:pStyle w:val="Estilo"/>
        <w:rPr>
          <w:rFonts w:cs="Arial"/>
        </w:rPr>
      </w:pPr>
    </w:p>
    <w:p w14:paraId="7796DC8B" w14:textId="77777777" w:rsidR="00D3344B" w:rsidRDefault="00143C25">
      <w:pPr>
        <w:pStyle w:val="Estilo"/>
        <w:rPr>
          <w:rFonts w:cs="Arial"/>
        </w:rPr>
      </w:pPr>
      <w:r>
        <w:rPr>
          <w:rFonts w:cs="Arial"/>
        </w:rPr>
        <w:t>El nombramiento de interventor administrador deberá anotarse en el Registro Público correspondiente.</w:t>
      </w:r>
    </w:p>
    <w:p w14:paraId="7197C770" w14:textId="77777777" w:rsidR="00D3344B" w:rsidRDefault="00D3344B">
      <w:pPr>
        <w:pStyle w:val="Estilo"/>
        <w:rPr>
          <w:rFonts w:cs="Arial"/>
        </w:rPr>
      </w:pPr>
    </w:p>
    <w:p w14:paraId="66CB1922" w14:textId="77777777" w:rsidR="00D3344B" w:rsidRDefault="00143C25">
      <w:pPr>
        <w:pStyle w:val="Estilo"/>
        <w:rPr>
          <w:rFonts w:cs="Arial"/>
        </w:rPr>
      </w:pPr>
      <w:r>
        <w:rPr>
          <w:rFonts w:cs="Arial"/>
          <w:b/>
        </w:rPr>
        <w:t>Artículo 385.</w:t>
      </w:r>
      <w:r>
        <w:rPr>
          <w:rFonts w:cs="Arial"/>
        </w:rPr>
        <w:t xml:space="preserve"> Las autoridades fiscales podrán proceder a la enajenación de la negociación intervenida, cuando lo recaudado en tres meses no alcance a cubrir por lo menos el veinticuatro por ciento del crédito fiscal, salvo que se trate de negociaciones que obtengan sus ingresos en un determinado periodo del año, en cuyo caso el por ciento será el que corresponda al número de meses transcurridos a razón del ocho por ciento mensual y siempre que lo recaudado no alcance para cubrir el porcentaje del crédito que resulte.</w:t>
      </w:r>
    </w:p>
    <w:p w14:paraId="18901A86" w14:textId="77777777" w:rsidR="00D3344B" w:rsidRDefault="00D3344B">
      <w:pPr>
        <w:pStyle w:val="Estilo"/>
        <w:rPr>
          <w:rFonts w:cs="Arial"/>
        </w:rPr>
      </w:pPr>
    </w:p>
    <w:p w14:paraId="6B56531B" w14:textId="77777777" w:rsidR="00D3344B" w:rsidRDefault="00143C25">
      <w:pPr>
        <w:pStyle w:val="Estilo"/>
        <w:rPr>
          <w:rFonts w:cs="Arial"/>
        </w:rPr>
      </w:pPr>
      <w:r>
        <w:rPr>
          <w:rFonts w:cs="Arial"/>
        </w:rPr>
        <w:t>En estos casos se procederá al remate de conformidad con las disposiciones contenidas en este código.</w:t>
      </w:r>
    </w:p>
    <w:p w14:paraId="69BF1723" w14:textId="77777777" w:rsidR="00D3344B" w:rsidRDefault="00D3344B">
      <w:pPr>
        <w:pStyle w:val="Estilo"/>
        <w:rPr>
          <w:rFonts w:cs="Arial"/>
        </w:rPr>
      </w:pPr>
    </w:p>
    <w:p w14:paraId="62E77BF2" w14:textId="77777777" w:rsidR="00D3344B" w:rsidRDefault="00143C25">
      <w:pPr>
        <w:pStyle w:val="Estilo"/>
        <w:rPr>
          <w:rFonts w:cs="Arial"/>
        </w:rPr>
      </w:pPr>
      <w:r>
        <w:rPr>
          <w:rFonts w:cs="Arial"/>
          <w:b/>
        </w:rPr>
        <w:t>Artículo 386.</w:t>
      </w:r>
      <w:r>
        <w:rPr>
          <w:rFonts w:cs="Arial"/>
        </w:rPr>
        <w:t xml:space="preserve"> La intervención se levantará cuando el crédito fiscal se hubiere satisfecho o cuando de conformidad con este código, se haya enajenado la negociación. En estos casos la autoridad fiscal competente comunicará el hecho al Registro Público de la Propiedad y del Comercio, para que cancele la anotación respectiva.</w:t>
      </w:r>
    </w:p>
    <w:p w14:paraId="658AD1C5" w14:textId="77777777" w:rsidR="00D3344B" w:rsidRDefault="00D3344B">
      <w:pPr>
        <w:pStyle w:val="Estilo"/>
        <w:rPr>
          <w:rFonts w:cs="Arial"/>
        </w:rPr>
      </w:pPr>
    </w:p>
    <w:p w14:paraId="199E711F" w14:textId="77777777" w:rsidR="00D3344B" w:rsidRDefault="00143C25">
      <w:pPr>
        <w:pStyle w:val="Estilo"/>
        <w:rPr>
          <w:rFonts w:cs="Arial"/>
        </w:rPr>
      </w:pPr>
      <w:r>
        <w:rPr>
          <w:rFonts w:cs="Arial"/>
          <w:b/>
        </w:rPr>
        <w:t>Artículo 387.</w:t>
      </w:r>
      <w:r>
        <w:rPr>
          <w:rFonts w:cs="Arial"/>
        </w:rPr>
        <w:t xml:space="preserve"> La responsabilidad de los depositarios e interventores cesará con la entrega de los bienes embargados a satisfacción de las autoridades fiscales.</w:t>
      </w:r>
    </w:p>
    <w:p w14:paraId="6E668415" w14:textId="77777777" w:rsidR="00D3344B" w:rsidRDefault="00D3344B">
      <w:pPr>
        <w:pStyle w:val="Estilo"/>
        <w:rPr>
          <w:rFonts w:cs="Arial"/>
        </w:rPr>
      </w:pPr>
    </w:p>
    <w:p w14:paraId="6DE600F4" w14:textId="77777777" w:rsidR="00D3344B" w:rsidRDefault="00143C25">
      <w:pPr>
        <w:pStyle w:val="Estilo"/>
        <w:rPr>
          <w:rFonts w:cs="Arial"/>
        </w:rPr>
      </w:pPr>
      <w:r>
        <w:rPr>
          <w:rFonts w:cs="Arial"/>
        </w:rPr>
        <w:t>El dinero, valores, bienes, inversiones y cualquier otro documento de crédito, objeto del embargo, se entregarán por el depositario a la autoridad fiscal competente, previo inventario, dentro de un plazo que no excederá de veinticuatro horas siguientes a la solicitud. Tratándose de los demás bienes, el término será de cinco días.</w:t>
      </w:r>
    </w:p>
    <w:p w14:paraId="2BBF7D10" w14:textId="77777777" w:rsidR="00D3344B" w:rsidRDefault="00D3344B">
      <w:pPr>
        <w:pStyle w:val="Estilo"/>
        <w:rPr>
          <w:rFonts w:cs="Arial"/>
        </w:rPr>
      </w:pPr>
    </w:p>
    <w:p w14:paraId="6C2DA25B" w14:textId="77777777" w:rsidR="00D3344B" w:rsidRDefault="00143C25">
      <w:pPr>
        <w:pStyle w:val="Estilo"/>
        <w:jc w:val="center"/>
        <w:rPr>
          <w:rFonts w:cs="Arial"/>
          <w:b/>
        </w:rPr>
      </w:pPr>
      <w:r>
        <w:rPr>
          <w:rFonts w:cs="Arial"/>
          <w:b/>
        </w:rPr>
        <w:t>Sección Tercera</w:t>
      </w:r>
    </w:p>
    <w:p w14:paraId="2DBA6B34" w14:textId="77777777" w:rsidR="00D3344B" w:rsidRDefault="00143C25">
      <w:pPr>
        <w:pStyle w:val="Estilo"/>
        <w:jc w:val="center"/>
        <w:rPr>
          <w:rFonts w:cs="Arial"/>
          <w:b/>
        </w:rPr>
      </w:pPr>
      <w:r>
        <w:rPr>
          <w:rFonts w:cs="Arial"/>
          <w:b/>
        </w:rPr>
        <w:t>Remates</w:t>
      </w:r>
    </w:p>
    <w:p w14:paraId="63AF8454" w14:textId="77777777" w:rsidR="00D3344B" w:rsidRDefault="00D3344B">
      <w:pPr>
        <w:pStyle w:val="Estilo"/>
        <w:rPr>
          <w:rFonts w:cs="Arial"/>
        </w:rPr>
      </w:pPr>
    </w:p>
    <w:p w14:paraId="5F746D92" w14:textId="77777777" w:rsidR="00D3344B" w:rsidRDefault="00143C25">
      <w:pPr>
        <w:pStyle w:val="Estilo"/>
        <w:rPr>
          <w:rFonts w:cs="Arial"/>
          <w:i/>
          <w:iCs/>
          <w:sz w:val="16"/>
          <w:szCs w:val="16"/>
        </w:rPr>
      </w:pPr>
      <w:r>
        <w:rPr>
          <w:rFonts w:cs="Arial"/>
          <w:b/>
        </w:rPr>
        <w:t>Artículo 388.</w:t>
      </w:r>
      <w:r>
        <w:rPr>
          <w:rFonts w:cs="Arial"/>
        </w:rPr>
        <w:t xml:space="preserve"> </w:t>
      </w:r>
      <w:r>
        <w:rPr>
          <w:rFonts w:cs="Arial"/>
          <w:i/>
          <w:iCs/>
          <w:sz w:val="16"/>
          <w:szCs w:val="16"/>
        </w:rPr>
        <w:t>(DEROGADO, P.O. 22 DE DICIEMBRE DE 2021)</w:t>
      </w:r>
    </w:p>
    <w:p w14:paraId="109C58D4" w14:textId="77777777" w:rsidR="00D3344B" w:rsidRDefault="00D3344B">
      <w:pPr>
        <w:pStyle w:val="Estilo"/>
        <w:rPr>
          <w:rFonts w:cs="Arial"/>
        </w:rPr>
      </w:pPr>
    </w:p>
    <w:p w14:paraId="590867E0" w14:textId="77777777" w:rsidR="00D3344B" w:rsidRDefault="00143C25">
      <w:pPr>
        <w:pStyle w:val="Estilo"/>
        <w:rPr>
          <w:rFonts w:cs="Arial"/>
        </w:rPr>
      </w:pPr>
      <w:r>
        <w:rPr>
          <w:rFonts w:cs="Arial"/>
        </w:rPr>
        <w:lastRenderedPageBreak/>
        <w:t>Igualmente procederán en los casos de las fracciones II, III y IV del artículo 370 cuando los créditos se hagan exigibles y no se paguen dentro del término del requerimiento.</w:t>
      </w:r>
    </w:p>
    <w:p w14:paraId="3285D252" w14:textId="77777777" w:rsidR="00D3344B" w:rsidRDefault="00D3344B">
      <w:pPr>
        <w:pStyle w:val="Estilo"/>
        <w:rPr>
          <w:rFonts w:cs="Arial"/>
        </w:rPr>
      </w:pPr>
    </w:p>
    <w:p w14:paraId="52E25460" w14:textId="77777777" w:rsidR="00D3344B" w:rsidRDefault="00143C25">
      <w:pPr>
        <w:pStyle w:val="Estilo"/>
        <w:rPr>
          <w:rFonts w:cs="Arial"/>
          <w:i/>
          <w:iCs/>
          <w:sz w:val="16"/>
          <w:szCs w:val="16"/>
        </w:rPr>
      </w:pPr>
      <w:r>
        <w:rPr>
          <w:rFonts w:cs="Arial"/>
          <w:b/>
        </w:rPr>
        <w:t>Artículo 389.</w:t>
      </w:r>
      <w:r>
        <w:rPr>
          <w:rFonts w:cs="Arial"/>
        </w:rPr>
        <w:t xml:space="preserve"> </w:t>
      </w:r>
      <w:r>
        <w:rPr>
          <w:rFonts w:cs="Arial"/>
          <w:i/>
          <w:iCs/>
          <w:sz w:val="16"/>
          <w:szCs w:val="16"/>
        </w:rPr>
        <w:t>(DEROGADO, P.O. 22 DE DICIEMBRE DE 2021)</w:t>
      </w:r>
    </w:p>
    <w:p w14:paraId="4FCBD6BE" w14:textId="77777777" w:rsidR="00D3344B" w:rsidRDefault="00D3344B">
      <w:pPr>
        <w:pStyle w:val="Estilo"/>
        <w:rPr>
          <w:rFonts w:cs="Arial"/>
        </w:rPr>
      </w:pPr>
    </w:p>
    <w:p w14:paraId="59FA1821" w14:textId="77777777" w:rsidR="00D3344B" w:rsidRDefault="00143C25">
      <w:pPr>
        <w:pStyle w:val="Estilo"/>
        <w:rPr>
          <w:rFonts w:cs="Arial"/>
        </w:rPr>
      </w:pPr>
      <w:r>
        <w:rPr>
          <w:rFonts w:cs="Arial"/>
          <w:b/>
        </w:rPr>
        <w:t>Artículo 390.</w:t>
      </w:r>
      <w:r>
        <w:rPr>
          <w:rFonts w:cs="Arial"/>
        </w:rPr>
        <w:t xml:space="preserve"> Las autoridades no fiscales, en ningún caso podrán sacar a remate bienes embargados por las autoridades fiscales del Estado.</w:t>
      </w:r>
    </w:p>
    <w:p w14:paraId="6A7C9369" w14:textId="77777777" w:rsidR="00D3344B" w:rsidRDefault="00D3344B">
      <w:pPr>
        <w:pStyle w:val="Estilo"/>
        <w:rPr>
          <w:rFonts w:cs="Arial"/>
        </w:rPr>
      </w:pPr>
    </w:p>
    <w:p w14:paraId="483012CA" w14:textId="77777777" w:rsidR="00D3344B" w:rsidRDefault="00143C25">
      <w:pPr>
        <w:pStyle w:val="Estilo"/>
        <w:rPr>
          <w:rFonts w:cs="Arial"/>
        </w:rPr>
      </w:pPr>
      <w:r>
        <w:rPr>
          <w:rFonts w:cs="Arial"/>
        </w:rPr>
        <w:t>Los remates que se celebren en contravención a lo dispuesto en el párrafo anterior, serán nulos y las adjudicaciones que se hagan como consecuencia de ellos, carecerán de todo valor y eficacia jurídica.</w:t>
      </w:r>
    </w:p>
    <w:p w14:paraId="774D9B95" w14:textId="77777777" w:rsidR="00D3344B" w:rsidRDefault="00D3344B">
      <w:pPr>
        <w:pStyle w:val="Estilo"/>
        <w:rPr>
          <w:rFonts w:cs="Arial"/>
        </w:rPr>
      </w:pPr>
    </w:p>
    <w:p w14:paraId="775698EA"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50353787" w14:textId="77777777" w:rsidR="00D3344B" w:rsidRDefault="00143C25">
      <w:pPr>
        <w:pStyle w:val="Estilo"/>
        <w:rPr>
          <w:rFonts w:cs="Arial"/>
        </w:rPr>
      </w:pPr>
      <w:r>
        <w:rPr>
          <w:rFonts w:cs="Arial"/>
          <w:b/>
        </w:rPr>
        <w:t>Artículo 391.</w:t>
      </w:r>
      <w:r>
        <w:rPr>
          <w:rFonts w:cs="Arial"/>
        </w:rPr>
        <w:t xml:space="preserve"> La base para el remate de los bienes embargados ya sean bienes muebles, bienes inmuebles, derechos o negociaciones, será el de avalúo que practique cualquiera de los señalados en el artículo 54 de este Código.</w:t>
      </w:r>
    </w:p>
    <w:p w14:paraId="24A00CE3" w14:textId="77777777" w:rsidR="00D3344B" w:rsidRDefault="00D3344B">
      <w:pPr>
        <w:pStyle w:val="Estilo"/>
        <w:rPr>
          <w:rFonts w:cs="Arial"/>
        </w:rPr>
      </w:pPr>
    </w:p>
    <w:p w14:paraId="2B1B27F3" w14:textId="77777777" w:rsidR="00D3344B" w:rsidRDefault="00143C25">
      <w:pPr>
        <w:pStyle w:val="Estilo"/>
        <w:rPr>
          <w:rFonts w:cs="Arial"/>
          <w:i/>
          <w:iCs/>
          <w:sz w:val="16"/>
          <w:szCs w:val="16"/>
        </w:rPr>
      </w:pPr>
      <w:r>
        <w:rPr>
          <w:rFonts w:cs="Arial"/>
        </w:rPr>
        <w:t xml:space="preserve">I. </w:t>
      </w:r>
      <w:r>
        <w:rPr>
          <w:rFonts w:cs="Arial"/>
        </w:rPr>
        <w:tab/>
      </w:r>
      <w:r>
        <w:rPr>
          <w:rFonts w:cs="Arial"/>
          <w:i/>
          <w:iCs/>
          <w:sz w:val="16"/>
          <w:szCs w:val="16"/>
        </w:rPr>
        <w:t>(DEROGADA, P.O. 22 DE DICIEMBRE DE 2021)</w:t>
      </w:r>
    </w:p>
    <w:p w14:paraId="4BD853B1" w14:textId="77777777" w:rsidR="00D3344B" w:rsidRDefault="00D3344B">
      <w:pPr>
        <w:pStyle w:val="Estilo"/>
        <w:ind w:left="567" w:hanging="567"/>
        <w:rPr>
          <w:rFonts w:cs="Arial"/>
        </w:rPr>
      </w:pPr>
    </w:p>
    <w:p w14:paraId="450F92E7" w14:textId="77777777" w:rsidR="00D3344B" w:rsidRDefault="00D3344B">
      <w:pPr>
        <w:pStyle w:val="Estilo"/>
        <w:ind w:left="567" w:hanging="567"/>
        <w:rPr>
          <w:rFonts w:cs="Arial"/>
        </w:rPr>
      </w:pPr>
    </w:p>
    <w:p w14:paraId="01838D73" w14:textId="77777777" w:rsidR="00D3344B" w:rsidRDefault="00143C25">
      <w:pPr>
        <w:pStyle w:val="Estilo"/>
        <w:rPr>
          <w:rFonts w:cs="Arial"/>
          <w:i/>
          <w:iCs/>
          <w:sz w:val="16"/>
          <w:szCs w:val="16"/>
        </w:rPr>
      </w:pPr>
      <w:r>
        <w:rPr>
          <w:rFonts w:cs="Arial"/>
        </w:rPr>
        <w:t xml:space="preserve">II. </w:t>
      </w:r>
      <w:r>
        <w:rPr>
          <w:rFonts w:cs="Arial"/>
        </w:rPr>
        <w:tab/>
      </w:r>
      <w:r>
        <w:rPr>
          <w:rFonts w:cs="Arial"/>
          <w:i/>
          <w:iCs/>
          <w:sz w:val="16"/>
          <w:szCs w:val="16"/>
        </w:rPr>
        <w:t>(DEROGADA, P.O. 22 DE DICIEMBRE DE 2021)</w:t>
      </w:r>
    </w:p>
    <w:p w14:paraId="2ED62CFA" w14:textId="77777777" w:rsidR="00D3344B" w:rsidRDefault="00D3344B">
      <w:pPr>
        <w:pStyle w:val="Estilo"/>
        <w:ind w:left="567" w:hanging="567"/>
        <w:rPr>
          <w:rFonts w:cs="Arial"/>
        </w:rPr>
      </w:pPr>
    </w:p>
    <w:p w14:paraId="69882F23" w14:textId="77777777" w:rsidR="00D3344B" w:rsidRDefault="00D3344B">
      <w:pPr>
        <w:pStyle w:val="Estilo"/>
        <w:rPr>
          <w:rFonts w:cs="Arial"/>
        </w:rPr>
      </w:pPr>
    </w:p>
    <w:p w14:paraId="28853F86" w14:textId="77777777" w:rsidR="00D3344B" w:rsidRDefault="00143C25">
      <w:pPr>
        <w:pStyle w:val="Estilo"/>
        <w:rPr>
          <w:rFonts w:cs="Arial"/>
        </w:rPr>
      </w:pPr>
      <w:r>
        <w:rPr>
          <w:rFonts w:cs="Arial"/>
          <w:i/>
          <w:sz w:val="16"/>
        </w:rPr>
        <w:t>(ADICIONADO, P.O. 30 DE DICIEMBRE DE 2005)</w:t>
      </w:r>
    </w:p>
    <w:p w14:paraId="1AE2C5C2" w14:textId="77777777" w:rsidR="00D3344B" w:rsidRDefault="00143C25">
      <w:pPr>
        <w:pStyle w:val="Estilo"/>
        <w:rPr>
          <w:rFonts w:cs="Arial"/>
        </w:rPr>
      </w:pPr>
      <w:r>
        <w:rPr>
          <w:rFonts w:cs="Arial"/>
        </w:rPr>
        <w:t>En todos los casos, la autoridad notificará personalmente al embargado el avalúo practicado.</w:t>
      </w:r>
    </w:p>
    <w:p w14:paraId="08C9614C" w14:textId="77777777" w:rsidR="00D3344B" w:rsidRDefault="00D3344B">
      <w:pPr>
        <w:pStyle w:val="Estilo"/>
        <w:rPr>
          <w:rFonts w:cs="Arial"/>
        </w:rPr>
      </w:pPr>
    </w:p>
    <w:p w14:paraId="30A64E77" w14:textId="77777777" w:rsidR="00D3344B" w:rsidRDefault="00143C25">
      <w:pPr>
        <w:pStyle w:val="Estilo"/>
        <w:rPr>
          <w:rFonts w:cs="Arial"/>
          <w:bCs/>
          <w:i/>
          <w:iCs/>
          <w:sz w:val="16"/>
          <w:szCs w:val="16"/>
        </w:rPr>
      </w:pPr>
      <w:r>
        <w:rPr>
          <w:rFonts w:cs="Arial"/>
          <w:bCs/>
          <w:i/>
          <w:iCs/>
          <w:sz w:val="16"/>
          <w:szCs w:val="16"/>
        </w:rPr>
        <w:t>(REFORMADO, P.O. 22 DE DICIEMBRE DE 2021)</w:t>
      </w:r>
    </w:p>
    <w:p w14:paraId="771D0B5C" w14:textId="77777777" w:rsidR="00D3344B" w:rsidRDefault="00143C25">
      <w:pPr>
        <w:pStyle w:val="Estilo"/>
        <w:rPr>
          <w:rFonts w:cs="Arial"/>
        </w:rPr>
      </w:pPr>
      <w:r>
        <w:rPr>
          <w:rFonts w:cs="Arial"/>
          <w:b/>
        </w:rPr>
        <w:t>Artículo 392.</w:t>
      </w:r>
      <w:r>
        <w:rPr>
          <w:rFonts w:cs="Arial"/>
        </w:rPr>
        <w:t xml:space="preserve"> El embargado o terceros acreedores que no estén conformes con la valuación hecha, podrán hacer valer el recurso de revocación a que se refiere el artículo 422 de este Código, debiendo designar en el mismo como perito de su parte a cualquiera de los valuadores señalados en este Código.</w:t>
      </w:r>
    </w:p>
    <w:p w14:paraId="3049CA59" w14:textId="77777777" w:rsidR="00D3344B" w:rsidRDefault="00D3344B">
      <w:pPr>
        <w:pStyle w:val="Estilo"/>
        <w:rPr>
          <w:rFonts w:cs="Arial"/>
        </w:rPr>
      </w:pPr>
    </w:p>
    <w:p w14:paraId="19E490FA" w14:textId="77777777" w:rsidR="00D3344B" w:rsidRDefault="00143C25">
      <w:pPr>
        <w:pStyle w:val="Estilo"/>
        <w:rPr>
          <w:rFonts w:cs="Arial"/>
        </w:rPr>
      </w:pPr>
      <w:r>
        <w:rPr>
          <w:rFonts w:cs="Arial"/>
        </w:rPr>
        <w:t>Cuando el embargado o terceros acreedores no interpongan el recurso dentro del plazo establecido en el artículo 422 de este Código o, haciéndolo no designen valuador, o habiéndose nombrado perito por dichas personas, no se presente el dictamen dentro de los plazos a que hace referencia este artículo, se tendrá por aceptado el avalúo hecho por la autoridad.</w:t>
      </w:r>
    </w:p>
    <w:p w14:paraId="709A75B9" w14:textId="77777777" w:rsidR="00D3344B" w:rsidRDefault="00D3344B">
      <w:pPr>
        <w:pStyle w:val="Estilo"/>
        <w:rPr>
          <w:rFonts w:cs="Arial"/>
        </w:rPr>
      </w:pPr>
    </w:p>
    <w:p w14:paraId="70A32F2B" w14:textId="77777777" w:rsidR="00D3344B" w:rsidRDefault="00143C25">
      <w:pPr>
        <w:pStyle w:val="Estilo"/>
        <w:rPr>
          <w:rFonts w:cs="Arial"/>
        </w:rPr>
      </w:pPr>
      <w:r>
        <w:rPr>
          <w:rFonts w:cs="Arial"/>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este Código o alguna empresa o institución dedicada a la compraventa y subasta de bienes. El avalúo que se fije será la base para el remate de los bienes. </w:t>
      </w:r>
    </w:p>
    <w:p w14:paraId="3F55734A" w14:textId="77777777" w:rsidR="00D3344B" w:rsidRDefault="00D3344B">
      <w:pPr>
        <w:pStyle w:val="Estilo"/>
        <w:rPr>
          <w:rFonts w:cs="Arial"/>
        </w:rPr>
      </w:pPr>
    </w:p>
    <w:p w14:paraId="4C34C2A9" w14:textId="77777777" w:rsidR="00D3344B" w:rsidRDefault="00143C25">
      <w:pPr>
        <w:pStyle w:val="Estilo"/>
        <w:rPr>
          <w:rFonts w:cs="Arial"/>
        </w:rPr>
      </w:pPr>
      <w:r>
        <w:rPr>
          <w:rFonts w:cs="Arial"/>
        </w:rPr>
        <w:lastRenderedPageBreak/>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14:paraId="1F1CB300" w14:textId="77777777" w:rsidR="00D3344B" w:rsidRDefault="00D3344B">
      <w:pPr>
        <w:pStyle w:val="Estilo"/>
        <w:rPr>
          <w:rFonts w:cs="Arial"/>
        </w:rPr>
      </w:pPr>
    </w:p>
    <w:p w14:paraId="2B0BC62B" w14:textId="77777777" w:rsidR="00D3344B" w:rsidRDefault="00143C25">
      <w:pPr>
        <w:pStyle w:val="Estilo"/>
        <w:rPr>
          <w:rFonts w:cs="Arial"/>
        </w:rPr>
      </w:pPr>
      <w:r>
        <w:rPr>
          <w:rFonts w:cs="Arial"/>
          <w:b/>
        </w:rPr>
        <w:t>Artículo 393.</w:t>
      </w:r>
      <w:r>
        <w:rPr>
          <w:rFonts w:cs="Arial"/>
        </w:rPr>
        <w:t xml:space="preserve"> Para proceder al remate de los bienes inmuebles, derechos reales o posesorios y de negociaciones embargadas, se obtendrá de la Dirección del Registro Público de la Propiedad y del Comercio un certificado a fin de acreditar que los bienes son propiedad del deudor, o que éste tiene derechos adquiridos sobre ellos y conocer, en su caso, los gravámenes registrados.</w:t>
      </w:r>
    </w:p>
    <w:p w14:paraId="7DBE17D0" w14:textId="77777777" w:rsidR="00D3344B" w:rsidRDefault="00D3344B">
      <w:pPr>
        <w:pStyle w:val="Estilo"/>
        <w:rPr>
          <w:rFonts w:cs="Arial"/>
        </w:rPr>
      </w:pPr>
    </w:p>
    <w:p w14:paraId="00A48F9C" w14:textId="77777777" w:rsidR="00D3344B" w:rsidRDefault="00D3344B">
      <w:pPr>
        <w:pStyle w:val="Estilo"/>
        <w:rPr>
          <w:rFonts w:cs="Arial"/>
        </w:rPr>
      </w:pPr>
    </w:p>
    <w:p w14:paraId="44260FB1" w14:textId="77777777" w:rsidR="00D3344B" w:rsidRDefault="00143C25">
      <w:pPr>
        <w:pStyle w:val="Estilo"/>
        <w:rPr>
          <w:rFonts w:cs="Arial"/>
          <w:bCs/>
          <w:i/>
          <w:iCs/>
          <w:sz w:val="16"/>
          <w:szCs w:val="16"/>
        </w:rPr>
      </w:pPr>
      <w:r>
        <w:rPr>
          <w:rFonts w:cs="Arial"/>
          <w:bCs/>
          <w:i/>
          <w:iCs/>
          <w:sz w:val="16"/>
          <w:szCs w:val="16"/>
        </w:rPr>
        <w:t>(REFORMADO, P.O. 22 DE DICIEMBRE DE 2021)</w:t>
      </w:r>
    </w:p>
    <w:p w14:paraId="0334BFBD" w14:textId="77777777" w:rsidR="00D3344B" w:rsidRDefault="00143C25">
      <w:pPr>
        <w:pStyle w:val="Estilo"/>
        <w:rPr>
          <w:rFonts w:cs="Arial"/>
        </w:rPr>
      </w:pPr>
      <w:r>
        <w:rPr>
          <w:rFonts w:cs="Arial"/>
          <w:b/>
        </w:rPr>
        <w:t>Artículo 394.</w:t>
      </w:r>
      <w:r>
        <w:rPr>
          <w:rFonts w:cs="Arial"/>
        </w:rPr>
        <w:t xml:space="preserve"> El remate de bienes y derechos deberá ser convocado al día hábil siguiente de haberse efectuado la notificación del avalúo, para que tenga verificativo dentro de los veinte días hábiles siguientes. La convocatoria se hará cuando menos diez días hábiles antes del inicio del período señalado para el remate y la misma se mantendrá en los lugares o medios en que se haya fijado o dado a conocer hasta la conclusión del remate. </w:t>
      </w:r>
    </w:p>
    <w:p w14:paraId="19AC6AB6" w14:textId="77777777" w:rsidR="00D3344B" w:rsidRDefault="00D3344B">
      <w:pPr>
        <w:pStyle w:val="Estilo"/>
        <w:rPr>
          <w:rFonts w:cs="Arial"/>
        </w:rPr>
      </w:pPr>
    </w:p>
    <w:p w14:paraId="068692AD" w14:textId="77777777" w:rsidR="00D3344B" w:rsidRDefault="00143C25">
      <w:pPr>
        <w:pStyle w:val="Estilo"/>
        <w:rPr>
          <w:rFonts w:cs="Arial"/>
        </w:rPr>
      </w:pPr>
      <w:r>
        <w:rPr>
          <w:rFonts w:cs="Arial"/>
        </w:rPr>
        <w:t>La convocatoria se publicará en la página electrónica de las autoridades fiscales, en el Periódico Oficial del Gobierno del Estado, en los estrados de la autoridad fiscal convocante y los lugares que se estimen convenientes. En la convocatoria se darán a conocer los bienes objeto del remate, el valor que servirá de base para su enajenación, así como los requisitos que deberán cumplir los postores para concurrir al mismo.</w:t>
      </w:r>
    </w:p>
    <w:p w14:paraId="73B5B70F" w14:textId="77777777" w:rsidR="00D3344B" w:rsidRDefault="00D3344B">
      <w:pPr>
        <w:pStyle w:val="Estilo"/>
        <w:rPr>
          <w:rFonts w:cs="Arial"/>
        </w:rPr>
      </w:pPr>
    </w:p>
    <w:p w14:paraId="1D3CADD7" w14:textId="77777777" w:rsidR="00D3344B" w:rsidRDefault="00143C25">
      <w:pPr>
        <w:pStyle w:val="Estilo"/>
        <w:rPr>
          <w:rFonts w:cs="Arial"/>
        </w:rPr>
      </w:pPr>
      <w:r>
        <w:rPr>
          <w:rFonts w:cs="Arial"/>
        </w:rPr>
        <w:t>Los acreedores que aparezcan en el certificado de gravámenes correspondiente a los últimos diez años, el cual deberá obtenerse oportunamente, serán notificados personalmente del período de remate señalado en la convocatoria y, en caso de no ser factible hacerlo por alguna de las causas a que se refiere la fracción II del artículo 347 de este Código, se tendrán como notificados de la fecha en que se efectuará el remate, en aquélla en que la convocatoria se haya fijado en sitio visible en la oficina ejecutora, siempre que en dicha convocatoria se exprese el nombre de los acreedores.</w:t>
      </w:r>
    </w:p>
    <w:p w14:paraId="3BE5E075" w14:textId="77777777" w:rsidR="00D3344B" w:rsidRDefault="00D3344B">
      <w:pPr>
        <w:pStyle w:val="Estilo"/>
        <w:rPr>
          <w:rFonts w:cs="Arial"/>
        </w:rPr>
      </w:pPr>
    </w:p>
    <w:p w14:paraId="7CE0A9B0" w14:textId="77777777" w:rsidR="00D3344B" w:rsidRDefault="00143C25">
      <w:pPr>
        <w:pStyle w:val="Estilo"/>
        <w:rPr>
          <w:rFonts w:cs="Arial"/>
        </w:rPr>
      </w:pPr>
      <w:r>
        <w:rPr>
          <w:rFonts w:cs="Arial"/>
        </w:rPr>
        <w:t>Los acreedores a que alude el párrafo anterior podrán hacer las observaciones que estimen del caso, pudiendo enviarlas en documento digital que contenga firma electrónica avanzada a la dirección electrónica que expresamente se señale en la convocatoria, debiendo señalar su dirección de correo electrónico. Dichas observaciones serán resueltas por la autoridad ejecutora y la resolución se hará del conocimiento del acreedor.</w:t>
      </w:r>
    </w:p>
    <w:p w14:paraId="51DAC630" w14:textId="77777777" w:rsidR="00D3344B" w:rsidRDefault="00D3344B">
      <w:pPr>
        <w:pStyle w:val="Estilo"/>
        <w:rPr>
          <w:rFonts w:cs="Arial"/>
        </w:rPr>
      </w:pPr>
    </w:p>
    <w:p w14:paraId="50F20603" w14:textId="77777777" w:rsidR="00D3344B" w:rsidRDefault="00143C25">
      <w:pPr>
        <w:pStyle w:val="Estilo"/>
        <w:rPr>
          <w:rFonts w:cs="Arial"/>
          <w:i/>
          <w:iCs/>
          <w:sz w:val="16"/>
          <w:szCs w:val="16"/>
        </w:rPr>
      </w:pPr>
      <w:r>
        <w:rPr>
          <w:rFonts w:cs="Arial"/>
          <w:b/>
        </w:rPr>
        <w:t>Artículo 395.</w:t>
      </w:r>
      <w:r>
        <w:rPr>
          <w:rFonts w:cs="Arial"/>
        </w:rPr>
        <w:t xml:space="preserve"> </w:t>
      </w:r>
      <w:r>
        <w:rPr>
          <w:rFonts w:cs="Arial"/>
          <w:i/>
          <w:iCs/>
          <w:sz w:val="16"/>
          <w:szCs w:val="16"/>
        </w:rPr>
        <w:t>(DEROGADO, P.O. 22 DE DICIEMBRE DE 2021)</w:t>
      </w:r>
    </w:p>
    <w:p w14:paraId="6FDD947A" w14:textId="77777777" w:rsidR="00D3344B" w:rsidRDefault="00D3344B">
      <w:pPr>
        <w:pStyle w:val="Estilo"/>
        <w:rPr>
          <w:rFonts w:cs="Arial"/>
        </w:rPr>
      </w:pPr>
    </w:p>
    <w:p w14:paraId="22960209" w14:textId="77777777" w:rsidR="00D3344B" w:rsidRDefault="00143C25">
      <w:pPr>
        <w:pStyle w:val="Estilo"/>
        <w:rPr>
          <w:rFonts w:cs="Arial"/>
        </w:rPr>
      </w:pPr>
      <w:r>
        <w:rPr>
          <w:rFonts w:cs="Arial"/>
          <w:b/>
        </w:rPr>
        <w:t>Artículo 396.</w:t>
      </w:r>
      <w:r>
        <w:rPr>
          <w:rFonts w:cs="Arial"/>
        </w:rPr>
        <w:t xml:space="preserve"> </w:t>
      </w:r>
      <w:r>
        <w:rPr>
          <w:rFonts w:cs="Arial"/>
          <w:i/>
          <w:iCs/>
          <w:sz w:val="16"/>
          <w:szCs w:val="16"/>
        </w:rPr>
        <w:t>(DEROGADO, P.O. 22 DE DICIEMBRE DE 2021)</w:t>
      </w:r>
    </w:p>
    <w:p w14:paraId="6FD8D488" w14:textId="77777777" w:rsidR="00D3344B" w:rsidRDefault="00D3344B">
      <w:pPr>
        <w:pStyle w:val="Estilo"/>
        <w:rPr>
          <w:rFonts w:cs="Arial"/>
        </w:rPr>
      </w:pPr>
    </w:p>
    <w:p w14:paraId="6C5E4743" w14:textId="77777777" w:rsidR="00D3344B" w:rsidRDefault="00143C25">
      <w:pPr>
        <w:pStyle w:val="Estilo"/>
        <w:rPr>
          <w:rFonts w:cs="Arial"/>
        </w:rPr>
      </w:pPr>
      <w:r>
        <w:rPr>
          <w:rFonts w:cs="Arial"/>
          <w:i/>
          <w:sz w:val="16"/>
        </w:rPr>
        <w:t>(REFORMADO, P.O. 22 DE DICIEMBRE DE 2021)</w:t>
      </w:r>
    </w:p>
    <w:p w14:paraId="77E0B7DE" w14:textId="77777777" w:rsidR="00D3344B" w:rsidRDefault="00143C25">
      <w:pPr>
        <w:pStyle w:val="Estilo"/>
        <w:rPr>
          <w:rFonts w:cs="Arial"/>
        </w:rPr>
      </w:pPr>
      <w:r>
        <w:rPr>
          <w:rFonts w:cs="Arial"/>
          <w:b/>
        </w:rPr>
        <w:t>Artículo 397.</w:t>
      </w:r>
      <w:r>
        <w:rPr>
          <w:rFonts w:cs="Arial"/>
        </w:rPr>
        <w:t>- Mientras no se hubieran rematado, enajenado o adjudicados los bienes o derechos el contribuyente puede liberarse de la ejecución, haciendo el pago de las cantidades reclamadas, de los gastos ya causados, o proponer comprador que ofrezca de contado la cantidad suficiente para cubrir el crédito fiscal.</w:t>
      </w:r>
    </w:p>
    <w:p w14:paraId="02FABA76" w14:textId="77777777" w:rsidR="00D3344B" w:rsidRDefault="00D3344B">
      <w:pPr>
        <w:pStyle w:val="Estilo"/>
        <w:rPr>
          <w:rFonts w:cs="Arial"/>
        </w:rPr>
      </w:pPr>
    </w:p>
    <w:p w14:paraId="67CFE940" w14:textId="77777777" w:rsidR="00D3344B" w:rsidRDefault="00143C25">
      <w:pPr>
        <w:pStyle w:val="Estilo"/>
        <w:rPr>
          <w:rFonts w:cs="Arial"/>
        </w:rPr>
      </w:pPr>
      <w:r>
        <w:rPr>
          <w:rFonts w:cs="Arial"/>
          <w:i/>
          <w:sz w:val="16"/>
        </w:rPr>
        <w:t>(REFORMADO, P.O. 30 DE DICIEMBRE DE 2005)</w:t>
      </w:r>
    </w:p>
    <w:p w14:paraId="2E3438C9" w14:textId="77777777" w:rsidR="00D3344B" w:rsidRDefault="00143C25">
      <w:pPr>
        <w:pStyle w:val="Estilo"/>
        <w:rPr>
          <w:rFonts w:cs="Arial"/>
        </w:rPr>
      </w:pPr>
      <w:r>
        <w:rPr>
          <w:rFonts w:cs="Arial"/>
          <w:b/>
        </w:rPr>
        <w:t>Artículo 398.</w:t>
      </w:r>
      <w:r>
        <w:rPr>
          <w:rFonts w:cs="Arial"/>
        </w:rPr>
        <w:t xml:space="preserve"> Es postura legal en la subasta pública, la que cubra las dos terceras partes del valor señalado como base para el remate.</w:t>
      </w:r>
    </w:p>
    <w:p w14:paraId="24733D28" w14:textId="77777777" w:rsidR="00D3344B" w:rsidRDefault="00D3344B">
      <w:pPr>
        <w:pStyle w:val="Estilo"/>
        <w:rPr>
          <w:rFonts w:cs="Arial"/>
        </w:rPr>
      </w:pPr>
    </w:p>
    <w:p w14:paraId="73FDDB9B" w14:textId="77777777" w:rsidR="00D3344B" w:rsidRDefault="00143C25">
      <w:pPr>
        <w:pStyle w:val="Estilo"/>
        <w:rPr>
          <w:rFonts w:cs="Arial"/>
          <w:i/>
          <w:iCs/>
          <w:sz w:val="16"/>
          <w:szCs w:val="16"/>
        </w:rPr>
      </w:pPr>
      <w:r>
        <w:rPr>
          <w:rFonts w:cs="Arial"/>
          <w:i/>
          <w:iCs/>
          <w:sz w:val="16"/>
          <w:szCs w:val="16"/>
        </w:rPr>
        <w:t>(ADICIONADO, P.O. 22 DE DICIEMBRE DE 2021)</w:t>
      </w:r>
    </w:p>
    <w:p w14:paraId="6CDEAC5D" w14:textId="77777777" w:rsidR="00D3344B" w:rsidRDefault="00143C25">
      <w:pPr>
        <w:pStyle w:val="Estilo"/>
        <w:rPr>
          <w:rFonts w:cs="Arial"/>
        </w:rPr>
      </w:pPr>
      <w:r>
        <w:rPr>
          <w:rFonts w:cs="Arial"/>
        </w:rPr>
        <w:t xml:space="preserve">En toda postura deberá ofrecerse de contado, cuando menos la parte suficiente para cubrir el interés fiscal; si éste es superado por la base fijada para el remate, se procederá en los términos del artículo 414 de este Código. </w:t>
      </w:r>
    </w:p>
    <w:p w14:paraId="35874AB8" w14:textId="77777777" w:rsidR="00D3344B" w:rsidRDefault="00D3344B">
      <w:pPr>
        <w:pStyle w:val="Estilo"/>
        <w:rPr>
          <w:rFonts w:cs="Arial"/>
        </w:rPr>
      </w:pPr>
    </w:p>
    <w:p w14:paraId="224A5414" w14:textId="77777777" w:rsidR="00D3344B" w:rsidRDefault="00143C25">
      <w:pPr>
        <w:pStyle w:val="Estilo"/>
        <w:rPr>
          <w:rFonts w:cs="Arial"/>
          <w:i/>
          <w:iCs/>
          <w:sz w:val="16"/>
          <w:szCs w:val="16"/>
        </w:rPr>
      </w:pPr>
      <w:r>
        <w:rPr>
          <w:rFonts w:cs="Arial"/>
          <w:i/>
          <w:iCs/>
          <w:sz w:val="16"/>
          <w:szCs w:val="16"/>
        </w:rPr>
        <w:t>(ADICIONADO, P.O. 22 DE DICIEMBRE DE 2021)</w:t>
      </w:r>
    </w:p>
    <w:p w14:paraId="188857F0" w14:textId="77777777" w:rsidR="00D3344B" w:rsidRDefault="00143C25">
      <w:pPr>
        <w:pStyle w:val="Estilo"/>
        <w:rPr>
          <w:rFonts w:cs="Arial"/>
        </w:rPr>
      </w:pPr>
      <w:r>
        <w:rPr>
          <w:rFonts w:cs="Arial"/>
        </w:rPr>
        <w:t xml:space="preserve">Si el importe de la postura es menor al interés fiscal, se rematará de contado los bienes embargados. </w:t>
      </w:r>
    </w:p>
    <w:p w14:paraId="41A24F67" w14:textId="77777777" w:rsidR="00D3344B" w:rsidRDefault="00D3344B">
      <w:pPr>
        <w:pStyle w:val="Estilo"/>
        <w:rPr>
          <w:rFonts w:cs="Arial"/>
        </w:rPr>
      </w:pPr>
    </w:p>
    <w:p w14:paraId="0ACD0B9F" w14:textId="77777777" w:rsidR="00D3344B" w:rsidRDefault="00143C25">
      <w:pPr>
        <w:pStyle w:val="Estilo"/>
        <w:rPr>
          <w:rFonts w:cs="Arial"/>
          <w:i/>
          <w:iCs/>
          <w:sz w:val="16"/>
          <w:szCs w:val="16"/>
        </w:rPr>
      </w:pPr>
      <w:r>
        <w:rPr>
          <w:rFonts w:cs="Arial"/>
          <w:i/>
          <w:iCs/>
          <w:sz w:val="16"/>
          <w:szCs w:val="16"/>
        </w:rPr>
        <w:t>(ADICIONADO, P.O. 22 DE DICIEMBRE DE 2021)</w:t>
      </w:r>
    </w:p>
    <w:p w14:paraId="77438722" w14:textId="77777777" w:rsidR="00D3344B" w:rsidRDefault="00143C25">
      <w:pPr>
        <w:pStyle w:val="Estilo"/>
        <w:rPr>
          <w:rFonts w:cs="Arial"/>
        </w:rPr>
      </w:pPr>
      <w:r>
        <w:rPr>
          <w:rFonts w:cs="Arial"/>
        </w:rPr>
        <w:t>La autoridad ejecutora podrá enajenar a plazos los bienes embargados siempre y cuando el comprador garantice el saldo del adeudo más los intereses que correspondan, en alguna de las formas señaladas en el artículo 43 de este código.</w:t>
      </w:r>
    </w:p>
    <w:p w14:paraId="74A42247" w14:textId="77777777" w:rsidR="00D3344B" w:rsidRDefault="00D3344B">
      <w:pPr>
        <w:pStyle w:val="Estilo"/>
        <w:rPr>
          <w:rFonts w:cs="Arial"/>
        </w:rPr>
      </w:pPr>
    </w:p>
    <w:p w14:paraId="57C3F29B" w14:textId="77777777" w:rsidR="00D3344B" w:rsidRDefault="00143C25">
      <w:pPr>
        <w:pStyle w:val="Estilo"/>
        <w:rPr>
          <w:rFonts w:cs="Arial"/>
          <w:i/>
          <w:iCs/>
          <w:sz w:val="16"/>
          <w:szCs w:val="16"/>
        </w:rPr>
      </w:pPr>
      <w:r>
        <w:rPr>
          <w:rFonts w:cs="Arial"/>
          <w:i/>
          <w:iCs/>
          <w:sz w:val="16"/>
          <w:szCs w:val="16"/>
        </w:rPr>
        <w:t>(REFORMADO, P.O. 22 DE DICIEMBRE DE 2021)</w:t>
      </w:r>
    </w:p>
    <w:p w14:paraId="133F050B" w14:textId="77777777" w:rsidR="00D3344B" w:rsidRDefault="00143C25">
      <w:pPr>
        <w:pStyle w:val="Estilo"/>
        <w:rPr>
          <w:rFonts w:cs="Arial"/>
        </w:rPr>
      </w:pPr>
      <w:r>
        <w:rPr>
          <w:rFonts w:cs="Arial"/>
          <w:b/>
        </w:rPr>
        <w:t>Artículo 399.</w:t>
      </w:r>
      <w:r>
        <w:rPr>
          <w:rFonts w:cs="Arial"/>
        </w:rPr>
        <w:t xml:space="preserve"> Para tener derecho a comparecer como postor, deberá cumplirse los requisitos de la convocatoria y las bases respectivas.</w:t>
      </w:r>
    </w:p>
    <w:p w14:paraId="73B13D93" w14:textId="77777777" w:rsidR="00D3344B" w:rsidRDefault="00D3344B">
      <w:pPr>
        <w:pStyle w:val="Estilo"/>
        <w:rPr>
          <w:rFonts w:cs="Arial"/>
        </w:rPr>
      </w:pPr>
    </w:p>
    <w:p w14:paraId="719434A6" w14:textId="77777777" w:rsidR="00D3344B" w:rsidRDefault="00143C25">
      <w:pPr>
        <w:pStyle w:val="Estilo"/>
        <w:rPr>
          <w:rFonts w:cs="Arial"/>
        </w:rPr>
      </w:pPr>
      <w:r>
        <w:rPr>
          <w:rFonts w:cs="Arial"/>
        </w:rPr>
        <w:t>Las posturas deberán enviarse en documento digital de acuerdo a lo señalado en las bases de la convocatoria, a la dirección electrónica que se señale en la convocatoria para el remate. La autoridad fiscal convocante mandará los mensajes que confirmen la recepción de las posturas.</w:t>
      </w:r>
    </w:p>
    <w:p w14:paraId="5DB4B512" w14:textId="77777777" w:rsidR="00D3344B" w:rsidRDefault="00D3344B">
      <w:pPr>
        <w:pStyle w:val="Estilo"/>
        <w:rPr>
          <w:rFonts w:cs="Arial"/>
        </w:rPr>
      </w:pPr>
    </w:p>
    <w:p w14:paraId="78935B9D" w14:textId="77777777" w:rsidR="00D3344B" w:rsidRDefault="00143C25">
      <w:pPr>
        <w:pStyle w:val="Estilo"/>
        <w:rPr>
          <w:rFonts w:cs="Arial"/>
        </w:rPr>
      </w:pPr>
      <w:r>
        <w:rPr>
          <w:rFonts w:cs="Arial"/>
        </w:rPr>
        <w:t>Para intervenir en una subasta será necesario que el postor, antes de enviar su postura, realice el pago por lo menos al diez por ciento del valor fijado a los bienes en la convocatoria, en las formas que designe la convocante.</w:t>
      </w:r>
    </w:p>
    <w:p w14:paraId="482E7B57" w14:textId="77777777" w:rsidR="00D3344B" w:rsidRDefault="00D3344B">
      <w:pPr>
        <w:pStyle w:val="Estilo"/>
        <w:rPr>
          <w:rFonts w:cs="Arial"/>
        </w:rPr>
      </w:pPr>
    </w:p>
    <w:p w14:paraId="3A3E8243" w14:textId="77777777" w:rsidR="00D3344B" w:rsidRDefault="00143C25">
      <w:pPr>
        <w:pStyle w:val="Estilo"/>
        <w:rPr>
          <w:rFonts w:cs="Arial"/>
        </w:rPr>
      </w:pPr>
      <w:r>
        <w:rPr>
          <w:rFonts w:cs="Arial"/>
        </w:rPr>
        <w:t>El importe del pago referido en el párrafo anterior, servirá de garantía para el cumplimiento de las obligaciones que contraigan los postores por las adjudicaciones que se les hagan de los bienes rematados. Después de fincado el remate se devolverá a los postores el monto del pago en garantía, excepto los que correspondan al admitido, cuyo valor continuará como garantía del cumplimiento de su obligación y, en su caso, como parte del precio de venta.</w:t>
      </w:r>
    </w:p>
    <w:p w14:paraId="0B180D06" w14:textId="77777777" w:rsidR="00D3344B" w:rsidRDefault="00D3344B">
      <w:pPr>
        <w:pStyle w:val="Estilo"/>
        <w:rPr>
          <w:rFonts w:cs="Arial"/>
        </w:rPr>
      </w:pPr>
    </w:p>
    <w:p w14:paraId="34B85A00" w14:textId="77777777" w:rsidR="00D3344B" w:rsidRDefault="00143C25">
      <w:pPr>
        <w:pStyle w:val="Estilo"/>
        <w:rPr>
          <w:rFonts w:cs="Arial"/>
          <w:i/>
          <w:iCs/>
          <w:sz w:val="16"/>
          <w:szCs w:val="16"/>
        </w:rPr>
      </w:pPr>
      <w:r>
        <w:rPr>
          <w:rFonts w:cs="Arial"/>
          <w:i/>
          <w:iCs/>
          <w:sz w:val="16"/>
          <w:szCs w:val="16"/>
        </w:rPr>
        <w:t>(REFORMADO, P.O. 22 DE DICIEMBRE DE 2021)</w:t>
      </w:r>
    </w:p>
    <w:p w14:paraId="1F617C08" w14:textId="77777777" w:rsidR="00D3344B" w:rsidRDefault="00143C25">
      <w:pPr>
        <w:pStyle w:val="Estilo"/>
        <w:rPr>
          <w:rFonts w:cs="Arial"/>
        </w:rPr>
      </w:pPr>
      <w:r>
        <w:rPr>
          <w:rFonts w:cs="Arial"/>
          <w:b/>
        </w:rPr>
        <w:t>Artículo 400.</w:t>
      </w:r>
      <w:r>
        <w:rPr>
          <w:rFonts w:cs="Arial"/>
        </w:rPr>
        <w:t xml:space="preserve"> Cuando el postor en cuyo favor se hubiera fincado un remate no cumpla con las obligaciones contraídas y las que este Código señala, perderá el </w:t>
      </w:r>
      <w:r>
        <w:rPr>
          <w:rFonts w:cs="Arial"/>
        </w:rPr>
        <w:lastRenderedPageBreak/>
        <w:t>importe del depósito que hubiere constituido y la autoridad ejecutora lo aplicará de inmediato en favor del fisco estatal o municipal, según corresponda.</w:t>
      </w:r>
    </w:p>
    <w:p w14:paraId="79E00410" w14:textId="77777777" w:rsidR="00D3344B" w:rsidRDefault="00D3344B">
      <w:pPr>
        <w:pStyle w:val="Estilo"/>
        <w:rPr>
          <w:rFonts w:cs="Arial"/>
        </w:rPr>
      </w:pPr>
    </w:p>
    <w:p w14:paraId="2208CCC1" w14:textId="77777777" w:rsidR="00D3344B" w:rsidRDefault="00143C25">
      <w:pPr>
        <w:pStyle w:val="Estilo"/>
        <w:rPr>
          <w:rFonts w:cs="Arial"/>
        </w:rPr>
      </w:pPr>
      <w:r>
        <w:rPr>
          <w:rFonts w:cs="Arial"/>
        </w:rPr>
        <w:t xml:space="preserve">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 </w:t>
      </w:r>
    </w:p>
    <w:p w14:paraId="46A3D42A" w14:textId="77777777" w:rsidR="00D3344B" w:rsidRDefault="00D3344B">
      <w:pPr>
        <w:pStyle w:val="Estilo"/>
        <w:rPr>
          <w:rFonts w:cs="Arial"/>
        </w:rPr>
      </w:pPr>
    </w:p>
    <w:p w14:paraId="160F371C" w14:textId="77777777" w:rsidR="00D3344B" w:rsidRDefault="00143C25">
      <w:pPr>
        <w:pStyle w:val="Estilo"/>
        <w:rPr>
          <w:rFonts w:cs="Arial"/>
        </w:rPr>
      </w:pPr>
      <w:r>
        <w:rPr>
          <w:rFonts w:cs="Arial"/>
        </w:rPr>
        <w:t>En caso de incumplimiento de los postores, se iniciará nuevamente la almoneda en la forma y plazos que señala el artículo 412 de este Código.</w:t>
      </w:r>
    </w:p>
    <w:p w14:paraId="60C1FD91" w14:textId="77777777" w:rsidR="00D3344B" w:rsidRDefault="00D3344B">
      <w:pPr>
        <w:pStyle w:val="Estilo"/>
        <w:rPr>
          <w:rFonts w:cs="Arial"/>
        </w:rPr>
      </w:pPr>
    </w:p>
    <w:p w14:paraId="0D29A00F" w14:textId="77777777" w:rsidR="00D3344B" w:rsidRDefault="00143C25">
      <w:pPr>
        <w:pStyle w:val="Estilo"/>
        <w:rPr>
          <w:rFonts w:cs="Arial"/>
          <w:i/>
          <w:iCs/>
          <w:sz w:val="16"/>
          <w:szCs w:val="16"/>
        </w:rPr>
      </w:pPr>
      <w:r>
        <w:rPr>
          <w:rFonts w:cs="Arial"/>
          <w:i/>
          <w:iCs/>
          <w:sz w:val="16"/>
          <w:szCs w:val="16"/>
        </w:rPr>
        <w:t>(REFORMADO, P.O. 22 DE DICIEMBRE DE 2021)</w:t>
      </w:r>
    </w:p>
    <w:p w14:paraId="10EE2702" w14:textId="77777777" w:rsidR="00D3344B" w:rsidRDefault="00143C25">
      <w:pPr>
        <w:pStyle w:val="Estilo"/>
        <w:rPr>
          <w:rFonts w:cs="Arial"/>
        </w:rPr>
      </w:pPr>
      <w:r>
        <w:rPr>
          <w:rFonts w:cs="Arial"/>
          <w:b/>
        </w:rPr>
        <w:t>Artículo 401.</w:t>
      </w:r>
      <w:r>
        <w:rPr>
          <w:rFonts w:cs="Arial"/>
        </w:rPr>
        <w:t xml:space="preserve"> El documento digital en que se haga la postura, deberá contener los siguientes datos:</w:t>
      </w:r>
    </w:p>
    <w:p w14:paraId="1B5B3D1D" w14:textId="77777777" w:rsidR="00D3344B" w:rsidRDefault="00D3344B">
      <w:pPr>
        <w:pStyle w:val="Estilo"/>
        <w:rPr>
          <w:rFonts w:cs="Arial"/>
        </w:rPr>
      </w:pPr>
    </w:p>
    <w:p w14:paraId="16443CA8" w14:textId="77777777" w:rsidR="00D3344B" w:rsidRDefault="00143C25">
      <w:pPr>
        <w:pStyle w:val="Estilo"/>
        <w:ind w:left="426" w:hanging="426"/>
        <w:rPr>
          <w:rFonts w:cs="Arial"/>
        </w:rPr>
      </w:pPr>
      <w:r>
        <w:rPr>
          <w:rFonts w:cs="Arial"/>
        </w:rPr>
        <w:t xml:space="preserve">I. </w:t>
      </w:r>
      <w:r>
        <w:rPr>
          <w:rFonts w:cs="Arial"/>
        </w:rPr>
        <w:tab/>
        <w:t>Cuando se trate de personas físicas, el nombre, la nacionalidad y el domicilio del postor y el registro federal de contribuyentes; tratándose de personas morales, el nombre o razón social, la fecha de constitución, la clave del registro federal de contribuyentes, y el domicilio fiscal.</w:t>
      </w:r>
    </w:p>
    <w:p w14:paraId="52D7B892" w14:textId="77777777" w:rsidR="00D3344B" w:rsidRDefault="00D3344B">
      <w:pPr>
        <w:pStyle w:val="Estilo"/>
        <w:ind w:left="426" w:hanging="426"/>
        <w:rPr>
          <w:rFonts w:cs="Arial"/>
        </w:rPr>
      </w:pPr>
    </w:p>
    <w:p w14:paraId="38D09414" w14:textId="77777777" w:rsidR="00D3344B" w:rsidRDefault="00143C25">
      <w:pPr>
        <w:pStyle w:val="Estilo"/>
        <w:ind w:left="426" w:hanging="426"/>
        <w:rPr>
          <w:rFonts w:cs="Arial"/>
        </w:rPr>
      </w:pPr>
      <w:r>
        <w:rPr>
          <w:rFonts w:cs="Arial"/>
        </w:rPr>
        <w:t xml:space="preserve">II. </w:t>
      </w:r>
      <w:r>
        <w:rPr>
          <w:rFonts w:cs="Arial"/>
        </w:rPr>
        <w:tab/>
        <w:t>La cantidad que se ofrezca, que en ningún caso podrá ser menor a la postura legal.</w:t>
      </w:r>
    </w:p>
    <w:p w14:paraId="34CD9158" w14:textId="77777777" w:rsidR="00D3344B" w:rsidRDefault="00D3344B">
      <w:pPr>
        <w:pStyle w:val="Estilo"/>
        <w:ind w:left="426" w:hanging="426"/>
        <w:rPr>
          <w:rFonts w:cs="Arial"/>
        </w:rPr>
      </w:pPr>
    </w:p>
    <w:p w14:paraId="4D4D9AC9" w14:textId="77777777" w:rsidR="00D3344B" w:rsidRDefault="00143C25">
      <w:pPr>
        <w:pStyle w:val="Estilo"/>
        <w:ind w:left="426" w:hanging="426"/>
        <w:rPr>
          <w:rFonts w:cs="Arial"/>
        </w:rPr>
      </w:pPr>
      <w:r>
        <w:rPr>
          <w:rFonts w:cs="Arial"/>
        </w:rPr>
        <w:t xml:space="preserve">III. </w:t>
      </w:r>
      <w:r>
        <w:rPr>
          <w:rFonts w:cs="Arial"/>
        </w:rPr>
        <w:tab/>
        <w:t>El número de cuenta bancaria y nombre de la institución de crédito en la que se reintegrarán, en su caso, las cantidades que se hubieran dado en depósito.</w:t>
      </w:r>
    </w:p>
    <w:p w14:paraId="3537E53D" w14:textId="77777777" w:rsidR="00D3344B" w:rsidRDefault="00D3344B">
      <w:pPr>
        <w:pStyle w:val="Estilo"/>
        <w:ind w:left="426" w:hanging="426"/>
        <w:rPr>
          <w:rFonts w:cs="Arial"/>
        </w:rPr>
      </w:pPr>
    </w:p>
    <w:p w14:paraId="3C62354B" w14:textId="77777777" w:rsidR="00D3344B" w:rsidRDefault="00143C25">
      <w:pPr>
        <w:pStyle w:val="Estilo"/>
        <w:ind w:left="426" w:hanging="426"/>
        <w:rPr>
          <w:rFonts w:cs="Arial"/>
        </w:rPr>
      </w:pPr>
      <w:r>
        <w:rPr>
          <w:rFonts w:cs="Arial"/>
        </w:rPr>
        <w:t xml:space="preserve">IV. </w:t>
      </w:r>
      <w:r>
        <w:rPr>
          <w:rFonts w:cs="Arial"/>
        </w:rPr>
        <w:tab/>
        <w:t>La dirección de correo electrónico y el domicilio para oír y recibir notificaciones.</w:t>
      </w:r>
    </w:p>
    <w:p w14:paraId="1EA359D0" w14:textId="77777777" w:rsidR="00D3344B" w:rsidRDefault="00D3344B">
      <w:pPr>
        <w:pStyle w:val="Estilo"/>
        <w:ind w:left="426" w:hanging="426"/>
        <w:rPr>
          <w:rFonts w:cs="Arial"/>
        </w:rPr>
      </w:pPr>
    </w:p>
    <w:p w14:paraId="7BB932B0" w14:textId="77777777" w:rsidR="00D3344B" w:rsidRDefault="00143C25">
      <w:pPr>
        <w:pStyle w:val="Estilo"/>
        <w:ind w:left="426" w:hanging="426"/>
        <w:rPr>
          <w:rFonts w:cs="Arial"/>
        </w:rPr>
      </w:pPr>
      <w:r>
        <w:rPr>
          <w:rFonts w:cs="Arial"/>
        </w:rPr>
        <w:t xml:space="preserve">V. </w:t>
      </w:r>
      <w:r>
        <w:rPr>
          <w:rFonts w:cs="Arial"/>
        </w:rPr>
        <w:tab/>
        <w:t>Una vez aprobada la postura legal, el postor contará con un día hábil para realizar el depósito, debiendo señalar el número de cuenta bancaria y nombre de la institución de crédito en la que se reintegrarán, en su caso, las cantidades que se hubieran dado en depósito.</w:t>
      </w:r>
    </w:p>
    <w:p w14:paraId="0ADA77A3" w14:textId="77777777" w:rsidR="00D3344B" w:rsidRDefault="00D3344B">
      <w:pPr>
        <w:pStyle w:val="Estilo"/>
        <w:rPr>
          <w:rFonts w:cs="Arial"/>
        </w:rPr>
      </w:pPr>
    </w:p>
    <w:p w14:paraId="7A2C58B1" w14:textId="77777777" w:rsidR="00D3344B" w:rsidRDefault="00143C25">
      <w:pPr>
        <w:pStyle w:val="Estilo"/>
        <w:rPr>
          <w:rFonts w:cs="Arial"/>
        </w:rPr>
      </w:pPr>
      <w:r>
        <w:rPr>
          <w:rFonts w:cs="Arial"/>
        </w:rPr>
        <w:t>Si las posturas no cumplen los requisitos a que se refieren las fracciones anteriores y los que se señalen en la convocatoria, la autoridad fiscal no las calificará como posturas legales, situación que se hará del conocimiento del interesado.</w:t>
      </w:r>
    </w:p>
    <w:p w14:paraId="12536C26" w14:textId="77777777" w:rsidR="00D3344B" w:rsidRDefault="00D3344B">
      <w:pPr>
        <w:pStyle w:val="Estilo"/>
        <w:rPr>
          <w:rFonts w:cs="Arial"/>
        </w:rPr>
      </w:pPr>
    </w:p>
    <w:p w14:paraId="2568AC5F" w14:textId="77777777" w:rsidR="00D3344B" w:rsidRDefault="00143C25">
      <w:pPr>
        <w:pStyle w:val="Estilo"/>
        <w:rPr>
          <w:rFonts w:cs="Arial"/>
          <w:i/>
          <w:iCs/>
          <w:sz w:val="16"/>
          <w:szCs w:val="16"/>
        </w:rPr>
      </w:pPr>
      <w:r>
        <w:rPr>
          <w:rFonts w:cs="Arial"/>
          <w:i/>
          <w:iCs/>
          <w:sz w:val="16"/>
          <w:szCs w:val="16"/>
        </w:rPr>
        <w:t>(REFORMADO, P.O. 22 DE DICIEMBRE DE 2021)</w:t>
      </w:r>
    </w:p>
    <w:p w14:paraId="3BA985B0" w14:textId="77777777" w:rsidR="00D3344B" w:rsidRDefault="00143C25">
      <w:pPr>
        <w:pStyle w:val="Estilo"/>
        <w:rPr>
          <w:rFonts w:cs="Arial"/>
        </w:rPr>
      </w:pPr>
      <w:r>
        <w:rPr>
          <w:rFonts w:cs="Arial"/>
          <w:b/>
        </w:rPr>
        <w:t>Artículo 402.</w:t>
      </w:r>
      <w:r>
        <w:rPr>
          <w:rFonts w:cs="Arial"/>
        </w:rPr>
        <w:t xml:space="preserve"> En la página electrónica de subastas de la autoridad fiscal convocante, se especificará el período correspondiente a cada remate, el registro de los postores y las posturas que se reciban, así como la fecha y hora de su recepción.</w:t>
      </w:r>
    </w:p>
    <w:p w14:paraId="717A8E38" w14:textId="77777777" w:rsidR="00D3344B" w:rsidRDefault="00D3344B">
      <w:pPr>
        <w:pStyle w:val="Estilo"/>
        <w:rPr>
          <w:rFonts w:cs="Arial"/>
        </w:rPr>
      </w:pPr>
    </w:p>
    <w:p w14:paraId="05AF0005" w14:textId="77777777" w:rsidR="00D3344B" w:rsidRDefault="00143C25">
      <w:pPr>
        <w:pStyle w:val="Estilo"/>
        <w:rPr>
          <w:rFonts w:cs="Arial"/>
        </w:rPr>
      </w:pPr>
      <w:r>
        <w:rPr>
          <w:rFonts w:cs="Arial"/>
        </w:rPr>
        <w:t xml:space="preserve">Cada subasta tendrá una duración de cinco días que empezará a partir de las 12:00 horas del primer día hábil y concluirá a las 12:00 horas del quinto día hábil. En dicho periodo los postores presentarán sus posturas y podrán mejorar las propuestas. </w:t>
      </w:r>
      <w:r>
        <w:rPr>
          <w:rFonts w:cs="Arial"/>
        </w:rPr>
        <w:lastRenderedPageBreak/>
        <w:t xml:space="preserve">Para los efectos de este párrafo se entenderá que las 12:00 horas corresponden a la Zona Centro. </w:t>
      </w:r>
    </w:p>
    <w:p w14:paraId="25A07518" w14:textId="77777777" w:rsidR="00D3344B" w:rsidRDefault="00D3344B">
      <w:pPr>
        <w:pStyle w:val="Estilo"/>
        <w:rPr>
          <w:rFonts w:cs="Arial"/>
        </w:rPr>
      </w:pPr>
    </w:p>
    <w:p w14:paraId="17B8D2D1" w14:textId="77777777" w:rsidR="00D3344B" w:rsidRDefault="00143C25">
      <w:pPr>
        <w:pStyle w:val="Estilo"/>
        <w:rPr>
          <w:rFonts w:cs="Arial"/>
        </w:rPr>
      </w:pPr>
      <w:r>
        <w:rPr>
          <w:rFonts w:cs="Arial"/>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la autoridad concederá plazos sucesivos de 5 minutos cada uno, hasta que la última postura no sea mejorada. Una vez transcurrido el último plazo sin que se reciba una mejor postura se tendrá por concluido el remate.</w:t>
      </w:r>
    </w:p>
    <w:p w14:paraId="287C5F23" w14:textId="77777777" w:rsidR="00D3344B" w:rsidRDefault="00D3344B">
      <w:pPr>
        <w:pStyle w:val="Estilo"/>
        <w:rPr>
          <w:rFonts w:cs="Arial"/>
        </w:rPr>
      </w:pPr>
    </w:p>
    <w:p w14:paraId="465A98EE" w14:textId="77777777" w:rsidR="00D3344B" w:rsidRDefault="00143C25">
      <w:pPr>
        <w:pStyle w:val="Estilo"/>
        <w:rPr>
          <w:rFonts w:cs="Arial"/>
        </w:rPr>
      </w:pPr>
      <w:r>
        <w:rPr>
          <w:rFonts w:cs="Arial"/>
        </w:rPr>
        <w:t>La autoridad fiscal fincará el remate a favor de quien haya hecho la mejor postura. Cuando existan varios postores que hayan ofrecido una suma igual y dicha suma sea la postura más alta, se aceptará la primera postura que se haya recibido.</w:t>
      </w:r>
    </w:p>
    <w:p w14:paraId="1CA9CCC9" w14:textId="77777777" w:rsidR="00D3344B" w:rsidRDefault="00D3344B">
      <w:pPr>
        <w:pStyle w:val="Estilo"/>
        <w:rPr>
          <w:rFonts w:cs="Arial"/>
        </w:rPr>
      </w:pPr>
    </w:p>
    <w:p w14:paraId="39220B32" w14:textId="77777777" w:rsidR="00D3344B" w:rsidRDefault="00143C25">
      <w:pPr>
        <w:pStyle w:val="Estilo"/>
        <w:rPr>
          <w:rFonts w:cs="Arial"/>
        </w:rPr>
      </w:pPr>
      <w:r>
        <w:rPr>
          <w:rFonts w:cs="Arial"/>
        </w:rPr>
        <w:t>Una vez fincado el remate se comunicará el resultado del mismo a través de medios electrónicos a los postores que hubieren participado en él, remitiendo el acta que al efecto se levante.</w:t>
      </w:r>
    </w:p>
    <w:p w14:paraId="6A143E46" w14:textId="77777777" w:rsidR="00D3344B" w:rsidRDefault="00D3344B">
      <w:pPr>
        <w:pStyle w:val="Estilo"/>
        <w:rPr>
          <w:rFonts w:cs="Arial"/>
        </w:rPr>
      </w:pPr>
    </w:p>
    <w:p w14:paraId="25A5FDB7" w14:textId="77777777" w:rsidR="00D3344B" w:rsidRDefault="00143C25">
      <w:pPr>
        <w:pStyle w:val="Estilo"/>
        <w:rPr>
          <w:rFonts w:cs="Arial"/>
          <w:i/>
          <w:iCs/>
          <w:sz w:val="16"/>
          <w:szCs w:val="16"/>
        </w:rPr>
      </w:pPr>
      <w:r>
        <w:rPr>
          <w:rFonts w:cs="Arial"/>
          <w:i/>
          <w:iCs/>
          <w:sz w:val="16"/>
          <w:szCs w:val="16"/>
        </w:rPr>
        <w:t>(REFORMADO, P.O. 22 DE DICIEMBRE DE 2021)</w:t>
      </w:r>
    </w:p>
    <w:p w14:paraId="6C0319BD" w14:textId="77777777" w:rsidR="00D3344B" w:rsidRDefault="00143C25">
      <w:pPr>
        <w:pStyle w:val="Estilo"/>
        <w:rPr>
          <w:rFonts w:cs="Arial"/>
        </w:rPr>
      </w:pPr>
      <w:r>
        <w:rPr>
          <w:rFonts w:cs="Arial"/>
          <w:b/>
        </w:rPr>
        <w:t>Artículo 403.</w:t>
      </w:r>
      <w:r>
        <w:rPr>
          <w:rFonts w:cs="Arial"/>
        </w:rPr>
        <w:t xml:space="preserve"> Fincado el remate se aplicará el depósito constituido, y el postor dentro de los tres días siguientes, tratándose de bienes muebles o diez días, tratándose de bienes inmuebles, enterará en la caja de la autoridad fiscal competente el saldo de la cantidad de contado ofrecida en su postura o la que resulte de las mejoras. </w:t>
      </w:r>
    </w:p>
    <w:p w14:paraId="4DFF53B5" w14:textId="77777777" w:rsidR="00D3344B" w:rsidRDefault="00D3344B">
      <w:pPr>
        <w:pStyle w:val="Estilo"/>
        <w:rPr>
          <w:rFonts w:cs="Arial"/>
        </w:rPr>
      </w:pPr>
    </w:p>
    <w:p w14:paraId="573B1DE5" w14:textId="77777777" w:rsidR="00D3344B" w:rsidRDefault="00143C25">
      <w:pPr>
        <w:pStyle w:val="Estilo"/>
        <w:rPr>
          <w:rFonts w:cs="Arial"/>
        </w:rPr>
      </w:pPr>
      <w:r>
        <w:rPr>
          <w:rFonts w:cs="Arial"/>
        </w:rPr>
        <w:t>Tan pronto como el postor cumpla con el requisito a que se refiere el párrafo anterior, se citará al contribuyente para que, tratándose de bienes inmuebles o negociaciones, dentro del mismo plazo concedido al postor ganador, otorgue y firme la escritura de la enajenación ante el Notario Público que designe el postor, apercibido que, de no hacerlo, la autoridad fiscal lo hará en su rebeldía.</w:t>
      </w:r>
    </w:p>
    <w:p w14:paraId="11F6BD8D" w14:textId="77777777" w:rsidR="00D3344B" w:rsidRDefault="00D3344B">
      <w:pPr>
        <w:pStyle w:val="Estilo"/>
        <w:rPr>
          <w:rFonts w:cs="Arial"/>
        </w:rPr>
      </w:pPr>
    </w:p>
    <w:p w14:paraId="41D27827" w14:textId="77777777" w:rsidR="00D3344B" w:rsidRDefault="00143C25">
      <w:pPr>
        <w:pStyle w:val="Estilo"/>
        <w:rPr>
          <w:rFonts w:cs="Arial"/>
        </w:rPr>
      </w:pPr>
      <w:r>
        <w:rPr>
          <w:rFonts w:cs="Arial"/>
        </w:rPr>
        <w:t>Todos los gastos inherentes a la escrituración correrán a cargo del adquiriente.</w:t>
      </w:r>
    </w:p>
    <w:p w14:paraId="42585745" w14:textId="77777777" w:rsidR="00D3344B" w:rsidRDefault="00D3344B">
      <w:pPr>
        <w:pStyle w:val="Estilo"/>
        <w:rPr>
          <w:rFonts w:cs="Arial"/>
        </w:rPr>
      </w:pPr>
    </w:p>
    <w:p w14:paraId="5218C982" w14:textId="77777777" w:rsidR="00D3344B" w:rsidRDefault="00143C25">
      <w:pPr>
        <w:pStyle w:val="Estilo"/>
        <w:rPr>
          <w:rFonts w:cs="Arial"/>
        </w:rPr>
      </w:pPr>
      <w:r>
        <w:rPr>
          <w:rFonts w:cs="Arial"/>
        </w:rPr>
        <w:t>Tratándose de bienes muebles, se estará a lo dispuesto en el artículo 407 del presente Código.</w:t>
      </w:r>
    </w:p>
    <w:p w14:paraId="1BF75918" w14:textId="77777777" w:rsidR="00D3344B" w:rsidRDefault="00D3344B">
      <w:pPr>
        <w:pStyle w:val="Estilo"/>
        <w:rPr>
          <w:rFonts w:cs="Arial"/>
        </w:rPr>
      </w:pPr>
    </w:p>
    <w:p w14:paraId="7B21B187" w14:textId="77777777" w:rsidR="00D3344B" w:rsidRDefault="00143C25">
      <w:pPr>
        <w:pStyle w:val="Estilo"/>
        <w:rPr>
          <w:rFonts w:cs="Arial"/>
        </w:rPr>
      </w:pPr>
      <w:r>
        <w:rPr>
          <w:rFonts w:cs="Arial"/>
        </w:rPr>
        <w:t>Causarán abandono en favor del fisco estatal o municipal los bienes que hayan sido enajenados o adjudicados y no se retiren del lugar en que se encuentren, dentro de dos meses contados a partir de la fecha en que se pongan a su disposición.</w:t>
      </w:r>
    </w:p>
    <w:p w14:paraId="56A470A4" w14:textId="77777777" w:rsidR="00D3344B" w:rsidRDefault="00D3344B">
      <w:pPr>
        <w:pStyle w:val="Estilo"/>
        <w:rPr>
          <w:rFonts w:cs="Arial"/>
        </w:rPr>
      </w:pPr>
    </w:p>
    <w:p w14:paraId="7D82334B" w14:textId="77777777" w:rsidR="00D3344B" w:rsidRDefault="00143C25">
      <w:pPr>
        <w:pStyle w:val="Estilo"/>
        <w:rPr>
          <w:rFonts w:cs="Arial"/>
          <w:i/>
          <w:iCs/>
          <w:sz w:val="16"/>
          <w:szCs w:val="16"/>
        </w:rPr>
      </w:pPr>
      <w:r>
        <w:rPr>
          <w:rFonts w:cs="Arial"/>
          <w:b/>
        </w:rPr>
        <w:t>Artículo 404.</w:t>
      </w:r>
      <w:r>
        <w:rPr>
          <w:rFonts w:cs="Arial"/>
        </w:rPr>
        <w:t xml:space="preserve"> </w:t>
      </w:r>
      <w:r>
        <w:rPr>
          <w:rFonts w:cs="Arial"/>
          <w:i/>
          <w:iCs/>
          <w:sz w:val="16"/>
          <w:szCs w:val="16"/>
        </w:rPr>
        <w:t>(DEROGADO, P.O. 22 DE DICIEMBRE DE 2021)</w:t>
      </w:r>
    </w:p>
    <w:p w14:paraId="06F6BDC9" w14:textId="77777777" w:rsidR="00D3344B" w:rsidRDefault="00D3344B">
      <w:pPr>
        <w:pStyle w:val="Estilo"/>
        <w:rPr>
          <w:rFonts w:cs="Arial"/>
        </w:rPr>
      </w:pPr>
    </w:p>
    <w:p w14:paraId="42DB6D1C" w14:textId="77777777" w:rsidR="00D3344B" w:rsidRDefault="00143C25">
      <w:pPr>
        <w:pStyle w:val="Estilo"/>
        <w:rPr>
          <w:rFonts w:cs="Arial"/>
        </w:rPr>
      </w:pPr>
      <w:r>
        <w:rPr>
          <w:rFonts w:cs="Arial"/>
          <w:b/>
        </w:rPr>
        <w:t>Artículo 405.</w:t>
      </w:r>
      <w:r>
        <w:rPr>
          <w:rFonts w:cs="Arial"/>
        </w:rPr>
        <w:t xml:space="preserve"> Los bienes inmuebles pasarán a ser propiedad del comprador, libres de todo gravamen fiscal, y a fin de que se cancelen los que reportare la autoridad fiscal competente que finque el remate, deberá comunicar a la Dirección de Notarías y del Registro Público de la Propiedad y del Comercio la transmisión de dominio de </w:t>
      </w:r>
      <w:r>
        <w:rPr>
          <w:rFonts w:cs="Arial"/>
        </w:rPr>
        <w:lastRenderedPageBreak/>
        <w:t xml:space="preserve">los inmuebles. El </w:t>
      </w:r>
      <w:proofErr w:type="gramStart"/>
      <w:r>
        <w:rPr>
          <w:rFonts w:cs="Arial"/>
        </w:rPr>
        <w:t>Director</w:t>
      </w:r>
      <w:proofErr w:type="gramEnd"/>
      <w:r>
        <w:rPr>
          <w:rFonts w:cs="Arial"/>
        </w:rPr>
        <w:t xml:space="preserve"> de dicha dependencia deberá ordenar la inscripción de las transmisiones de dominio de los bienes inmuebles que resulten de los remates celebrados por las oficinas ejecutoras, y ordenará que se hagan las cancelaciones de gravámenes que sean procedentes, como consecuencia de la adjudicación.</w:t>
      </w:r>
    </w:p>
    <w:p w14:paraId="76F5A1A3" w14:textId="77777777" w:rsidR="00D3344B" w:rsidRDefault="00D3344B">
      <w:pPr>
        <w:pStyle w:val="Estilo"/>
        <w:rPr>
          <w:rFonts w:cs="Arial"/>
        </w:rPr>
      </w:pPr>
    </w:p>
    <w:p w14:paraId="4846DB95" w14:textId="77777777" w:rsidR="00D3344B" w:rsidRDefault="00143C25">
      <w:pPr>
        <w:pStyle w:val="Estilo"/>
        <w:rPr>
          <w:rFonts w:cs="Arial"/>
          <w:i/>
          <w:sz w:val="16"/>
          <w:szCs w:val="16"/>
        </w:rPr>
      </w:pPr>
      <w:r>
        <w:rPr>
          <w:rFonts w:cs="Arial"/>
          <w:i/>
          <w:sz w:val="16"/>
          <w:szCs w:val="16"/>
        </w:rPr>
        <w:t>(REFORMADO, P.O. 30 DE DICIEMBRE 2005)</w:t>
      </w:r>
    </w:p>
    <w:p w14:paraId="6162B639" w14:textId="77777777" w:rsidR="00D3344B" w:rsidRDefault="00143C25">
      <w:pPr>
        <w:pStyle w:val="Estilo"/>
        <w:rPr>
          <w:rFonts w:cs="Arial"/>
        </w:rPr>
      </w:pPr>
      <w:r>
        <w:rPr>
          <w:rFonts w:cs="Arial"/>
          <w:b/>
        </w:rPr>
        <w:t>Artículo 406.</w:t>
      </w:r>
      <w:r>
        <w:rPr>
          <w:rFonts w:cs="Arial"/>
        </w:rPr>
        <w:t xml:space="preserve"> Una vez que se hubiera otorgado y firmado la escritura en que conste la adjudicación de un inmueble, la autoridad ejecutora dispondrá que se entregue al adquirente, girando las órdenes necesarias, aún las de desocupación si estuviere habitado por el ejecutado o por terceros que no pudieren acreditar legalmente el uso.</w:t>
      </w:r>
    </w:p>
    <w:p w14:paraId="22F59368" w14:textId="77777777" w:rsidR="00D3344B" w:rsidRDefault="00D3344B">
      <w:pPr>
        <w:pStyle w:val="Estilo"/>
        <w:rPr>
          <w:rFonts w:cs="Arial"/>
        </w:rPr>
      </w:pPr>
    </w:p>
    <w:p w14:paraId="4224C96F" w14:textId="77777777" w:rsidR="00D3344B" w:rsidRDefault="00143C25">
      <w:pPr>
        <w:pStyle w:val="Estilo"/>
        <w:rPr>
          <w:rFonts w:cs="Arial"/>
        </w:rPr>
      </w:pPr>
      <w:r>
        <w:rPr>
          <w:rFonts w:cs="Arial"/>
          <w:b/>
        </w:rPr>
        <w:t>Artículo 407.</w:t>
      </w:r>
      <w:r>
        <w:rPr>
          <w:rFonts w:cs="Arial"/>
        </w:rPr>
        <w:t xml:space="preserve"> Si el remate fuere de bienes muebles, la autoridad fiscal competente entregará al adquiriente una copia certificada del acta de remate, misma que le servirá como título justificativo de dominio.</w:t>
      </w:r>
    </w:p>
    <w:p w14:paraId="18507A33" w14:textId="77777777" w:rsidR="00D3344B" w:rsidRDefault="00D3344B">
      <w:pPr>
        <w:pStyle w:val="Estilo"/>
        <w:rPr>
          <w:rFonts w:cs="Arial"/>
        </w:rPr>
      </w:pPr>
    </w:p>
    <w:p w14:paraId="626CA5F5" w14:textId="77777777" w:rsidR="00D3344B" w:rsidRDefault="00143C25">
      <w:pPr>
        <w:pStyle w:val="Estilo"/>
        <w:rPr>
          <w:rFonts w:cs="Arial"/>
        </w:rPr>
      </w:pPr>
      <w:r>
        <w:rPr>
          <w:rFonts w:cs="Arial"/>
          <w:b/>
        </w:rPr>
        <w:t>Artículo 408.</w:t>
      </w:r>
      <w:r>
        <w:rPr>
          <w:rFonts w:cs="Arial"/>
        </w:rPr>
        <w:t xml:space="preserve"> Queda estrictamente prohibido a los servidores públicos estatales o municipales y a las personas que hubieren intervenido en los procedimientos de ejecución, adquirir los bienes objeto de un remate, por sí o por medio de interpósita persona. El remate efectuado, con infracción a este precepto, será nulo y los infractores serán castigados de acuerdo con lo que establece este código.</w:t>
      </w:r>
    </w:p>
    <w:p w14:paraId="7D278104" w14:textId="77777777" w:rsidR="00D3344B" w:rsidRDefault="00D3344B">
      <w:pPr>
        <w:pStyle w:val="Estilo"/>
        <w:rPr>
          <w:rFonts w:cs="Arial"/>
        </w:rPr>
      </w:pPr>
    </w:p>
    <w:p w14:paraId="6F8D6E90" w14:textId="77777777" w:rsidR="00D3344B" w:rsidRDefault="00143C25">
      <w:pPr>
        <w:pStyle w:val="Estilo"/>
        <w:rPr>
          <w:rFonts w:cs="Arial"/>
        </w:rPr>
      </w:pPr>
      <w:r>
        <w:rPr>
          <w:rFonts w:cs="Arial"/>
          <w:b/>
        </w:rPr>
        <w:t>Artículo 409.</w:t>
      </w:r>
      <w:r>
        <w:rPr>
          <w:rFonts w:cs="Arial"/>
        </w:rPr>
        <w:t xml:space="preserve"> El producto del remate se aplicará al pago del crédito fiscal, en el orden siguiente:</w:t>
      </w:r>
    </w:p>
    <w:p w14:paraId="1FD76ABF" w14:textId="77777777" w:rsidR="00D3344B" w:rsidRDefault="00D3344B">
      <w:pPr>
        <w:pStyle w:val="Estilo"/>
        <w:rPr>
          <w:rFonts w:cs="Arial"/>
        </w:rPr>
      </w:pPr>
    </w:p>
    <w:p w14:paraId="2626F289" w14:textId="77777777" w:rsidR="00D3344B" w:rsidRDefault="00143C25">
      <w:pPr>
        <w:pStyle w:val="Estilo"/>
        <w:ind w:left="567" w:hanging="567"/>
        <w:rPr>
          <w:rFonts w:cs="Arial"/>
        </w:rPr>
      </w:pPr>
      <w:r>
        <w:rPr>
          <w:rFonts w:cs="Arial"/>
        </w:rPr>
        <w:t xml:space="preserve">I. </w:t>
      </w:r>
      <w:r>
        <w:rPr>
          <w:rFonts w:cs="Arial"/>
        </w:rPr>
        <w:tab/>
        <w:t>Los gastos de ejecución;</w:t>
      </w:r>
    </w:p>
    <w:p w14:paraId="3F3340BF" w14:textId="77777777" w:rsidR="00D3344B" w:rsidRDefault="00D3344B">
      <w:pPr>
        <w:pStyle w:val="Estilo"/>
        <w:ind w:left="567" w:hanging="567"/>
        <w:rPr>
          <w:rFonts w:cs="Arial"/>
        </w:rPr>
      </w:pPr>
    </w:p>
    <w:p w14:paraId="2C47A419" w14:textId="77777777" w:rsidR="00D3344B" w:rsidRDefault="00143C25">
      <w:pPr>
        <w:pStyle w:val="Estilo"/>
        <w:ind w:left="567" w:hanging="567"/>
        <w:rPr>
          <w:rFonts w:cs="Arial"/>
        </w:rPr>
      </w:pPr>
      <w:r>
        <w:rPr>
          <w:rFonts w:cs="Arial"/>
        </w:rPr>
        <w:t xml:space="preserve">II. </w:t>
      </w:r>
      <w:r>
        <w:rPr>
          <w:rFonts w:cs="Arial"/>
        </w:rPr>
        <w:tab/>
        <w:t>Los recargos y las multas;</w:t>
      </w:r>
    </w:p>
    <w:p w14:paraId="536F1C36" w14:textId="77777777" w:rsidR="00D3344B" w:rsidRDefault="00D3344B">
      <w:pPr>
        <w:pStyle w:val="Estilo"/>
        <w:ind w:left="567" w:hanging="567"/>
        <w:rPr>
          <w:rFonts w:cs="Arial"/>
        </w:rPr>
      </w:pPr>
    </w:p>
    <w:p w14:paraId="689A283E" w14:textId="77777777" w:rsidR="00D3344B" w:rsidRDefault="00143C25">
      <w:pPr>
        <w:pStyle w:val="Estilo"/>
        <w:ind w:left="567" w:hanging="567"/>
        <w:rPr>
          <w:rFonts w:cs="Arial"/>
        </w:rPr>
      </w:pPr>
      <w:r>
        <w:rPr>
          <w:rFonts w:cs="Arial"/>
        </w:rPr>
        <w:t xml:space="preserve">III. </w:t>
      </w:r>
      <w:r>
        <w:rPr>
          <w:rFonts w:cs="Arial"/>
        </w:rPr>
        <w:tab/>
        <w:t>Los impuestos, derechos, aprovechamientos y productos que dieron lugar al embargo, y</w:t>
      </w:r>
    </w:p>
    <w:p w14:paraId="7D06D08D" w14:textId="77777777" w:rsidR="00D3344B" w:rsidRDefault="00D3344B">
      <w:pPr>
        <w:pStyle w:val="Estilo"/>
        <w:ind w:left="567" w:hanging="567"/>
        <w:rPr>
          <w:rFonts w:cs="Arial"/>
        </w:rPr>
      </w:pPr>
    </w:p>
    <w:p w14:paraId="097B9EFF" w14:textId="77777777" w:rsidR="00D3344B" w:rsidRDefault="00143C25">
      <w:pPr>
        <w:pStyle w:val="Estilo"/>
        <w:rPr>
          <w:rFonts w:cs="Arial"/>
          <w:i/>
          <w:iCs/>
          <w:sz w:val="16"/>
          <w:szCs w:val="16"/>
        </w:rPr>
      </w:pPr>
      <w:r>
        <w:rPr>
          <w:rFonts w:cs="Arial"/>
        </w:rPr>
        <w:t xml:space="preserve">IV. </w:t>
      </w:r>
      <w:r>
        <w:rPr>
          <w:rFonts w:cs="Arial"/>
        </w:rPr>
        <w:tab/>
      </w:r>
      <w:r>
        <w:rPr>
          <w:rFonts w:cs="Arial"/>
          <w:i/>
          <w:iCs/>
          <w:sz w:val="16"/>
          <w:szCs w:val="16"/>
        </w:rPr>
        <w:t>(DEROGADA, P.O. 22 DE DICIEMBRE DE 2021)</w:t>
      </w:r>
    </w:p>
    <w:p w14:paraId="668F5428" w14:textId="77777777" w:rsidR="00D3344B" w:rsidRDefault="00D3344B">
      <w:pPr>
        <w:pStyle w:val="Estilo"/>
        <w:rPr>
          <w:rFonts w:cs="Arial"/>
        </w:rPr>
      </w:pPr>
    </w:p>
    <w:p w14:paraId="239C733A" w14:textId="77777777" w:rsidR="00D3344B" w:rsidRDefault="00143C25">
      <w:pPr>
        <w:pStyle w:val="Estilo"/>
        <w:rPr>
          <w:rFonts w:cs="Arial"/>
        </w:rPr>
      </w:pPr>
      <w:r>
        <w:rPr>
          <w:rFonts w:cs="Arial"/>
        </w:rPr>
        <w:t>Cuando hubiere varios créditos en un mismo procedimiento de ejecución, la aplicación se hará por orden de antigüedad.</w:t>
      </w:r>
    </w:p>
    <w:p w14:paraId="43FD32BD" w14:textId="77777777" w:rsidR="00D3344B" w:rsidRDefault="00D3344B">
      <w:pPr>
        <w:pStyle w:val="Estilo"/>
        <w:rPr>
          <w:rFonts w:cs="Arial"/>
        </w:rPr>
      </w:pPr>
    </w:p>
    <w:p w14:paraId="63905F1D" w14:textId="77777777" w:rsidR="00D3344B" w:rsidRDefault="00143C25">
      <w:pPr>
        <w:pStyle w:val="Estilo"/>
        <w:rPr>
          <w:rFonts w:cs="Arial"/>
        </w:rPr>
      </w:pPr>
      <w:r>
        <w:rPr>
          <w:rFonts w:cs="Arial"/>
          <w:b/>
        </w:rPr>
        <w:t>Artículo 410.</w:t>
      </w:r>
      <w:r>
        <w:rPr>
          <w:rFonts w:cs="Arial"/>
        </w:rPr>
        <w:t xml:space="preserve"> Si hubiere otros acreedores, los derechos de la hacienda pública estatal o municipal se determinarán de acuerdo con la prelación que establece este código.</w:t>
      </w:r>
    </w:p>
    <w:p w14:paraId="349DCF4D" w14:textId="77777777" w:rsidR="00D3344B" w:rsidRDefault="00D3344B">
      <w:pPr>
        <w:pStyle w:val="Estilo"/>
        <w:rPr>
          <w:rFonts w:cs="Arial"/>
        </w:rPr>
      </w:pPr>
    </w:p>
    <w:p w14:paraId="252688CD" w14:textId="77777777" w:rsidR="00D3344B" w:rsidRDefault="00143C25">
      <w:pPr>
        <w:pStyle w:val="Estilo"/>
        <w:rPr>
          <w:rFonts w:cs="Arial"/>
        </w:rPr>
      </w:pPr>
      <w:r>
        <w:rPr>
          <w:rFonts w:cs="Arial"/>
          <w:b/>
        </w:rPr>
        <w:t>Artículo 411.</w:t>
      </w:r>
      <w:r>
        <w:rPr>
          <w:rFonts w:cs="Arial"/>
        </w:rPr>
        <w:t xml:space="preserve"> La hacienda pública estatal o municipal podrá adjudicarse, en cualquier almoneda, los bienes ofrecidos en remate:</w:t>
      </w:r>
    </w:p>
    <w:p w14:paraId="525AF36B" w14:textId="77777777" w:rsidR="00D3344B" w:rsidRDefault="00D3344B">
      <w:pPr>
        <w:pStyle w:val="Estilo"/>
        <w:rPr>
          <w:rFonts w:cs="Arial"/>
        </w:rPr>
      </w:pPr>
    </w:p>
    <w:p w14:paraId="06392CA3" w14:textId="77777777" w:rsidR="00D3344B" w:rsidRDefault="00143C25">
      <w:pPr>
        <w:pStyle w:val="Estilo"/>
        <w:ind w:left="567" w:hanging="567"/>
        <w:rPr>
          <w:rFonts w:cs="Arial"/>
        </w:rPr>
      </w:pPr>
      <w:r>
        <w:rPr>
          <w:rFonts w:cs="Arial"/>
        </w:rPr>
        <w:t xml:space="preserve">I. </w:t>
      </w:r>
      <w:r>
        <w:rPr>
          <w:rFonts w:cs="Arial"/>
        </w:rPr>
        <w:tab/>
        <w:t>A falta de postores, por la base de la postura legal que habría de servir para la almoneda siguiente;</w:t>
      </w:r>
    </w:p>
    <w:p w14:paraId="5A7217BE" w14:textId="77777777" w:rsidR="00D3344B" w:rsidRDefault="00D3344B">
      <w:pPr>
        <w:pStyle w:val="Estilo"/>
        <w:ind w:left="567" w:hanging="567"/>
        <w:rPr>
          <w:rFonts w:cs="Arial"/>
        </w:rPr>
      </w:pPr>
    </w:p>
    <w:p w14:paraId="6605CC82" w14:textId="77777777" w:rsidR="00D3344B" w:rsidRDefault="00143C25">
      <w:pPr>
        <w:pStyle w:val="Estilo"/>
        <w:ind w:left="567" w:hanging="567"/>
        <w:rPr>
          <w:rFonts w:cs="Arial"/>
        </w:rPr>
      </w:pPr>
      <w:r>
        <w:rPr>
          <w:rFonts w:cs="Arial"/>
        </w:rPr>
        <w:t xml:space="preserve">II. </w:t>
      </w:r>
      <w:r>
        <w:rPr>
          <w:rFonts w:cs="Arial"/>
        </w:rPr>
        <w:tab/>
        <w:t>A falta de pujas, por la base de la postura legal no mejorada;</w:t>
      </w:r>
    </w:p>
    <w:p w14:paraId="07837411" w14:textId="77777777" w:rsidR="00D3344B" w:rsidRDefault="00D3344B">
      <w:pPr>
        <w:pStyle w:val="Estilo"/>
        <w:ind w:left="567" w:hanging="567"/>
        <w:rPr>
          <w:rFonts w:cs="Arial"/>
        </w:rPr>
      </w:pPr>
    </w:p>
    <w:p w14:paraId="590865AC" w14:textId="77777777" w:rsidR="00D3344B" w:rsidRDefault="00143C25">
      <w:pPr>
        <w:pStyle w:val="Estilo"/>
        <w:ind w:left="567" w:hanging="567"/>
        <w:rPr>
          <w:rFonts w:cs="Arial"/>
        </w:rPr>
      </w:pPr>
      <w:r>
        <w:rPr>
          <w:rFonts w:cs="Arial"/>
        </w:rPr>
        <w:t xml:space="preserve">III. </w:t>
      </w:r>
      <w:r>
        <w:rPr>
          <w:rFonts w:cs="Arial"/>
        </w:rPr>
        <w:tab/>
        <w:t>En caso de posturas o pujas iguales, por la cantidad en que se haya producido el empate, y</w:t>
      </w:r>
    </w:p>
    <w:p w14:paraId="32316BD9" w14:textId="77777777" w:rsidR="00D3344B" w:rsidRDefault="00D3344B">
      <w:pPr>
        <w:pStyle w:val="Estilo"/>
        <w:ind w:left="567" w:hanging="567"/>
        <w:rPr>
          <w:rFonts w:cs="Arial"/>
        </w:rPr>
      </w:pPr>
    </w:p>
    <w:p w14:paraId="2D03410B" w14:textId="77777777" w:rsidR="00D3344B" w:rsidRDefault="00143C25">
      <w:pPr>
        <w:pStyle w:val="Estilo"/>
        <w:ind w:left="567" w:hanging="567"/>
        <w:rPr>
          <w:rFonts w:cs="Arial"/>
        </w:rPr>
      </w:pPr>
      <w:r>
        <w:rPr>
          <w:rFonts w:cs="Arial"/>
        </w:rPr>
        <w:t xml:space="preserve">IV. </w:t>
      </w:r>
      <w:r>
        <w:rPr>
          <w:rFonts w:cs="Arial"/>
        </w:rPr>
        <w:tab/>
        <w:t>Hasta por el monto del adeudo, si éste no excede la cantidad en que deba fincarse el remate en la tercera almoneda, de acuerdo con lo estipulado en la parte final del siguiente artículo.</w:t>
      </w:r>
    </w:p>
    <w:p w14:paraId="70E31B55" w14:textId="77777777" w:rsidR="00D3344B" w:rsidRDefault="00D3344B">
      <w:pPr>
        <w:pStyle w:val="Estilo"/>
        <w:rPr>
          <w:rFonts w:cs="Arial"/>
        </w:rPr>
      </w:pPr>
    </w:p>
    <w:p w14:paraId="539C9200" w14:textId="77777777" w:rsidR="00D3344B" w:rsidRDefault="00143C25">
      <w:pPr>
        <w:pStyle w:val="Estilo"/>
        <w:rPr>
          <w:rFonts w:cs="Arial"/>
        </w:rPr>
      </w:pPr>
      <w:r>
        <w:rPr>
          <w:rFonts w:cs="Arial"/>
        </w:rPr>
        <w:t>La adjudicación regulada en este artículo sólo será válida si es aprobada por la autoridad fiscal competente.</w:t>
      </w:r>
    </w:p>
    <w:p w14:paraId="3899E93C" w14:textId="77777777" w:rsidR="00D3344B" w:rsidRDefault="00D3344B">
      <w:pPr>
        <w:pStyle w:val="Estilo"/>
        <w:rPr>
          <w:rFonts w:cs="Arial"/>
        </w:rPr>
      </w:pPr>
    </w:p>
    <w:p w14:paraId="03957778"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1814F3D0" w14:textId="77777777" w:rsidR="00D3344B" w:rsidRDefault="00143C25">
      <w:pPr>
        <w:pStyle w:val="Estilo"/>
        <w:rPr>
          <w:rFonts w:cs="Arial"/>
        </w:rPr>
      </w:pPr>
      <w:r>
        <w:rPr>
          <w:rFonts w:cs="Arial"/>
          <w:b/>
        </w:rPr>
        <w:t>Artículo 412.</w:t>
      </w:r>
      <w:r>
        <w:rPr>
          <w:rFonts w:cs="Arial"/>
        </w:rPr>
        <w:t xml:space="preserve"> Cuando no se hubiere fincado el remate en la primera almoneda, si la autoridad lo estima conveniente, se fijará nueva fecha y hora para que, dentro de los quince días siguientes, se lleve a cabo la segunda almoneda, cuya convocatoria se hará en términos de este artículo, con la salvedad que la publicación se hará únicamente en la página electrónica de la autoridad fiscal.</w:t>
      </w:r>
    </w:p>
    <w:p w14:paraId="76DA3565" w14:textId="77777777" w:rsidR="00D3344B" w:rsidRDefault="00D3344B">
      <w:pPr>
        <w:pStyle w:val="Estilo"/>
        <w:rPr>
          <w:rFonts w:cs="Arial"/>
        </w:rPr>
      </w:pPr>
    </w:p>
    <w:p w14:paraId="2C3F64CB" w14:textId="77777777" w:rsidR="00D3344B" w:rsidRDefault="00143C25">
      <w:pPr>
        <w:pStyle w:val="Estilo"/>
        <w:rPr>
          <w:rFonts w:cs="Arial"/>
        </w:rPr>
      </w:pPr>
      <w:r>
        <w:rPr>
          <w:rFonts w:cs="Arial"/>
        </w:rPr>
        <w:t>La base para el remate en la segunda almoneda se determinará deduciendo hasta un veinte por ciento de la señalada para la primera.</w:t>
      </w:r>
    </w:p>
    <w:p w14:paraId="170A9864" w14:textId="77777777" w:rsidR="00D3344B" w:rsidRDefault="00D3344B">
      <w:pPr>
        <w:pStyle w:val="Estilo"/>
        <w:rPr>
          <w:rFonts w:cs="Arial"/>
        </w:rPr>
      </w:pPr>
    </w:p>
    <w:p w14:paraId="0C84E33D" w14:textId="77777777" w:rsidR="00D3344B" w:rsidRDefault="00143C25">
      <w:pPr>
        <w:pStyle w:val="Estilo"/>
        <w:rPr>
          <w:rFonts w:cs="Arial"/>
        </w:rPr>
      </w:pPr>
      <w:r>
        <w:rPr>
          <w:rFonts w:cs="Arial"/>
          <w:i/>
          <w:sz w:val="16"/>
        </w:rPr>
        <w:t>(ADICIONADO, P.O. 30 DE DICIEMBRE DE 2005)</w:t>
      </w:r>
    </w:p>
    <w:p w14:paraId="610E4365" w14:textId="77777777" w:rsidR="00D3344B" w:rsidRDefault="00143C25">
      <w:pPr>
        <w:pStyle w:val="Estilo"/>
        <w:rPr>
          <w:rFonts w:cs="Arial"/>
        </w:rPr>
      </w:pPr>
      <w:r>
        <w:rPr>
          <w:rFonts w:cs="Arial"/>
        </w:rPr>
        <w:t>En caso de que el remate no se fincare en segunda almoneda, se considerará que el bien fue enajenado en un 50% del valor del avalúo, aceptándose como dación en pago para el efecto de que la autoridad pueda adjudicárselo, enajenarlo, donarlo para obras o servicios públicos o a instituciones.</w:t>
      </w:r>
    </w:p>
    <w:p w14:paraId="7B3C6848" w14:textId="77777777" w:rsidR="00D3344B" w:rsidRDefault="00D3344B">
      <w:pPr>
        <w:pStyle w:val="Estilo"/>
        <w:rPr>
          <w:rFonts w:cs="Arial"/>
        </w:rPr>
      </w:pPr>
    </w:p>
    <w:p w14:paraId="57799641" w14:textId="77777777" w:rsidR="00D3344B" w:rsidRDefault="00143C25">
      <w:pPr>
        <w:pStyle w:val="Estilo"/>
        <w:rPr>
          <w:rFonts w:cs="Arial"/>
        </w:rPr>
      </w:pPr>
      <w:r>
        <w:rPr>
          <w:rFonts w:cs="Arial"/>
          <w:b/>
        </w:rPr>
        <w:t>Artículo 413.</w:t>
      </w:r>
      <w:r>
        <w:rPr>
          <w:rFonts w:cs="Arial"/>
        </w:rPr>
        <w:t xml:space="preserve"> Las autoridades fiscales podrán vender los bienes embargados fuera de subasta cuando se trate de objetos de fácil descomposición o deterioro, de materias </w:t>
      </w:r>
      <w:proofErr w:type="spellStart"/>
      <w:r>
        <w:rPr>
          <w:rFonts w:cs="Arial"/>
        </w:rPr>
        <w:t>flamables</w:t>
      </w:r>
      <w:proofErr w:type="spellEnd"/>
      <w:r>
        <w:rPr>
          <w:rFonts w:cs="Arial"/>
        </w:rPr>
        <w:t xml:space="preserve"> o semovientes y cuando después de celebrada una almoneda declarada desierta, se presente con posterioridad un comprador que satisfaga en efectivo el precio íntegro que no sea inferior a la base de la primera almoneda.</w:t>
      </w:r>
    </w:p>
    <w:p w14:paraId="6E861E71" w14:textId="77777777" w:rsidR="00D3344B" w:rsidRDefault="00D3344B">
      <w:pPr>
        <w:pStyle w:val="Estilo"/>
        <w:rPr>
          <w:rFonts w:cs="Arial"/>
        </w:rPr>
      </w:pPr>
    </w:p>
    <w:p w14:paraId="2A4AC54C" w14:textId="77777777" w:rsidR="00D3344B" w:rsidRDefault="00143C25">
      <w:pPr>
        <w:pStyle w:val="Estilo"/>
        <w:rPr>
          <w:rFonts w:cs="Arial"/>
        </w:rPr>
      </w:pPr>
      <w:r>
        <w:rPr>
          <w:rFonts w:cs="Arial"/>
        </w:rPr>
        <w:t>Cuando se trate de bienes raíces o de bienes muebles que habiendo salido a subasta por lo menos en dos almonedas y no se hubieren presentado postores, las autoridades fiscales competentes autorizarán su venta al mejor comprador.</w:t>
      </w:r>
    </w:p>
    <w:p w14:paraId="117FABFC" w14:textId="77777777" w:rsidR="00D3344B" w:rsidRDefault="00D3344B">
      <w:pPr>
        <w:pStyle w:val="Estilo"/>
        <w:rPr>
          <w:rFonts w:cs="Arial"/>
        </w:rPr>
      </w:pPr>
    </w:p>
    <w:p w14:paraId="69F59EF0" w14:textId="77777777" w:rsidR="00D3344B" w:rsidRDefault="00143C25">
      <w:pPr>
        <w:pStyle w:val="Estilo"/>
        <w:rPr>
          <w:rFonts w:cs="Arial"/>
        </w:rPr>
      </w:pPr>
      <w:r>
        <w:rPr>
          <w:rFonts w:cs="Arial"/>
        </w:rPr>
        <w:t>También procederá la venta fuera de subasta, cuando el embargado señale al presunto comprador y acepte el precio que dicho comprador proponga, siempre que se pague de contado y cubra cuando menos la totalidad de los créditos fiscales.</w:t>
      </w:r>
    </w:p>
    <w:p w14:paraId="0EDF4677" w14:textId="77777777" w:rsidR="00D3344B" w:rsidRDefault="00D3344B">
      <w:pPr>
        <w:pStyle w:val="Estilo"/>
        <w:rPr>
          <w:rFonts w:cs="Arial"/>
        </w:rPr>
      </w:pPr>
    </w:p>
    <w:p w14:paraId="269EFE93" w14:textId="77777777" w:rsidR="00D3344B" w:rsidRDefault="00143C25">
      <w:pPr>
        <w:pStyle w:val="Estilo"/>
        <w:rPr>
          <w:rFonts w:cs="Arial"/>
        </w:rPr>
      </w:pPr>
      <w:r>
        <w:rPr>
          <w:rFonts w:cs="Arial"/>
          <w:b/>
        </w:rPr>
        <w:t>Artículo 414.</w:t>
      </w:r>
      <w:r>
        <w:rPr>
          <w:rFonts w:cs="Arial"/>
        </w:rPr>
        <w:t xml:space="preserve"> Las cantidades excedentes después de haber hecho la aplicación del producto del remate, venta fuera de subasta o adjudicación de los bienes secuestrados, se entregará al embargado, salvo que medie orden escrita de </w:t>
      </w:r>
      <w:r>
        <w:rPr>
          <w:rFonts w:cs="Arial"/>
        </w:rPr>
        <w:lastRenderedPageBreak/>
        <w:t>autoridad competente o que el propio embargado acepte, también por escrito, que se haga entrega parcial o total del saldo a un tercero.</w:t>
      </w:r>
    </w:p>
    <w:p w14:paraId="3C9921D9" w14:textId="77777777" w:rsidR="00D3344B" w:rsidRDefault="00D3344B">
      <w:pPr>
        <w:pStyle w:val="Estilo"/>
        <w:rPr>
          <w:rFonts w:cs="Arial"/>
        </w:rPr>
      </w:pPr>
    </w:p>
    <w:p w14:paraId="59B45081" w14:textId="77777777" w:rsidR="00D3344B" w:rsidRDefault="00143C25">
      <w:pPr>
        <w:pStyle w:val="Estilo"/>
        <w:rPr>
          <w:rFonts w:cs="Arial"/>
        </w:rPr>
      </w:pPr>
      <w:r>
        <w:rPr>
          <w:rFonts w:cs="Arial"/>
        </w:rPr>
        <w:t>En caso de conflicto, el remanente permanecerá en depósito de la autoridad fiscal competente, en tanto resuelven los tribunales judiciales correspondientes.</w:t>
      </w:r>
    </w:p>
    <w:p w14:paraId="75815A6C" w14:textId="77777777" w:rsidR="00D3344B" w:rsidRDefault="00D3344B">
      <w:pPr>
        <w:pStyle w:val="Estilo"/>
        <w:rPr>
          <w:rFonts w:cs="Arial"/>
        </w:rPr>
      </w:pPr>
    </w:p>
    <w:p w14:paraId="7E76E135" w14:textId="77777777" w:rsidR="00D3344B" w:rsidRDefault="00143C25">
      <w:pPr>
        <w:pStyle w:val="Estilo"/>
        <w:rPr>
          <w:rFonts w:cs="Arial"/>
          <w:i/>
          <w:iCs/>
          <w:sz w:val="16"/>
          <w:szCs w:val="16"/>
        </w:rPr>
      </w:pPr>
      <w:r>
        <w:rPr>
          <w:rFonts w:cs="Arial"/>
          <w:i/>
          <w:iCs/>
          <w:sz w:val="16"/>
          <w:szCs w:val="16"/>
        </w:rPr>
        <w:t>(REFORMADO, P.O. 22 DE DICIEMBRE DE 2021)</w:t>
      </w:r>
    </w:p>
    <w:p w14:paraId="31AAB7C0" w14:textId="77777777" w:rsidR="00D3344B" w:rsidRDefault="00143C25">
      <w:pPr>
        <w:pStyle w:val="Estilo"/>
        <w:rPr>
          <w:rFonts w:cs="Arial"/>
        </w:rPr>
      </w:pPr>
      <w:r>
        <w:rPr>
          <w:rFonts w:cs="Arial"/>
          <w:b/>
        </w:rPr>
        <w:t>Artículo 415.</w:t>
      </w:r>
      <w:r>
        <w:rPr>
          <w:rFonts w:cs="Arial"/>
        </w:rPr>
        <w:t xml:space="preserve"> De todo remate, se hará constar en la misma página electrónica de la autoridad fiscal convocante, el resultado de la misma, señalando con precisión el nombre del postor ganador y postura o puja ganadora.</w:t>
      </w:r>
    </w:p>
    <w:p w14:paraId="7D580036" w14:textId="77777777" w:rsidR="00D3344B" w:rsidRDefault="00D3344B">
      <w:pPr>
        <w:pStyle w:val="Estilo"/>
        <w:rPr>
          <w:rFonts w:cs="Arial"/>
        </w:rPr>
      </w:pPr>
    </w:p>
    <w:p w14:paraId="340D120D" w14:textId="77777777" w:rsidR="00D3344B" w:rsidRDefault="00143C25">
      <w:pPr>
        <w:pStyle w:val="Estilo"/>
        <w:jc w:val="center"/>
        <w:rPr>
          <w:rFonts w:cs="Arial"/>
          <w:b/>
        </w:rPr>
      </w:pPr>
      <w:r>
        <w:rPr>
          <w:rFonts w:cs="Arial"/>
          <w:b/>
        </w:rPr>
        <w:t>Sección Cuarta</w:t>
      </w:r>
    </w:p>
    <w:p w14:paraId="747A4F11" w14:textId="77777777" w:rsidR="00D3344B" w:rsidRDefault="00143C25">
      <w:pPr>
        <w:pStyle w:val="Estilo"/>
        <w:jc w:val="center"/>
        <w:rPr>
          <w:rFonts w:cs="Arial"/>
          <w:b/>
        </w:rPr>
      </w:pPr>
      <w:r>
        <w:rPr>
          <w:rFonts w:cs="Arial"/>
          <w:b/>
        </w:rPr>
        <w:t>Tercerías</w:t>
      </w:r>
    </w:p>
    <w:p w14:paraId="133830EC" w14:textId="77777777" w:rsidR="00D3344B" w:rsidRDefault="00D3344B">
      <w:pPr>
        <w:pStyle w:val="Estilo"/>
        <w:rPr>
          <w:rFonts w:cs="Arial"/>
        </w:rPr>
      </w:pPr>
    </w:p>
    <w:p w14:paraId="6DB97704" w14:textId="77777777" w:rsidR="00D3344B" w:rsidRDefault="00143C25">
      <w:pPr>
        <w:pStyle w:val="Estilo"/>
        <w:rPr>
          <w:rFonts w:cs="Arial"/>
        </w:rPr>
      </w:pPr>
      <w:r>
        <w:rPr>
          <w:rFonts w:cs="Arial"/>
          <w:b/>
        </w:rPr>
        <w:t>Artículo 416.</w:t>
      </w:r>
      <w:r>
        <w:rPr>
          <w:rFonts w:cs="Arial"/>
        </w:rPr>
        <w:t xml:space="preserve"> Las tercerías sólo podrán ser excluyentes de dominio o de preferencia en el pago; no suspenderán el procedimiento administrativo de ejecución y podrán intentarse en cualquier momento, siempre que:</w:t>
      </w:r>
    </w:p>
    <w:p w14:paraId="7F17D7E0" w14:textId="77777777" w:rsidR="00D3344B" w:rsidRDefault="00D3344B">
      <w:pPr>
        <w:pStyle w:val="Estilo"/>
        <w:rPr>
          <w:rFonts w:cs="Arial"/>
        </w:rPr>
      </w:pPr>
    </w:p>
    <w:p w14:paraId="50C19D4B" w14:textId="77777777" w:rsidR="00D3344B" w:rsidRDefault="00143C25">
      <w:pPr>
        <w:pStyle w:val="Estilo"/>
        <w:ind w:left="567" w:hanging="567"/>
        <w:rPr>
          <w:rFonts w:cs="Arial"/>
        </w:rPr>
      </w:pPr>
      <w:r>
        <w:rPr>
          <w:rFonts w:cs="Arial"/>
        </w:rPr>
        <w:t xml:space="preserve">I. </w:t>
      </w:r>
      <w:r>
        <w:rPr>
          <w:rFonts w:cs="Arial"/>
        </w:rPr>
        <w:tab/>
        <w:t>No se haya aprobado el remate y dado posesión de los bienes al adjudicatario, si fueren excluyentes de dominio, y</w:t>
      </w:r>
    </w:p>
    <w:p w14:paraId="2EBC15E5" w14:textId="77777777" w:rsidR="00D3344B" w:rsidRDefault="00D3344B">
      <w:pPr>
        <w:pStyle w:val="Estilo"/>
        <w:ind w:left="567" w:hanging="567"/>
        <w:rPr>
          <w:rFonts w:cs="Arial"/>
        </w:rPr>
      </w:pPr>
    </w:p>
    <w:p w14:paraId="00A0CF42" w14:textId="77777777" w:rsidR="00D3344B" w:rsidRDefault="00143C25">
      <w:pPr>
        <w:pStyle w:val="Estilo"/>
        <w:ind w:left="567" w:hanging="567"/>
        <w:rPr>
          <w:rFonts w:cs="Arial"/>
        </w:rPr>
      </w:pPr>
      <w:r>
        <w:rPr>
          <w:rFonts w:cs="Arial"/>
        </w:rPr>
        <w:t xml:space="preserve">II. </w:t>
      </w:r>
      <w:r>
        <w:rPr>
          <w:rFonts w:cs="Arial"/>
        </w:rPr>
        <w:tab/>
        <w:t>No se haya aplicado el producto del remate o los frutos de los bienes secuestrados al pago de los créditos fiscales adeudados, si fueren de preferencia en el pago.</w:t>
      </w:r>
    </w:p>
    <w:p w14:paraId="343BBB05" w14:textId="77777777" w:rsidR="00D3344B" w:rsidRDefault="00D3344B">
      <w:pPr>
        <w:pStyle w:val="Estilo"/>
        <w:rPr>
          <w:rFonts w:cs="Arial"/>
        </w:rPr>
      </w:pPr>
    </w:p>
    <w:p w14:paraId="72827074" w14:textId="77777777" w:rsidR="00D3344B" w:rsidRDefault="00143C25">
      <w:pPr>
        <w:pStyle w:val="Estilo"/>
        <w:rPr>
          <w:rFonts w:cs="Arial"/>
        </w:rPr>
      </w:pPr>
      <w:r>
        <w:rPr>
          <w:rFonts w:cs="Arial"/>
          <w:b/>
        </w:rPr>
        <w:t>Artículo 417.</w:t>
      </w:r>
      <w:r>
        <w:rPr>
          <w:rFonts w:cs="Arial"/>
        </w:rPr>
        <w:t xml:space="preserve"> El tercerista presentará, por duplicado, ante la autoridad fiscal competente que corresponda, instancia escrita debidamente motivada, a la que anexará los documentos que acrediten el derecho que ejercite.</w:t>
      </w:r>
    </w:p>
    <w:p w14:paraId="1120FBFB" w14:textId="77777777" w:rsidR="00D3344B" w:rsidRDefault="00D3344B">
      <w:pPr>
        <w:pStyle w:val="Estilo"/>
        <w:rPr>
          <w:rFonts w:cs="Arial"/>
        </w:rPr>
      </w:pPr>
    </w:p>
    <w:p w14:paraId="396F825C" w14:textId="77777777" w:rsidR="00D3344B" w:rsidRDefault="00143C25">
      <w:pPr>
        <w:pStyle w:val="Estilo"/>
        <w:rPr>
          <w:rFonts w:cs="Arial"/>
        </w:rPr>
      </w:pPr>
      <w:r>
        <w:rPr>
          <w:rFonts w:cs="Arial"/>
        </w:rPr>
        <w:t>De la promoción del tercerista se correrá traslado al deudor, para que conteste dentro de un término de tres días.</w:t>
      </w:r>
    </w:p>
    <w:p w14:paraId="05E8C36A" w14:textId="77777777" w:rsidR="00D3344B" w:rsidRDefault="00D3344B">
      <w:pPr>
        <w:pStyle w:val="Estilo"/>
        <w:rPr>
          <w:rFonts w:cs="Arial"/>
        </w:rPr>
      </w:pPr>
    </w:p>
    <w:p w14:paraId="4D9D71A1" w14:textId="77777777" w:rsidR="00D3344B" w:rsidRDefault="00143C25">
      <w:pPr>
        <w:pStyle w:val="Estilo"/>
        <w:rPr>
          <w:rFonts w:cs="Arial"/>
        </w:rPr>
      </w:pPr>
      <w:r>
        <w:rPr>
          <w:rFonts w:cs="Arial"/>
          <w:b/>
        </w:rPr>
        <w:t>Artículo 418.</w:t>
      </w:r>
      <w:r>
        <w:rPr>
          <w:rFonts w:cs="Arial"/>
        </w:rPr>
        <w:t xml:space="preserve"> Transcurrido el término a que se refiere el artículo anterior, de oficio se abrirá a prueba la controversia por diez días, durante los cuales las partes podrán ofrecer y rendir las pruebas establecidas por el derecho común, excepto la de confesión y la testimonial.</w:t>
      </w:r>
    </w:p>
    <w:p w14:paraId="2C1D0934" w14:textId="77777777" w:rsidR="00D3344B" w:rsidRDefault="00D3344B">
      <w:pPr>
        <w:pStyle w:val="Estilo"/>
        <w:rPr>
          <w:rFonts w:cs="Arial"/>
        </w:rPr>
      </w:pPr>
    </w:p>
    <w:p w14:paraId="70F6CFF4" w14:textId="77777777" w:rsidR="00D3344B" w:rsidRDefault="00143C25">
      <w:pPr>
        <w:pStyle w:val="Estilo"/>
        <w:rPr>
          <w:rFonts w:cs="Arial"/>
        </w:rPr>
      </w:pPr>
      <w:r>
        <w:rPr>
          <w:rFonts w:cs="Arial"/>
          <w:b/>
        </w:rPr>
        <w:t>Artículo 419.</w:t>
      </w:r>
      <w:r>
        <w:rPr>
          <w:rFonts w:cs="Arial"/>
        </w:rPr>
        <w:t xml:space="preserve"> Las autoridades fiscales competentes, con vista en las pruebas presentadas, resolverán en un término de diez días:</w:t>
      </w:r>
    </w:p>
    <w:p w14:paraId="4794A918" w14:textId="77777777" w:rsidR="00D3344B" w:rsidRDefault="00D3344B">
      <w:pPr>
        <w:pStyle w:val="Estilo"/>
        <w:rPr>
          <w:rFonts w:cs="Arial"/>
        </w:rPr>
      </w:pPr>
    </w:p>
    <w:p w14:paraId="2D27D576" w14:textId="77777777" w:rsidR="00D3344B" w:rsidRDefault="00143C25">
      <w:pPr>
        <w:pStyle w:val="Estilo"/>
        <w:ind w:left="567" w:hanging="567"/>
        <w:rPr>
          <w:rFonts w:cs="Arial"/>
        </w:rPr>
      </w:pPr>
      <w:r>
        <w:rPr>
          <w:rFonts w:cs="Arial"/>
        </w:rPr>
        <w:t xml:space="preserve">I. </w:t>
      </w:r>
      <w:r>
        <w:rPr>
          <w:rFonts w:cs="Arial"/>
        </w:rPr>
        <w:tab/>
        <w:t>Si el tercero ha comprobado o no sus derechos;</w:t>
      </w:r>
    </w:p>
    <w:p w14:paraId="6C34DE3D" w14:textId="77777777" w:rsidR="00D3344B" w:rsidRDefault="00D3344B">
      <w:pPr>
        <w:pStyle w:val="Estilo"/>
        <w:ind w:left="567" w:hanging="567"/>
        <w:rPr>
          <w:rFonts w:cs="Arial"/>
        </w:rPr>
      </w:pPr>
    </w:p>
    <w:p w14:paraId="433ECA36" w14:textId="77777777" w:rsidR="00D3344B" w:rsidRDefault="00143C25">
      <w:pPr>
        <w:pStyle w:val="Estilo"/>
        <w:ind w:left="567" w:hanging="567"/>
        <w:rPr>
          <w:rFonts w:cs="Arial"/>
        </w:rPr>
      </w:pPr>
      <w:r>
        <w:rPr>
          <w:rFonts w:cs="Arial"/>
        </w:rPr>
        <w:t xml:space="preserve">II. </w:t>
      </w:r>
      <w:r>
        <w:rPr>
          <w:rFonts w:cs="Arial"/>
        </w:rPr>
        <w:tab/>
        <w:t>Si tratándose de tercerías excluyentes de dominio, ha lugar a levantar el secuestro administrativo;</w:t>
      </w:r>
    </w:p>
    <w:p w14:paraId="5AE063CA" w14:textId="77777777" w:rsidR="00D3344B" w:rsidRDefault="00D3344B">
      <w:pPr>
        <w:pStyle w:val="Estilo"/>
        <w:ind w:left="567" w:hanging="567"/>
        <w:rPr>
          <w:rFonts w:cs="Arial"/>
        </w:rPr>
      </w:pPr>
    </w:p>
    <w:p w14:paraId="6D6124FB" w14:textId="77777777" w:rsidR="00D3344B" w:rsidRDefault="00143C25">
      <w:pPr>
        <w:pStyle w:val="Estilo"/>
        <w:ind w:left="567" w:hanging="567"/>
        <w:rPr>
          <w:rFonts w:cs="Arial"/>
        </w:rPr>
      </w:pPr>
      <w:r>
        <w:rPr>
          <w:rFonts w:cs="Arial"/>
        </w:rPr>
        <w:lastRenderedPageBreak/>
        <w:t xml:space="preserve">III. </w:t>
      </w:r>
      <w:r>
        <w:rPr>
          <w:rFonts w:cs="Arial"/>
        </w:rPr>
        <w:tab/>
        <w:t>Si conviene a los intereses de la hacienda pública estatal o municipal, cambiar el embargo a otros bienes del deudor, y</w:t>
      </w:r>
    </w:p>
    <w:p w14:paraId="42D4A0E7" w14:textId="77777777" w:rsidR="00D3344B" w:rsidRDefault="00D3344B">
      <w:pPr>
        <w:pStyle w:val="Estilo"/>
        <w:ind w:left="567" w:hanging="567"/>
        <w:rPr>
          <w:rFonts w:cs="Arial"/>
        </w:rPr>
      </w:pPr>
    </w:p>
    <w:p w14:paraId="722D9129" w14:textId="77777777" w:rsidR="00D3344B" w:rsidRDefault="00143C25">
      <w:pPr>
        <w:pStyle w:val="Estilo"/>
        <w:ind w:left="567" w:hanging="567"/>
        <w:rPr>
          <w:rFonts w:cs="Arial"/>
        </w:rPr>
      </w:pPr>
      <w:r>
        <w:rPr>
          <w:rFonts w:cs="Arial"/>
        </w:rPr>
        <w:t xml:space="preserve">IV. </w:t>
      </w:r>
      <w:r>
        <w:rPr>
          <w:rFonts w:cs="Arial"/>
        </w:rPr>
        <w:tab/>
        <w:t>Si embargados los bienes señalados por los terceros, conforme al artículo anterior, procede levantar los embargos, por haber quedado asegurados los intereses fiscales y sin perjuicio de trabar nueva ejecución, en caso necesario.</w:t>
      </w:r>
    </w:p>
    <w:p w14:paraId="5926CA87" w14:textId="77777777" w:rsidR="00D3344B" w:rsidRDefault="00D3344B">
      <w:pPr>
        <w:pStyle w:val="Estilo"/>
        <w:rPr>
          <w:rFonts w:cs="Arial"/>
        </w:rPr>
      </w:pPr>
    </w:p>
    <w:p w14:paraId="403487F7" w14:textId="77777777" w:rsidR="00D3344B" w:rsidRDefault="00143C25">
      <w:pPr>
        <w:pStyle w:val="Estilo"/>
        <w:rPr>
          <w:rFonts w:cs="Arial"/>
        </w:rPr>
      </w:pPr>
      <w:r>
        <w:rPr>
          <w:rFonts w:cs="Arial"/>
          <w:b/>
        </w:rPr>
        <w:t>Artículo 420.</w:t>
      </w:r>
      <w:r>
        <w:rPr>
          <w:rFonts w:cs="Arial"/>
        </w:rPr>
        <w:t xml:space="preserve"> Los terceros podrán ocurrir ante la autoridad fiscal competente, señalándole otros bienes propiedad del deudor del crédito fiscal, libres de todo gravamen y suficientes para garantizar los créditos fiscales adeudados. Esta circunstancia no obliga a la autoridad fiscal a levantar el embargo sobre los bienes.</w:t>
      </w:r>
    </w:p>
    <w:p w14:paraId="3A50F04A" w14:textId="77777777" w:rsidR="00D3344B" w:rsidRDefault="00D3344B">
      <w:pPr>
        <w:pStyle w:val="Estilo"/>
        <w:rPr>
          <w:rFonts w:cs="Arial"/>
        </w:rPr>
      </w:pPr>
    </w:p>
    <w:p w14:paraId="4E1F0D64" w14:textId="77777777" w:rsidR="00D3344B" w:rsidRDefault="00143C25">
      <w:pPr>
        <w:pStyle w:val="Estilo"/>
        <w:rPr>
          <w:rFonts w:cs="Arial"/>
        </w:rPr>
      </w:pPr>
      <w:r>
        <w:rPr>
          <w:rFonts w:cs="Arial"/>
          <w:b/>
        </w:rPr>
        <w:t>Artículo 421.</w:t>
      </w:r>
      <w:r>
        <w:rPr>
          <w:rFonts w:cs="Arial"/>
        </w:rPr>
        <w:t xml:space="preserve"> Los terceros que, satisfechos los créditos fiscales, pretendan cobrar adeudos sobre el remanente del producto del remate, sólo podrán hacerlo antes de que ese remanente sea devuelto o distribuido y siempre que concurra alguna de las circunstancias siguientes:</w:t>
      </w:r>
    </w:p>
    <w:p w14:paraId="18518C3F" w14:textId="77777777" w:rsidR="00D3344B" w:rsidRDefault="00D3344B">
      <w:pPr>
        <w:pStyle w:val="Estilo"/>
        <w:rPr>
          <w:rFonts w:cs="Arial"/>
        </w:rPr>
      </w:pPr>
    </w:p>
    <w:p w14:paraId="0B7E1B57" w14:textId="77777777" w:rsidR="00D3344B" w:rsidRDefault="00143C25">
      <w:pPr>
        <w:pStyle w:val="Estilo"/>
        <w:ind w:left="567" w:hanging="567"/>
        <w:rPr>
          <w:rFonts w:cs="Arial"/>
        </w:rPr>
      </w:pPr>
      <w:r>
        <w:rPr>
          <w:rFonts w:cs="Arial"/>
        </w:rPr>
        <w:t xml:space="preserve">I. </w:t>
      </w:r>
      <w:r>
        <w:rPr>
          <w:rFonts w:cs="Arial"/>
        </w:rPr>
        <w:tab/>
        <w:t>Que el deudor se conforme con ello, por escrito, ante la autoridad fiscal competente, y</w:t>
      </w:r>
    </w:p>
    <w:p w14:paraId="7FEB92E5" w14:textId="77777777" w:rsidR="00D3344B" w:rsidRDefault="00D3344B">
      <w:pPr>
        <w:pStyle w:val="Estilo"/>
        <w:ind w:left="567" w:hanging="567"/>
        <w:rPr>
          <w:rFonts w:cs="Arial"/>
        </w:rPr>
      </w:pPr>
    </w:p>
    <w:p w14:paraId="0B6F6789" w14:textId="77777777" w:rsidR="00D3344B" w:rsidRDefault="00143C25">
      <w:pPr>
        <w:pStyle w:val="Estilo"/>
        <w:ind w:left="567" w:hanging="567"/>
        <w:rPr>
          <w:rFonts w:cs="Arial"/>
        </w:rPr>
      </w:pPr>
      <w:r>
        <w:rPr>
          <w:rFonts w:cs="Arial"/>
        </w:rPr>
        <w:t xml:space="preserve">II. </w:t>
      </w:r>
      <w:r>
        <w:rPr>
          <w:rFonts w:cs="Arial"/>
        </w:rPr>
        <w:tab/>
        <w:t>Que medie orden escrita de autoridad competente.</w:t>
      </w:r>
    </w:p>
    <w:p w14:paraId="4BE3AE7D" w14:textId="77777777" w:rsidR="00D3344B" w:rsidRDefault="00D3344B">
      <w:pPr>
        <w:pStyle w:val="Estilo"/>
        <w:rPr>
          <w:rFonts w:cs="Arial"/>
        </w:rPr>
      </w:pPr>
    </w:p>
    <w:p w14:paraId="78A9C254" w14:textId="77777777" w:rsidR="00D3344B" w:rsidRDefault="00143C25">
      <w:pPr>
        <w:pStyle w:val="Estilo"/>
        <w:jc w:val="center"/>
        <w:rPr>
          <w:rFonts w:cs="Arial"/>
          <w:b/>
        </w:rPr>
      </w:pPr>
      <w:r>
        <w:rPr>
          <w:rFonts w:cs="Arial"/>
          <w:b/>
        </w:rPr>
        <w:t>Capítulo V</w:t>
      </w:r>
    </w:p>
    <w:p w14:paraId="23911750" w14:textId="77777777" w:rsidR="00D3344B" w:rsidRDefault="00143C25">
      <w:pPr>
        <w:pStyle w:val="Estilo"/>
        <w:jc w:val="center"/>
        <w:rPr>
          <w:rFonts w:cs="Arial"/>
          <w:b/>
        </w:rPr>
      </w:pPr>
      <w:r>
        <w:rPr>
          <w:rFonts w:cs="Arial"/>
          <w:b/>
        </w:rPr>
        <w:t>Recurso de Revocación</w:t>
      </w:r>
    </w:p>
    <w:p w14:paraId="10382937" w14:textId="77777777" w:rsidR="00D3344B" w:rsidRDefault="00D3344B">
      <w:pPr>
        <w:pStyle w:val="Estilo"/>
        <w:rPr>
          <w:rFonts w:cs="Arial"/>
        </w:rPr>
      </w:pPr>
    </w:p>
    <w:p w14:paraId="5591CB97" w14:textId="77777777" w:rsidR="00D3344B" w:rsidRDefault="00143C25">
      <w:pPr>
        <w:pStyle w:val="Estilo"/>
        <w:rPr>
          <w:rFonts w:cs="Arial"/>
          <w:i/>
          <w:sz w:val="16"/>
          <w:szCs w:val="16"/>
        </w:rPr>
      </w:pPr>
      <w:r>
        <w:rPr>
          <w:rFonts w:cs="Arial"/>
          <w:i/>
          <w:sz w:val="16"/>
          <w:szCs w:val="16"/>
        </w:rPr>
        <w:t>(REFORMADO PRIMER PÁRRAFO, P.O. 27 DE SEPTIEMBRE DE 2013)</w:t>
      </w:r>
    </w:p>
    <w:p w14:paraId="553C4AED" w14:textId="77777777" w:rsidR="00D3344B" w:rsidRDefault="00143C25">
      <w:pPr>
        <w:pStyle w:val="Estilo"/>
        <w:rPr>
          <w:rFonts w:cs="Arial"/>
        </w:rPr>
      </w:pPr>
      <w:r>
        <w:rPr>
          <w:rFonts w:cs="Arial"/>
          <w:b/>
        </w:rPr>
        <w:t>Artículo 422.</w:t>
      </w:r>
      <w:r>
        <w:rPr>
          <w:rFonts w:cs="Arial"/>
        </w:rPr>
        <w:t xml:space="preserve"> Contra los actos y resoluciones definitivas, en materia fiscal, dictados por las autoridades estatales y municipales, será procedente el recurso de revocación. Este recurso se interpondrá por el recurrente mediante escrito ante la autoridad fiscal que hubiere dictado el acto o resolución definitiva.</w:t>
      </w:r>
    </w:p>
    <w:p w14:paraId="05135598" w14:textId="77777777" w:rsidR="00D3344B" w:rsidRDefault="00D3344B">
      <w:pPr>
        <w:pStyle w:val="Estilo"/>
        <w:rPr>
          <w:rFonts w:cs="Arial"/>
        </w:rPr>
      </w:pPr>
    </w:p>
    <w:p w14:paraId="51C7667C" w14:textId="77777777" w:rsidR="00D3344B" w:rsidRDefault="00143C25">
      <w:pPr>
        <w:pStyle w:val="Estilo"/>
        <w:rPr>
          <w:rFonts w:cs="Arial"/>
        </w:rPr>
      </w:pPr>
      <w:r>
        <w:rPr>
          <w:rFonts w:cs="Arial"/>
          <w:i/>
          <w:sz w:val="16"/>
        </w:rPr>
        <w:t>(REFORMADO, P.O. 27 DE SEPTIEMBRE DE 2013)</w:t>
      </w:r>
    </w:p>
    <w:p w14:paraId="69B37AB6" w14:textId="77777777" w:rsidR="00D3344B" w:rsidRDefault="00143C25">
      <w:pPr>
        <w:pStyle w:val="Estilo"/>
        <w:rPr>
          <w:rFonts w:cs="Arial"/>
        </w:rPr>
      </w:pPr>
      <w:r>
        <w:rPr>
          <w:rFonts w:cs="Arial"/>
        </w:rPr>
        <w:t>El escrito de interposición del recurso de revocación deberá presentarse dentro de los quince días hábiles siguientes a aquél en que haya surtido efectos la notificación o tenido conocimiento del acto o resolución definitiva.</w:t>
      </w:r>
    </w:p>
    <w:p w14:paraId="257785E4" w14:textId="77777777" w:rsidR="00D3344B" w:rsidRDefault="00D3344B">
      <w:pPr>
        <w:pStyle w:val="Estilo"/>
        <w:rPr>
          <w:rFonts w:cs="Arial"/>
        </w:rPr>
      </w:pPr>
    </w:p>
    <w:p w14:paraId="75583346" w14:textId="77777777" w:rsidR="00D3344B" w:rsidRDefault="00143C25">
      <w:pPr>
        <w:pStyle w:val="Estilo"/>
        <w:rPr>
          <w:rFonts w:cs="Arial"/>
        </w:rPr>
      </w:pPr>
      <w:r>
        <w:rPr>
          <w:rFonts w:cs="Arial"/>
          <w:i/>
          <w:sz w:val="16"/>
        </w:rPr>
        <w:t>(ADICIONADO, P.O. 30 DE DICIEMBRE DE 2005)</w:t>
      </w:r>
    </w:p>
    <w:p w14:paraId="53B3EE27" w14:textId="77777777" w:rsidR="00D3344B" w:rsidRDefault="00143C25">
      <w:pPr>
        <w:pStyle w:val="Estilo"/>
        <w:rPr>
          <w:rFonts w:cs="Arial"/>
        </w:rPr>
      </w:pPr>
      <w:r>
        <w:rPr>
          <w:rFonts w:cs="Arial"/>
        </w:rPr>
        <w:t>Cuando un recurso se interponga ante autoridad fiscal incompetente, ésta lo turnará a la que sea competente.</w:t>
      </w:r>
    </w:p>
    <w:p w14:paraId="38C43366" w14:textId="77777777" w:rsidR="00D3344B" w:rsidRDefault="00D3344B">
      <w:pPr>
        <w:pStyle w:val="Estilo"/>
        <w:rPr>
          <w:rFonts w:cs="Arial"/>
        </w:rPr>
      </w:pPr>
    </w:p>
    <w:p w14:paraId="59F492BD" w14:textId="77777777" w:rsidR="00D3344B" w:rsidRDefault="00143C25">
      <w:pPr>
        <w:pStyle w:val="Estilo"/>
        <w:rPr>
          <w:rFonts w:cs="Arial"/>
        </w:rPr>
      </w:pPr>
      <w:r>
        <w:rPr>
          <w:rFonts w:cs="Arial"/>
          <w:i/>
          <w:sz w:val="16"/>
        </w:rPr>
        <w:t>(ADICIONADO, P.O. 24 DE DICIEMBRE DE 2003)</w:t>
      </w:r>
    </w:p>
    <w:p w14:paraId="16AE4FD4" w14:textId="77777777" w:rsidR="00D3344B" w:rsidRDefault="00143C25">
      <w:pPr>
        <w:pStyle w:val="Estilo"/>
        <w:rPr>
          <w:rFonts w:cs="Arial"/>
        </w:rPr>
      </w:pPr>
      <w:r>
        <w:rPr>
          <w:rFonts w:cs="Arial"/>
        </w:rPr>
        <w:t>Cuando el recurso se interponga en contra del Procedimiento Administrativo de Ejecución, se hará valer hasta antes de la publicación de la convocatoria en primera almoneda, si la violación hubiese surgido antes del remate, si surge después, se hará valer en contra de la resolución que finque el remate o la que autorice la venta fuera de subasta. El tercero lo podrá hacer valer en cualquier momento antes de que se finque el remate.</w:t>
      </w:r>
    </w:p>
    <w:p w14:paraId="38393276" w14:textId="77777777" w:rsidR="00D3344B" w:rsidRDefault="00D3344B">
      <w:pPr>
        <w:pStyle w:val="Estilo"/>
        <w:rPr>
          <w:rFonts w:cs="Arial"/>
        </w:rPr>
      </w:pPr>
    </w:p>
    <w:p w14:paraId="0551A66C" w14:textId="77777777" w:rsidR="00D3344B" w:rsidRDefault="00143C25">
      <w:pPr>
        <w:pStyle w:val="Estilo"/>
        <w:rPr>
          <w:rFonts w:cs="Arial"/>
        </w:rPr>
      </w:pPr>
      <w:r>
        <w:rPr>
          <w:rFonts w:cs="Arial"/>
          <w:i/>
          <w:sz w:val="16"/>
        </w:rPr>
        <w:t>(ADICIONADO, P.O. 24 DE DICIEMBRE DE 2003)</w:t>
      </w:r>
    </w:p>
    <w:p w14:paraId="286A30A3" w14:textId="77777777" w:rsidR="00D3344B" w:rsidRDefault="00143C25">
      <w:pPr>
        <w:pStyle w:val="Estilo"/>
        <w:rPr>
          <w:rFonts w:cs="Arial"/>
        </w:rPr>
      </w:pPr>
      <w:r>
        <w:rPr>
          <w:rFonts w:cs="Arial"/>
        </w:rPr>
        <w:t>Tratándose de notificaciones, cuando se alegue que éstas no se realizaron conforme a derecho, el contribuyente deberá manifestar bajo protesta de decir verdad, la fecha en que tuvo conocimiento del acto, pero si durante el procedimiento se demuestra que le fue notificado legalmente, se desechará de plano su recurso.</w:t>
      </w:r>
    </w:p>
    <w:p w14:paraId="0CD8A7EC" w14:textId="77777777" w:rsidR="00D3344B" w:rsidRDefault="00D3344B">
      <w:pPr>
        <w:pStyle w:val="Estilo"/>
        <w:rPr>
          <w:rFonts w:cs="Arial"/>
        </w:rPr>
      </w:pPr>
    </w:p>
    <w:p w14:paraId="6EAEBFE1" w14:textId="77777777" w:rsidR="00D3344B" w:rsidRDefault="00143C25">
      <w:pPr>
        <w:pStyle w:val="Estilo"/>
        <w:rPr>
          <w:rFonts w:cs="Arial"/>
        </w:rPr>
      </w:pPr>
      <w:r>
        <w:rPr>
          <w:rFonts w:cs="Arial"/>
          <w:b/>
        </w:rPr>
        <w:t>Artículo 423.</w:t>
      </w:r>
      <w:r>
        <w:rPr>
          <w:rFonts w:cs="Arial"/>
        </w:rPr>
        <w:t xml:space="preserve"> Es improcedente el recurso, cuando se haga valer contra actos:</w:t>
      </w:r>
    </w:p>
    <w:p w14:paraId="41040EF4" w14:textId="77777777" w:rsidR="00D3344B" w:rsidRDefault="00D3344B">
      <w:pPr>
        <w:pStyle w:val="Estilo"/>
        <w:rPr>
          <w:rFonts w:cs="Arial"/>
        </w:rPr>
      </w:pPr>
    </w:p>
    <w:p w14:paraId="53BE75FD" w14:textId="77777777" w:rsidR="00D3344B" w:rsidRDefault="00143C25">
      <w:pPr>
        <w:pStyle w:val="Estilo"/>
        <w:ind w:left="567" w:hanging="567"/>
        <w:rPr>
          <w:rFonts w:cs="Arial"/>
        </w:rPr>
      </w:pPr>
      <w:r>
        <w:rPr>
          <w:rFonts w:cs="Arial"/>
        </w:rPr>
        <w:t xml:space="preserve">I. </w:t>
      </w:r>
      <w:r>
        <w:rPr>
          <w:rFonts w:cs="Arial"/>
        </w:rPr>
        <w:tab/>
        <w:t>Que no afecten los intereses jurídicos del recurrente;</w:t>
      </w:r>
    </w:p>
    <w:p w14:paraId="4CC15276" w14:textId="77777777" w:rsidR="00D3344B" w:rsidRDefault="00D3344B">
      <w:pPr>
        <w:pStyle w:val="Estilo"/>
        <w:ind w:left="567" w:hanging="567"/>
        <w:rPr>
          <w:rFonts w:cs="Arial"/>
        </w:rPr>
      </w:pPr>
    </w:p>
    <w:p w14:paraId="2F8553C2" w14:textId="77777777" w:rsidR="00D3344B" w:rsidRDefault="00143C25">
      <w:pPr>
        <w:pStyle w:val="Estilo"/>
        <w:ind w:left="567" w:hanging="567"/>
        <w:rPr>
          <w:rFonts w:cs="Arial"/>
        </w:rPr>
      </w:pPr>
      <w:r>
        <w:rPr>
          <w:rFonts w:cs="Arial"/>
        </w:rPr>
        <w:t xml:space="preserve">II. </w:t>
      </w:r>
      <w:r>
        <w:rPr>
          <w:rFonts w:cs="Arial"/>
        </w:rPr>
        <w:tab/>
        <w:t>Que se hubieren consentido expresa o tácitamente, entendiéndose por consentimiento tácito el hecho de que el recurso se plantee fuera del término concedido para hacerlo;</w:t>
      </w:r>
    </w:p>
    <w:p w14:paraId="28EAF99E" w14:textId="77777777" w:rsidR="00D3344B" w:rsidRDefault="00D3344B">
      <w:pPr>
        <w:pStyle w:val="Estilo"/>
        <w:ind w:left="567" w:hanging="567"/>
        <w:rPr>
          <w:rFonts w:cs="Arial"/>
        </w:rPr>
      </w:pPr>
    </w:p>
    <w:p w14:paraId="5976E875" w14:textId="77777777" w:rsidR="00D3344B" w:rsidRDefault="00143C25">
      <w:pPr>
        <w:pStyle w:val="Estilo"/>
        <w:ind w:left="567" w:hanging="567"/>
        <w:rPr>
          <w:rFonts w:cs="Arial"/>
        </w:rPr>
      </w:pPr>
      <w:r>
        <w:rPr>
          <w:rFonts w:cs="Arial"/>
        </w:rPr>
        <w:t xml:space="preserve">III. </w:t>
      </w:r>
      <w:r>
        <w:rPr>
          <w:rFonts w:cs="Arial"/>
        </w:rPr>
        <w:tab/>
        <w:t>Que se hayan consumado de modo irreparable, y</w:t>
      </w:r>
    </w:p>
    <w:p w14:paraId="41C0A3F9" w14:textId="77777777" w:rsidR="00D3344B" w:rsidRDefault="00D3344B">
      <w:pPr>
        <w:pStyle w:val="Estilo"/>
        <w:ind w:left="567" w:hanging="567"/>
        <w:rPr>
          <w:rFonts w:cs="Arial"/>
        </w:rPr>
      </w:pPr>
    </w:p>
    <w:p w14:paraId="165F6EA3" w14:textId="77777777" w:rsidR="00D3344B" w:rsidRDefault="00143C25">
      <w:pPr>
        <w:pStyle w:val="Estilo"/>
        <w:ind w:left="567" w:hanging="567"/>
        <w:rPr>
          <w:rFonts w:cs="Arial"/>
        </w:rPr>
      </w:pPr>
      <w:r>
        <w:rPr>
          <w:rFonts w:cs="Arial"/>
        </w:rPr>
        <w:t xml:space="preserve">IV. </w:t>
      </w:r>
      <w:r>
        <w:rPr>
          <w:rFonts w:cs="Arial"/>
        </w:rPr>
        <w:tab/>
        <w:t>Que se encuentren ventilando mediante cualquier otro medio de defensa ante otra autoridad.</w:t>
      </w:r>
    </w:p>
    <w:p w14:paraId="66241B42" w14:textId="77777777" w:rsidR="00D3344B" w:rsidRDefault="00D3344B">
      <w:pPr>
        <w:pStyle w:val="Estilo"/>
        <w:ind w:left="567" w:hanging="567"/>
        <w:rPr>
          <w:rFonts w:cs="Arial"/>
        </w:rPr>
      </w:pPr>
    </w:p>
    <w:p w14:paraId="1236AE16" w14:textId="77777777" w:rsidR="00D3344B" w:rsidRDefault="00143C25">
      <w:pPr>
        <w:pStyle w:val="Estilo"/>
        <w:ind w:left="567" w:hanging="567"/>
        <w:rPr>
          <w:rFonts w:cs="Arial"/>
        </w:rPr>
      </w:pPr>
      <w:r>
        <w:rPr>
          <w:rFonts w:cs="Arial"/>
          <w:i/>
          <w:sz w:val="16"/>
        </w:rPr>
        <w:t>(ADICIONADA, P.O. 24 DE DICIEMBRE DE 2003)</w:t>
      </w:r>
    </w:p>
    <w:p w14:paraId="56C1462D" w14:textId="77777777" w:rsidR="00D3344B" w:rsidRDefault="00143C25">
      <w:pPr>
        <w:pStyle w:val="Estilo"/>
        <w:ind w:left="567" w:hanging="567"/>
        <w:rPr>
          <w:rFonts w:cs="Arial"/>
        </w:rPr>
      </w:pPr>
      <w:r>
        <w:rPr>
          <w:rFonts w:cs="Arial"/>
        </w:rPr>
        <w:t xml:space="preserve">V. </w:t>
      </w:r>
      <w:r>
        <w:rPr>
          <w:rFonts w:cs="Arial"/>
        </w:rPr>
        <w:tab/>
        <w:t>Que tengan por objeto hacer efectivas fianzas otorgadas en garantía de obligaciones fiscales a cargo de terceros.</w:t>
      </w:r>
    </w:p>
    <w:p w14:paraId="4FAE116D" w14:textId="77777777" w:rsidR="00D3344B" w:rsidRDefault="00D3344B">
      <w:pPr>
        <w:pStyle w:val="Estilo"/>
        <w:rPr>
          <w:rFonts w:cs="Arial"/>
        </w:rPr>
      </w:pPr>
    </w:p>
    <w:p w14:paraId="63DF5DB5" w14:textId="77777777" w:rsidR="00D3344B" w:rsidRDefault="00143C25">
      <w:pPr>
        <w:pStyle w:val="Estilo"/>
        <w:rPr>
          <w:rFonts w:cs="Arial"/>
        </w:rPr>
      </w:pPr>
      <w:r>
        <w:rPr>
          <w:rFonts w:cs="Arial"/>
          <w:b/>
        </w:rPr>
        <w:t>Artículo 424.</w:t>
      </w:r>
      <w:r>
        <w:rPr>
          <w:rFonts w:cs="Arial"/>
        </w:rPr>
        <w:t xml:space="preserve"> Todo escrito de interposición del recurso deberá cumplir las formalidades previstas en este código y estar firmado por el recurrente o su representante legal, a no ser que el contribuyente no sepa firmar, en cuyo caso imprimirá su huella digital ante cualquier persona que firmará el escrito a su ruego y encargo, expresando su nombre y domicilio para que, en su caso, se presente ante la autoridad que conozca del recurso, a ratificar junto con el recurrente, que la huella digital se imprimió en su presencia y del recurrente, el contenido del escrito y la huella que lo calce. La falta de este requisito o de la ratificación a que se refiere este artículo será motivo de que se deseche el recurso.</w:t>
      </w:r>
    </w:p>
    <w:p w14:paraId="0B1AE42A" w14:textId="77777777" w:rsidR="00D3344B" w:rsidRDefault="00D3344B">
      <w:pPr>
        <w:pStyle w:val="Estilo"/>
        <w:rPr>
          <w:rFonts w:cs="Arial"/>
        </w:rPr>
      </w:pPr>
    </w:p>
    <w:p w14:paraId="21AFD8F4" w14:textId="77777777" w:rsidR="00D3344B" w:rsidRDefault="00143C25">
      <w:pPr>
        <w:pStyle w:val="Estilo"/>
        <w:rPr>
          <w:rFonts w:cs="Arial"/>
        </w:rPr>
      </w:pPr>
      <w:r>
        <w:rPr>
          <w:rFonts w:cs="Arial"/>
          <w:i/>
          <w:sz w:val="16"/>
        </w:rPr>
        <w:t>(ADICIONADO, P.O. 24 DE DICIEMBRE DE 2003)</w:t>
      </w:r>
    </w:p>
    <w:p w14:paraId="7222DD3B" w14:textId="77777777" w:rsidR="00D3344B" w:rsidRDefault="00143C25">
      <w:pPr>
        <w:pStyle w:val="Estilo"/>
        <w:rPr>
          <w:rFonts w:cs="Arial"/>
        </w:rPr>
      </w:pPr>
      <w:r>
        <w:rPr>
          <w:rFonts w:cs="Arial"/>
        </w:rPr>
        <w:t>La omisión de los requisitos antes descritos, hará que la autoridad requiera al contribuyente para que en el término de cinco días hábiles subsane la omisión, si dentro de dicho plazo no lo hiciere, ni expresa agravios se desechará el recurso, si no se señala el acto impugnado, se tendrá por no interpuesto; si no se refiere a los hechos o al ofrecimiento de pruebas, el promovente perderá el derecho a señalar los hechos o se tendrán por no ofrecidas las probanzas, en su caso.</w:t>
      </w:r>
    </w:p>
    <w:p w14:paraId="3E8E2369" w14:textId="77777777" w:rsidR="00D3344B" w:rsidRDefault="00D3344B">
      <w:pPr>
        <w:pStyle w:val="Estilo"/>
        <w:rPr>
          <w:rFonts w:cs="Arial"/>
        </w:rPr>
      </w:pPr>
    </w:p>
    <w:p w14:paraId="6DF13A19" w14:textId="77777777" w:rsidR="00D3344B" w:rsidRDefault="00143C25">
      <w:pPr>
        <w:pStyle w:val="Estilo"/>
        <w:rPr>
          <w:rFonts w:cs="Arial"/>
        </w:rPr>
      </w:pPr>
      <w:r>
        <w:rPr>
          <w:rFonts w:cs="Arial"/>
          <w:b/>
        </w:rPr>
        <w:t>Artículo 425.</w:t>
      </w:r>
      <w:r>
        <w:rPr>
          <w:rFonts w:cs="Arial"/>
        </w:rPr>
        <w:t xml:space="preserve"> Deberán acompañarse al escrito de interposición del recurso, en original y copia legible o certificada ante notario:</w:t>
      </w:r>
    </w:p>
    <w:p w14:paraId="5A4ED1CF" w14:textId="77777777" w:rsidR="00D3344B" w:rsidRDefault="00D3344B">
      <w:pPr>
        <w:pStyle w:val="Estilo"/>
        <w:rPr>
          <w:rFonts w:cs="Arial"/>
        </w:rPr>
      </w:pPr>
    </w:p>
    <w:p w14:paraId="1CD3CE70" w14:textId="77777777" w:rsidR="00D3344B" w:rsidRDefault="00143C25">
      <w:pPr>
        <w:pStyle w:val="Estilo"/>
        <w:ind w:left="567" w:hanging="567"/>
        <w:rPr>
          <w:rFonts w:cs="Arial"/>
        </w:rPr>
      </w:pPr>
      <w:r>
        <w:rPr>
          <w:rFonts w:cs="Arial"/>
        </w:rPr>
        <w:t xml:space="preserve">I. </w:t>
      </w:r>
      <w:r>
        <w:rPr>
          <w:rFonts w:cs="Arial"/>
        </w:rPr>
        <w:tab/>
        <w:t>Los documentos que acrediten la personalidad;</w:t>
      </w:r>
    </w:p>
    <w:p w14:paraId="04A3692C" w14:textId="77777777" w:rsidR="00D3344B" w:rsidRDefault="00D3344B">
      <w:pPr>
        <w:pStyle w:val="Estilo"/>
        <w:ind w:left="567" w:hanging="567"/>
        <w:rPr>
          <w:rFonts w:cs="Arial"/>
        </w:rPr>
      </w:pPr>
    </w:p>
    <w:p w14:paraId="0C065F3B" w14:textId="77777777" w:rsidR="00D3344B" w:rsidRDefault="00143C25">
      <w:pPr>
        <w:pStyle w:val="Estilo"/>
        <w:ind w:left="567" w:hanging="567"/>
        <w:rPr>
          <w:rFonts w:cs="Arial"/>
        </w:rPr>
      </w:pPr>
      <w:r>
        <w:rPr>
          <w:rFonts w:cs="Arial"/>
        </w:rPr>
        <w:lastRenderedPageBreak/>
        <w:t xml:space="preserve">II. </w:t>
      </w:r>
      <w:r>
        <w:rPr>
          <w:rFonts w:cs="Arial"/>
        </w:rPr>
        <w:tab/>
        <w:t>El documento en que conste el acto o resolución impugnada, y</w:t>
      </w:r>
    </w:p>
    <w:p w14:paraId="6B800E48" w14:textId="77777777" w:rsidR="00D3344B" w:rsidRDefault="00D3344B">
      <w:pPr>
        <w:pStyle w:val="Estilo"/>
        <w:ind w:left="567" w:hanging="567"/>
        <w:rPr>
          <w:rFonts w:cs="Arial"/>
        </w:rPr>
      </w:pPr>
    </w:p>
    <w:p w14:paraId="2AB0D4AC" w14:textId="77777777" w:rsidR="00D3344B" w:rsidRDefault="00143C25">
      <w:pPr>
        <w:pStyle w:val="Estilo"/>
        <w:ind w:left="567" w:hanging="567"/>
        <w:rPr>
          <w:rFonts w:cs="Arial"/>
        </w:rPr>
      </w:pPr>
      <w:r>
        <w:rPr>
          <w:rFonts w:cs="Arial"/>
        </w:rPr>
        <w:t xml:space="preserve">III. </w:t>
      </w:r>
      <w:r>
        <w:rPr>
          <w:rFonts w:cs="Arial"/>
        </w:rPr>
        <w:tab/>
        <w:t>Las pruebas documentales que se ofrezcan y el dictamen pericial, en su caso.</w:t>
      </w:r>
    </w:p>
    <w:p w14:paraId="5CDB8F58" w14:textId="77777777" w:rsidR="00D3344B" w:rsidRDefault="00D3344B">
      <w:pPr>
        <w:pStyle w:val="Estilo"/>
        <w:rPr>
          <w:rFonts w:cs="Arial"/>
        </w:rPr>
      </w:pPr>
    </w:p>
    <w:p w14:paraId="6E16FA08" w14:textId="77777777" w:rsidR="00D3344B" w:rsidRDefault="00143C25">
      <w:pPr>
        <w:pStyle w:val="Estilo"/>
        <w:rPr>
          <w:rFonts w:cs="Arial"/>
        </w:rPr>
      </w:pPr>
      <w:r>
        <w:rPr>
          <w:rFonts w:cs="Arial"/>
        </w:rPr>
        <w:t>Ante la omisión de alguno de los documentos a que se refieren las fracciones anteriores, la autoridad que conozca del recurso, requerirá al promovente para que subsane dicha omisión dentro del término de cinco días hábiles, con el apercibimiento de tener por no interpuesto el recurso en caso de incumplimiento.</w:t>
      </w:r>
    </w:p>
    <w:p w14:paraId="028307A9" w14:textId="77777777" w:rsidR="00D3344B" w:rsidRDefault="00D3344B">
      <w:pPr>
        <w:pStyle w:val="Estilo"/>
        <w:rPr>
          <w:rFonts w:cs="Arial"/>
        </w:rPr>
      </w:pPr>
    </w:p>
    <w:p w14:paraId="77C99085" w14:textId="77777777" w:rsidR="00D3344B" w:rsidRDefault="00143C25">
      <w:pPr>
        <w:pStyle w:val="Estilo"/>
        <w:rPr>
          <w:rFonts w:cs="Arial"/>
        </w:rPr>
      </w:pPr>
      <w:r>
        <w:rPr>
          <w:rFonts w:cs="Arial"/>
          <w:b/>
        </w:rPr>
        <w:t>Artículo 426.</w:t>
      </w:r>
      <w:r>
        <w:rPr>
          <w:rFonts w:cs="Arial"/>
        </w:rPr>
        <w:t xml:space="preserve"> Interpuesto el recurso, la autoridad que conozca del mismo ordenará que se forme y registre un expediente y dictará acuerdo sobre la admisión del recurso dentro del término de cinco días contados a partir de la fecha en que fuese presentado el escrito del recurso o a partir de que el recurrente diere cumplimiento al requerimiento que se le formule, en su caso.</w:t>
      </w:r>
    </w:p>
    <w:p w14:paraId="0ABA2C04" w14:textId="77777777" w:rsidR="00D3344B" w:rsidRDefault="00D3344B">
      <w:pPr>
        <w:pStyle w:val="Estilo"/>
        <w:rPr>
          <w:rFonts w:cs="Arial"/>
        </w:rPr>
      </w:pPr>
    </w:p>
    <w:p w14:paraId="23375D03" w14:textId="77777777" w:rsidR="00D3344B" w:rsidRDefault="00143C25">
      <w:pPr>
        <w:pStyle w:val="Estilo"/>
        <w:rPr>
          <w:rFonts w:cs="Arial"/>
        </w:rPr>
      </w:pPr>
      <w:r>
        <w:rPr>
          <w:rFonts w:cs="Arial"/>
          <w:b/>
        </w:rPr>
        <w:t>Artículo 427.</w:t>
      </w:r>
      <w:r>
        <w:rPr>
          <w:rFonts w:cs="Arial"/>
        </w:rPr>
        <w:t xml:space="preserve"> En el mismo acuerdo a que se refiere el artículo anterior, la autoridad proveerá sobre la admisión de las pruebas ofrecidas, desechando las que no sean procedentes, admitirá las que hubieren sido ofrecidas dentro del término y con las formalidades que previene este código y señalará día y hora para su desahogo, en caso de que así se requiera. Asimismo, tendrá la facultad de allegarse de oficio las pruebas que estime necesarias para apreciar correctamente los hechos materia del recurso, notificando al recurrente sobre este hecho, para que dentro del término de tres días manifieste lo que a su interés convenga con relación a las mismas. Tales manifestaciones serán materia de apreciación en la resolución que se dicte en el recurso.</w:t>
      </w:r>
    </w:p>
    <w:p w14:paraId="1DF8017A" w14:textId="77777777" w:rsidR="00D3344B" w:rsidRDefault="00D3344B">
      <w:pPr>
        <w:pStyle w:val="Estilo"/>
        <w:rPr>
          <w:rFonts w:cs="Arial"/>
        </w:rPr>
      </w:pPr>
    </w:p>
    <w:p w14:paraId="4E5D6070" w14:textId="77777777" w:rsidR="00D3344B" w:rsidRDefault="00143C25">
      <w:pPr>
        <w:pStyle w:val="Estilo"/>
        <w:rPr>
          <w:rFonts w:cs="Arial"/>
        </w:rPr>
      </w:pPr>
      <w:r>
        <w:rPr>
          <w:rFonts w:cs="Arial"/>
          <w:b/>
        </w:rPr>
        <w:t>Artículo 428.</w:t>
      </w:r>
      <w:r>
        <w:rPr>
          <w:rFonts w:cs="Arial"/>
        </w:rPr>
        <w:t xml:space="preserve"> Sólo se admitirán en el recurso, las pruebas que tengan relación con el asunto y que no sean contrarias a la moral, tampoco se admitirán la testimonial ni la confesional, mediante absolución de posiciones directas, pero será procedente la petición de informes a las autoridades respecto de los hechos que consten en sus expedientes.</w:t>
      </w:r>
    </w:p>
    <w:p w14:paraId="6F498E96" w14:textId="77777777" w:rsidR="00D3344B" w:rsidRDefault="00D3344B">
      <w:pPr>
        <w:pStyle w:val="Estilo"/>
        <w:rPr>
          <w:rFonts w:cs="Arial"/>
        </w:rPr>
      </w:pPr>
    </w:p>
    <w:p w14:paraId="73F011E4" w14:textId="77777777" w:rsidR="00D3344B" w:rsidRDefault="00143C25">
      <w:pPr>
        <w:pStyle w:val="Estilo"/>
        <w:rPr>
          <w:rFonts w:cs="Arial"/>
        </w:rPr>
      </w:pPr>
      <w:r>
        <w:rPr>
          <w:rFonts w:cs="Arial"/>
          <w:b/>
        </w:rPr>
        <w:t>Artículo 429.</w:t>
      </w:r>
      <w:r>
        <w:rPr>
          <w:rFonts w:cs="Arial"/>
        </w:rPr>
        <w:t xml:space="preserve"> Harán prueba plena la confesión expresa del recurrente, las presunciones legalmente establecidas, los hechos legalmente afirmados por la autoridad en la documentación oficial que obre en el expediente y sobre los cuales el recurrente no exprese agravio alguno. Los documentos que contengan declaraciones o manifestaciones de particulares, sólo probarán plenamente que tales manifestaciones se hicieron, pero no así la verdad de las mismas.</w:t>
      </w:r>
    </w:p>
    <w:p w14:paraId="5BEB4C57" w14:textId="77777777" w:rsidR="00D3344B" w:rsidRDefault="00D3344B">
      <w:pPr>
        <w:pStyle w:val="Estilo"/>
        <w:rPr>
          <w:rFonts w:cs="Arial"/>
        </w:rPr>
      </w:pPr>
    </w:p>
    <w:p w14:paraId="6CDC90D3" w14:textId="77777777" w:rsidR="00D3344B" w:rsidRDefault="00143C25">
      <w:pPr>
        <w:pStyle w:val="Estilo"/>
        <w:rPr>
          <w:rFonts w:cs="Arial"/>
        </w:rPr>
      </w:pPr>
      <w:r>
        <w:rPr>
          <w:rFonts w:cs="Arial"/>
          <w:b/>
        </w:rPr>
        <w:t>Artículo 430.</w:t>
      </w:r>
      <w:r>
        <w:rPr>
          <w:rFonts w:cs="Arial"/>
        </w:rPr>
        <w:t xml:space="preserve"> La autoridad deberá resolver el recurso, en un término máximo de tres meses.</w:t>
      </w:r>
    </w:p>
    <w:p w14:paraId="64ACEC15" w14:textId="77777777" w:rsidR="00D3344B" w:rsidRDefault="00D3344B">
      <w:pPr>
        <w:pStyle w:val="Estilo"/>
        <w:rPr>
          <w:rFonts w:cs="Arial"/>
        </w:rPr>
      </w:pPr>
    </w:p>
    <w:p w14:paraId="58E9BE2A" w14:textId="77777777" w:rsidR="00D3344B" w:rsidRDefault="00143C25">
      <w:pPr>
        <w:pStyle w:val="Estilo"/>
        <w:rPr>
          <w:rFonts w:cs="Arial"/>
        </w:rPr>
      </w:pPr>
      <w:r>
        <w:rPr>
          <w:rFonts w:cs="Arial"/>
          <w:b/>
        </w:rPr>
        <w:t>Artículo 431.</w:t>
      </w:r>
      <w:r>
        <w:rPr>
          <w:rFonts w:cs="Arial"/>
        </w:rPr>
        <w:t xml:space="preserve"> La resolución deberá contener los motivos y razonamientos en que se apoye, fundarse en derecho y examinar todos los agravios que haga valer el recurrente, excepto cuando uno de los argumentos del recurrente sea suficiente para desvirtuar la validez del acto impugnado. En todo caso, la autoridad tendrá la </w:t>
      </w:r>
      <w:r>
        <w:rPr>
          <w:rFonts w:cs="Arial"/>
        </w:rPr>
        <w:lastRenderedPageBreak/>
        <w:t>facultad de invocar hechos notorios que sirvan de base para desvirtuar el acto impugnado.</w:t>
      </w:r>
    </w:p>
    <w:p w14:paraId="1A31379D" w14:textId="77777777" w:rsidR="00D3344B" w:rsidRDefault="00D3344B">
      <w:pPr>
        <w:pStyle w:val="Estilo"/>
        <w:rPr>
          <w:rFonts w:cs="Arial"/>
        </w:rPr>
      </w:pPr>
    </w:p>
    <w:p w14:paraId="6D2F3A27" w14:textId="77777777" w:rsidR="00D3344B" w:rsidRDefault="00143C25">
      <w:pPr>
        <w:pStyle w:val="Estilo"/>
        <w:rPr>
          <w:rFonts w:cs="Arial"/>
        </w:rPr>
      </w:pPr>
      <w:r>
        <w:rPr>
          <w:rFonts w:cs="Arial"/>
          <w:b/>
        </w:rPr>
        <w:t>Artículo 432.</w:t>
      </w:r>
      <w:r>
        <w:rPr>
          <w:rFonts w:cs="Arial"/>
        </w:rPr>
        <w:t xml:space="preserve"> La resolución que ponga fin al recurso podrá:</w:t>
      </w:r>
    </w:p>
    <w:p w14:paraId="47D6EC3E" w14:textId="77777777" w:rsidR="00D3344B" w:rsidRDefault="00D3344B">
      <w:pPr>
        <w:pStyle w:val="Estilo"/>
        <w:ind w:left="567" w:hanging="567"/>
        <w:rPr>
          <w:rFonts w:cs="Arial"/>
        </w:rPr>
      </w:pPr>
    </w:p>
    <w:p w14:paraId="1B31ECF4" w14:textId="77777777" w:rsidR="00D3344B" w:rsidRDefault="00143C25">
      <w:pPr>
        <w:pStyle w:val="Estilo"/>
        <w:ind w:left="567" w:hanging="567"/>
        <w:rPr>
          <w:rFonts w:cs="Arial"/>
        </w:rPr>
      </w:pPr>
      <w:r>
        <w:rPr>
          <w:rFonts w:cs="Arial"/>
        </w:rPr>
        <w:t xml:space="preserve">I. </w:t>
      </w:r>
      <w:r>
        <w:rPr>
          <w:rFonts w:cs="Arial"/>
        </w:rPr>
        <w:tab/>
        <w:t>Confirmar el acto o resolución impugnada;</w:t>
      </w:r>
    </w:p>
    <w:p w14:paraId="655C0BBA" w14:textId="77777777" w:rsidR="00D3344B" w:rsidRDefault="00D3344B">
      <w:pPr>
        <w:pStyle w:val="Estilo"/>
        <w:ind w:left="567" w:hanging="567"/>
        <w:rPr>
          <w:rFonts w:cs="Arial"/>
        </w:rPr>
      </w:pPr>
    </w:p>
    <w:p w14:paraId="173ADC87" w14:textId="77777777" w:rsidR="00D3344B" w:rsidRDefault="00143C25">
      <w:pPr>
        <w:pStyle w:val="Estilo"/>
        <w:ind w:left="567" w:hanging="567"/>
        <w:rPr>
          <w:rFonts w:cs="Arial"/>
        </w:rPr>
      </w:pPr>
      <w:r>
        <w:rPr>
          <w:rFonts w:cs="Arial"/>
        </w:rPr>
        <w:t xml:space="preserve">II. </w:t>
      </w:r>
      <w:r>
        <w:rPr>
          <w:rFonts w:cs="Arial"/>
        </w:rPr>
        <w:tab/>
        <w:t>Mandar reponer el acto administrativo u ordenar se realice determinado acto administrativo;</w:t>
      </w:r>
    </w:p>
    <w:p w14:paraId="482AE77B" w14:textId="77777777" w:rsidR="00D3344B" w:rsidRDefault="00D3344B">
      <w:pPr>
        <w:pStyle w:val="Estilo"/>
        <w:ind w:left="567" w:hanging="567"/>
        <w:rPr>
          <w:rFonts w:cs="Arial"/>
        </w:rPr>
      </w:pPr>
    </w:p>
    <w:p w14:paraId="30FF3B9E" w14:textId="77777777" w:rsidR="00D3344B" w:rsidRDefault="00143C25">
      <w:pPr>
        <w:pStyle w:val="Estilo"/>
        <w:ind w:left="567" w:hanging="567"/>
        <w:rPr>
          <w:rFonts w:cs="Arial"/>
        </w:rPr>
      </w:pPr>
      <w:r>
        <w:rPr>
          <w:rFonts w:cs="Arial"/>
        </w:rPr>
        <w:t xml:space="preserve">III. </w:t>
      </w:r>
      <w:r>
        <w:rPr>
          <w:rFonts w:cs="Arial"/>
        </w:rPr>
        <w:tab/>
        <w:t>Revocar, total o parcialmente, el acto o resolución impugnada. En este último caso se deberá precisar con claridad el monto del crédito fiscal que se deja sin efecto y el que subsiste, y</w:t>
      </w:r>
    </w:p>
    <w:p w14:paraId="4A9EDF62" w14:textId="77777777" w:rsidR="00D3344B" w:rsidRDefault="00D3344B">
      <w:pPr>
        <w:pStyle w:val="Estilo"/>
        <w:ind w:left="567" w:hanging="567"/>
        <w:rPr>
          <w:rFonts w:cs="Arial"/>
        </w:rPr>
      </w:pPr>
    </w:p>
    <w:p w14:paraId="4BEC9B47" w14:textId="77777777" w:rsidR="00D3344B" w:rsidRDefault="00143C25">
      <w:pPr>
        <w:pStyle w:val="Estilo"/>
        <w:ind w:left="567" w:hanging="567"/>
        <w:rPr>
          <w:rFonts w:cs="Arial"/>
        </w:rPr>
      </w:pPr>
      <w:r>
        <w:rPr>
          <w:rFonts w:cs="Arial"/>
        </w:rPr>
        <w:t xml:space="preserve">IV. </w:t>
      </w:r>
      <w:r>
        <w:rPr>
          <w:rFonts w:cs="Arial"/>
        </w:rPr>
        <w:tab/>
        <w:t>Sobreseer el recurso cuando el recurrente se desista del mismo, o por muerte del mismo, ocurrida durante la tramitación del procedimiento, si su pretensión es intransferible o con tal evento se deje sin materia el medio de defensa.</w:t>
      </w:r>
    </w:p>
    <w:p w14:paraId="4F0DC31E" w14:textId="77777777" w:rsidR="00D3344B" w:rsidRDefault="00D3344B">
      <w:pPr>
        <w:pStyle w:val="Estilo"/>
        <w:ind w:left="567" w:hanging="567"/>
        <w:rPr>
          <w:rFonts w:cs="Arial"/>
        </w:rPr>
      </w:pPr>
    </w:p>
    <w:p w14:paraId="5E0324F2" w14:textId="77777777" w:rsidR="00D3344B" w:rsidRDefault="00143C25">
      <w:pPr>
        <w:pStyle w:val="Estilo"/>
        <w:ind w:left="567" w:hanging="567"/>
        <w:rPr>
          <w:rFonts w:cs="Arial"/>
        </w:rPr>
      </w:pPr>
      <w:r>
        <w:rPr>
          <w:rFonts w:cs="Arial"/>
          <w:i/>
          <w:sz w:val="16"/>
        </w:rPr>
        <w:t>(ADICIONADA, P.O. 24 DE DICIEMBRE DE 2003)</w:t>
      </w:r>
    </w:p>
    <w:p w14:paraId="39AD49F5" w14:textId="77777777" w:rsidR="00D3344B" w:rsidRDefault="00143C25">
      <w:pPr>
        <w:pStyle w:val="Estilo"/>
        <w:ind w:left="567" w:hanging="567"/>
        <w:rPr>
          <w:rFonts w:cs="Arial"/>
        </w:rPr>
      </w:pPr>
      <w:r>
        <w:rPr>
          <w:rFonts w:cs="Arial"/>
        </w:rPr>
        <w:t xml:space="preserve">V. </w:t>
      </w:r>
      <w:r>
        <w:rPr>
          <w:rFonts w:cs="Arial"/>
        </w:rPr>
        <w:tab/>
        <w:t>Desecharlo por improcedente; o</w:t>
      </w:r>
    </w:p>
    <w:p w14:paraId="47FB0103" w14:textId="77777777" w:rsidR="00D3344B" w:rsidRDefault="00D3344B">
      <w:pPr>
        <w:pStyle w:val="Estilo"/>
        <w:ind w:left="567" w:hanging="567"/>
        <w:rPr>
          <w:rFonts w:cs="Arial"/>
        </w:rPr>
      </w:pPr>
    </w:p>
    <w:p w14:paraId="0362B519" w14:textId="77777777" w:rsidR="00D3344B" w:rsidRDefault="00143C25">
      <w:pPr>
        <w:pStyle w:val="Estilo"/>
        <w:ind w:left="567" w:hanging="567"/>
        <w:rPr>
          <w:rFonts w:cs="Arial"/>
        </w:rPr>
      </w:pPr>
      <w:r>
        <w:rPr>
          <w:rFonts w:cs="Arial"/>
          <w:i/>
          <w:sz w:val="16"/>
        </w:rPr>
        <w:t>(ADICIONADA, P.O. 24 DE DICIEMBRE DE 2003)</w:t>
      </w:r>
    </w:p>
    <w:p w14:paraId="7CCA2DDC" w14:textId="77777777" w:rsidR="00D3344B" w:rsidRDefault="00143C25">
      <w:pPr>
        <w:pStyle w:val="Estilo"/>
        <w:ind w:left="567" w:hanging="567"/>
        <w:rPr>
          <w:rFonts w:cs="Arial"/>
        </w:rPr>
      </w:pPr>
      <w:r>
        <w:rPr>
          <w:rFonts w:cs="Arial"/>
        </w:rPr>
        <w:t xml:space="preserve">VI. </w:t>
      </w:r>
      <w:r>
        <w:rPr>
          <w:rFonts w:cs="Arial"/>
        </w:rPr>
        <w:tab/>
        <w:t>Tenerlo por no interpuesto.</w:t>
      </w:r>
    </w:p>
    <w:p w14:paraId="734E5072" w14:textId="77777777" w:rsidR="00D3344B" w:rsidRDefault="00D3344B">
      <w:pPr>
        <w:pStyle w:val="Estilo"/>
        <w:rPr>
          <w:rFonts w:cs="Arial"/>
        </w:rPr>
      </w:pPr>
    </w:p>
    <w:p w14:paraId="1E712B9D" w14:textId="77777777" w:rsidR="00D3344B" w:rsidRDefault="00143C25">
      <w:pPr>
        <w:pStyle w:val="Estilo"/>
        <w:rPr>
          <w:rFonts w:cs="Arial"/>
        </w:rPr>
      </w:pPr>
      <w:r>
        <w:rPr>
          <w:rFonts w:cs="Arial"/>
          <w:b/>
        </w:rPr>
        <w:t>Artículo 433.</w:t>
      </w:r>
      <w:r>
        <w:rPr>
          <w:rFonts w:cs="Arial"/>
        </w:rPr>
        <w:t xml:space="preserve"> Si la resolución ordena realizar determinado acto o iniciar la reposición del procedimiento administrativo de ejecución, deberá darse cumplimiento dentro del término de tres meses calendario, </w:t>
      </w:r>
      <w:proofErr w:type="spellStart"/>
      <w:r>
        <w:rPr>
          <w:rFonts w:cs="Arial"/>
        </w:rPr>
        <w:t>aún</w:t>
      </w:r>
      <w:proofErr w:type="spellEnd"/>
      <w:r>
        <w:rPr>
          <w:rFonts w:cs="Arial"/>
        </w:rPr>
        <w:t xml:space="preserve"> cuando haya transcurrido el plazo para el ejercicio de la facultad de la autoridad de que se trate, de acuerdo con la disposición aplicable.</w:t>
      </w:r>
    </w:p>
    <w:p w14:paraId="76A2E5CC" w14:textId="77777777" w:rsidR="00D3344B" w:rsidRDefault="00D3344B">
      <w:pPr>
        <w:pStyle w:val="Estilo"/>
        <w:rPr>
          <w:rFonts w:cs="Arial"/>
        </w:rPr>
      </w:pPr>
    </w:p>
    <w:p w14:paraId="6256B30D" w14:textId="77777777" w:rsidR="00D3344B" w:rsidRDefault="00143C25">
      <w:pPr>
        <w:pStyle w:val="Estilo"/>
        <w:jc w:val="center"/>
        <w:rPr>
          <w:rFonts w:cs="Arial"/>
          <w:b/>
        </w:rPr>
      </w:pPr>
      <w:r>
        <w:rPr>
          <w:rFonts w:cs="Arial"/>
          <w:b/>
        </w:rPr>
        <w:t>TÍTULO DÉCIMO CUARTO</w:t>
      </w:r>
    </w:p>
    <w:p w14:paraId="331FE1F3" w14:textId="77777777" w:rsidR="00D3344B" w:rsidRDefault="00143C25">
      <w:pPr>
        <w:pStyle w:val="Estilo"/>
        <w:jc w:val="center"/>
        <w:rPr>
          <w:rFonts w:cs="Arial"/>
          <w:b/>
        </w:rPr>
      </w:pPr>
      <w:r>
        <w:rPr>
          <w:rFonts w:cs="Arial"/>
          <w:b/>
        </w:rPr>
        <w:t>PROCEDIMIENTO CONTENCIOSO ADMINISTRATIVO</w:t>
      </w:r>
    </w:p>
    <w:p w14:paraId="692BF427" w14:textId="77777777" w:rsidR="00D3344B" w:rsidRDefault="00D3344B">
      <w:pPr>
        <w:pStyle w:val="Estilo"/>
        <w:jc w:val="center"/>
        <w:rPr>
          <w:rFonts w:cs="Arial"/>
          <w:b/>
        </w:rPr>
      </w:pPr>
    </w:p>
    <w:p w14:paraId="564263F1" w14:textId="77777777" w:rsidR="00D3344B" w:rsidRDefault="00143C25">
      <w:pPr>
        <w:pStyle w:val="Estilo"/>
        <w:jc w:val="center"/>
        <w:rPr>
          <w:rFonts w:cs="Arial"/>
          <w:b/>
        </w:rPr>
      </w:pPr>
      <w:r>
        <w:rPr>
          <w:rFonts w:cs="Arial"/>
          <w:b/>
        </w:rPr>
        <w:t>Capítulo I</w:t>
      </w:r>
    </w:p>
    <w:p w14:paraId="4C010458" w14:textId="77777777" w:rsidR="00D3344B" w:rsidRDefault="00143C25">
      <w:pPr>
        <w:pStyle w:val="Estilo"/>
        <w:jc w:val="center"/>
        <w:rPr>
          <w:rFonts w:cs="Arial"/>
        </w:rPr>
      </w:pPr>
      <w:r>
        <w:rPr>
          <w:rFonts w:cs="Arial"/>
          <w:b/>
        </w:rPr>
        <w:t>Disposiciones Generales</w:t>
      </w:r>
    </w:p>
    <w:p w14:paraId="5E107E1B" w14:textId="77777777" w:rsidR="00D3344B" w:rsidRDefault="00D3344B">
      <w:pPr>
        <w:pStyle w:val="Estilo"/>
        <w:rPr>
          <w:rFonts w:cs="Arial"/>
        </w:rPr>
      </w:pPr>
    </w:p>
    <w:p w14:paraId="39C2BF5B" w14:textId="77777777" w:rsidR="00D3344B" w:rsidRDefault="00143C25">
      <w:pPr>
        <w:pStyle w:val="Estilo"/>
        <w:rPr>
          <w:rFonts w:cs="Arial"/>
        </w:rPr>
      </w:pPr>
      <w:r>
        <w:rPr>
          <w:rFonts w:cs="Arial"/>
          <w:b/>
        </w:rPr>
        <w:t>Artículo 434.</w:t>
      </w:r>
      <w:r>
        <w:rPr>
          <w:rFonts w:cs="Arial"/>
        </w:rPr>
        <w:t xml:space="preserve"> Los juicios que se promuevan ante el Tribunal, se regirán por las disposiciones de este título. A falta de disposición expresa se aplicará supletoriamente el Código de Procedimientos Civiles del Estado, siempre que la disposición de este último ordenamiento no contravenga al procedimiento contencioso que establece este código.</w:t>
      </w:r>
    </w:p>
    <w:p w14:paraId="7F33CEF6" w14:textId="77777777" w:rsidR="00D3344B" w:rsidRDefault="00D3344B">
      <w:pPr>
        <w:pStyle w:val="Estilo"/>
        <w:rPr>
          <w:rFonts w:cs="Arial"/>
        </w:rPr>
      </w:pPr>
    </w:p>
    <w:p w14:paraId="0197A975" w14:textId="77777777" w:rsidR="00D3344B" w:rsidRDefault="00143C25">
      <w:pPr>
        <w:pStyle w:val="Estilo"/>
        <w:rPr>
          <w:rFonts w:cs="Arial"/>
        </w:rPr>
      </w:pPr>
      <w:r>
        <w:rPr>
          <w:rFonts w:cs="Arial"/>
        </w:rPr>
        <w:t>En los casos en que la resolución impugnada afecte los intereses jurídicos de dos o más personas, y éstas promuevan juicio, en el escrito inicial de la demanda deberán designar un representante común que elegirán de entre ellas mismas, y si no lo hicieren, el magistrado designará con tal carácter a cualquiera de los interesados al admitir la demanda.</w:t>
      </w:r>
    </w:p>
    <w:p w14:paraId="324CAB2C" w14:textId="77777777" w:rsidR="00D3344B" w:rsidRDefault="00D3344B">
      <w:pPr>
        <w:pStyle w:val="Estilo"/>
        <w:rPr>
          <w:rFonts w:cs="Arial"/>
        </w:rPr>
      </w:pPr>
    </w:p>
    <w:p w14:paraId="424F7D45" w14:textId="77777777" w:rsidR="00D3344B" w:rsidRDefault="00143C25">
      <w:pPr>
        <w:pStyle w:val="Estilo"/>
        <w:rPr>
          <w:rFonts w:cs="Arial"/>
        </w:rPr>
      </w:pPr>
      <w:r>
        <w:rPr>
          <w:rFonts w:cs="Arial"/>
        </w:rPr>
        <w:t>Cuando la resolución recaída a un recurso administrativo no satisfaga el interés jurídico del recurrente y éste la controvierta, se entenderá que simultáneamente impugna la resolución recurrida en la parte que continúe afectándolo, pudiendo hacer valer conceptos de impugnación no planteados en el recurso.</w:t>
      </w:r>
    </w:p>
    <w:p w14:paraId="7E858D94" w14:textId="77777777" w:rsidR="00D3344B" w:rsidRDefault="00D3344B">
      <w:pPr>
        <w:pStyle w:val="Estilo"/>
        <w:rPr>
          <w:rFonts w:cs="Arial"/>
        </w:rPr>
      </w:pPr>
    </w:p>
    <w:p w14:paraId="64955043" w14:textId="77777777" w:rsidR="00D3344B" w:rsidRDefault="00143C25">
      <w:pPr>
        <w:pStyle w:val="Estilo"/>
        <w:rPr>
          <w:rFonts w:cs="Arial"/>
        </w:rPr>
      </w:pPr>
      <w:r>
        <w:rPr>
          <w:rFonts w:cs="Arial"/>
          <w:b/>
        </w:rPr>
        <w:t>Artículo 435.</w:t>
      </w:r>
      <w:r>
        <w:rPr>
          <w:rFonts w:cs="Arial"/>
        </w:rPr>
        <w:t xml:space="preserve"> Son partes en el juicio contencioso administrativo:</w:t>
      </w:r>
    </w:p>
    <w:p w14:paraId="4F3510F3" w14:textId="77777777" w:rsidR="00D3344B" w:rsidRDefault="00D3344B">
      <w:pPr>
        <w:pStyle w:val="Estilo"/>
        <w:rPr>
          <w:rFonts w:cs="Arial"/>
        </w:rPr>
      </w:pPr>
    </w:p>
    <w:p w14:paraId="41D828B9" w14:textId="77777777" w:rsidR="00D3344B" w:rsidRDefault="00143C25">
      <w:pPr>
        <w:pStyle w:val="Estilo"/>
        <w:ind w:left="567" w:hanging="567"/>
        <w:rPr>
          <w:rFonts w:cs="Arial"/>
        </w:rPr>
      </w:pPr>
      <w:r>
        <w:rPr>
          <w:rFonts w:cs="Arial"/>
        </w:rPr>
        <w:t xml:space="preserve">I. </w:t>
      </w:r>
      <w:r>
        <w:rPr>
          <w:rFonts w:cs="Arial"/>
        </w:rPr>
        <w:tab/>
        <w:t>El demandante;</w:t>
      </w:r>
    </w:p>
    <w:p w14:paraId="1C9F1102" w14:textId="77777777" w:rsidR="00D3344B" w:rsidRDefault="00D3344B">
      <w:pPr>
        <w:pStyle w:val="Estilo"/>
        <w:ind w:left="567" w:hanging="567"/>
        <w:rPr>
          <w:rFonts w:cs="Arial"/>
        </w:rPr>
      </w:pPr>
    </w:p>
    <w:p w14:paraId="1D5C3E5D" w14:textId="77777777" w:rsidR="00D3344B" w:rsidRDefault="00143C25">
      <w:pPr>
        <w:pStyle w:val="Estilo"/>
        <w:ind w:left="567" w:hanging="567"/>
        <w:rPr>
          <w:rFonts w:cs="Arial"/>
        </w:rPr>
      </w:pPr>
      <w:r>
        <w:rPr>
          <w:rFonts w:cs="Arial"/>
        </w:rPr>
        <w:t xml:space="preserve">II. </w:t>
      </w:r>
      <w:r>
        <w:rPr>
          <w:rFonts w:cs="Arial"/>
        </w:rPr>
        <w:tab/>
        <w:t>Los demandados. Tendrán ese carácter:</w:t>
      </w:r>
    </w:p>
    <w:p w14:paraId="76D137F2" w14:textId="77777777" w:rsidR="00D3344B" w:rsidRDefault="00D3344B">
      <w:pPr>
        <w:pStyle w:val="Estilo"/>
        <w:ind w:left="567" w:hanging="567"/>
        <w:rPr>
          <w:rFonts w:cs="Arial"/>
        </w:rPr>
      </w:pPr>
    </w:p>
    <w:p w14:paraId="535C27AA" w14:textId="77777777" w:rsidR="00D3344B" w:rsidRDefault="00143C25">
      <w:pPr>
        <w:pStyle w:val="Estilo"/>
        <w:ind w:left="1134" w:hanging="567"/>
        <w:rPr>
          <w:rFonts w:cs="Arial"/>
        </w:rPr>
      </w:pPr>
      <w:r>
        <w:rPr>
          <w:rFonts w:cs="Arial"/>
        </w:rPr>
        <w:t xml:space="preserve">a) </w:t>
      </w:r>
      <w:r>
        <w:rPr>
          <w:rFonts w:cs="Arial"/>
        </w:rPr>
        <w:tab/>
        <w:t>La autoridad que dictó la resolución impugnada.</w:t>
      </w:r>
    </w:p>
    <w:p w14:paraId="116A7C34" w14:textId="77777777" w:rsidR="00D3344B" w:rsidRDefault="00D3344B">
      <w:pPr>
        <w:pStyle w:val="Estilo"/>
        <w:ind w:left="1134" w:hanging="567"/>
        <w:rPr>
          <w:rFonts w:cs="Arial"/>
        </w:rPr>
      </w:pPr>
    </w:p>
    <w:p w14:paraId="3D2B8965" w14:textId="77777777" w:rsidR="00D3344B" w:rsidRDefault="00143C25">
      <w:pPr>
        <w:pStyle w:val="Estilo"/>
        <w:ind w:left="1134" w:hanging="567"/>
        <w:rPr>
          <w:rFonts w:cs="Arial"/>
        </w:rPr>
      </w:pPr>
      <w:r>
        <w:rPr>
          <w:rFonts w:cs="Arial"/>
        </w:rPr>
        <w:t xml:space="preserve">b) </w:t>
      </w:r>
      <w:r>
        <w:rPr>
          <w:rFonts w:cs="Arial"/>
        </w:rPr>
        <w:tab/>
        <w:t>El particular a quien favorezca la resolución cuya modificación o nulidad pida la autoridad administrativa.</w:t>
      </w:r>
    </w:p>
    <w:p w14:paraId="4A42AB80" w14:textId="77777777" w:rsidR="00D3344B" w:rsidRDefault="00D3344B">
      <w:pPr>
        <w:pStyle w:val="Estilo"/>
        <w:ind w:left="567" w:hanging="567"/>
        <w:rPr>
          <w:rFonts w:cs="Arial"/>
        </w:rPr>
      </w:pPr>
    </w:p>
    <w:p w14:paraId="7ABA3619" w14:textId="77777777" w:rsidR="00D3344B" w:rsidRDefault="00143C25">
      <w:pPr>
        <w:pStyle w:val="Estilo"/>
        <w:ind w:left="567" w:hanging="567"/>
        <w:rPr>
          <w:rFonts w:cs="Arial"/>
        </w:rPr>
      </w:pPr>
      <w:r>
        <w:rPr>
          <w:rFonts w:cs="Arial"/>
        </w:rPr>
        <w:t xml:space="preserve">III. </w:t>
      </w:r>
      <w:r>
        <w:rPr>
          <w:rFonts w:cs="Arial"/>
        </w:rPr>
        <w:tab/>
        <w:t>Los titulares de la Secretaría y Tesorerías y los titulares de las que dependa la autoridad mencionada en la fracción anterior;</w:t>
      </w:r>
    </w:p>
    <w:p w14:paraId="54BA4CCD" w14:textId="77777777" w:rsidR="00D3344B" w:rsidRDefault="00D3344B">
      <w:pPr>
        <w:pStyle w:val="Estilo"/>
        <w:ind w:left="567" w:hanging="567"/>
        <w:rPr>
          <w:rFonts w:cs="Arial"/>
        </w:rPr>
      </w:pPr>
    </w:p>
    <w:p w14:paraId="0A2127B9" w14:textId="77777777" w:rsidR="00D3344B" w:rsidRDefault="00143C25">
      <w:pPr>
        <w:pStyle w:val="Estilo"/>
        <w:ind w:left="567"/>
        <w:rPr>
          <w:rFonts w:cs="Arial"/>
        </w:rPr>
      </w:pPr>
      <w:r>
        <w:rPr>
          <w:rFonts w:cs="Arial"/>
        </w:rPr>
        <w:t>Dentro del mismo plazo que corresponda a la autoridad demandada, la Secretaría y las Tesorerías podrán apersonarse como parte en los otros juicios en que se controvierta el interés fiscal del Estado o del Municipio según corresponda, y</w:t>
      </w:r>
    </w:p>
    <w:p w14:paraId="34FD901E" w14:textId="77777777" w:rsidR="00D3344B" w:rsidRDefault="00D3344B">
      <w:pPr>
        <w:pStyle w:val="Estilo"/>
        <w:ind w:left="567" w:hanging="567"/>
        <w:rPr>
          <w:rFonts w:cs="Arial"/>
        </w:rPr>
      </w:pPr>
    </w:p>
    <w:p w14:paraId="7E8E934E" w14:textId="77777777" w:rsidR="00D3344B" w:rsidRDefault="00143C25">
      <w:pPr>
        <w:pStyle w:val="Estilo"/>
        <w:ind w:left="567" w:hanging="567"/>
        <w:rPr>
          <w:rFonts w:cs="Arial"/>
        </w:rPr>
      </w:pPr>
      <w:r>
        <w:rPr>
          <w:rFonts w:cs="Arial"/>
        </w:rPr>
        <w:t xml:space="preserve">IV. </w:t>
      </w:r>
      <w:r>
        <w:rPr>
          <w:rFonts w:cs="Arial"/>
        </w:rPr>
        <w:tab/>
        <w:t>El tercero que tenga un derecho incompatible con la pretensión del demandante.</w:t>
      </w:r>
    </w:p>
    <w:p w14:paraId="3EB61152" w14:textId="77777777" w:rsidR="00D3344B" w:rsidRDefault="00D3344B">
      <w:pPr>
        <w:pStyle w:val="Estilo"/>
        <w:rPr>
          <w:rFonts w:cs="Arial"/>
        </w:rPr>
      </w:pPr>
    </w:p>
    <w:p w14:paraId="69C34589" w14:textId="77777777" w:rsidR="00D3344B" w:rsidRDefault="00143C25">
      <w:pPr>
        <w:pStyle w:val="Estilo"/>
        <w:rPr>
          <w:rFonts w:cs="Arial"/>
        </w:rPr>
      </w:pPr>
      <w:r>
        <w:rPr>
          <w:rFonts w:cs="Arial"/>
        </w:rPr>
        <w:t>En cada escrito de demanda sólo podrá aparecer un demandante, salvo en los casos que se trate de la impugnación de resoluciones conexas que afecten los intereses jurídicos de dos o más personas, mismas que podrán promover el juicio de nulidad contra dichas resoluciones en un solo escrito de demanda, siempre que en el escrito designen de entre ellas mismas un representante común, en caso de no hacer la designación, el magistrado al admitir la demanda hará la designación.</w:t>
      </w:r>
    </w:p>
    <w:p w14:paraId="034F954E" w14:textId="77777777" w:rsidR="00D3344B" w:rsidRDefault="00D3344B">
      <w:pPr>
        <w:pStyle w:val="Estilo"/>
        <w:rPr>
          <w:rFonts w:cs="Arial"/>
        </w:rPr>
      </w:pPr>
    </w:p>
    <w:p w14:paraId="1F1F8078" w14:textId="77777777" w:rsidR="00D3344B" w:rsidRDefault="00143C25">
      <w:pPr>
        <w:pStyle w:val="Estilo"/>
        <w:rPr>
          <w:rFonts w:cs="Arial"/>
        </w:rPr>
      </w:pPr>
      <w:r>
        <w:rPr>
          <w:rFonts w:cs="Arial"/>
        </w:rPr>
        <w:t>El escrito de demanda en que promuevan dos o más personas en contravención de lo dispuesto en el párrafo anterior, se tendrá por no interpuesto.</w:t>
      </w:r>
    </w:p>
    <w:p w14:paraId="169038BE" w14:textId="77777777" w:rsidR="00D3344B" w:rsidRDefault="00D3344B">
      <w:pPr>
        <w:pStyle w:val="Estilo"/>
        <w:rPr>
          <w:rFonts w:cs="Arial"/>
        </w:rPr>
      </w:pPr>
    </w:p>
    <w:p w14:paraId="35DD7D88" w14:textId="77777777" w:rsidR="00D3344B" w:rsidRDefault="00143C25">
      <w:pPr>
        <w:pStyle w:val="Estilo"/>
        <w:rPr>
          <w:rFonts w:cs="Arial"/>
        </w:rPr>
      </w:pPr>
      <w:r>
        <w:rPr>
          <w:rFonts w:cs="Arial"/>
          <w:b/>
        </w:rPr>
        <w:t>Artículo 436.</w:t>
      </w:r>
      <w:r>
        <w:rPr>
          <w:rFonts w:cs="Arial"/>
        </w:rPr>
        <w:t xml:space="preserve"> Toda promoción deberá estar firmada por quien la formule y sin este requisito se tendrá por no presentada, a menos que el promovente no sepa o no pueda firmar, caso en el que imprimirá su huella digital y firmará otra persona a su ruego.</w:t>
      </w:r>
    </w:p>
    <w:p w14:paraId="0D25A034" w14:textId="77777777" w:rsidR="00D3344B" w:rsidRDefault="00D3344B">
      <w:pPr>
        <w:pStyle w:val="Estilo"/>
        <w:rPr>
          <w:rFonts w:cs="Arial"/>
        </w:rPr>
      </w:pPr>
    </w:p>
    <w:p w14:paraId="777F9D8A" w14:textId="77777777" w:rsidR="00D3344B" w:rsidRDefault="00143C25">
      <w:pPr>
        <w:pStyle w:val="Estilo"/>
        <w:rPr>
          <w:rFonts w:cs="Arial"/>
        </w:rPr>
      </w:pPr>
      <w:r>
        <w:rPr>
          <w:rFonts w:cs="Arial"/>
          <w:b/>
        </w:rPr>
        <w:t>Artículo 437.</w:t>
      </w:r>
      <w:r>
        <w:rPr>
          <w:rFonts w:cs="Arial"/>
        </w:rPr>
        <w:t xml:space="preserve"> Ante el Tribunal no procederá la gestión de negocios. Quien promueva a nombre de otra deberá acreditar que la representación le fue otorgada a más </w:t>
      </w:r>
      <w:r>
        <w:rPr>
          <w:rFonts w:cs="Arial"/>
        </w:rPr>
        <w:lastRenderedPageBreak/>
        <w:t>tardar, en la fecha de la presentación de la demanda o de la contestación, en su caso.</w:t>
      </w:r>
    </w:p>
    <w:p w14:paraId="75CBAF3D" w14:textId="77777777" w:rsidR="00D3344B" w:rsidRDefault="00D3344B">
      <w:pPr>
        <w:pStyle w:val="Estilo"/>
        <w:rPr>
          <w:rFonts w:cs="Arial"/>
        </w:rPr>
      </w:pPr>
    </w:p>
    <w:p w14:paraId="220EBDF5" w14:textId="77777777" w:rsidR="00D3344B" w:rsidRDefault="00143C25">
      <w:pPr>
        <w:pStyle w:val="Estilo"/>
        <w:rPr>
          <w:rFonts w:cs="Arial"/>
        </w:rPr>
      </w:pPr>
      <w:r>
        <w:rPr>
          <w:rFonts w:cs="Arial"/>
        </w:rPr>
        <w:t>La representación de los particulares se otorgará en escritura pública o carta poder firmada ante dos testigos y ratificadas las firmas del otorgante y testigos ante notario o corredor público, sin perjuicio de lo que disponga la legislación de profesiones.</w:t>
      </w:r>
    </w:p>
    <w:p w14:paraId="2A9A3127" w14:textId="77777777" w:rsidR="00D3344B" w:rsidRDefault="00D3344B">
      <w:pPr>
        <w:pStyle w:val="Estilo"/>
        <w:rPr>
          <w:rFonts w:cs="Arial"/>
        </w:rPr>
      </w:pPr>
    </w:p>
    <w:p w14:paraId="785C7424" w14:textId="77777777" w:rsidR="00D3344B" w:rsidRDefault="00143C25">
      <w:pPr>
        <w:pStyle w:val="Estilo"/>
        <w:rPr>
          <w:rFonts w:cs="Arial"/>
        </w:rPr>
      </w:pPr>
      <w:r>
        <w:rPr>
          <w:rFonts w:cs="Arial"/>
        </w:rPr>
        <w:t>La representación de las autoridades corresponderá a la unidad administrativa encargada de su defensa jurídica.</w:t>
      </w:r>
    </w:p>
    <w:p w14:paraId="0DE07427" w14:textId="77777777" w:rsidR="00D3344B" w:rsidRDefault="00D3344B">
      <w:pPr>
        <w:pStyle w:val="Estilo"/>
        <w:rPr>
          <w:rFonts w:cs="Arial"/>
        </w:rPr>
      </w:pPr>
    </w:p>
    <w:p w14:paraId="76D4C55F" w14:textId="77777777" w:rsidR="00D3344B" w:rsidRDefault="00143C25">
      <w:pPr>
        <w:pStyle w:val="Estilo"/>
        <w:rPr>
          <w:rFonts w:cs="Arial"/>
        </w:rPr>
      </w:pPr>
      <w:r>
        <w:rPr>
          <w:rFonts w:cs="Arial"/>
        </w:rP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w:t>
      </w:r>
    </w:p>
    <w:p w14:paraId="5BA4B91B" w14:textId="77777777" w:rsidR="00D3344B" w:rsidRDefault="00D3344B">
      <w:pPr>
        <w:pStyle w:val="Estilo"/>
        <w:rPr>
          <w:rFonts w:cs="Arial"/>
        </w:rPr>
      </w:pPr>
    </w:p>
    <w:p w14:paraId="595E3AB7" w14:textId="77777777" w:rsidR="00D3344B" w:rsidRDefault="00143C25">
      <w:pPr>
        <w:pStyle w:val="Estilo"/>
        <w:rPr>
          <w:rFonts w:cs="Arial"/>
        </w:rPr>
      </w:pPr>
      <w:r>
        <w:rPr>
          <w:rFonts w:cs="Arial"/>
          <w:b/>
        </w:rPr>
        <w:t>Artículo 438.</w:t>
      </w:r>
      <w:r>
        <w:rPr>
          <w:rFonts w:cs="Arial"/>
        </w:rPr>
        <w:t xml:space="preserve"> En los juicios que se tramiten ante el Tribunal no habrá lugar a condenación en costas. Cada parte será responsable de sus propios gastos y los que originen las diligencias que promuevan.</w:t>
      </w:r>
    </w:p>
    <w:p w14:paraId="0EFF6CA1" w14:textId="77777777" w:rsidR="00D3344B" w:rsidRDefault="00D3344B">
      <w:pPr>
        <w:pStyle w:val="Estilo"/>
        <w:rPr>
          <w:rFonts w:cs="Arial"/>
        </w:rPr>
      </w:pPr>
    </w:p>
    <w:p w14:paraId="77F71069" w14:textId="77777777" w:rsidR="00D3344B" w:rsidRDefault="00143C25">
      <w:pPr>
        <w:pStyle w:val="Estilo"/>
        <w:jc w:val="center"/>
        <w:rPr>
          <w:rFonts w:cs="Arial"/>
          <w:b/>
        </w:rPr>
      </w:pPr>
      <w:r>
        <w:rPr>
          <w:rFonts w:cs="Arial"/>
          <w:b/>
        </w:rPr>
        <w:t>Capítulo II</w:t>
      </w:r>
    </w:p>
    <w:p w14:paraId="5C3D87A0" w14:textId="77777777" w:rsidR="00D3344B" w:rsidRDefault="00143C25">
      <w:pPr>
        <w:pStyle w:val="Estilo"/>
        <w:jc w:val="center"/>
        <w:rPr>
          <w:rFonts w:cs="Arial"/>
          <w:b/>
        </w:rPr>
      </w:pPr>
      <w:r>
        <w:rPr>
          <w:rFonts w:cs="Arial"/>
          <w:b/>
        </w:rPr>
        <w:t>De la Improcedencia y del Sobreseimiento</w:t>
      </w:r>
    </w:p>
    <w:p w14:paraId="3F88EC27" w14:textId="77777777" w:rsidR="00D3344B" w:rsidRDefault="00D3344B">
      <w:pPr>
        <w:pStyle w:val="Estilo"/>
        <w:rPr>
          <w:rFonts w:cs="Arial"/>
        </w:rPr>
      </w:pPr>
    </w:p>
    <w:p w14:paraId="02D864A5" w14:textId="77777777" w:rsidR="00D3344B" w:rsidRDefault="00143C25">
      <w:pPr>
        <w:pStyle w:val="Estilo"/>
        <w:rPr>
          <w:rFonts w:cs="Arial"/>
        </w:rPr>
      </w:pPr>
      <w:r>
        <w:rPr>
          <w:rFonts w:cs="Arial"/>
          <w:b/>
        </w:rPr>
        <w:t>Artículo 439.</w:t>
      </w:r>
      <w:r>
        <w:rPr>
          <w:rFonts w:cs="Arial"/>
        </w:rPr>
        <w:t xml:space="preserve"> Es improcedente el juicio ante el Tribunal en los casos, por las causales y contra los actos siguientes:</w:t>
      </w:r>
    </w:p>
    <w:p w14:paraId="4299C490" w14:textId="77777777" w:rsidR="00D3344B" w:rsidRDefault="00D3344B">
      <w:pPr>
        <w:pStyle w:val="Estilo"/>
        <w:rPr>
          <w:rFonts w:cs="Arial"/>
        </w:rPr>
      </w:pPr>
    </w:p>
    <w:p w14:paraId="2016B21E" w14:textId="77777777" w:rsidR="00D3344B" w:rsidRDefault="00143C25">
      <w:pPr>
        <w:pStyle w:val="Estilo"/>
        <w:ind w:left="567" w:hanging="567"/>
        <w:rPr>
          <w:rFonts w:cs="Arial"/>
        </w:rPr>
      </w:pPr>
      <w:r>
        <w:rPr>
          <w:rFonts w:cs="Arial"/>
        </w:rPr>
        <w:t xml:space="preserve">I. </w:t>
      </w:r>
      <w:r>
        <w:rPr>
          <w:rFonts w:cs="Arial"/>
        </w:rPr>
        <w:tab/>
        <w:t>Que no afecten los intereses jurídicos del demandante;</w:t>
      </w:r>
    </w:p>
    <w:p w14:paraId="21BBDF4C" w14:textId="77777777" w:rsidR="00D3344B" w:rsidRDefault="00D3344B">
      <w:pPr>
        <w:pStyle w:val="Estilo"/>
        <w:ind w:left="567" w:hanging="567"/>
        <w:rPr>
          <w:rFonts w:cs="Arial"/>
        </w:rPr>
      </w:pPr>
    </w:p>
    <w:p w14:paraId="3F723B81" w14:textId="77777777" w:rsidR="00D3344B" w:rsidRDefault="00143C25">
      <w:pPr>
        <w:pStyle w:val="Estilo"/>
        <w:ind w:left="567" w:hanging="567"/>
        <w:rPr>
          <w:rFonts w:cs="Arial"/>
        </w:rPr>
      </w:pPr>
      <w:r>
        <w:rPr>
          <w:rFonts w:cs="Arial"/>
        </w:rPr>
        <w:t xml:space="preserve">II. </w:t>
      </w:r>
      <w:r>
        <w:rPr>
          <w:rFonts w:cs="Arial"/>
        </w:rPr>
        <w:tab/>
        <w:t>Cuya impugnación no corresponda conocer a dicho tribunal;</w:t>
      </w:r>
    </w:p>
    <w:p w14:paraId="1C6195FD" w14:textId="77777777" w:rsidR="00D3344B" w:rsidRDefault="00D3344B">
      <w:pPr>
        <w:pStyle w:val="Estilo"/>
        <w:ind w:left="567" w:hanging="567"/>
        <w:rPr>
          <w:rFonts w:cs="Arial"/>
        </w:rPr>
      </w:pPr>
    </w:p>
    <w:p w14:paraId="66C3C162" w14:textId="77777777" w:rsidR="00D3344B" w:rsidRDefault="00143C25">
      <w:pPr>
        <w:pStyle w:val="Estilo"/>
        <w:ind w:left="567" w:hanging="567"/>
        <w:rPr>
          <w:rFonts w:cs="Arial"/>
        </w:rPr>
      </w:pPr>
      <w:r>
        <w:rPr>
          <w:rFonts w:cs="Arial"/>
        </w:rPr>
        <w:t xml:space="preserve">III. </w:t>
      </w:r>
      <w:r>
        <w:rPr>
          <w:rFonts w:cs="Arial"/>
        </w:rPr>
        <w:tab/>
        <w:t>Que hayan sido materia de sentencia pronunciada por el Tribunal, siempre que hubiera identidad de partes y se trate del mismo acto impugnado, aunque las violaciones alegadas sean diversas;</w:t>
      </w:r>
    </w:p>
    <w:p w14:paraId="7EDEA876" w14:textId="77777777" w:rsidR="00D3344B" w:rsidRDefault="00D3344B">
      <w:pPr>
        <w:pStyle w:val="Estilo"/>
        <w:ind w:left="567" w:hanging="567"/>
        <w:rPr>
          <w:rFonts w:cs="Arial"/>
        </w:rPr>
      </w:pPr>
    </w:p>
    <w:p w14:paraId="3EF1AB3B" w14:textId="77777777" w:rsidR="00D3344B" w:rsidRDefault="00143C25">
      <w:pPr>
        <w:pStyle w:val="Estilo"/>
        <w:ind w:left="567" w:hanging="567"/>
        <w:rPr>
          <w:rFonts w:cs="Arial"/>
        </w:rPr>
      </w:pPr>
      <w:r>
        <w:rPr>
          <w:rFonts w:cs="Arial"/>
        </w:rPr>
        <w:t xml:space="preserve">IV. </w:t>
      </w:r>
      <w:r>
        <w:rPr>
          <w:rFonts w:cs="Arial"/>
        </w:rPr>
        <w:tab/>
        <w:t>Respecto de las cuales hubiere consentimiento, entendiéndose que hay consentimiento únicamente cuando no se promovió el medio de defensa o juicio ante el Tribunal en los plazos que señala este código;</w:t>
      </w:r>
    </w:p>
    <w:p w14:paraId="5842D3B8" w14:textId="77777777" w:rsidR="00D3344B" w:rsidRDefault="00D3344B">
      <w:pPr>
        <w:pStyle w:val="Estilo"/>
        <w:ind w:left="567" w:hanging="567"/>
        <w:rPr>
          <w:rFonts w:cs="Arial"/>
        </w:rPr>
      </w:pPr>
    </w:p>
    <w:p w14:paraId="16C11928" w14:textId="77777777" w:rsidR="00D3344B" w:rsidRDefault="00143C25">
      <w:pPr>
        <w:pStyle w:val="Estilo"/>
        <w:ind w:left="567" w:hanging="567"/>
        <w:rPr>
          <w:rFonts w:cs="Arial"/>
        </w:rPr>
      </w:pPr>
      <w:r>
        <w:rPr>
          <w:rFonts w:cs="Arial"/>
        </w:rPr>
        <w:t xml:space="preserve">V. </w:t>
      </w:r>
      <w:r>
        <w:rPr>
          <w:rFonts w:cs="Arial"/>
        </w:rPr>
        <w:tab/>
        <w:t>Que sean materia de un recurso o juicio que se encuentre pendiente de resolución ante una autoridad administrativa o ante el propio Tribunal;</w:t>
      </w:r>
    </w:p>
    <w:p w14:paraId="08EEC8CF" w14:textId="77777777" w:rsidR="00D3344B" w:rsidRDefault="00D3344B">
      <w:pPr>
        <w:pStyle w:val="Estilo"/>
        <w:ind w:left="567" w:hanging="567"/>
        <w:rPr>
          <w:rFonts w:cs="Arial"/>
        </w:rPr>
      </w:pPr>
    </w:p>
    <w:p w14:paraId="4B9A664B" w14:textId="77777777" w:rsidR="00D3344B" w:rsidRDefault="00143C25">
      <w:pPr>
        <w:pStyle w:val="Estilo"/>
        <w:ind w:left="567" w:hanging="567"/>
        <w:rPr>
          <w:rFonts w:cs="Arial"/>
        </w:rPr>
      </w:pPr>
      <w:r>
        <w:rPr>
          <w:rFonts w:cs="Arial"/>
        </w:rPr>
        <w:t xml:space="preserve">VI. </w:t>
      </w:r>
      <w:r>
        <w:rPr>
          <w:rFonts w:cs="Arial"/>
        </w:rPr>
        <w:tab/>
        <w:t>Conexos a otro que haya sido impugnado por medio de algún recurso o medio de defensa diferente;</w:t>
      </w:r>
    </w:p>
    <w:p w14:paraId="7D5334D1" w14:textId="77777777" w:rsidR="00D3344B" w:rsidRDefault="00D3344B">
      <w:pPr>
        <w:pStyle w:val="Estilo"/>
        <w:ind w:left="567" w:hanging="567"/>
        <w:rPr>
          <w:rFonts w:cs="Arial"/>
        </w:rPr>
      </w:pPr>
    </w:p>
    <w:p w14:paraId="7C1E3381" w14:textId="77777777" w:rsidR="00D3344B" w:rsidRDefault="00143C25">
      <w:pPr>
        <w:pStyle w:val="Estilo"/>
        <w:ind w:left="567" w:hanging="567"/>
        <w:rPr>
          <w:rFonts w:cs="Arial"/>
        </w:rPr>
      </w:pPr>
      <w:r>
        <w:rPr>
          <w:rFonts w:cs="Arial"/>
        </w:rPr>
        <w:t xml:space="preserve">VII. </w:t>
      </w:r>
      <w:r>
        <w:rPr>
          <w:rFonts w:cs="Arial"/>
        </w:rPr>
        <w:tab/>
        <w:t>Que hayan sido impugnados en otro procedimiento judicial;</w:t>
      </w:r>
    </w:p>
    <w:p w14:paraId="2DAAC630" w14:textId="77777777" w:rsidR="00D3344B" w:rsidRDefault="00D3344B">
      <w:pPr>
        <w:pStyle w:val="Estilo"/>
        <w:ind w:left="567" w:hanging="567"/>
        <w:rPr>
          <w:rFonts w:cs="Arial"/>
        </w:rPr>
      </w:pPr>
    </w:p>
    <w:p w14:paraId="0B81EFB0" w14:textId="77777777" w:rsidR="00D3344B" w:rsidRDefault="00143C25">
      <w:pPr>
        <w:pStyle w:val="Estilo"/>
        <w:ind w:left="567" w:hanging="567"/>
        <w:rPr>
          <w:rFonts w:cs="Arial"/>
        </w:rPr>
      </w:pPr>
      <w:r>
        <w:rPr>
          <w:rFonts w:cs="Arial"/>
        </w:rPr>
        <w:lastRenderedPageBreak/>
        <w:t xml:space="preserve">VIII. </w:t>
      </w:r>
      <w:r>
        <w:rPr>
          <w:rFonts w:cs="Arial"/>
        </w:rPr>
        <w:tab/>
        <w:t>Contra ordenamientos que den normas o instrucciones de carácter general y abstracto, sin haber sido aplicados concretamente al promovente;</w:t>
      </w:r>
    </w:p>
    <w:p w14:paraId="12D4FB06" w14:textId="77777777" w:rsidR="00D3344B" w:rsidRDefault="00D3344B">
      <w:pPr>
        <w:pStyle w:val="Estilo"/>
        <w:ind w:left="567" w:hanging="567"/>
        <w:rPr>
          <w:rFonts w:cs="Arial"/>
        </w:rPr>
      </w:pPr>
    </w:p>
    <w:p w14:paraId="0FAEBE9E" w14:textId="77777777" w:rsidR="00D3344B" w:rsidRDefault="00143C25">
      <w:pPr>
        <w:pStyle w:val="Estilo"/>
        <w:ind w:left="567" w:hanging="567"/>
        <w:rPr>
          <w:rFonts w:cs="Arial"/>
        </w:rPr>
      </w:pPr>
      <w:r>
        <w:rPr>
          <w:rFonts w:cs="Arial"/>
        </w:rPr>
        <w:t xml:space="preserve">IX. </w:t>
      </w:r>
      <w:r>
        <w:rPr>
          <w:rFonts w:cs="Arial"/>
        </w:rPr>
        <w:tab/>
        <w:t>Cuando no se hagan valer conceptos de impugnación;</w:t>
      </w:r>
    </w:p>
    <w:p w14:paraId="3DD37809" w14:textId="77777777" w:rsidR="00D3344B" w:rsidRDefault="00D3344B">
      <w:pPr>
        <w:pStyle w:val="Estilo"/>
        <w:ind w:left="567" w:hanging="567"/>
        <w:rPr>
          <w:rFonts w:cs="Arial"/>
        </w:rPr>
      </w:pPr>
    </w:p>
    <w:p w14:paraId="74B0B36E" w14:textId="77777777" w:rsidR="00D3344B" w:rsidRDefault="00143C25">
      <w:pPr>
        <w:pStyle w:val="Estilo"/>
        <w:ind w:left="567" w:hanging="567"/>
        <w:rPr>
          <w:rFonts w:cs="Arial"/>
        </w:rPr>
      </w:pPr>
      <w:r>
        <w:rPr>
          <w:rFonts w:cs="Arial"/>
        </w:rPr>
        <w:t xml:space="preserve">X. </w:t>
      </w:r>
      <w:r>
        <w:rPr>
          <w:rFonts w:cs="Arial"/>
        </w:rPr>
        <w:tab/>
        <w:t>Cuando de las constancias de autos apareciere claramente que no existe el acto reclamado, y</w:t>
      </w:r>
    </w:p>
    <w:p w14:paraId="39E06BB6" w14:textId="77777777" w:rsidR="00D3344B" w:rsidRDefault="00D3344B">
      <w:pPr>
        <w:pStyle w:val="Estilo"/>
        <w:ind w:left="567" w:hanging="567"/>
        <w:rPr>
          <w:rFonts w:cs="Arial"/>
        </w:rPr>
      </w:pPr>
    </w:p>
    <w:p w14:paraId="7190FC8E" w14:textId="77777777" w:rsidR="00D3344B" w:rsidRDefault="00143C25">
      <w:pPr>
        <w:pStyle w:val="Estilo"/>
        <w:ind w:left="567" w:hanging="567"/>
        <w:rPr>
          <w:rFonts w:cs="Arial"/>
        </w:rPr>
      </w:pPr>
      <w:r>
        <w:rPr>
          <w:rFonts w:cs="Arial"/>
        </w:rPr>
        <w:t xml:space="preserve">XI. </w:t>
      </w:r>
      <w:r>
        <w:rPr>
          <w:rFonts w:cs="Arial"/>
        </w:rPr>
        <w:tab/>
        <w:t>En los demás casos en que la improcedencia resulte de alguna disposición de este Código.</w:t>
      </w:r>
    </w:p>
    <w:p w14:paraId="6235D2D0" w14:textId="77777777" w:rsidR="00D3344B" w:rsidRDefault="00D3344B">
      <w:pPr>
        <w:pStyle w:val="Estilo"/>
        <w:rPr>
          <w:rFonts w:cs="Arial"/>
        </w:rPr>
      </w:pPr>
    </w:p>
    <w:p w14:paraId="45E55FE3" w14:textId="77777777" w:rsidR="00D3344B" w:rsidRDefault="00143C25">
      <w:pPr>
        <w:pStyle w:val="Estilo"/>
        <w:rPr>
          <w:rFonts w:cs="Arial"/>
        </w:rPr>
      </w:pPr>
      <w:r>
        <w:rPr>
          <w:rFonts w:cs="Arial"/>
        </w:rPr>
        <w:t>La procedencia del juicio será examinada de oficio.</w:t>
      </w:r>
    </w:p>
    <w:p w14:paraId="0B9C57A4" w14:textId="77777777" w:rsidR="00D3344B" w:rsidRDefault="00D3344B">
      <w:pPr>
        <w:pStyle w:val="Estilo"/>
        <w:rPr>
          <w:rFonts w:cs="Arial"/>
        </w:rPr>
      </w:pPr>
    </w:p>
    <w:p w14:paraId="07DAEFB2" w14:textId="77777777" w:rsidR="00D3344B" w:rsidRDefault="00143C25">
      <w:pPr>
        <w:pStyle w:val="Estilo"/>
        <w:rPr>
          <w:rFonts w:cs="Arial"/>
        </w:rPr>
      </w:pPr>
      <w:r>
        <w:rPr>
          <w:rFonts w:cs="Arial"/>
          <w:b/>
        </w:rPr>
        <w:t>Artículo 440.</w:t>
      </w:r>
      <w:r>
        <w:rPr>
          <w:rFonts w:cs="Arial"/>
        </w:rPr>
        <w:t xml:space="preserve"> Procede el sobreseimiento:</w:t>
      </w:r>
    </w:p>
    <w:p w14:paraId="752A2D38" w14:textId="77777777" w:rsidR="00D3344B" w:rsidRDefault="00D3344B">
      <w:pPr>
        <w:pStyle w:val="Estilo"/>
        <w:rPr>
          <w:rFonts w:cs="Arial"/>
        </w:rPr>
      </w:pPr>
    </w:p>
    <w:p w14:paraId="6E15A7F7" w14:textId="77777777" w:rsidR="00D3344B" w:rsidRDefault="00143C25">
      <w:pPr>
        <w:pStyle w:val="Estilo"/>
        <w:ind w:left="567" w:hanging="567"/>
        <w:rPr>
          <w:rFonts w:cs="Arial"/>
        </w:rPr>
      </w:pPr>
      <w:r>
        <w:rPr>
          <w:rFonts w:cs="Arial"/>
        </w:rPr>
        <w:t xml:space="preserve">I. </w:t>
      </w:r>
      <w:r>
        <w:rPr>
          <w:rFonts w:cs="Arial"/>
        </w:rPr>
        <w:tab/>
        <w:t>Por desistimiento del demandante;</w:t>
      </w:r>
    </w:p>
    <w:p w14:paraId="4FD99ADA" w14:textId="77777777" w:rsidR="00D3344B" w:rsidRDefault="00D3344B">
      <w:pPr>
        <w:pStyle w:val="Estilo"/>
        <w:ind w:left="567" w:hanging="567"/>
        <w:rPr>
          <w:rFonts w:cs="Arial"/>
        </w:rPr>
      </w:pPr>
    </w:p>
    <w:p w14:paraId="6A167B3A" w14:textId="77777777" w:rsidR="00D3344B" w:rsidRDefault="00143C25">
      <w:pPr>
        <w:pStyle w:val="Estilo"/>
        <w:ind w:left="567" w:hanging="567"/>
        <w:rPr>
          <w:rFonts w:cs="Arial"/>
        </w:rPr>
      </w:pPr>
      <w:r>
        <w:rPr>
          <w:rFonts w:cs="Arial"/>
        </w:rPr>
        <w:t xml:space="preserve">II. </w:t>
      </w:r>
      <w:r>
        <w:rPr>
          <w:rFonts w:cs="Arial"/>
        </w:rPr>
        <w:tab/>
        <w:t>Cuando durante el juicio aparezca o sobrevenga alguna de las causas de improcedencia a que se refiere el artículo anterior;</w:t>
      </w:r>
    </w:p>
    <w:p w14:paraId="7B825EB2" w14:textId="77777777" w:rsidR="00D3344B" w:rsidRDefault="00D3344B">
      <w:pPr>
        <w:pStyle w:val="Estilo"/>
        <w:ind w:left="567" w:hanging="567"/>
        <w:rPr>
          <w:rFonts w:cs="Arial"/>
        </w:rPr>
      </w:pPr>
    </w:p>
    <w:p w14:paraId="5377D1D1" w14:textId="77777777" w:rsidR="00D3344B" w:rsidRDefault="00143C25">
      <w:pPr>
        <w:pStyle w:val="Estilo"/>
        <w:ind w:left="567" w:hanging="567"/>
        <w:rPr>
          <w:rFonts w:cs="Arial"/>
        </w:rPr>
      </w:pPr>
      <w:r>
        <w:rPr>
          <w:rFonts w:cs="Arial"/>
        </w:rPr>
        <w:t xml:space="preserve">III. </w:t>
      </w:r>
      <w:r>
        <w:rPr>
          <w:rFonts w:cs="Arial"/>
        </w:rPr>
        <w:tab/>
        <w:t>En el caso de que el demandante muera durante el juicio, si su pretensión es intransmisible o si su muerte deja sin materia el proceso;</w:t>
      </w:r>
    </w:p>
    <w:p w14:paraId="36B92235" w14:textId="77777777" w:rsidR="00D3344B" w:rsidRDefault="00D3344B">
      <w:pPr>
        <w:pStyle w:val="Estilo"/>
        <w:ind w:left="567" w:hanging="567"/>
        <w:rPr>
          <w:rFonts w:cs="Arial"/>
        </w:rPr>
      </w:pPr>
    </w:p>
    <w:p w14:paraId="77621894" w14:textId="77777777" w:rsidR="00D3344B" w:rsidRDefault="00143C25">
      <w:pPr>
        <w:pStyle w:val="Estilo"/>
        <w:ind w:left="567" w:hanging="567"/>
        <w:rPr>
          <w:rFonts w:cs="Arial"/>
        </w:rPr>
      </w:pPr>
      <w:r>
        <w:rPr>
          <w:rFonts w:cs="Arial"/>
        </w:rPr>
        <w:t xml:space="preserve">IV. </w:t>
      </w:r>
      <w:r>
        <w:rPr>
          <w:rFonts w:cs="Arial"/>
        </w:rPr>
        <w:tab/>
        <w:t>Si la autoridad demandada deja sin efecto el acto impugnado;</w:t>
      </w:r>
    </w:p>
    <w:p w14:paraId="0955D0FE" w14:textId="77777777" w:rsidR="00D3344B" w:rsidRDefault="00D3344B">
      <w:pPr>
        <w:pStyle w:val="Estilo"/>
        <w:ind w:left="567" w:hanging="567"/>
        <w:rPr>
          <w:rFonts w:cs="Arial"/>
        </w:rPr>
      </w:pPr>
    </w:p>
    <w:p w14:paraId="3C3F510D" w14:textId="77777777" w:rsidR="00D3344B" w:rsidRDefault="00143C25">
      <w:pPr>
        <w:pStyle w:val="Estilo"/>
        <w:ind w:left="567" w:hanging="567"/>
        <w:rPr>
          <w:rFonts w:cs="Arial"/>
        </w:rPr>
      </w:pPr>
      <w:r>
        <w:rPr>
          <w:rFonts w:cs="Arial"/>
        </w:rPr>
        <w:t xml:space="preserve">V. </w:t>
      </w:r>
      <w:r>
        <w:rPr>
          <w:rFonts w:cs="Arial"/>
        </w:rPr>
        <w:tab/>
        <w:t>En los demás casos en que por disposición legal haya impedimento para emitir resolución en cuanto al fondo, y</w:t>
      </w:r>
    </w:p>
    <w:p w14:paraId="64154313" w14:textId="77777777" w:rsidR="00D3344B" w:rsidRDefault="00D3344B">
      <w:pPr>
        <w:pStyle w:val="Estilo"/>
        <w:ind w:left="567" w:hanging="567"/>
        <w:rPr>
          <w:rFonts w:cs="Arial"/>
        </w:rPr>
      </w:pPr>
    </w:p>
    <w:p w14:paraId="1EBB2A90" w14:textId="77777777" w:rsidR="00D3344B" w:rsidRDefault="00143C25">
      <w:pPr>
        <w:pStyle w:val="Estilo"/>
        <w:ind w:left="567" w:hanging="567"/>
        <w:rPr>
          <w:rFonts w:cs="Arial"/>
        </w:rPr>
      </w:pPr>
      <w:r>
        <w:rPr>
          <w:rFonts w:cs="Arial"/>
        </w:rPr>
        <w:t xml:space="preserve">VI. </w:t>
      </w:r>
      <w:r>
        <w:rPr>
          <w:rFonts w:cs="Arial"/>
        </w:rPr>
        <w:tab/>
        <w:t>El sobreseimiento del juicio podrá ser total o parcial.</w:t>
      </w:r>
    </w:p>
    <w:p w14:paraId="0D5C970E" w14:textId="77777777" w:rsidR="00D3344B" w:rsidRDefault="00D3344B">
      <w:pPr>
        <w:pStyle w:val="Estilo"/>
        <w:rPr>
          <w:rFonts w:cs="Arial"/>
        </w:rPr>
      </w:pPr>
    </w:p>
    <w:p w14:paraId="341BA52A" w14:textId="77777777" w:rsidR="00D3344B" w:rsidRDefault="00143C25">
      <w:pPr>
        <w:pStyle w:val="Estilo"/>
        <w:jc w:val="center"/>
        <w:rPr>
          <w:rFonts w:cs="Arial"/>
          <w:b/>
        </w:rPr>
      </w:pPr>
      <w:r>
        <w:rPr>
          <w:rFonts w:cs="Arial"/>
          <w:b/>
        </w:rPr>
        <w:t>Capítulo III</w:t>
      </w:r>
    </w:p>
    <w:p w14:paraId="239C1520" w14:textId="77777777" w:rsidR="00D3344B" w:rsidRDefault="00143C25">
      <w:pPr>
        <w:pStyle w:val="Estilo"/>
        <w:jc w:val="center"/>
        <w:rPr>
          <w:rFonts w:cs="Arial"/>
          <w:b/>
        </w:rPr>
      </w:pPr>
      <w:r>
        <w:rPr>
          <w:rFonts w:cs="Arial"/>
          <w:b/>
        </w:rPr>
        <w:t>De los Impedimentos y Excusas</w:t>
      </w:r>
    </w:p>
    <w:p w14:paraId="35E33070" w14:textId="77777777" w:rsidR="00D3344B" w:rsidRDefault="00D3344B">
      <w:pPr>
        <w:pStyle w:val="Estilo"/>
        <w:rPr>
          <w:rFonts w:cs="Arial"/>
        </w:rPr>
      </w:pPr>
    </w:p>
    <w:p w14:paraId="67C5FAEC" w14:textId="77777777" w:rsidR="00D3344B" w:rsidRDefault="00143C25">
      <w:pPr>
        <w:pStyle w:val="Estilo"/>
        <w:rPr>
          <w:rFonts w:cs="Arial"/>
        </w:rPr>
      </w:pPr>
      <w:r>
        <w:rPr>
          <w:rFonts w:cs="Arial"/>
          <w:b/>
        </w:rPr>
        <w:t>Artículo 441.</w:t>
      </w:r>
      <w:r>
        <w:rPr>
          <w:rFonts w:cs="Arial"/>
        </w:rPr>
        <w:t xml:space="preserve"> El magistrado estará impedido para conocer, cuando:</w:t>
      </w:r>
    </w:p>
    <w:p w14:paraId="31381F74" w14:textId="77777777" w:rsidR="00D3344B" w:rsidRDefault="00D3344B">
      <w:pPr>
        <w:pStyle w:val="Estilo"/>
        <w:rPr>
          <w:rFonts w:cs="Arial"/>
        </w:rPr>
      </w:pPr>
    </w:p>
    <w:p w14:paraId="511B784F" w14:textId="77777777" w:rsidR="00D3344B" w:rsidRDefault="00143C25">
      <w:pPr>
        <w:pStyle w:val="Estilo"/>
        <w:ind w:left="567" w:hanging="567"/>
        <w:rPr>
          <w:rFonts w:cs="Arial"/>
        </w:rPr>
      </w:pPr>
      <w:r>
        <w:rPr>
          <w:rFonts w:cs="Arial"/>
        </w:rPr>
        <w:t xml:space="preserve">I. </w:t>
      </w:r>
      <w:r>
        <w:rPr>
          <w:rFonts w:cs="Arial"/>
        </w:rPr>
        <w:tab/>
        <w:t>Tenga interés personal en el negocio;</w:t>
      </w:r>
    </w:p>
    <w:p w14:paraId="25E3605E" w14:textId="77777777" w:rsidR="00D3344B" w:rsidRDefault="00D3344B">
      <w:pPr>
        <w:pStyle w:val="Estilo"/>
        <w:ind w:left="567" w:hanging="567"/>
        <w:rPr>
          <w:rFonts w:cs="Arial"/>
        </w:rPr>
      </w:pPr>
    </w:p>
    <w:p w14:paraId="1EF4BEAE" w14:textId="77777777" w:rsidR="00D3344B" w:rsidRDefault="00143C25">
      <w:pPr>
        <w:pStyle w:val="Estilo"/>
        <w:ind w:left="567" w:hanging="567"/>
        <w:rPr>
          <w:rFonts w:cs="Arial"/>
        </w:rPr>
      </w:pPr>
      <w:r>
        <w:rPr>
          <w:rFonts w:cs="Arial"/>
        </w:rPr>
        <w:t xml:space="preserve">II. </w:t>
      </w:r>
      <w:r>
        <w:rPr>
          <w:rFonts w:cs="Arial"/>
        </w:rPr>
        <w:tab/>
        <w:t>Sean parientes consanguíneos, afines o civiles de alguna de las partes o de sus patronos o representantes, en línea recta sin limitación de grado y en línea transversal dentro del cuarto grado por consanguinidad y segundo por afinidad;</w:t>
      </w:r>
    </w:p>
    <w:p w14:paraId="2E43EC75" w14:textId="77777777" w:rsidR="00D3344B" w:rsidRDefault="00D3344B">
      <w:pPr>
        <w:pStyle w:val="Estilo"/>
        <w:ind w:left="567" w:hanging="567"/>
        <w:rPr>
          <w:rFonts w:cs="Arial"/>
        </w:rPr>
      </w:pPr>
    </w:p>
    <w:p w14:paraId="7ED316C6" w14:textId="77777777" w:rsidR="00D3344B" w:rsidRDefault="00143C25">
      <w:pPr>
        <w:pStyle w:val="Estilo"/>
        <w:ind w:left="567" w:hanging="567"/>
        <w:rPr>
          <w:rFonts w:cs="Arial"/>
        </w:rPr>
      </w:pPr>
      <w:r>
        <w:rPr>
          <w:rFonts w:cs="Arial"/>
        </w:rPr>
        <w:t xml:space="preserve">III. </w:t>
      </w:r>
      <w:r>
        <w:rPr>
          <w:rFonts w:cs="Arial"/>
        </w:rPr>
        <w:tab/>
        <w:t>Haya sido patrón o apoderado en el mismo negocio;</w:t>
      </w:r>
    </w:p>
    <w:p w14:paraId="031D94B5" w14:textId="77777777" w:rsidR="00D3344B" w:rsidRDefault="00D3344B">
      <w:pPr>
        <w:pStyle w:val="Estilo"/>
        <w:ind w:left="567" w:hanging="567"/>
        <w:rPr>
          <w:rFonts w:cs="Arial"/>
        </w:rPr>
      </w:pPr>
    </w:p>
    <w:p w14:paraId="20DE9116" w14:textId="77777777" w:rsidR="00D3344B" w:rsidRDefault="00143C25">
      <w:pPr>
        <w:pStyle w:val="Estilo"/>
        <w:ind w:left="567" w:hanging="567"/>
        <w:rPr>
          <w:rFonts w:cs="Arial"/>
        </w:rPr>
      </w:pPr>
      <w:r>
        <w:rPr>
          <w:rFonts w:cs="Arial"/>
        </w:rPr>
        <w:t xml:space="preserve">IV. </w:t>
      </w:r>
      <w:r>
        <w:rPr>
          <w:rFonts w:cs="Arial"/>
        </w:rPr>
        <w:tab/>
        <w:t>Tenga amistad estrecha o enemistad con alguna de las partes o con sus patronos o representantes;</w:t>
      </w:r>
    </w:p>
    <w:p w14:paraId="1570CEB7" w14:textId="77777777" w:rsidR="00D3344B" w:rsidRDefault="00D3344B">
      <w:pPr>
        <w:pStyle w:val="Estilo"/>
        <w:ind w:left="567" w:hanging="567"/>
        <w:rPr>
          <w:rFonts w:cs="Arial"/>
        </w:rPr>
      </w:pPr>
    </w:p>
    <w:p w14:paraId="23B7052B" w14:textId="77777777" w:rsidR="00D3344B" w:rsidRDefault="00143C25">
      <w:pPr>
        <w:pStyle w:val="Estilo"/>
        <w:ind w:left="567" w:hanging="567"/>
        <w:rPr>
          <w:rFonts w:cs="Arial"/>
        </w:rPr>
      </w:pPr>
      <w:r>
        <w:rPr>
          <w:rFonts w:cs="Arial"/>
        </w:rPr>
        <w:t xml:space="preserve">V. </w:t>
      </w:r>
      <w:r>
        <w:rPr>
          <w:rFonts w:cs="Arial"/>
        </w:rPr>
        <w:tab/>
        <w:t>Haya dictado el acto impugnado o intervenido con cualquier carácter en la emisión del mismo en su ejecución;</w:t>
      </w:r>
    </w:p>
    <w:p w14:paraId="3F4E0F6C" w14:textId="77777777" w:rsidR="00D3344B" w:rsidRDefault="00D3344B">
      <w:pPr>
        <w:pStyle w:val="Estilo"/>
        <w:ind w:left="567" w:hanging="567"/>
        <w:rPr>
          <w:rFonts w:cs="Arial"/>
        </w:rPr>
      </w:pPr>
    </w:p>
    <w:p w14:paraId="30B2830B" w14:textId="77777777" w:rsidR="00D3344B" w:rsidRDefault="00143C25">
      <w:pPr>
        <w:pStyle w:val="Estilo"/>
        <w:ind w:left="567" w:hanging="567"/>
        <w:rPr>
          <w:rFonts w:cs="Arial"/>
        </w:rPr>
      </w:pPr>
      <w:r>
        <w:rPr>
          <w:rFonts w:cs="Arial"/>
        </w:rPr>
        <w:t xml:space="preserve">VI. </w:t>
      </w:r>
      <w:r>
        <w:rPr>
          <w:rFonts w:cs="Arial"/>
        </w:rPr>
        <w:tab/>
        <w:t>Figure como parte en un juicio similar, pendiente de resolución, y</w:t>
      </w:r>
    </w:p>
    <w:p w14:paraId="4B5A0A8C" w14:textId="77777777" w:rsidR="00D3344B" w:rsidRDefault="00D3344B">
      <w:pPr>
        <w:pStyle w:val="Estilo"/>
        <w:ind w:left="567" w:hanging="567"/>
        <w:rPr>
          <w:rFonts w:cs="Arial"/>
        </w:rPr>
      </w:pPr>
    </w:p>
    <w:p w14:paraId="5853769F" w14:textId="77777777" w:rsidR="00D3344B" w:rsidRDefault="00143C25">
      <w:pPr>
        <w:pStyle w:val="Estilo"/>
        <w:ind w:left="567" w:hanging="567"/>
        <w:rPr>
          <w:rFonts w:cs="Arial"/>
        </w:rPr>
      </w:pPr>
      <w:r>
        <w:rPr>
          <w:rFonts w:cs="Arial"/>
        </w:rPr>
        <w:t xml:space="preserve">VII. </w:t>
      </w:r>
      <w:r>
        <w:rPr>
          <w:rFonts w:cs="Arial"/>
        </w:rPr>
        <w:tab/>
        <w:t>Esté en una situación que pueda afectar su imparcialidad en forma análoga o más grave que las mencionadas.</w:t>
      </w:r>
    </w:p>
    <w:p w14:paraId="14FAA2D5" w14:textId="77777777" w:rsidR="00D3344B" w:rsidRDefault="00D3344B">
      <w:pPr>
        <w:pStyle w:val="Estilo"/>
        <w:rPr>
          <w:rFonts w:cs="Arial"/>
        </w:rPr>
      </w:pPr>
    </w:p>
    <w:p w14:paraId="6E457C86" w14:textId="77777777" w:rsidR="00D3344B" w:rsidRDefault="00143C25">
      <w:pPr>
        <w:pStyle w:val="Estilo"/>
        <w:rPr>
          <w:rFonts w:cs="Arial"/>
        </w:rPr>
      </w:pPr>
      <w:r>
        <w:rPr>
          <w:rFonts w:cs="Arial"/>
        </w:rPr>
        <w:t>Los peritos del Tribunal estarán impedidos para dictaminar en los casos a que se refiere este artículo.</w:t>
      </w:r>
    </w:p>
    <w:p w14:paraId="7AC714E4" w14:textId="77777777" w:rsidR="00D3344B" w:rsidRDefault="00D3344B">
      <w:pPr>
        <w:pStyle w:val="Estilo"/>
        <w:rPr>
          <w:rFonts w:cs="Arial"/>
        </w:rPr>
      </w:pPr>
    </w:p>
    <w:p w14:paraId="4279648A" w14:textId="77777777" w:rsidR="00D3344B" w:rsidRDefault="00143C25">
      <w:pPr>
        <w:pStyle w:val="Estilo"/>
        <w:rPr>
          <w:rFonts w:cs="Arial"/>
        </w:rPr>
      </w:pPr>
      <w:r>
        <w:rPr>
          <w:rFonts w:cs="Arial"/>
          <w:b/>
        </w:rPr>
        <w:t>Artículo 442.</w:t>
      </w:r>
      <w:r>
        <w:rPr>
          <w:rFonts w:cs="Arial"/>
        </w:rPr>
        <w:t xml:space="preserve"> El magistrado tiene el deber de excusarse del conocimiento de los negocios en que ocurra alguno de los impedimentos señalados en el artículo anterior, expresando concretamente en que consiste el impedimento.</w:t>
      </w:r>
    </w:p>
    <w:p w14:paraId="4612E9C2" w14:textId="77777777" w:rsidR="00D3344B" w:rsidRDefault="00D3344B">
      <w:pPr>
        <w:pStyle w:val="Estilo"/>
        <w:rPr>
          <w:rFonts w:cs="Arial"/>
        </w:rPr>
      </w:pPr>
    </w:p>
    <w:p w14:paraId="5E9E9955" w14:textId="77777777" w:rsidR="00D3344B" w:rsidRDefault="00143C25">
      <w:pPr>
        <w:pStyle w:val="Estilo"/>
        <w:rPr>
          <w:rFonts w:cs="Arial"/>
        </w:rPr>
      </w:pPr>
      <w:r>
        <w:rPr>
          <w:rFonts w:cs="Arial"/>
          <w:b/>
        </w:rPr>
        <w:t>Artículo 443.</w:t>
      </w:r>
      <w:r>
        <w:rPr>
          <w:rFonts w:cs="Arial"/>
        </w:rPr>
        <w:t xml:space="preserve"> Manifestada por el magistrado la causa de impedimento, el </w:t>
      </w:r>
      <w:proofErr w:type="gramStart"/>
      <w:r>
        <w:rPr>
          <w:rFonts w:cs="Arial"/>
        </w:rPr>
        <w:t>Presidente</w:t>
      </w:r>
      <w:proofErr w:type="gramEnd"/>
      <w:r>
        <w:rPr>
          <w:rFonts w:cs="Arial"/>
        </w:rPr>
        <w:t xml:space="preserve"> del Tribunal turnará el asunto a fin de que se califique en el Pleno y de resultar fundada, se procederá en los términos de la Ley Orgánica del Poder Judicial.</w:t>
      </w:r>
    </w:p>
    <w:p w14:paraId="056D3443" w14:textId="77777777" w:rsidR="00D3344B" w:rsidRDefault="00D3344B">
      <w:pPr>
        <w:pStyle w:val="Estilo"/>
        <w:rPr>
          <w:rFonts w:cs="Arial"/>
        </w:rPr>
      </w:pPr>
    </w:p>
    <w:p w14:paraId="497AB4C6" w14:textId="77777777" w:rsidR="00D3344B" w:rsidRDefault="00143C25">
      <w:pPr>
        <w:pStyle w:val="Estilo"/>
        <w:jc w:val="center"/>
        <w:rPr>
          <w:rFonts w:cs="Arial"/>
          <w:b/>
        </w:rPr>
      </w:pPr>
      <w:r>
        <w:rPr>
          <w:rFonts w:cs="Arial"/>
          <w:b/>
        </w:rPr>
        <w:t>Capítulo IV</w:t>
      </w:r>
    </w:p>
    <w:p w14:paraId="0375DFE2" w14:textId="77777777" w:rsidR="00D3344B" w:rsidRDefault="00143C25">
      <w:pPr>
        <w:pStyle w:val="Estilo"/>
        <w:jc w:val="center"/>
        <w:rPr>
          <w:rFonts w:cs="Arial"/>
          <w:b/>
        </w:rPr>
      </w:pPr>
      <w:r>
        <w:rPr>
          <w:rFonts w:cs="Arial"/>
          <w:b/>
        </w:rPr>
        <w:t>De la Demanda</w:t>
      </w:r>
    </w:p>
    <w:p w14:paraId="5C1A8D4F" w14:textId="77777777" w:rsidR="00D3344B" w:rsidRDefault="00D3344B">
      <w:pPr>
        <w:pStyle w:val="Estilo"/>
        <w:rPr>
          <w:rFonts w:cs="Arial"/>
        </w:rPr>
      </w:pPr>
    </w:p>
    <w:p w14:paraId="01ABEFFC" w14:textId="77777777" w:rsidR="00D3344B" w:rsidRDefault="00143C25">
      <w:pPr>
        <w:pStyle w:val="Estilo"/>
        <w:rPr>
          <w:rFonts w:cs="Arial"/>
          <w:i/>
          <w:iCs/>
          <w:sz w:val="16"/>
          <w:szCs w:val="16"/>
        </w:rPr>
      </w:pPr>
      <w:r>
        <w:rPr>
          <w:rFonts w:cs="Arial"/>
          <w:i/>
          <w:iCs/>
          <w:sz w:val="16"/>
          <w:szCs w:val="16"/>
        </w:rPr>
        <w:t>(REFORMADO PRIMER PÁRRAFO, P.O. 22 DE DICIEMBRE DE 2021)</w:t>
      </w:r>
    </w:p>
    <w:p w14:paraId="3C2259AF" w14:textId="77777777" w:rsidR="00D3344B" w:rsidRDefault="00143C25">
      <w:pPr>
        <w:pStyle w:val="Estilo"/>
        <w:rPr>
          <w:rFonts w:cs="Arial"/>
        </w:rPr>
      </w:pPr>
      <w:r>
        <w:rPr>
          <w:rFonts w:cs="Arial"/>
          <w:b/>
        </w:rPr>
        <w:t>Artículo 444.</w:t>
      </w:r>
      <w:r>
        <w:rPr>
          <w:rFonts w:cs="Arial"/>
        </w:rPr>
        <w:t xml:space="preserve"> La demanda se presentará por escrito directamente ante la sala competente, dentro de los treinta días siguientes a aquel en que haya surtido efectos la notificación de la resolución impugnada.</w:t>
      </w:r>
    </w:p>
    <w:p w14:paraId="0CD75ED4" w14:textId="77777777" w:rsidR="00D3344B" w:rsidRDefault="00D3344B">
      <w:pPr>
        <w:pStyle w:val="Estilo"/>
        <w:rPr>
          <w:rFonts w:cs="Arial"/>
        </w:rPr>
      </w:pPr>
    </w:p>
    <w:p w14:paraId="3D5DA3BD" w14:textId="77777777" w:rsidR="00D3344B" w:rsidRDefault="00143C25">
      <w:pPr>
        <w:pStyle w:val="Estilo"/>
        <w:rPr>
          <w:rFonts w:cs="Arial"/>
        </w:rPr>
      </w:pPr>
      <w:r>
        <w:rPr>
          <w:rFonts w:cs="Arial"/>
        </w:rPr>
        <w:t>Las autoridades podrán presentar la demanda dentro de los cinco años siguientes a la fecha en que sea emitida la resolución, cuando se pida la modificación o nulidad de un acto favorable a un particular, salvo que haya producido efectos de tracto sucesivo, caso en el que se podrá demandar la modificación o nulidad en cualquier época sin exceder de los cinco años del último efecto, pero los efectos de la sentencia, en caso de ser total o parcialmente desfavorable para el particular, sólo se retrotraerán a los cinco años anteriores a la presentación de la demanda.</w:t>
      </w:r>
    </w:p>
    <w:p w14:paraId="4C5F5064" w14:textId="77777777" w:rsidR="00D3344B" w:rsidRDefault="00D3344B">
      <w:pPr>
        <w:pStyle w:val="Estilo"/>
        <w:rPr>
          <w:rFonts w:cs="Arial"/>
        </w:rPr>
      </w:pPr>
    </w:p>
    <w:p w14:paraId="7F9BF825" w14:textId="77777777" w:rsidR="00D3344B" w:rsidRDefault="00143C25">
      <w:pPr>
        <w:pStyle w:val="Estilo"/>
        <w:rPr>
          <w:rFonts w:cs="Arial"/>
        </w:rPr>
      </w:pPr>
      <w:r>
        <w:rPr>
          <w:rFonts w:cs="Arial"/>
        </w:rPr>
        <w:t>Cuando el interesado fallezca durante el plazo para iniciar juicio, el plazo se suspenderá hasta un año si antes no se ha aceptado el cargo de representante de la sucesión.</w:t>
      </w:r>
    </w:p>
    <w:p w14:paraId="1D8BB242" w14:textId="77777777" w:rsidR="00D3344B" w:rsidRDefault="00D3344B">
      <w:pPr>
        <w:pStyle w:val="Estilo"/>
        <w:rPr>
          <w:rFonts w:cs="Arial"/>
        </w:rPr>
      </w:pPr>
    </w:p>
    <w:p w14:paraId="1342498C" w14:textId="77777777" w:rsidR="00D3344B" w:rsidRDefault="00143C25">
      <w:pPr>
        <w:pStyle w:val="Estilo"/>
        <w:rPr>
          <w:rFonts w:cs="Arial"/>
        </w:rPr>
      </w:pPr>
      <w:r>
        <w:rPr>
          <w:rFonts w:cs="Arial"/>
        </w:rPr>
        <w:t>En los casos de incapacidad o declaración de ausencia, decretadas por autoridad judicial, el plazo para interponer el juicio de nulidad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14:paraId="710C42D8" w14:textId="77777777" w:rsidR="00D3344B" w:rsidRDefault="00D3344B">
      <w:pPr>
        <w:pStyle w:val="Estilo"/>
        <w:rPr>
          <w:rFonts w:cs="Arial"/>
        </w:rPr>
      </w:pPr>
    </w:p>
    <w:p w14:paraId="7E6D4124" w14:textId="77777777" w:rsidR="00D3344B" w:rsidRDefault="00143C25">
      <w:pPr>
        <w:pStyle w:val="Estilo"/>
        <w:rPr>
          <w:rFonts w:cs="Arial"/>
        </w:rPr>
      </w:pPr>
      <w:r>
        <w:rPr>
          <w:rFonts w:cs="Arial"/>
          <w:b/>
        </w:rPr>
        <w:lastRenderedPageBreak/>
        <w:t>Artículo 445.</w:t>
      </w:r>
      <w:r>
        <w:rPr>
          <w:rFonts w:cs="Arial"/>
        </w:rPr>
        <w:t xml:space="preserve"> La demanda deberá indicar:</w:t>
      </w:r>
    </w:p>
    <w:p w14:paraId="4068F8D7" w14:textId="77777777" w:rsidR="00D3344B" w:rsidRDefault="00D3344B">
      <w:pPr>
        <w:pStyle w:val="Estilo"/>
        <w:rPr>
          <w:rFonts w:cs="Arial"/>
        </w:rPr>
      </w:pPr>
    </w:p>
    <w:p w14:paraId="161F2633" w14:textId="77777777" w:rsidR="00D3344B" w:rsidRDefault="00143C25">
      <w:pPr>
        <w:pStyle w:val="Estilo"/>
        <w:ind w:left="567" w:hanging="567"/>
        <w:rPr>
          <w:rFonts w:cs="Arial"/>
        </w:rPr>
      </w:pPr>
      <w:r>
        <w:rPr>
          <w:rFonts w:cs="Arial"/>
        </w:rPr>
        <w:t xml:space="preserve">I. </w:t>
      </w:r>
      <w:r>
        <w:rPr>
          <w:rFonts w:cs="Arial"/>
        </w:rPr>
        <w:tab/>
        <w:t>El nombre del demandante y su domicilio para recibir notificaciones;</w:t>
      </w:r>
    </w:p>
    <w:p w14:paraId="4409410D" w14:textId="77777777" w:rsidR="00D3344B" w:rsidRDefault="00D3344B">
      <w:pPr>
        <w:pStyle w:val="Estilo"/>
        <w:ind w:left="567" w:hanging="567"/>
        <w:rPr>
          <w:rFonts w:cs="Arial"/>
        </w:rPr>
      </w:pPr>
    </w:p>
    <w:p w14:paraId="3211775A" w14:textId="77777777" w:rsidR="00D3344B" w:rsidRDefault="00143C25">
      <w:pPr>
        <w:pStyle w:val="Estilo"/>
        <w:ind w:left="567" w:hanging="567"/>
        <w:rPr>
          <w:rFonts w:cs="Arial"/>
        </w:rPr>
      </w:pPr>
      <w:r>
        <w:rPr>
          <w:rFonts w:cs="Arial"/>
        </w:rPr>
        <w:t xml:space="preserve">II. </w:t>
      </w:r>
      <w:r>
        <w:rPr>
          <w:rFonts w:cs="Arial"/>
        </w:rPr>
        <w:tab/>
        <w:t>La resolución que se impugna;</w:t>
      </w:r>
    </w:p>
    <w:p w14:paraId="631C7330" w14:textId="77777777" w:rsidR="00D3344B" w:rsidRDefault="00D3344B">
      <w:pPr>
        <w:pStyle w:val="Estilo"/>
        <w:ind w:left="567" w:hanging="567"/>
        <w:rPr>
          <w:rFonts w:cs="Arial"/>
        </w:rPr>
      </w:pPr>
    </w:p>
    <w:p w14:paraId="557BDAD1" w14:textId="77777777" w:rsidR="00D3344B" w:rsidRDefault="00143C25">
      <w:pPr>
        <w:pStyle w:val="Estilo"/>
        <w:ind w:left="567" w:hanging="567"/>
        <w:rPr>
          <w:rFonts w:cs="Arial"/>
        </w:rPr>
      </w:pPr>
      <w:r>
        <w:rPr>
          <w:rFonts w:cs="Arial"/>
        </w:rPr>
        <w:t xml:space="preserve">III. </w:t>
      </w:r>
      <w:r>
        <w:rPr>
          <w:rFonts w:cs="Arial"/>
        </w:rPr>
        <w:tab/>
        <w:t>La autoridad o autoridades demandadas o el nombre y domicilio del particular demandado cuando el juicio sea promovido por la autoridad administrativa;</w:t>
      </w:r>
    </w:p>
    <w:p w14:paraId="0B8670BA" w14:textId="77777777" w:rsidR="00D3344B" w:rsidRDefault="00D3344B">
      <w:pPr>
        <w:pStyle w:val="Estilo"/>
        <w:ind w:left="567" w:hanging="567"/>
        <w:rPr>
          <w:rFonts w:cs="Arial"/>
        </w:rPr>
      </w:pPr>
    </w:p>
    <w:p w14:paraId="3F9F3928" w14:textId="77777777" w:rsidR="00D3344B" w:rsidRDefault="00143C25">
      <w:pPr>
        <w:pStyle w:val="Estilo"/>
        <w:ind w:left="567" w:hanging="567"/>
        <w:rPr>
          <w:rFonts w:cs="Arial"/>
        </w:rPr>
      </w:pPr>
      <w:r>
        <w:rPr>
          <w:rFonts w:cs="Arial"/>
        </w:rPr>
        <w:t xml:space="preserve">IV. </w:t>
      </w:r>
      <w:r>
        <w:rPr>
          <w:rFonts w:cs="Arial"/>
        </w:rPr>
        <w:tab/>
        <w:t>Los hechos que den motivo a la demanda;</w:t>
      </w:r>
    </w:p>
    <w:p w14:paraId="5A60861A" w14:textId="77777777" w:rsidR="00D3344B" w:rsidRDefault="00D3344B">
      <w:pPr>
        <w:pStyle w:val="Estilo"/>
        <w:ind w:left="567" w:hanging="567"/>
        <w:rPr>
          <w:rFonts w:cs="Arial"/>
        </w:rPr>
      </w:pPr>
    </w:p>
    <w:p w14:paraId="440573BA" w14:textId="77777777" w:rsidR="00D3344B" w:rsidRDefault="00143C25">
      <w:pPr>
        <w:pStyle w:val="Estilo"/>
        <w:ind w:left="567" w:hanging="567"/>
        <w:rPr>
          <w:rFonts w:cs="Arial"/>
        </w:rPr>
      </w:pPr>
      <w:r>
        <w:rPr>
          <w:rFonts w:cs="Arial"/>
        </w:rPr>
        <w:t xml:space="preserve">V. </w:t>
      </w:r>
      <w:r>
        <w:rPr>
          <w:rFonts w:cs="Arial"/>
        </w:rPr>
        <w:tab/>
        <w:t>Las pruebas que ofrezca. En caso de que se ofrezca prueba pericial o testimonial se precisarán los hechos sobre los que deban versar y señalarán los nombres y domicilios del perito o de los testigos;</w:t>
      </w:r>
    </w:p>
    <w:p w14:paraId="20359012" w14:textId="77777777" w:rsidR="00D3344B" w:rsidRDefault="00D3344B">
      <w:pPr>
        <w:pStyle w:val="Estilo"/>
        <w:ind w:left="567" w:hanging="567"/>
        <w:rPr>
          <w:rFonts w:cs="Arial"/>
        </w:rPr>
      </w:pPr>
    </w:p>
    <w:p w14:paraId="41E4D2CA" w14:textId="77777777" w:rsidR="00D3344B" w:rsidRDefault="00143C25">
      <w:pPr>
        <w:pStyle w:val="Estilo"/>
        <w:ind w:left="567" w:hanging="567"/>
        <w:rPr>
          <w:rFonts w:cs="Arial"/>
        </w:rPr>
      </w:pPr>
      <w:r>
        <w:rPr>
          <w:rFonts w:cs="Arial"/>
        </w:rPr>
        <w:t xml:space="preserve">VI. </w:t>
      </w:r>
      <w:r>
        <w:rPr>
          <w:rFonts w:cs="Arial"/>
        </w:rPr>
        <w:tab/>
        <w:t>Los conceptos de impugnación;</w:t>
      </w:r>
    </w:p>
    <w:p w14:paraId="02775778" w14:textId="77777777" w:rsidR="00D3344B" w:rsidRDefault="00D3344B">
      <w:pPr>
        <w:pStyle w:val="Estilo"/>
        <w:ind w:left="567" w:hanging="567"/>
        <w:rPr>
          <w:rFonts w:cs="Arial"/>
        </w:rPr>
      </w:pPr>
    </w:p>
    <w:p w14:paraId="37634008" w14:textId="77777777" w:rsidR="00D3344B" w:rsidRDefault="00143C25">
      <w:pPr>
        <w:pStyle w:val="Estilo"/>
        <w:ind w:left="567" w:hanging="567"/>
        <w:rPr>
          <w:rFonts w:cs="Arial"/>
        </w:rPr>
      </w:pPr>
      <w:r>
        <w:rPr>
          <w:rFonts w:cs="Arial"/>
        </w:rPr>
        <w:t xml:space="preserve">VII. </w:t>
      </w:r>
      <w:r>
        <w:rPr>
          <w:rFonts w:cs="Arial"/>
        </w:rPr>
        <w:tab/>
        <w:t>El nombre y domicilio del tercero interesado, cuando lo haya, y</w:t>
      </w:r>
    </w:p>
    <w:p w14:paraId="759C378A" w14:textId="77777777" w:rsidR="00D3344B" w:rsidRDefault="00D3344B">
      <w:pPr>
        <w:pStyle w:val="Estilo"/>
        <w:ind w:left="567" w:hanging="567"/>
        <w:rPr>
          <w:rFonts w:cs="Arial"/>
        </w:rPr>
      </w:pPr>
    </w:p>
    <w:p w14:paraId="050BA8AA" w14:textId="77777777" w:rsidR="00D3344B" w:rsidRDefault="00143C25">
      <w:pPr>
        <w:pStyle w:val="Estilo"/>
        <w:ind w:left="567" w:hanging="567"/>
        <w:rPr>
          <w:rFonts w:cs="Arial"/>
        </w:rPr>
      </w:pPr>
      <w:r>
        <w:rPr>
          <w:rFonts w:cs="Arial"/>
        </w:rPr>
        <w:t xml:space="preserve">VIII. </w:t>
      </w:r>
      <w:r>
        <w:rPr>
          <w:rFonts w:cs="Arial"/>
        </w:rPr>
        <w:tab/>
        <w:t>Lo que se pida, señalando en caso de solicitar una sentencia de condena, las cantidades o actos cuyo cumplimiento se demanda.</w:t>
      </w:r>
    </w:p>
    <w:p w14:paraId="2B523B3B" w14:textId="77777777" w:rsidR="00D3344B" w:rsidRDefault="00D3344B">
      <w:pPr>
        <w:pStyle w:val="Estilo"/>
        <w:rPr>
          <w:rFonts w:cs="Arial"/>
        </w:rPr>
      </w:pPr>
    </w:p>
    <w:p w14:paraId="0CB70620" w14:textId="77777777" w:rsidR="00D3344B" w:rsidRDefault="00143C25">
      <w:pPr>
        <w:pStyle w:val="Estilo"/>
        <w:rPr>
          <w:rFonts w:cs="Arial"/>
        </w:rPr>
      </w:pPr>
      <w:r>
        <w:rPr>
          <w:rFonts w:cs="Arial"/>
        </w:rPr>
        <w:t>Cuando se omita el nombre del demandante o los datos precisados en las fracciones II y VI de este artículo, el magistrado desechará por improcedente la demanda interpuesta.</w:t>
      </w:r>
    </w:p>
    <w:p w14:paraId="6472BC3C" w14:textId="77777777" w:rsidR="00D3344B" w:rsidRDefault="00D3344B">
      <w:pPr>
        <w:pStyle w:val="Estilo"/>
        <w:rPr>
          <w:rFonts w:cs="Arial"/>
        </w:rPr>
      </w:pPr>
    </w:p>
    <w:p w14:paraId="20AC35FF" w14:textId="77777777" w:rsidR="00D3344B" w:rsidRDefault="00143C25">
      <w:pPr>
        <w:pStyle w:val="Estilo"/>
        <w:rPr>
          <w:rFonts w:cs="Arial"/>
        </w:rPr>
      </w:pPr>
      <w:r>
        <w:rPr>
          <w:rFonts w:cs="Arial"/>
        </w:rPr>
        <w:t>Si se omiten los datos previstos en las fracciones III, IV, V, VII y VIII de este artículo, el magistrado requerirá al promovente para que los señale dentro del término de cinco días, apercibiéndolo que de no hacerlo en tiempo se tendrá por no presentada la demanda o por no ofrecidas las pruebas, según corresponda.</w:t>
      </w:r>
    </w:p>
    <w:p w14:paraId="09A03635" w14:textId="77777777" w:rsidR="00D3344B" w:rsidRDefault="00D3344B">
      <w:pPr>
        <w:pStyle w:val="Estilo"/>
        <w:rPr>
          <w:rFonts w:cs="Arial"/>
        </w:rPr>
      </w:pPr>
    </w:p>
    <w:p w14:paraId="624C3611" w14:textId="77777777" w:rsidR="00D3344B" w:rsidRDefault="00143C25">
      <w:pPr>
        <w:pStyle w:val="Estilo"/>
        <w:rPr>
          <w:rFonts w:cs="Arial"/>
        </w:rPr>
      </w:pPr>
      <w:r>
        <w:rPr>
          <w:rFonts w:cs="Arial"/>
          <w:b/>
        </w:rPr>
        <w:t>Artículo 446.</w:t>
      </w:r>
      <w:r>
        <w:rPr>
          <w:rFonts w:cs="Arial"/>
        </w:rPr>
        <w:t xml:space="preserve"> Los particulares o sus representantes legales, que soliciten la suspensión de la ejecución del acto impugnado deberán cumplir con los siguientes requisitos:</w:t>
      </w:r>
    </w:p>
    <w:p w14:paraId="20C30777" w14:textId="77777777" w:rsidR="00D3344B" w:rsidRDefault="00D3344B">
      <w:pPr>
        <w:pStyle w:val="Estilo"/>
        <w:rPr>
          <w:rFonts w:cs="Arial"/>
        </w:rPr>
      </w:pPr>
    </w:p>
    <w:p w14:paraId="7502192C" w14:textId="77777777" w:rsidR="00D3344B" w:rsidRDefault="00143C25">
      <w:pPr>
        <w:pStyle w:val="Estilo"/>
        <w:ind w:left="567" w:hanging="567"/>
        <w:rPr>
          <w:rFonts w:cs="Arial"/>
        </w:rPr>
      </w:pPr>
      <w:r>
        <w:rPr>
          <w:rFonts w:cs="Arial"/>
        </w:rPr>
        <w:t xml:space="preserve">I. </w:t>
      </w:r>
      <w:r>
        <w:rPr>
          <w:rFonts w:cs="Arial"/>
        </w:rPr>
        <w:tab/>
        <w:t>Se podrá solicitar en el escrito de demanda;</w:t>
      </w:r>
    </w:p>
    <w:p w14:paraId="6C8CAEFC" w14:textId="77777777" w:rsidR="00D3344B" w:rsidRDefault="00D3344B">
      <w:pPr>
        <w:pStyle w:val="Estilo"/>
        <w:ind w:left="567" w:hanging="567"/>
        <w:rPr>
          <w:rFonts w:cs="Arial"/>
        </w:rPr>
      </w:pPr>
    </w:p>
    <w:p w14:paraId="6C21D914" w14:textId="77777777" w:rsidR="00D3344B" w:rsidRDefault="00143C25">
      <w:pPr>
        <w:pStyle w:val="Estilo"/>
        <w:ind w:left="567" w:hanging="567"/>
        <w:rPr>
          <w:rFonts w:cs="Arial"/>
        </w:rPr>
      </w:pPr>
      <w:r>
        <w:rPr>
          <w:rFonts w:cs="Arial"/>
        </w:rPr>
        <w:t xml:space="preserve">II. </w:t>
      </w:r>
      <w:r>
        <w:rPr>
          <w:rFonts w:cs="Arial"/>
        </w:rPr>
        <w:tab/>
        <w:t>Por escrito presentado en cualquier tiempo, hasta que se dicte sentencia;</w:t>
      </w:r>
    </w:p>
    <w:p w14:paraId="6991C4E1" w14:textId="77777777" w:rsidR="00D3344B" w:rsidRDefault="00D3344B">
      <w:pPr>
        <w:pStyle w:val="Estilo"/>
        <w:ind w:left="567" w:hanging="567"/>
        <w:rPr>
          <w:rFonts w:cs="Arial"/>
        </w:rPr>
      </w:pPr>
    </w:p>
    <w:p w14:paraId="183AEC3E" w14:textId="77777777" w:rsidR="00D3344B" w:rsidRDefault="00143C25">
      <w:pPr>
        <w:pStyle w:val="Estilo"/>
        <w:ind w:left="567" w:hanging="567"/>
        <w:rPr>
          <w:rFonts w:cs="Arial"/>
        </w:rPr>
      </w:pPr>
      <w:r>
        <w:rPr>
          <w:rFonts w:cs="Arial"/>
        </w:rPr>
        <w:t xml:space="preserve">III. </w:t>
      </w:r>
      <w:r>
        <w:rPr>
          <w:rFonts w:cs="Arial"/>
        </w:rPr>
        <w:tab/>
        <w:t>En el auto que acuerde la solicitud de suspensión de la ejecución del acto impugnado, se podrá decretar la suspensión provisional de la ejecución.</w:t>
      </w:r>
    </w:p>
    <w:p w14:paraId="2785CDB5" w14:textId="77777777" w:rsidR="00D3344B" w:rsidRDefault="00D3344B">
      <w:pPr>
        <w:pStyle w:val="Estilo"/>
        <w:ind w:left="567" w:hanging="567"/>
        <w:rPr>
          <w:rFonts w:cs="Arial"/>
        </w:rPr>
      </w:pPr>
    </w:p>
    <w:p w14:paraId="533161A9" w14:textId="77777777" w:rsidR="00D3344B" w:rsidRDefault="00143C25">
      <w:pPr>
        <w:pStyle w:val="Estilo"/>
        <w:ind w:left="567"/>
        <w:rPr>
          <w:rFonts w:cs="Arial"/>
        </w:rPr>
      </w:pPr>
      <w:r>
        <w:rPr>
          <w:rFonts w:cs="Arial"/>
        </w:rPr>
        <w:t>Contra el auto que decrete o niegue la suspensión provisional no procederá recurso alguno.</w:t>
      </w:r>
    </w:p>
    <w:p w14:paraId="287C601F" w14:textId="77777777" w:rsidR="00D3344B" w:rsidRDefault="00D3344B">
      <w:pPr>
        <w:pStyle w:val="Estilo"/>
        <w:ind w:left="567" w:hanging="567"/>
        <w:rPr>
          <w:rFonts w:cs="Arial"/>
        </w:rPr>
      </w:pPr>
    </w:p>
    <w:p w14:paraId="468042ED" w14:textId="77777777" w:rsidR="00D3344B" w:rsidRDefault="00143C25">
      <w:pPr>
        <w:pStyle w:val="Estilo"/>
        <w:ind w:left="567" w:hanging="567"/>
        <w:rPr>
          <w:rFonts w:cs="Arial"/>
        </w:rPr>
      </w:pPr>
      <w:r>
        <w:rPr>
          <w:rFonts w:cs="Arial"/>
        </w:rPr>
        <w:lastRenderedPageBreak/>
        <w:t xml:space="preserve">IV. </w:t>
      </w:r>
      <w:r>
        <w:rPr>
          <w:rFonts w:cs="Arial"/>
        </w:rPr>
        <w:tab/>
        <w:t>El magistrado dará cuenta en el término máximo de cinco días, dicte sentencia interlocutoria que decrete o niegue la suspensión definitiva;</w:t>
      </w:r>
    </w:p>
    <w:p w14:paraId="41946ABE" w14:textId="77777777" w:rsidR="00D3344B" w:rsidRDefault="00D3344B">
      <w:pPr>
        <w:pStyle w:val="Estilo"/>
        <w:ind w:left="567" w:hanging="567"/>
        <w:rPr>
          <w:rFonts w:cs="Arial"/>
        </w:rPr>
      </w:pPr>
    </w:p>
    <w:p w14:paraId="75CFE365" w14:textId="77777777" w:rsidR="00D3344B" w:rsidRDefault="00143C25">
      <w:pPr>
        <w:pStyle w:val="Estilo"/>
        <w:ind w:left="567" w:hanging="567"/>
        <w:rPr>
          <w:rFonts w:cs="Arial"/>
        </w:rPr>
      </w:pPr>
      <w:r>
        <w:rPr>
          <w:rFonts w:cs="Arial"/>
        </w:rPr>
        <w:t xml:space="preserve">V. </w:t>
      </w:r>
      <w:r>
        <w:rPr>
          <w:rFonts w:cs="Arial"/>
        </w:rPr>
        <w:tab/>
        <w:t>Cuando la ejecución o inejecución del acto impugnado pueda ocasionar perjuicios al interés general, se denegará la suspensión solicitada;</w:t>
      </w:r>
    </w:p>
    <w:p w14:paraId="43539ADE" w14:textId="77777777" w:rsidR="00D3344B" w:rsidRDefault="00D3344B">
      <w:pPr>
        <w:pStyle w:val="Estilo"/>
        <w:ind w:left="567" w:hanging="567"/>
        <w:rPr>
          <w:rFonts w:cs="Arial"/>
        </w:rPr>
      </w:pPr>
    </w:p>
    <w:p w14:paraId="7969162E" w14:textId="77777777" w:rsidR="00D3344B" w:rsidRDefault="00143C25">
      <w:pPr>
        <w:pStyle w:val="Estilo"/>
        <w:ind w:left="567" w:hanging="567"/>
        <w:rPr>
          <w:rFonts w:cs="Arial"/>
        </w:rPr>
      </w:pPr>
      <w:r>
        <w:rPr>
          <w:rFonts w:cs="Arial"/>
        </w:rPr>
        <w:t xml:space="preserve">VI. </w:t>
      </w:r>
      <w:r>
        <w:rPr>
          <w:rFonts w:cs="Arial"/>
        </w:rPr>
        <w:tab/>
        <w:t>Cuando sea procedente la suspensión o inejecución del acto impugnado, pero con ella se pueda ocasionar daños o perjuicios a la otra parte o a terceros, se concederá al particular si otorga garantía bastante para reparar el daño o indemnizar por los perjuicios que con ello pudieran causar si no se obtiene sentencia favorable en el juicio de nulidad, y</w:t>
      </w:r>
    </w:p>
    <w:p w14:paraId="4F84D341" w14:textId="77777777" w:rsidR="00D3344B" w:rsidRDefault="00D3344B">
      <w:pPr>
        <w:pStyle w:val="Estilo"/>
        <w:ind w:left="567" w:hanging="567"/>
        <w:rPr>
          <w:rFonts w:cs="Arial"/>
        </w:rPr>
      </w:pPr>
    </w:p>
    <w:p w14:paraId="35A937DC" w14:textId="77777777" w:rsidR="00D3344B" w:rsidRDefault="00143C25">
      <w:pPr>
        <w:pStyle w:val="Estilo"/>
        <w:ind w:left="567" w:hanging="567"/>
        <w:rPr>
          <w:rFonts w:cs="Arial"/>
        </w:rPr>
      </w:pPr>
      <w:r>
        <w:rPr>
          <w:rFonts w:cs="Arial"/>
        </w:rPr>
        <w:t xml:space="preserve">VII. </w:t>
      </w:r>
      <w:r>
        <w:rPr>
          <w:rFonts w:cs="Arial"/>
        </w:rPr>
        <w:tab/>
        <w:t xml:space="preserve">Tratándose de la solicitud de suspensión de la ejecución contra el cobro de contribuciones, procederá la suspensión, previo </w:t>
      </w:r>
      <w:proofErr w:type="spellStart"/>
      <w:r>
        <w:rPr>
          <w:rFonts w:cs="Arial"/>
        </w:rPr>
        <w:t>deposito</w:t>
      </w:r>
      <w:proofErr w:type="spellEnd"/>
      <w:r>
        <w:rPr>
          <w:rFonts w:cs="Arial"/>
        </w:rPr>
        <w:t xml:space="preserve"> de la cantidad que se adeude ante la Secretaría o Tesorería.</w:t>
      </w:r>
    </w:p>
    <w:p w14:paraId="37D0C532" w14:textId="77777777" w:rsidR="00D3344B" w:rsidRDefault="00D3344B">
      <w:pPr>
        <w:pStyle w:val="Estilo"/>
        <w:rPr>
          <w:rFonts w:cs="Arial"/>
        </w:rPr>
      </w:pPr>
    </w:p>
    <w:p w14:paraId="5F29D392" w14:textId="77777777" w:rsidR="00D3344B" w:rsidRDefault="00143C25">
      <w:pPr>
        <w:pStyle w:val="Estilo"/>
        <w:rPr>
          <w:rFonts w:cs="Arial"/>
        </w:rPr>
      </w:pPr>
      <w:r>
        <w:rPr>
          <w:rFonts w:cs="Arial"/>
        </w:rPr>
        <w:t>El depósito no se exigirá cuando se trate del cobro de sumas que excedan de la posibilidad del actor según apreciación del magistrado, o cuando previamente se haya constituido la garantía del interés fiscal ante la autoridad exactora, o cuando se trate de persona distinta del causante obligado directamente al pago; en este último caso, se asegurará el interés fiscal por cualquiera de los medios de garantía permitidos en el presente código.</w:t>
      </w:r>
    </w:p>
    <w:p w14:paraId="62A68205" w14:textId="77777777" w:rsidR="00D3344B" w:rsidRDefault="00D3344B">
      <w:pPr>
        <w:pStyle w:val="Estilo"/>
        <w:rPr>
          <w:rFonts w:cs="Arial"/>
        </w:rPr>
      </w:pPr>
    </w:p>
    <w:p w14:paraId="28D6EEEE" w14:textId="77777777" w:rsidR="00D3344B" w:rsidRDefault="00143C25">
      <w:pPr>
        <w:pStyle w:val="Estilo"/>
        <w:rPr>
          <w:rFonts w:cs="Arial"/>
        </w:rPr>
      </w:pPr>
      <w:r>
        <w:rPr>
          <w:rFonts w:cs="Arial"/>
        </w:rPr>
        <w:t>Mientras no se dicte sentencia, el Magistrado podrá modificar o revocar el auto que haya decretado o negado la suspensión, cuando ocurra un hecho superveniente que lo justifique.</w:t>
      </w:r>
    </w:p>
    <w:p w14:paraId="5898F6A1" w14:textId="77777777" w:rsidR="00D3344B" w:rsidRDefault="00D3344B">
      <w:pPr>
        <w:pStyle w:val="Estilo"/>
        <w:rPr>
          <w:rFonts w:cs="Arial"/>
        </w:rPr>
      </w:pPr>
    </w:p>
    <w:p w14:paraId="7F3A53FA" w14:textId="77777777" w:rsidR="00D3344B" w:rsidRDefault="00143C25">
      <w:pPr>
        <w:pStyle w:val="Estilo"/>
        <w:rPr>
          <w:rFonts w:cs="Arial"/>
        </w:rPr>
      </w:pPr>
      <w:r>
        <w:rPr>
          <w:rFonts w:cs="Arial"/>
          <w:b/>
        </w:rPr>
        <w:t>Artículo 447.</w:t>
      </w:r>
      <w:r>
        <w:rPr>
          <w:rFonts w:cs="Arial"/>
        </w:rPr>
        <w:t xml:space="preserve"> El demandante deberá adjuntar a su demanda:</w:t>
      </w:r>
    </w:p>
    <w:p w14:paraId="7BB4A7AF" w14:textId="77777777" w:rsidR="00D3344B" w:rsidRDefault="00D3344B">
      <w:pPr>
        <w:pStyle w:val="Estilo"/>
        <w:rPr>
          <w:rFonts w:cs="Arial"/>
        </w:rPr>
      </w:pPr>
    </w:p>
    <w:p w14:paraId="5C91ED2B" w14:textId="77777777" w:rsidR="00D3344B" w:rsidRDefault="00143C25">
      <w:pPr>
        <w:pStyle w:val="Estilo"/>
        <w:ind w:left="567" w:hanging="567"/>
        <w:rPr>
          <w:rFonts w:cs="Arial"/>
        </w:rPr>
      </w:pPr>
      <w:r>
        <w:rPr>
          <w:rFonts w:cs="Arial"/>
        </w:rPr>
        <w:t xml:space="preserve">I. </w:t>
      </w:r>
      <w:r>
        <w:rPr>
          <w:rFonts w:cs="Arial"/>
        </w:rPr>
        <w:tab/>
        <w:t>Una copia de la misma y de los documentos anexos, para cada una de las partes;</w:t>
      </w:r>
    </w:p>
    <w:p w14:paraId="6544698E" w14:textId="77777777" w:rsidR="00D3344B" w:rsidRDefault="00D3344B">
      <w:pPr>
        <w:pStyle w:val="Estilo"/>
        <w:ind w:left="567" w:hanging="567"/>
        <w:rPr>
          <w:rFonts w:cs="Arial"/>
        </w:rPr>
      </w:pPr>
    </w:p>
    <w:p w14:paraId="0C924BC0" w14:textId="77777777" w:rsidR="00D3344B" w:rsidRDefault="00143C25">
      <w:pPr>
        <w:pStyle w:val="Estilo"/>
        <w:ind w:left="567" w:hanging="567"/>
        <w:rPr>
          <w:rFonts w:cs="Arial"/>
        </w:rPr>
      </w:pPr>
      <w:r>
        <w:rPr>
          <w:rFonts w:cs="Arial"/>
        </w:rPr>
        <w:t xml:space="preserve">II. </w:t>
      </w:r>
      <w:r>
        <w:rPr>
          <w:rFonts w:cs="Arial"/>
        </w:rPr>
        <w:tab/>
        <w:t>El documento que acredite su personalidad o en el que conste que le fue reconocida por la autoridad demandada, o bien señalar los datos de registro del documento con el que la acredite ante el Tribunal, cuando no gestione en nombre propio;</w:t>
      </w:r>
    </w:p>
    <w:p w14:paraId="6370AC16" w14:textId="77777777" w:rsidR="00D3344B" w:rsidRDefault="00D3344B">
      <w:pPr>
        <w:pStyle w:val="Estilo"/>
        <w:ind w:left="567" w:hanging="567"/>
        <w:rPr>
          <w:rFonts w:cs="Arial"/>
        </w:rPr>
      </w:pPr>
    </w:p>
    <w:p w14:paraId="7486AFB1" w14:textId="77777777" w:rsidR="00D3344B" w:rsidRDefault="00143C25">
      <w:pPr>
        <w:pStyle w:val="Estilo"/>
        <w:ind w:left="567" w:hanging="567"/>
        <w:rPr>
          <w:rFonts w:cs="Arial"/>
        </w:rPr>
      </w:pPr>
      <w:r>
        <w:rPr>
          <w:rFonts w:cs="Arial"/>
        </w:rPr>
        <w:t xml:space="preserve">III. </w:t>
      </w:r>
      <w:r>
        <w:rPr>
          <w:rFonts w:cs="Arial"/>
        </w:rPr>
        <w:tab/>
        <w:t>El documento en que conste el acto impugnado;</w:t>
      </w:r>
    </w:p>
    <w:p w14:paraId="6E0F021F" w14:textId="77777777" w:rsidR="00D3344B" w:rsidRDefault="00D3344B">
      <w:pPr>
        <w:pStyle w:val="Estilo"/>
        <w:ind w:left="567" w:hanging="567"/>
        <w:rPr>
          <w:rFonts w:cs="Arial"/>
        </w:rPr>
      </w:pPr>
    </w:p>
    <w:p w14:paraId="50D163F6" w14:textId="77777777" w:rsidR="00D3344B" w:rsidRDefault="00143C25">
      <w:pPr>
        <w:pStyle w:val="Estilo"/>
        <w:ind w:left="567" w:hanging="567"/>
        <w:rPr>
          <w:rFonts w:cs="Arial"/>
        </w:rPr>
      </w:pPr>
      <w:r>
        <w:rPr>
          <w:rFonts w:cs="Arial"/>
        </w:rPr>
        <w:t xml:space="preserve">IV. </w:t>
      </w:r>
      <w:r>
        <w:rPr>
          <w:rFonts w:cs="Arial"/>
        </w:rPr>
        <w:tab/>
        <w:t>En el supuesto de que se impugne una resolución negativa ficta deberá acompañarse una copia, en la que obre el sello de recepción, de la instancia no resuelta expresamente por la autoridad;</w:t>
      </w:r>
    </w:p>
    <w:p w14:paraId="0BF4A239" w14:textId="77777777" w:rsidR="00D3344B" w:rsidRDefault="00D3344B">
      <w:pPr>
        <w:pStyle w:val="Estilo"/>
        <w:ind w:left="567" w:hanging="567"/>
        <w:rPr>
          <w:rFonts w:cs="Arial"/>
        </w:rPr>
      </w:pPr>
    </w:p>
    <w:p w14:paraId="43000D9E" w14:textId="77777777" w:rsidR="00D3344B" w:rsidRDefault="00143C25">
      <w:pPr>
        <w:pStyle w:val="Estilo"/>
        <w:ind w:left="567" w:hanging="567"/>
        <w:rPr>
          <w:rFonts w:cs="Arial"/>
        </w:rPr>
      </w:pPr>
      <w:r>
        <w:rPr>
          <w:rFonts w:cs="Arial"/>
        </w:rPr>
        <w:t xml:space="preserve">V. </w:t>
      </w:r>
      <w:r>
        <w:rPr>
          <w:rFonts w:cs="Arial"/>
        </w:rPr>
        <w:tab/>
        <w:t>La constancia de la notificación del acto impugnado;</w:t>
      </w:r>
    </w:p>
    <w:p w14:paraId="741746FA" w14:textId="77777777" w:rsidR="00D3344B" w:rsidRDefault="00D3344B">
      <w:pPr>
        <w:pStyle w:val="Estilo"/>
        <w:ind w:left="567" w:hanging="567"/>
        <w:rPr>
          <w:rFonts w:cs="Arial"/>
        </w:rPr>
      </w:pPr>
    </w:p>
    <w:p w14:paraId="3C0AEA31" w14:textId="77777777" w:rsidR="00D3344B" w:rsidRDefault="00143C25">
      <w:pPr>
        <w:pStyle w:val="Estilo"/>
        <w:ind w:left="567" w:hanging="567"/>
        <w:rPr>
          <w:rFonts w:cs="Arial"/>
        </w:rPr>
      </w:pPr>
      <w:r>
        <w:rPr>
          <w:rFonts w:cs="Arial"/>
        </w:rPr>
        <w:lastRenderedPageBreak/>
        <w:t xml:space="preserve">VI. </w:t>
      </w:r>
      <w:r>
        <w:rPr>
          <w:rFonts w:cs="Arial"/>
        </w:rPr>
        <w:tab/>
        <w:t>Cuando no se haya recibido constancia de notificación o la misma hubiere sido practicada por correo, así se hará constar en el escrito de demanda, señalando la fecha en que dicha notificación se practicó. Si la demandada al contestar la demanda hace valer su extemporaneidad, anexando las constancias de notificación en que la apoya, el magistrado concederá a la actora el término de cinco días para que la desvirtúe. Si durante dicho término no se controvierte la legalidad de la notificación de la resolución impugnada, se presumirá legal la diligencia de la notificación de la referida resolución;</w:t>
      </w:r>
    </w:p>
    <w:p w14:paraId="09C73FEF" w14:textId="77777777" w:rsidR="00D3344B" w:rsidRDefault="00D3344B">
      <w:pPr>
        <w:pStyle w:val="Estilo"/>
        <w:ind w:left="567" w:hanging="567"/>
        <w:rPr>
          <w:rFonts w:cs="Arial"/>
        </w:rPr>
      </w:pPr>
    </w:p>
    <w:p w14:paraId="3BEC570B" w14:textId="77777777" w:rsidR="00D3344B" w:rsidRDefault="00143C25">
      <w:pPr>
        <w:pStyle w:val="Estilo"/>
        <w:ind w:left="567" w:hanging="567"/>
        <w:rPr>
          <w:rFonts w:cs="Arial"/>
        </w:rPr>
      </w:pPr>
      <w:r>
        <w:rPr>
          <w:rFonts w:cs="Arial"/>
        </w:rPr>
        <w:t xml:space="preserve">VII. </w:t>
      </w:r>
      <w:r>
        <w:rPr>
          <w:rFonts w:cs="Arial"/>
        </w:rPr>
        <w:tab/>
        <w:t>El cuestionario que debe desahogar el perito, el cual deberá ir firmado por el demandante;</w:t>
      </w:r>
    </w:p>
    <w:p w14:paraId="74D402B5" w14:textId="77777777" w:rsidR="00D3344B" w:rsidRDefault="00D3344B">
      <w:pPr>
        <w:pStyle w:val="Estilo"/>
        <w:ind w:left="567" w:hanging="567"/>
        <w:rPr>
          <w:rFonts w:cs="Arial"/>
        </w:rPr>
      </w:pPr>
    </w:p>
    <w:p w14:paraId="0478BF10" w14:textId="77777777" w:rsidR="00D3344B" w:rsidRDefault="00143C25">
      <w:pPr>
        <w:pStyle w:val="Estilo"/>
        <w:ind w:left="567" w:hanging="567"/>
        <w:rPr>
          <w:rFonts w:cs="Arial"/>
        </w:rPr>
      </w:pPr>
      <w:r>
        <w:rPr>
          <w:rFonts w:cs="Arial"/>
        </w:rPr>
        <w:t xml:space="preserve">VIII. </w:t>
      </w:r>
      <w:r>
        <w:rPr>
          <w:rFonts w:cs="Arial"/>
        </w:rPr>
        <w:tab/>
        <w:t>El interrogatorio para el desahogo de la prueba testimonial, el que deberá ir firmado por el demandante, y</w:t>
      </w:r>
    </w:p>
    <w:p w14:paraId="27466C1B" w14:textId="77777777" w:rsidR="00D3344B" w:rsidRDefault="00D3344B">
      <w:pPr>
        <w:pStyle w:val="Estilo"/>
        <w:ind w:left="567" w:hanging="567"/>
        <w:rPr>
          <w:rFonts w:cs="Arial"/>
        </w:rPr>
      </w:pPr>
    </w:p>
    <w:p w14:paraId="53AE107D" w14:textId="77777777" w:rsidR="00D3344B" w:rsidRDefault="00143C25">
      <w:pPr>
        <w:pStyle w:val="Estilo"/>
        <w:ind w:left="567" w:hanging="567"/>
        <w:rPr>
          <w:rFonts w:cs="Arial"/>
        </w:rPr>
      </w:pPr>
      <w:r>
        <w:rPr>
          <w:rFonts w:cs="Arial"/>
        </w:rPr>
        <w:t xml:space="preserve">IX. </w:t>
      </w:r>
      <w:r>
        <w:rPr>
          <w:rFonts w:cs="Arial"/>
        </w:rPr>
        <w:tab/>
        <w:t>Las pruebas documentales que ofrezca.</w:t>
      </w:r>
    </w:p>
    <w:p w14:paraId="57BB6C97" w14:textId="77777777" w:rsidR="00D3344B" w:rsidRDefault="00D3344B">
      <w:pPr>
        <w:pStyle w:val="Estilo"/>
        <w:rPr>
          <w:rFonts w:cs="Arial"/>
        </w:rPr>
      </w:pPr>
    </w:p>
    <w:p w14:paraId="4C41CD3F" w14:textId="77777777" w:rsidR="00D3344B" w:rsidRDefault="00143C25">
      <w:pPr>
        <w:pStyle w:val="Estilo"/>
        <w:rPr>
          <w:rFonts w:cs="Arial"/>
        </w:rPr>
      </w:pPr>
      <w:r>
        <w:rPr>
          <w:rFonts w:cs="Arial"/>
        </w:rPr>
        <w:t>Los particulares demandantes deberán señalar, sin acompañar, los documentos que fueron considerados en el procedimiento administrativo como conteniendo información confidencial o comercial reservada. La sala solicitará los documentos antes de cerrar la instrucción.</w:t>
      </w:r>
    </w:p>
    <w:p w14:paraId="136BD569" w14:textId="77777777" w:rsidR="00D3344B" w:rsidRDefault="00D3344B">
      <w:pPr>
        <w:pStyle w:val="Estilo"/>
        <w:rPr>
          <w:rFonts w:cs="Arial"/>
        </w:rPr>
      </w:pPr>
    </w:p>
    <w:p w14:paraId="2AE6E9B9" w14:textId="77777777" w:rsidR="00D3344B" w:rsidRDefault="00143C25">
      <w:pPr>
        <w:pStyle w:val="Estilo"/>
        <w:rPr>
          <w:rFonts w:cs="Arial"/>
        </w:rPr>
      </w:pPr>
      <w:r>
        <w:rPr>
          <w:rFonts w:cs="Arial"/>
        </w:rPr>
        <w:t>Cuando las pruebas documentales no obren en poder del demandante o cuando no hubiera podido obtenerlas a pesar de tratarse de documentos que legalmente se encuentren a su disposición, éste deberá señalar el archivo o lugar en que se encuentra para que a su costa se mande expedir copia de ellos o se requiera su remisión cuando ésta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 En ningún caso se requerirá el envío de un expediente administrativo.</w:t>
      </w:r>
    </w:p>
    <w:p w14:paraId="77A12A1B" w14:textId="77777777" w:rsidR="00D3344B" w:rsidRDefault="00D3344B">
      <w:pPr>
        <w:pStyle w:val="Estilo"/>
        <w:rPr>
          <w:rFonts w:cs="Arial"/>
        </w:rPr>
      </w:pPr>
    </w:p>
    <w:p w14:paraId="7CD94E15" w14:textId="77777777" w:rsidR="00D3344B" w:rsidRDefault="00143C25">
      <w:pPr>
        <w:pStyle w:val="Estilo"/>
        <w:rPr>
          <w:rFonts w:cs="Arial"/>
        </w:rPr>
      </w:pPr>
      <w:r>
        <w:rPr>
          <w:rFonts w:cs="Arial"/>
        </w:rPr>
        <w:t xml:space="preserve">Si no se adjuntan a la demanda los documentos a que se refiere este precepto, el magistrado requerirá al promovente para que </w:t>
      </w:r>
      <w:proofErr w:type="gramStart"/>
      <w:r>
        <w:rPr>
          <w:rFonts w:cs="Arial"/>
        </w:rPr>
        <w:t>los presente</w:t>
      </w:r>
      <w:proofErr w:type="gramEnd"/>
      <w:r>
        <w:rPr>
          <w:rFonts w:cs="Arial"/>
        </w:rPr>
        <w:t xml:space="preserve"> dentro del plazo de cinco días. Cuando el promovente no los presente dentro de dicho plazo y se trate de los documentos a que se refieren las fracciones I a IV de este artículo, se tendrá por no presentada la demanda. Si se trata de las pruebas a que se refieren las fracciones V, VI y VII de este artículo, las mismas se tendrán por no ofrecidas.</w:t>
      </w:r>
    </w:p>
    <w:p w14:paraId="37957AA2" w14:textId="77777777" w:rsidR="00D3344B" w:rsidRDefault="00D3344B">
      <w:pPr>
        <w:pStyle w:val="Estilo"/>
        <w:rPr>
          <w:rFonts w:cs="Arial"/>
        </w:rPr>
      </w:pPr>
    </w:p>
    <w:p w14:paraId="7C8E6E31" w14:textId="77777777" w:rsidR="00D3344B" w:rsidRDefault="00143C25">
      <w:pPr>
        <w:pStyle w:val="Estilo"/>
        <w:rPr>
          <w:rFonts w:cs="Arial"/>
        </w:rPr>
      </w:pPr>
      <w:r>
        <w:rPr>
          <w:rFonts w:cs="Arial"/>
          <w:b/>
        </w:rPr>
        <w:t>Artículo 448.</w:t>
      </w:r>
      <w:r>
        <w:rPr>
          <w:rFonts w:cs="Arial"/>
        </w:rPr>
        <w:t xml:space="preserve"> Cuando se alegue que el acto administrativo no fue notificado o que lo fue ilegalmente, siempre que se trate de los impugnables en el juicio contencioso administrativo, se estará a las reglas siguientes:</w:t>
      </w:r>
    </w:p>
    <w:p w14:paraId="7F2649BB" w14:textId="77777777" w:rsidR="00D3344B" w:rsidRDefault="00D3344B">
      <w:pPr>
        <w:pStyle w:val="Estilo"/>
        <w:rPr>
          <w:rFonts w:cs="Arial"/>
        </w:rPr>
      </w:pPr>
    </w:p>
    <w:p w14:paraId="7AE7758E" w14:textId="77777777" w:rsidR="00D3344B" w:rsidRDefault="00143C25">
      <w:pPr>
        <w:pStyle w:val="Estilo"/>
        <w:ind w:left="567" w:hanging="567"/>
        <w:rPr>
          <w:rFonts w:cs="Arial"/>
        </w:rPr>
      </w:pPr>
      <w:r>
        <w:rPr>
          <w:rFonts w:cs="Arial"/>
        </w:rPr>
        <w:lastRenderedPageBreak/>
        <w:t xml:space="preserve">I. </w:t>
      </w:r>
      <w:r>
        <w:rPr>
          <w:rFonts w:cs="Arial"/>
        </w:rPr>
        <w:tab/>
        <w:t>Si el demandante afirma conocer el acto administrativo, la impugnación contra la notificación se hará valer en la demanda, en la que manifestará la fecha en que lo conoció.</w:t>
      </w:r>
    </w:p>
    <w:p w14:paraId="1C95B4B6" w14:textId="77777777" w:rsidR="00D3344B" w:rsidRDefault="00D3344B">
      <w:pPr>
        <w:pStyle w:val="Estilo"/>
        <w:ind w:left="567" w:hanging="567"/>
        <w:rPr>
          <w:rFonts w:cs="Arial"/>
        </w:rPr>
      </w:pPr>
    </w:p>
    <w:p w14:paraId="364261CA" w14:textId="77777777" w:rsidR="00D3344B" w:rsidRDefault="00143C25">
      <w:pPr>
        <w:pStyle w:val="Estilo"/>
        <w:ind w:left="567"/>
        <w:rPr>
          <w:rFonts w:cs="Arial"/>
        </w:rPr>
      </w:pPr>
      <w:r>
        <w:rPr>
          <w:rFonts w:cs="Arial"/>
        </w:rPr>
        <w:t>En caso de que también impugne el acto administrativo, los conceptos de nulidad se expresarán en la demanda, conjuntamente con los que se formulen contra la notificación;</w:t>
      </w:r>
    </w:p>
    <w:p w14:paraId="2BAE5AA6" w14:textId="77777777" w:rsidR="00D3344B" w:rsidRDefault="00D3344B">
      <w:pPr>
        <w:pStyle w:val="Estilo"/>
        <w:ind w:left="567" w:hanging="567"/>
        <w:rPr>
          <w:rFonts w:cs="Arial"/>
        </w:rPr>
      </w:pPr>
    </w:p>
    <w:p w14:paraId="5AD86B18" w14:textId="77777777" w:rsidR="00D3344B" w:rsidRDefault="00143C25">
      <w:pPr>
        <w:pStyle w:val="Estilo"/>
        <w:ind w:left="567" w:hanging="567"/>
        <w:rPr>
          <w:rFonts w:cs="Arial"/>
        </w:rPr>
      </w:pPr>
      <w:r>
        <w:rPr>
          <w:rFonts w:cs="Arial"/>
        </w:rPr>
        <w:t xml:space="preserve">II. </w:t>
      </w:r>
      <w:r>
        <w:rPr>
          <w:rFonts w:cs="Arial"/>
        </w:rPr>
        <w:tab/>
        <w:t>Si el actor manifiesta que no conoce el acto administrativo que pretende impugnar, así lo expresará en su demanda, señalando la autoridad a quien atribuye el acto, su notificación, o su ejecución.</w:t>
      </w:r>
    </w:p>
    <w:p w14:paraId="3B915AED" w14:textId="77777777" w:rsidR="00D3344B" w:rsidRDefault="00D3344B">
      <w:pPr>
        <w:pStyle w:val="Estilo"/>
        <w:ind w:left="567" w:hanging="567"/>
        <w:rPr>
          <w:rFonts w:cs="Arial"/>
        </w:rPr>
      </w:pPr>
    </w:p>
    <w:p w14:paraId="5259FC74" w14:textId="77777777" w:rsidR="00D3344B" w:rsidRDefault="00143C25">
      <w:pPr>
        <w:pStyle w:val="Estilo"/>
        <w:ind w:left="567"/>
        <w:rPr>
          <w:rFonts w:cs="Arial"/>
        </w:rPr>
      </w:pPr>
      <w:r>
        <w:rPr>
          <w:rFonts w:cs="Arial"/>
        </w:rPr>
        <w:t>En este caso, al contestar la demanda, la autoridad acompañará constancia del acto administrativo y de su notificación, mismos que el actor podrá combatir mediante ampliación de la demanda, y</w:t>
      </w:r>
    </w:p>
    <w:p w14:paraId="6136DD7B" w14:textId="77777777" w:rsidR="00D3344B" w:rsidRDefault="00D3344B">
      <w:pPr>
        <w:pStyle w:val="Estilo"/>
        <w:ind w:left="567" w:hanging="567"/>
        <w:rPr>
          <w:rFonts w:cs="Arial"/>
        </w:rPr>
      </w:pPr>
    </w:p>
    <w:p w14:paraId="10DBB4BE" w14:textId="77777777" w:rsidR="00D3344B" w:rsidRDefault="00143C25">
      <w:pPr>
        <w:pStyle w:val="Estilo"/>
        <w:ind w:left="567" w:hanging="567"/>
        <w:rPr>
          <w:rFonts w:cs="Arial"/>
        </w:rPr>
      </w:pPr>
      <w:r>
        <w:rPr>
          <w:rFonts w:cs="Arial"/>
        </w:rPr>
        <w:t xml:space="preserve">III. </w:t>
      </w:r>
      <w:r>
        <w:rPr>
          <w:rFonts w:cs="Arial"/>
        </w:rPr>
        <w:tab/>
        <w:t>El tribunal estudiará los conceptos de nulidad expresados contra la notificación, previamente al examen de la impugnación del acto administrativo.</w:t>
      </w:r>
    </w:p>
    <w:p w14:paraId="57B19691" w14:textId="77777777" w:rsidR="00D3344B" w:rsidRDefault="00D3344B">
      <w:pPr>
        <w:pStyle w:val="Estilo"/>
        <w:rPr>
          <w:rFonts w:cs="Arial"/>
        </w:rPr>
      </w:pPr>
    </w:p>
    <w:p w14:paraId="52EA25B2" w14:textId="77777777" w:rsidR="00D3344B" w:rsidRDefault="00143C25">
      <w:pPr>
        <w:pStyle w:val="Estilo"/>
        <w:rPr>
          <w:rFonts w:cs="Arial"/>
        </w:rPr>
      </w:pPr>
      <w:r>
        <w:rPr>
          <w:rFonts w:cs="Arial"/>
        </w:rPr>
        <w:t>Si resuelve que no hubo notificación o que fue ilegal, considerará que el actor fue sabedor del acto administrativo desde la fecha en que se le dio a conocer en los términos de la fracción II de este artículo, quedando sin efectos todo lo actuado en base a aquella, y procederá al estudio de la impugnación que, en su caso, se hubiese formulado contra dicho acto.</w:t>
      </w:r>
    </w:p>
    <w:p w14:paraId="7BB50284" w14:textId="77777777" w:rsidR="00D3344B" w:rsidRDefault="00D3344B">
      <w:pPr>
        <w:pStyle w:val="Estilo"/>
        <w:rPr>
          <w:rFonts w:cs="Arial"/>
        </w:rPr>
      </w:pPr>
    </w:p>
    <w:p w14:paraId="6A2E6E86" w14:textId="77777777" w:rsidR="00D3344B" w:rsidRDefault="00143C25">
      <w:pPr>
        <w:pStyle w:val="Estilo"/>
        <w:rPr>
          <w:rFonts w:cs="Arial"/>
        </w:rPr>
      </w:pPr>
      <w:r>
        <w:rPr>
          <w:rFonts w:cs="Arial"/>
        </w:rPr>
        <w:t>Si resuelve que la notificación fue legalmente practicada, y como consecuencia de ello la demanda fue presentada extemporáneamente, sobreseerá el juicio en relación con el acto administrativo combatido.</w:t>
      </w:r>
    </w:p>
    <w:p w14:paraId="1252EC2A" w14:textId="77777777" w:rsidR="00D3344B" w:rsidRDefault="00D3344B">
      <w:pPr>
        <w:pStyle w:val="Estilo"/>
        <w:rPr>
          <w:rFonts w:cs="Arial"/>
        </w:rPr>
      </w:pPr>
    </w:p>
    <w:p w14:paraId="123AC6CD" w14:textId="77777777" w:rsidR="00D3344B" w:rsidRDefault="00143C25">
      <w:pPr>
        <w:pStyle w:val="Estilo"/>
        <w:rPr>
          <w:rFonts w:cs="Arial"/>
        </w:rPr>
      </w:pPr>
      <w:r>
        <w:rPr>
          <w:rFonts w:cs="Arial"/>
          <w:b/>
        </w:rPr>
        <w:t>Artículo 449.</w:t>
      </w:r>
      <w:r>
        <w:rPr>
          <w:rFonts w:cs="Arial"/>
        </w:rPr>
        <w:t xml:space="preserve"> Se podrá ampliar la demanda, dentro de los veinte días siguientes a aquel en que surta efectos la notificación del acuerdo que admita su contestación, en los casos siguientes:</w:t>
      </w:r>
    </w:p>
    <w:p w14:paraId="73E95B25" w14:textId="77777777" w:rsidR="00D3344B" w:rsidRDefault="00D3344B">
      <w:pPr>
        <w:pStyle w:val="Estilo"/>
        <w:rPr>
          <w:rFonts w:cs="Arial"/>
        </w:rPr>
      </w:pPr>
    </w:p>
    <w:p w14:paraId="5A5A8EE1" w14:textId="77777777" w:rsidR="00D3344B" w:rsidRDefault="00143C25">
      <w:pPr>
        <w:pStyle w:val="Estilo"/>
        <w:ind w:left="567" w:hanging="567"/>
        <w:rPr>
          <w:rFonts w:cs="Arial"/>
        </w:rPr>
      </w:pPr>
      <w:r>
        <w:rPr>
          <w:rFonts w:cs="Arial"/>
        </w:rPr>
        <w:t xml:space="preserve">I. </w:t>
      </w:r>
      <w:r>
        <w:rPr>
          <w:rFonts w:cs="Arial"/>
        </w:rPr>
        <w:tab/>
        <w:t>Cuando se impugne una negativa ficta;</w:t>
      </w:r>
    </w:p>
    <w:p w14:paraId="5F283211" w14:textId="77777777" w:rsidR="00D3344B" w:rsidRDefault="00D3344B">
      <w:pPr>
        <w:pStyle w:val="Estilo"/>
        <w:ind w:left="567" w:hanging="567"/>
        <w:rPr>
          <w:rFonts w:cs="Arial"/>
        </w:rPr>
      </w:pPr>
    </w:p>
    <w:p w14:paraId="24159855" w14:textId="77777777" w:rsidR="00D3344B" w:rsidRDefault="00143C25">
      <w:pPr>
        <w:pStyle w:val="Estilo"/>
        <w:ind w:left="567" w:hanging="567"/>
        <w:rPr>
          <w:rFonts w:cs="Arial"/>
        </w:rPr>
      </w:pPr>
      <w:r>
        <w:rPr>
          <w:rFonts w:cs="Arial"/>
        </w:rPr>
        <w:t xml:space="preserve">II. </w:t>
      </w:r>
      <w:r>
        <w:rPr>
          <w:rFonts w:cs="Arial"/>
        </w:rPr>
        <w:tab/>
        <w:t>Contra el acto principal del que derive el impugnado en la demanda, así como su notificación, cuando se den a conocer en la contestación;</w:t>
      </w:r>
    </w:p>
    <w:p w14:paraId="6B81CCC4" w14:textId="77777777" w:rsidR="00D3344B" w:rsidRDefault="00D3344B">
      <w:pPr>
        <w:pStyle w:val="Estilo"/>
        <w:ind w:left="567" w:hanging="567"/>
        <w:rPr>
          <w:rFonts w:cs="Arial"/>
        </w:rPr>
      </w:pPr>
    </w:p>
    <w:p w14:paraId="6D997DE0" w14:textId="77777777" w:rsidR="00D3344B" w:rsidRDefault="00143C25">
      <w:pPr>
        <w:pStyle w:val="Estilo"/>
        <w:ind w:left="567" w:hanging="567"/>
        <w:rPr>
          <w:rFonts w:cs="Arial"/>
        </w:rPr>
      </w:pPr>
      <w:r>
        <w:rPr>
          <w:rFonts w:cs="Arial"/>
        </w:rPr>
        <w:t xml:space="preserve">III. </w:t>
      </w:r>
      <w:r>
        <w:rPr>
          <w:rFonts w:cs="Arial"/>
        </w:rPr>
        <w:tab/>
        <w:t>En los casos previstos por el artículo 448, y</w:t>
      </w:r>
    </w:p>
    <w:p w14:paraId="347EF230" w14:textId="77777777" w:rsidR="00D3344B" w:rsidRDefault="00D3344B">
      <w:pPr>
        <w:pStyle w:val="Estilo"/>
        <w:ind w:left="567" w:hanging="567"/>
        <w:rPr>
          <w:rFonts w:cs="Arial"/>
        </w:rPr>
      </w:pPr>
    </w:p>
    <w:p w14:paraId="051DE000" w14:textId="77777777" w:rsidR="00D3344B" w:rsidRDefault="00143C25">
      <w:pPr>
        <w:pStyle w:val="Estilo"/>
        <w:ind w:left="567" w:hanging="567"/>
        <w:rPr>
          <w:rFonts w:cs="Arial"/>
        </w:rPr>
      </w:pPr>
      <w:r>
        <w:rPr>
          <w:rFonts w:cs="Arial"/>
        </w:rPr>
        <w:t xml:space="preserve">IV. </w:t>
      </w:r>
      <w:r>
        <w:rPr>
          <w:rFonts w:cs="Arial"/>
        </w:rPr>
        <w:tab/>
        <w:t>Cuando con motivo de la contestación, se introduzcan cuestiones que sin violar el primer párrafo del artículo 454 no sean conocidas por el actor al presentar la demanda.</w:t>
      </w:r>
    </w:p>
    <w:p w14:paraId="66271B31" w14:textId="77777777" w:rsidR="00D3344B" w:rsidRDefault="00D3344B">
      <w:pPr>
        <w:pStyle w:val="Estilo"/>
        <w:rPr>
          <w:rFonts w:cs="Arial"/>
        </w:rPr>
      </w:pPr>
    </w:p>
    <w:p w14:paraId="054B13AD" w14:textId="77777777" w:rsidR="00D3344B" w:rsidRDefault="00143C25">
      <w:pPr>
        <w:pStyle w:val="Estilo"/>
        <w:rPr>
          <w:rFonts w:cs="Arial"/>
        </w:rPr>
      </w:pPr>
      <w:r>
        <w:rPr>
          <w:rFonts w:cs="Arial"/>
        </w:rPr>
        <w:lastRenderedPageBreak/>
        <w:t>En el escrito de ampliación de demanda se deberá señalar el nombre del actor y el juicio en que se actúa, debiendo adjuntar, con las copias necesarias para el traslado, las pruebas y documentos que en su caso se presenten.</w:t>
      </w:r>
    </w:p>
    <w:p w14:paraId="2C3E8467" w14:textId="77777777" w:rsidR="00D3344B" w:rsidRDefault="00D3344B">
      <w:pPr>
        <w:pStyle w:val="Estilo"/>
        <w:rPr>
          <w:rFonts w:cs="Arial"/>
        </w:rPr>
      </w:pPr>
    </w:p>
    <w:p w14:paraId="756A31DD" w14:textId="77777777" w:rsidR="00D3344B" w:rsidRDefault="00143C25">
      <w:pPr>
        <w:pStyle w:val="Estilo"/>
        <w:rPr>
          <w:rFonts w:cs="Arial"/>
        </w:rPr>
      </w:pPr>
      <w:r>
        <w:rPr>
          <w:rFonts w:cs="Arial"/>
        </w:rPr>
        <w:t>Cuando las pruebas documentales no obren en poder del demandante o cuando no hubiera podido obtenerlas a pesar de tratarse de documentos que legalmente se encuentren a su disposición, será aplicable en lo conducente lo dispuesto en el antepenúltimo párrafo del artículo 447 de este código.</w:t>
      </w:r>
    </w:p>
    <w:p w14:paraId="0607F24F" w14:textId="77777777" w:rsidR="00D3344B" w:rsidRDefault="00D3344B">
      <w:pPr>
        <w:pStyle w:val="Estilo"/>
        <w:rPr>
          <w:rFonts w:cs="Arial"/>
        </w:rPr>
      </w:pPr>
    </w:p>
    <w:p w14:paraId="79E78076" w14:textId="77777777" w:rsidR="00D3344B" w:rsidRDefault="00143C25">
      <w:pPr>
        <w:pStyle w:val="Estilo"/>
        <w:rPr>
          <w:rFonts w:cs="Arial"/>
        </w:rPr>
      </w:pPr>
      <w:r>
        <w:rPr>
          <w:rFonts w:cs="Arial"/>
        </w:rPr>
        <w:t xml:space="preserve">Si no se adjuntan las copias a que se refiere este artículo, el magistrado requerirá al promovente para que </w:t>
      </w:r>
      <w:proofErr w:type="gramStart"/>
      <w:r>
        <w:rPr>
          <w:rFonts w:cs="Arial"/>
        </w:rPr>
        <w:t>las presente</w:t>
      </w:r>
      <w:proofErr w:type="gramEnd"/>
      <w:r>
        <w:rPr>
          <w:rFonts w:cs="Arial"/>
        </w:rPr>
        <w:t xml:space="preserve"> dentro del plazo de cinco días. Si el promovente no las presenta dentro de dicho plazo, se tendrá por no presentada la ampliación a la demanda. Si se trata de las pruebas documentales o de los cuestionarios dirigidos a peritos y testigos, a que se refieren las fracciones V, VI y VII del artículo 447 de este código, las mismas se tendrán por no ofrecidas.</w:t>
      </w:r>
    </w:p>
    <w:p w14:paraId="41381ECF" w14:textId="77777777" w:rsidR="00D3344B" w:rsidRDefault="00D3344B">
      <w:pPr>
        <w:pStyle w:val="Estilo"/>
        <w:rPr>
          <w:rFonts w:cs="Arial"/>
        </w:rPr>
      </w:pPr>
    </w:p>
    <w:p w14:paraId="2102D36D" w14:textId="77777777" w:rsidR="00D3344B" w:rsidRDefault="00143C25">
      <w:pPr>
        <w:pStyle w:val="Estilo"/>
        <w:rPr>
          <w:rFonts w:cs="Arial"/>
        </w:rPr>
      </w:pPr>
      <w:r>
        <w:rPr>
          <w:rFonts w:cs="Arial"/>
          <w:b/>
        </w:rPr>
        <w:t>Artículo 450.</w:t>
      </w:r>
      <w:r>
        <w:rPr>
          <w:rFonts w:cs="Arial"/>
        </w:rPr>
        <w:t xml:space="preserve"> El tercero, dentro de los cuarenta y cinco días siguientes a aquel en que se corra traslado de la demanda, podrá apersonarse en juicio, mediante escrito que contendrá los requisitos de la demanda o de la contestación, según sea el caso, así como la justificación de su derecho para intervenir en el asunto.</w:t>
      </w:r>
    </w:p>
    <w:p w14:paraId="0475C97A" w14:textId="77777777" w:rsidR="00D3344B" w:rsidRDefault="00D3344B">
      <w:pPr>
        <w:pStyle w:val="Estilo"/>
        <w:rPr>
          <w:rFonts w:cs="Arial"/>
        </w:rPr>
      </w:pPr>
    </w:p>
    <w:p w14:paraId="35BF0EBC" w14:textId="77777777" w:rsidR="00D3344B" w:rsidRDefault="00143C25">
      <w:pPr>
        <w:pStyle w:val="Estilo"/>
        <w:rPr>
          <w:rFonts w:cs="Arial"/>
        </w:rPr>
      </w:pPr>
      <w:r>
        <w:rPr>
          <w:rFonts w:cs="Arial"/>
        </w:rPr>
        <w:t>Deberá adjuntar a su escrito, el documento en que se acredite su personalidad cuando no gestione en nombre propio, las pruebas documentales que ofrezca y el cuestionario para los peritos. Son aplicables en lo conducente los tres últimos párrafos del artículo 447 de este código.</w:t>
      </w:r>
    </w:p>
    <w:p w14:paraId="7DA50BB9" w14:textId="77777777" w:rsidR="00D3344B" w:rsidRDefault="00D3344B">
      <w:pPr>
        <w:pStyle w:val="Estilo"/>
        <w:rPr>
          <w:rFonts w:cs="Arial"/>
        </w:rPr>
      </w:pPr>
    </w:p>
    <w:p w14:paraId="3FBFB8B6" w14:textId="77777777" w:rsidR="00D3344B" w:rsidRDefault="00143C25">
      <w:pPr>
        <w:pStyle w:val="Estilo"/>
        <w:jc w:val="center"/>
        <w:rPr>
          <w:rFonts w:cs="Arial"/>
          <w:b/>
        </w:rPr>
      </w:pPr>
      <w:r>
        <w:rPr>
          <w:rFonts w:cs="Arial"/>
          <w:b/>
        </w:rPr>
        <w:t>Capítulo V</w:t>
      </w:r>
    </w:p>
    <w:p w14:paraId="391DE560" w14:textId="77777777" w:rsidR="00D3344B" w:rsidRDefault="00143C25">
      <w:pPr>
        <w:pStyle w:val="Estilo"/>
        <w:jc w:val="center"/>
        <w:rPr>
          <w:rFonts w:cs="Arial"/>
          <w:b/>
        </w:rPr>
      </w:pPr>
      <w:r>
        <w:rPr>
          <w:rFonts w:cs="Arial"/>
          <w:b/>
        </w:rPr>
        <w:t xml:space="preserve">  De la Contestación</w:t>
      </w:r>
    </w:p>
    <w:p w14:paraId="4AF563C0" w14:textId="77777777" w:rsidR="00D3344B" w:rsidRDefault="00D3344B">
      <w:pPr>
        <w:pStyle w:val="Estilo"/>
        <w:rPr>
          <w:rFonts w:cs="Arial"/>
        </w:rPr>
      </w:pPr>
    </w:p>
    <w:p w14:paraId="4300885A" w14:textId="77777777" w:rsidR="00D3344B" w:rsidRDefault="00143C25">
      <w:pPr>
        <w:pStyle w:val="Estilo"/>
        <w:rPr>
          <w:rFonts w:cs="Arial"/>
        </w:rPr>
      </w:pPr>
      <w:r>
        <w:rPr>
          <w:rFonts w:cs="Arial"/>
          <w:b/>
        </w:rPr>
        <w:t>Artículo 451.</w:t>
      </w:r>
      <w:r>
        <w:rPr>
          <w:rFonts w:cs="Arial"/>
        </w:rPr>
        <w:t xml:space="preserve"> Admitida la demanda se correrá traslado de ella al demandado, emplazándolo para que la conteste dentro de los cuarenta y cinco días siguientes a aquel en que surta efectos el emplazamiento. El plazo para contestar la ampliación de la demanda será de veinte días siguientes a aquel en que surta efectos la notificación del acuerdo que admita la ampliación. Si no se produce la contestación a tiempo o ésta no se refiere a todos los hechos, se tendrán como ciertos los que el actor impute de manera precisa al demandado, salvo que por las pruebas rendidas o por hechos notorios resulten desvirtuados.</w:t>
      </w:r>
    </w:p>
    <w:p w14:paraId="067BC91A" w14:textId="77777777" w:rsidR="00D3344B" w:rsidRDefault="00D3344B">
      <w:pPr>
        <w:pStyle w:val="Estilo"/>
        <w:rPr>
          <w:rFonts w:cs="Arial"/>
        </w:rPr>
      </w:pPr>
    </w:p>
    <w:p w14:paraId="55DEAD35" w14:textId="77777777" w:rsidR="00D3344B" w:rsidRDefault="00143C25">
      <w:pPr>
        <w:pStyle w:val="Estilo"/>
        <w:rPr>
          <w:rFonts w:cs="Arial"/>
        </w:rPr>
      </w:pPr>
      <w:r>
        <w:rPr>
          <w:rFonts w:cs="Arial"/>
        </w:rPr>
        <w:t>Cuando alguna autoridad que deba ser parte en el juicio no fuese señalada por el actor como demandada, de oficio se le correrá traslado de la demanda para que la conteste en el plazo a que se refiere el párrafo anterior.</w:t>
      </w:r>
    </w:p>
    <w:p w14:paraId="5AA79E06" w14:textId="77777777" w:rsidR="00D3344B" w:rsidRDefault="00D3344B">
      <w:pPr>
        <w:pStyle w:val="Estilo"/>
        <w:rPr>
          <w:rFonts w:cs="Arial"/>
        </w:rPr>
      </w:pPr>
    </w:p>
    <w:p w14:paraId="6B6628DD" w14:textId="77777777" w:rsidR="00D3344B" w:rsidRDefault="00143C25">
      <w:pPr>
        <w:pStyle w:val="Estilo"/>
        <w:rPr>
          <w:rFonts w:cs="Arial"/>
        </w:rPr>
      </w:pPr>
      <w:r>
        <w:rPr>
          <w:rFonts w:cs="Arial"/>
        </w:rPr>
        <w:t>Cuando los demandados fueren varios el término para contestar les correrá individualmente.</w:t>
      </w:r>
    </w:p>
    <w:p w14:paraId="493A9A93" w14:textId="77777777" w:rsidR="00D3344B" w:rsidRDefault="00D3344B">
      <w:pPr>
        <w:pStyle w:val="Estilo"/>
        <w:rPr>
          <w:rFonts w:cs="Arial"/>
        </w:rPr>
      </w:pPr>
    </w:p>
    <w:p w14:paraId="6848CFA5" w14:textId="77777777" w:rsidR="00D3344B" w:rsidRDefault="00143C25">
      <w:pPr>
        <w:pStyle w:val="Estilo"/>
        <w:rPr>
          <w:rFonts w:cs="Arial"/>
        </w:rPr>
      </w:pPr>
      <w:r>
        <w:rPr>
          <w:rFonts w:cs="Arial"/>
          <w:b/>
        </w:rPr>
        <w:lastRenderedPageBreak/>
        <w:t>Artículo 452.</w:t>
      </w:r>
      <w:r>
        <w:rPr>
          <w:rFonts w:cs="Arial"/>
        </w:rPr>
        <w:t xml:space="preserve"> El demandado en su contestación y en la contestación de ampliación de la demanda expresará:</w:t>
      </w:r>
    </w:p>
    <w:p w14:paraId="4C52C967" w14:textId="77777777" w:rsidR="00D3344B" w:rsidRDefault="00D3344B">
      <w:pPr>
        <w:pStyle w:val="Estilo"/>
        <w:rPr>
          <w:rFonts w:cs="Arial"/>
        </w:rPr>
      </w:pPr>
    </w:p>
    <w:p w14:paraId="1F0553CE" w14:textId="77777777" w:rsidR="00D3344B" w:rsidRDefault="00143C25">
      <w:pPr>
        <w:pStyle w:val="Estilo"/>
        <w:ind w:left="567" w:hanging="567"/>
        <w:rPr>
          <w:rFonts w:cs="Arial"/>
        </w:rPr>
      </w:pPr>
      <w:r>
        <w:rPr>
          <w:rFonts w:cs="Arial"/>
        </w:rPr>
        <w:t xml:space="preserve">I. </w:t>
      </w:r>
      <w:r>
        <w:rPr>
          <w:rFonts w:cs="Arial"/>
        </w:rPr>
        <w:tab/>
        <w:t>Los incidentes de previo y especial pronunciamiento a que haya lugar;</w:t>
      </w:r>
    </w:p>
    <w:p w14:paraId="2A6CC214" w14:textId="77777777" w:rsidR="00D3344B" w:rsidRDefault="00D3344B">
      <w:pPr>
        <w:pStyle w:val="Estilo"/>
        <w:ind w:left="567" w:hanging="567"/>
        <w:rPr>
          <w:rFonts w:cs="Arial"/>
        </w:rPr>
      </w:pPr>
    </w:p>
    <w:p w14:paraId="295E549B" w14:textId="77777777" w:rsidR="00D3344B" w:rsidRDefault="00143C25">
      <w:pPr>
        <w:pStyle w:val="Estilo"/>
        <w:ind w:left="567" w:hanging="567"/>
        <w:rPr>
          <w:rFonts w:cs="Arial"/>
        </w:rPr>
      </w:pPr>
      <w:r>
        <w:rPr>
          <w:rFonts w:cs="Arial"/>
        </w:rPr>
        <w:t xml:space="preserve">II. </w:t>
      </w:r>
      <w:r>
        <w:rPr>
          <w:rFonts w:cs="Arial"/>
        </w:rPr>
        <w:tab/>
        <w:t>Las consideraciones que a su juicio impidan se emita decisión en cuanto al fondo, o demuestren que no ha nacido o se ha extinguido el derecho en que el actor apoya su demanda;</w:t>
      </w:r>
    </w:p>
    <w:p w14:paraId="22E081E5" w14:textId="77777777" w:rsidR="00D3344B" w:rsidRDefault="00D3344B">
      <w:pPr>
        <w:pStyle w:val="Estilo"/>
        <w:ind w:left="567" w:hanging="567"/>
        <w:rPr>
          <w:rFonts w:cs="Arial"/>
        </w:rPr>
      </w:pPr>
    </w:p>
    <w:p w14:paraId="19E401E4" w14:textId="77777777" w:rsidR="00D3344B" w:rsidRDefault="00143C25">
      <w:pPr>
        <w:pStyle w:val="Estilo"/>
        <w:ind w:left="567" w:hanging="567"/>
        <w:rPr>
          <w:rFonts w:cs="Arial"/>
        </w:rPr>
      </w:pPr>
      <w:r>
        <w:rPr>
          <w:rFonts w:cs="Arial"/>
        </w:rPr>
        <w:t xml:space="preserve">III. </w:t>
      </w:r>
      <w:r>
        <w:rPr>
          <w:rFonts w:cs="Arial"/>
        </w:rPr>
        <w:tab/>
        <w:t>Se referirá concretamente a cada uno de los hechos que el demandante le impute de manera expresa, afirmándolos, negándolos, expresando que los ignora por no ser propios o exponiendo como ocurrieron, según sea el caso;</w:t>
      </w:r>
    </w:p>
    <w:p w14:paraId="5B29372E" w14:textId="77777777" w:rsidR="00D3344B" w:rsidRDefault="00D3344B">
      <w:pPr>
        <w:pStyle w:val="Estilo"/>
        <w:ind w:left="567" w:hanging="567"/>
        <w:rPr>
          <w:rFonts w:cs="Arial"/>
        </w:rPr>
      </w:pPr>
    </w:p>
    <w:p w14:paraId="5736D81F" w14:textId="77777777" w:rsidR="00D3344B" w:rsidRDefault="00143C25">
      <w:pPr>
        <w:pStyle w:val="Estilo"/>
        <w:ind w:left="567" w:hanging="567"/>
        <w:rPr>
          <w:rFonts w:cs="Arial"/>
        </w:rPr>
      </w:pPr>
      <w:r>
        <w:rPr>
          <w:rFonts w:cs="Arial"/>
        </w:rPr>
        <w:t xml:space="preserve">IV. </w:t>
      </w:r>
      <w:r>
        <w:rPr>
          <w:rFonts w:cs="Arial"/>
        </w:rPr>
        <w:tab/>
        <w:t>Los argumentos por medio de los cuales se demuestra la ineficacia de los conceptos de impugnación, y</w:t>
      </w:r>
    </w:p>
    <w:p w14:paraId="6E0DF321" w14:textId="77777777" w:rsidR="00D3344B" w:rsidRDefault="00D3344B">
      <w:pPr>
        <w:pStyle w:val="Estilo"/>
        <w:ind w:left="567" w:hanging="567"/>
        <w:rPr>
          <w:rFonts w:cs="Arial"/>
        </w:rPr>
      </w:pPr>
    </w:p>
    <w:p w14:paraId="283518F9" w14:textId="77777777" w:rsidR="00D3344B" w:rsidRDefault="00143C25">
      <w:pPr>
        <w:pStyle w:val="Estilo"/>
        <w:ind w:left="567" w:hanging="567"/>
        <w:rPr>
          <w:rFonts w:cs="Arial"/>
        </w:rPr>
      </w:pPr>
      <w:r>
        <w:rPr>
          <w:rFonts w:cs="Arial"/>
        </w:rPr>
        <w:t xml:space="preserve">V. </w:t>
      </w:r>
      <w:r>
        <w:rPr>
          <w:rFonts w:cs="Arial"/>
        </w:rPr>
        <w:tab/>
        <w:t>Las pruebas que ofrezca.</w:t>
      </w:r>
    </w:p>
    <w:p w14:paraId="180BD629" w14:textId="77777777" w:rsidR="00D3344B" w:rsidRDefault="00D3344B">
      <w:pPr>
        <w:pStyle w:val="Estilo"/>
        <w:rPr>
          <w:rFonts w:cs="Arial"/>
        </w:rPr>
      </w:pPr>
    </w:p>
    <w:p w14:paraId="1923A43C" w14:textId="77777777" w:rsidR="00D3344B" w:rsidRDefault="00143C25">
      <w:pPr>
        <w:pStyle w:val="Estilo"/>
        <w:rPr>
          <w:rFonts w:cs="Arial"/>
        </w:rPr>
      </w:pPr>
      <w:r>
        <w:rPr>
          <w:rFonts w:cs="Arial"/>
        </w:rPr>
        <w:t>En caso de que se ofrezca prueba pericial o testimonial, se precisarán los hechos sobre los que deban versar y se señalarán los nombres y domicilios del perito o de los testigos. Sin estos señalamientos se tendrán por no ofrecidas dichas pruebas.</w:t>
      </w:r>
    </w:p>
    <w:p w14:paraId="07605443" w14:textId="77777777" w:rsidR="00D3344B" w:rsidRDefault="00D3344B">
      <w:pPr>
        <w:pStyle w:val="Estilo"/>
        <w:rPr>
          <w:rFonts w:cs="Arial"/>
        </w:rPr>
      </w:pPr>
    </w:p>
    <w:p w14:paraId="158D463D" w14:textId="77777777" w:rsidR="00D3344B" w:rsidRDefault="00143C25">
      <w:pPr>
        <w:pStyle w:val="Estilo"/>
        <w:rPr>
          <w:rFonts w:cs="Arial"/>
        </w:rPr>
      </w:pPr>
      <w:r>
        <w:rPr>
          <w:rFonts w:cs="Arial"/>
          <w:b/>
        </w:rPr>
        <w:t>Artículo 453.</w:t>
      </w:r>
      <w:r>
        <w:rPr>
          <w:rFonts w:cs="Arial"/>
        </w:rPr>
        <w:t xml:space="preserve"> El demandado deberá adjuntar a su contestación:</w:t>
      </w:r>
    </w:p>
    <w:p w14:paraId="67CC58F7" w14:textId="77777777" w:rsidR="00D3344B" w:rsidRDefault="00D3344B">
      <w:pPr>
        <w:pStyle w:val="Estilo"/>
        <w:rPr>
          <w:rFonts w:cs="Arial"/>
        </w:rPr>
      </w:pPr>
    </w:p>
    <w:p w14:paraId="257DEE86" w14:textId="77777777" w:rsidR="00D3344B" w:rsidRDefault="00143C25">
      <w:pPr>
        <w:pStyle w:val="Estilo"/>
        <w:ind w:left="567" w:hanging="567"/>
        <w:rPr>
          <w:rFonts w:cs="Arial"/>
        </w:rPr>
      </w:pPr>
      <w:r>
        <w:rPr>
          <w:rFonts w:cs="Arial"/>
        </w:rPr>
        <w:t xml:space="preserve">I. </w:t>
      </w:r>
      <w:r>
        <w:rPr>
          <w:rFonts w:cs="Arial"/>
        </w:rPr>
        <w:tab/>
        <w:t>Copias de la misma y de los documentos que acompañe para el demandante y para el tercero señalado en la demanda;</w:t>
      </w:r>
    </w:p>
    <w:p w14:paraId="6B3448A5" w14:textId="77777777" w:rsidR="00D3344B" w:rsidRDefault="00D3344B">
      <w:pPr>
        <w:pStyle w:val="Estilo"/>
        <w:ind w:left="567" w:hanging="567"/>
        <w:rPr>
          <w:rFonts w:cs="Arial"/>
        </w:rPr>
      </w:pPr>
    </w:p>
    <w:p w14:paraId="4FD3C419" w14:textId="77777777" w:rsidR="00D3344B" w:rsidRDefault="00143C25">
      <w:pPr>
        <w:pStyle w:val="Estilo"/>
        <w:ind w:left="567" w:hanging="567"/>
        <w:rPr>
          <w:rFonts w:cs="Arial"/>
        </w:rPr>
      </w:pPr>
      <w:r>
        <w:rPr>
          <w:rFonts w:cs="Arial"/>
        </w:rPr>
        <w:t xml:space="preserve">II. </w:t>
      </w:r>
      <w:r>
        <w:rPr>
          <w:rFonts w:cs="Arial"/>
        </w:rPr>
        <w:tab/>
        <w:t>El documento en que acredite su personalidad cuando el demandado sea un particular y no gestione en nombre propio;</w:t>
      </w:r>
    </w:p>
    <w:p w14:paraId="0A16CB20" w14:textId="77777777" w:rsidR="00D3344B" w:rsidRDefault="00D3344B">
      <w:pPr>
        <w:pStyle w:val="Estilo"/>
        <w:ind w:left="567" w:hanging="567"/>
        <w:rPr>
          <w:rFonts w:cs="Arial"/>
        </w:rPr>
      </w:pPr>
    </w:p>
    <w:p w14:paraId="277B4E83" w14:textId="77777777" w:rsidR="00D3344B" w:rsidRDefault="00143C25">
      <w:pPr>
        <w:pStyle w:val="Estilo"/>
        <w:ind w:left="567" w:hanging="567"/>
        <w:rPr>
          <w:rFonts w:cs="Arial"/>
        </w:rPr>
      </w:pPr>
      <w:r>
        <w:rPr>
          <w:rFonts w:cs="Arial"/>
        </w:rPr>
        <w:t xml:space="preserve">III. </w:t>
      </w:r>
      <w:r>
        <w:rPr>
          <w:rFonts w:cs="Arial"/>
        </w:rPr>
        <w:tab/>
        <w:t>El cuestionario que debe desahogar el perito, el cual deberá ir firmado por el demandado;</w:t>
      </w:r>
    </w:p>
    <w:p w14:paraId="407FC0CC" w14:textId="77777777" w:rsidR="00D3344B" w:rsidRDefault="00D3344B">
      <w:pPr>
        <w:pStyle w:val="Estilo"/>
        <w:ind w:left="567" w:hanging="567"/>
        <w:rPr>
          <w:rFonts w:cs="Arial"/>
        </w:rPr>
      </w:pPr>
    </w:p>
    <w:p w14:paraId="00141759" w14:textId="77777777" w:rsidR="00D3344B" w:rsidRDefault="00143C25">
      <w:pPr>
        <w:pStyle w:val="Estilo"/>
        <w:ind w:left="567" w:hanging="567"/>
        <w:rPr>
          <w:rFonts w:cs="Arial"/>
        </w:rPr>
      </w:pPr>
      <w:r>
        <w:rPr>
          <w:rFonts w:cs="Arial"/>
        </w:rPr>
        <w:t xml:space="preserve">IV. </w:t>
      </w:r>
      <w:r>
        <w:rPr>
          <w:rFonts w:cs="Arial"/>
        </w:rPr>
        <w:tab/>
        <w:t>En su caso, la ampliación del cuestionario para el desahogo de la pericial ofrecida por el demandante, y</w:t>
      </w:r>
    </w:p>
    <w:p w14:paraId="1DD05E84" w14:textId="77777777" w:rsidR="00D3344B" w:rsidRDefault="00D3344B">
      <w:pPr>
        <w:pStyle w:val="Estilo"/>
        <w:ind w:left="567" w:hanging="567"/>
        <w:rPr>
          <w:rFonts w:cs="Arial"/>
        </w:rPr>
      </w:pPr>
    </w:p>
    <w:p w14:paraId="5DC6B5BC" w14:textId="77777777" w:rsidR="00D3344B" w:rsidRDefault="00143C25">
      <w:pPr>
        <w:pStyle w:val="Estilo"/>
        <w:ind w:left="567" w:hanging="567"/>
        <w:rPr>
          <w:rFonts w:cs="Arial"/>
        </w:rPr>
      </w:pPr>
      <w:r>
        <w:rPr>
          <w:rFonts w:cs="Arial"/>
        </w:rPr>
        <w:t xml:space="preserve">V. </w:t>
      </w:r>
      <w:r>
        <w:rPr>
          <w:rFonts w:cs="Arial"/>
        </w:rPr>
        <w:tab/>
        <w:t>Las pruebas documentales que ofrezca.</w:t>
      </w:r>
    </w:p>
    <w:p w14:paraId="2B36D539" w14:textId="77777777" w:rsidR="00D3344B" w:rsidRDefault="00D3344B">
      <w:pPr>
        <w:pStyle w:val="Estilo"/>
        <w:rPr>
          <w:rFonts w:cs="Arial"/>
        </w:rPr>
      </w:pPr>
    </w:p>
    <w:p w14:paraId="719EC312" w14:textId="77777777" w:rsidR="00D3344B" w:rsidRDefault="00143C25">
      <w:pPr>
        <w:pStyle w:val="Estilo"/>
        <w:rPr>
          <w:rFonts w:cs="Arial"/>
        </w:rPr>
      </w:pPr>
      <w:r>
        <w:rPr>
          <w:rFonts w:cs="Arial"/>
        </w:rPr>
        <w:t>Tratándose de la contestación a la ampliación de la demanda, se deberán adjuntar también los documentos previstos en este artículo, excepto aquellos que ya se hubieran acompañado al escrito de contestación de la demanda.</w:t>
      </w:r>
    </w:p>
    <w:p w14:paraId="72AE81CC" w14:textId="77777777" w:rsidR="00D3344B" w:rsidRDefault="00D3344B">
      <w:pPr>
        <w:pStyle w:val="Estilo"/>
        <w:rPr>
          <w:rFonts w:cs="Arial"/>
        </w:rPr>
      </w:pPr>
    </w:p>
    <w:p w14:paraId="2BB65D7B" w14:textId="77777777" w:rsidR="00D3344B" w:rsidRDefault="00143C25">
      <w:pPr>
        <w:pStyle w:val="Estilo"/>
        <w:rPr>
          <w:rFonts w:cs="Arial"/>
        </w:rPr>
      </w:pPr>
      <w:r>
        <w:rPr>
          <w:rFonts w:cs="Arial"/>
        </w:rPr>
        <w:t>Para los efectos de este artículo será aplicable, en lo conducente los dos últimos párrafos del artículo 447.</w:t>
      </w:r>
    </w:p>
    <w:p w14:paraId="0E2D0098" w14:textId="77777777" w:rsidR="00D3344B" w:rsidRDefault="00D3344B">
      <w:pPr>
        <w:pStyle w:val="Estilo"/>
        <w:rPr>
          <w:rFonts w:cs="Arial"/>
        </w:rPr>
      </w:pPr>
    </w:p>
    <w:p w14:paraId="6F7C7094" w14:textId="77777777" w:rsidR="00D3344B" w:rsidRDefault="00143C25">
      <w:pPr>
        <w:pStyle w:val="Estilo"/>
        <w:rPr>
          <w:rFonts w:cs="Arial"/>
        </w:rPr>
      </w:pPr>
      <w:r>
        <w:rPr>
          <w:rFonts w:cs="Arial"/>
          <w:b/>
        </w:rPr>
        <w:lastRenderedPageBreak/>
        <w:t>Artículo 454.</w:t>
      </w:r>
      <w:r>
        <w:rPr>
          <w:rFonts w:cs="Arial"/>
        </w:rPr>
        <w:t xml:space="preserve"> En la contestación de la demanda no podrán cambiarse los fundamentos de derecho de la resolución impugnada.</w:t>
      </w:r>
    </w:p>
    <w:p w14:paraId="13F7C1CC" w14:textId="77777777" w:rsidR="00D3344B" w:rsidRDefault="00D3344B">
      <w:pPr>
        <w:pStyle w:val="Estilo"/>
        <w:rPr>
          <w:rFonts w:cs="Arial"/>
        </w:rPr>
      </w:pPr>
    </w:p>
    <w:p w14:paraId="22D27578" w14:textId="77777777" w:rsidR="00D3344B" w:rsidRDefault="00143C25">
      <w:pPr>
        <w:pStyle w:val="Estilo"/>
        <w:rPr>
          <w:rFonts w:cs="Arial"/>
        </w:rPr>
      </w:pPr>
      <w:r>
        <w:rPr>
          <w:rFonts w:cs="Arial"/>
        </w:rPr>
        <w:t>En caso de resolución negativa ficta, la autoridad expresará los hechos y el derecho en que se apoya la misma.</w:t>
      </w:r>
    </w:p>
    <w:p w14:paraId="7EF14592" w14:textId="77777777" w:rsidR="00D3344B" w:rsidRDefault="00D3344B">
      <w:pPr>
        <w:pStyle w:val="Estilo"/>
        <w:rPr>
          <w:rFonts w:cs="Arial"/>
        </w:rPr>
      </w:pPr>
    </w:p>
    <w:p w14:paraId="0906EF19" w14:textId="77777777" w:rsidR="00D3344B" w:rsidRDefault="00143C25">
      <w:pPr>
        <w:pStyle w:val="Estilo"/>
        <w:rPr>
          <w:rFonts w:cs="Arial"/>
        </w:rPr>
      </w:pPr>
      <w:r>
        <w:rPr>
          <w:rFonts w:cs="Arial"/>
        </w:rPr>
        <w:t>En la contestación de la demanda o hasta antes del cierre de la instrucción la autoridad demandada podrá allanarse a las pretensiones del demandante o revocar la resolución impugnada.</w:t>
      </w:r>
    </w:p>
    <w:p w14:paraId="6A0F4BB3" w14:textId="77777777" w:rsidR="00D3344B" w:rsidRDefault="00D3344B">
      <w:pPr>
        <w:pStyle w:val="Estilo"/>
        <w:rPr>
          <w:rFonts w:cs="Arial"/>
        </w:rPr>
      </w:pPr>
    </w:p>
    <w:p w14:paraId="67D80604" w14:textId="77777777" w:rsidR="00D3344B" w:rsidRDefault="00143C25">
      <w:pPr>
        <w:pStyle w:val="Estilo"/>
        <w:rPr>
          <w:rFonts w:cs="Arial"/>
        </w:rPr>
      </w:pPr>
      <w:r>
        <w:rPr>
          <w:rFonts w:cs="Arial"/>
          <w:b/>
        </w:rPr>
        <w:t>Artículo 455.</w:t>
      </w:r>
      <w:r>
        <w:rPr>
          <w:rFonts w:cs="Arial"/>
        </w:rPr>
        <w:t xml:space="preserve"> Cuando haya contradicciones entre los fundamentos de hecho y de derecho dados en la contestación de la autoridad que dictó la resolución impugnada y la formulada por la Secretaría, las Tesorerías u organismo (sic) descentralizados de que dependan aquellas, únicamente se tomará en cuenta, respecto a esas contradicciones, lo expuesto por estos últimos.</w:t>
      </w:r>
    </w:p>
    <w:p w14:paraId="656BA82F" w14:textId="77777777" w:rsidR="00D3344B" w:rsidRDefault="00D3344B">
      <w:pPr>
        <w:pStyle w:val="Estilo"/>
        <w:rPr>
          <w:rFonts w:cs="Arial"/>
        </w:rPr>
      </w:pPr>
    </w:p>
    <w:p w14:paraId="6E200004" w14:textId="77777777" w:rsidR="00D3344B" w:rsidRDefault="00143C25">
      <w:pPr>
        <w:pStyle w:val="Estilo"/>
        <w:jc w:val="center"/>
        <w:rPr>
          <w:rFonts w:cs="Arial"/>
          <w:b/>
        </w:rPr>
      </w:pPr>
      <w:r>
        <w:rPr>
          <w:rFonts w:cs="Arial"/>
          <w:b/>
        </w:rPr>
        <w:t>Capítulo VI</w:t>
      </w:r>
    </w:p>
    <w:p w14:paraId="5CAD9DB3" w14:textId="77777777" w:rsidR="00D3344B" w:rsidRDefault="00143C25">
      <w:pPr>
        <w:pStyle w:val="Estilo"/>
        <w:jc w:val="center"/>
        <w:rPr>
          <w:rFonts w:cs="Arial"/>
          <w:b/>
        </w:rPr>
      </w:pPr>
      <w:r>
        <w:rPr>
          <w:rFonts w:cs="Arial"/>
          <w:b/>
        </w:rPr>
        <w:t>De los Incidentes</w:t>
      </w:r>
    </w:p>
    <w:p w14:paraId="0B87CCCC" w14:textId="77777777" w:rsidR="00D3344B" w:rsidRDefault="00D3344B">
      <w:pPr>
        <w:pStyle w:val="Estilo"/>
        <w:rPr>
          <w:rFonts w:cs="Arial"/>
        </w:rPr>
      </w:pPr>
    </w:p>
    <w:p w14:paraId="73C86FBE" w14:textId="77777777" w:rsidR="00D3344B" w:rsidRDefault="00143C25">
      <w:pPr>
        <w:pStyle w:val="Estilo"/>
        <w:rPr>
          <w:rFonts w:cs="Arial"/>
        </w:rPr>
      </w:pPr>
      <w:r>
        <w:rPr>
          <w:rFonts w:cs="Arial"/>
          <w:b/>
        </w:rPr>
        <w:t>Artículo 456.</w:t>
      </w:r>
      <w:r>
        <w:rPr>
          <w:rFonts w:cs="Arial"/>
        </w:rPr>
        <w:t xml:space="preserve"> En el juicio contencioso administrativo sólo serán de previo y especial pronunciamiento:</w:t>
      </w:r>
    </w:p>
    <w:p w14:paraId="6B73D0B8" w14:textId="77777777" w:rsidR="00D3344B" w:rsidRDefault="00D3344B">
      <w:pPr>
        <w:pStyle w:val="Estilo"/>
        <w:rPr>
          <w:rFonts w:cs="Arial"/>
        </w:rPr>
      </w:pPr>
    </w:p>
    <w:p w14:paraId="551B170E" w14:textId="77777777" w:rsidR="00D3344B" w:rsidRDefault="00143C25">
      <w:pPr>
        <w:pStyle w:val="Estilo"/>
        <w:ind w:left="567" w:hanging="567"/>
        <w:rPr>
          <w:rFonts w:cs="Arial"/>
        </w:rPr>
      </w:pPr>
      <w:r>
        <w:rPr>
          <w:rFonts w:cs="Arial"/>
        </w:rPr>
        <w:t xml:space="preserve">I. </w:t>
      </w:r>
      <w:r>
        <w:rPr>
          <w:rFonts w:cs="Arial"/>
        </w:rPr>
        <w:tab/>
        <w:t>El de acumulación de autos;</w:t>
      </w:r>
    </w:p>
    <w:p w14:paraId="0B5069CD" w14:textId="77777777" w:rsidR="00D3344B" w:rsidRDefault="00D3344B">
      <w:pPr>
        <w:pStyle w:val="Estilo"/>
        <w:ind w:left="567" w:hanging="567"/>
        <w:rPr>
          <w:rFonts w:cs="Arial"/>
        </w:rPr>
      </w:pPr>
    </w:p>
    <w:p w14:paraId="26F79EAA" w14:textId="77777777" w:rsidR="00D3344B" w:rsidRDefault="00143C25">
      <w:pPr>
        <w:pStyle w:val="Estilo"/>
        <w:ind w:left="567" w:hanging="567"/>
        <w:rPr>
          <w:rFonts w:cs="Arial"/>
        </w:rPr>
      </w:pPr>
      <w:r>
        <w:rPr>
          <w:rFonts w:cs="Arial"/>
        </w:rPr>
        <w:t xml:space="preserve">II. </w:t>
      </w:r>
      <w:r>
        <w:rPr>
          <w:rFonts w:cs="Arial"/>
        </w:rPr>
        <w:tab/>
        <w:t>El de nulidad de notificaciones;</w:t>
      </w:r>
    </w:p>
    <w:p w14:paraId="048E9449" w14:textId="77777777" w:rsidR="00D3344B" w:rsidRDefault="00D3344B">
      <w:pPr>
        <w:pStyle w:val="Estilo"/>
        <w:ind w:left="567" w:hanging="567"/>
        <w:rPr>
          <w:rFonts w:cs="Arial"/>
        </w:rPr>
      </w:pPr>
    </w:p>
    <w:p w14:paraId="6CDB74A8" w14:textId="77777777" w:rsidR="00D3344B" w:rsidRDefault="00143C25">
      <w:pPr>
        <w:pStyle w:val="Estilo"/>
        <w:ind w:left="567" w:hanging="567"/>
        <w:rPr>
          <w:rFonts w:cs="Arial"/>
        </w:rPr>
      </w:pPr>
      <w:r>
        <w:rPr>
          <w:rFonts w:cs="Arial"/>
        </w:rPr>
        <w:t xml:space="preserve">III. </w:t>
      </w:r>
      <w:r>
        <w:rPr>
          <w:rFonts w:cs="Arial"/>
        </w:rPr>
        <w:tab/>
        <w:t>El de interrupción por causa de muerte, disolución, incapacidad o declaratoria de ausencia, y</w:t>
      </w:r>
    </w:p>
    <w:p w14:paraId="3A173D74" w14:textId="77777777" w:rsidR="00D3344B" w:rsidRDefault="00D3344B">
      <w:pPr>
        <w:pStyle w:val="Estilo"/>
        <w:ind w:left="567" w:hanging="567"/>
        <w:rPr>
          <w:rFonts w:cs="Arial"/>
        </w:rPr>
      </w:pPr>
    </w:p>
    <w:p w14:paraId="289D5EB0" w14:textId="77777777" w:rsidR="00D3344B" w:rsidRDefault="00143C25">
      <w:pPr>
        <w:pStyle w:val="Estilo"/>
        <w:ind w:left="567" w:hanging="567"/>
        <w:rPr>
          <w:rFonts w:cs="Arial"/>
        </w:rPr>
      </w:pPr>
      <w:r>
        <w:rPr>
          <w:rFonts w:cs="Arial"/>
        </w:rPr>
        <w:t xml:space="preserve">IV. </w:t>
      </w:r>
      <w:r>
        <w:rPr>
          <w:rFonts w:cs="Arial"/>
        </w:rPr>
        <w:tab/>
        <w:t>La Recusación por causa de impedimento.</w:t>
      </w:r>
    </w:p>
    <w:p w14:paraId="38464DB8" w14:textId="77777777" w:rsidR="00D3344B" w:rsidRDefault="00D3344B">
      <w:pPr>
        <w:pStyle w:val="Estilo"/>
        <w:rPr>
          <w:rFonts w:cs="Arial"/>
        </w:rPr>
      </w:pPr>
    </w:p>
    <w:p w14:paraId="7C206621" w14:textId="77777777" w:rsidR="00D3344B" w:rsidRDefault="00143C25">
      <w:pPr>
        <w:pStyle w:val="Estilo"/>
        <w:rPr>
          <w:rFonts w:cs="Arial"/>
        </w:rPr>
      </w:pPr>
      <w:r>
        <w:rPr>
          <w:rFonts w:cs="Arial"/>
          <w:b/>
        </w:rPr>
        <w:t>Artículo 457.</w:t>
      </w:r>
      <w:r>
        <w:rPr>
          <w:rFonts w:cs="Arial"/>
        </w:rPr>
        <w:t xml:space="preserve"> Procede la acumulación de dos o más juicios pendientes de resolución en los casos en que:</w:t>
      </w:r>
    </w:p>
    <w:p w14:paraId="01FAFB79" w14:textId="77777777" w:rsidR="00D3344B" w:rsidRDefault="00D3344B">
      <w:pPr>
        <w:pStyle w:val="Estilo"/>
        <w:rPr>
          <w:rFonts w:cs="Arial"/>
        </w:rPr>
      </w:pPr>
    </w:p>
    <w:p w14:paraId="148E11A0" w14:textId="77777777" w:rsidR="00D3344B" w:rsidRDefault="00143C25">
      <w:pPr>
        <w:pStyle w:val="Estilo"/>
        <w:ind w:left="567" w:hanging="567"/>
        <w:rPr>
          <w:rFonts w:cs="Arial"/>
        </w:rPr>
      </w:pPr>
      <w:r>
        <w:rPr>
          <w:rFonts w:cs="Arial"/>
        </w:rPr>
        <w:t xml:space="preserve">I. </w:t>
      </w:r>
      <w:r>
        <w:rPr>
          <w:rFonts w:cs="Arial"/>
        </w:rPr>
        <w:tab/>
        <w:t>Las partes sean las mismas y se invoquen idénticos agravios;</w:t>
      </w:r>
    </w:p>
    <w:p w14:paraId="2946D13D" w14:textId="77777777" w:rsidR="00D3344B" w:rsidRDefault="00D3344B">
      <w:pPr>
        <w:pStyle w:val="Estilo"/>
        <w:ind w:left="567" w:hanging="567"/>
        <w:rPr>
          <w:rFonts w:cs="Arial"/>
        </w:rPr>
      </w:pPr>
    </w:p>
    <w:p w14:paraId="1CD5DECA" w14:textId="77777777" w:rsidR="00D3344B" w:rsidRDefault="00143C25">
      <w:pPr>
        <w:pStyle w:val="Estilo"/>
        <w:ind w:left="567" w:hanging="567"/>
        <w:rPr>
          <w:rFonts w:cs="Arial"/>
        </w:rPr>
      </w:pPr>
      <w:r>
        <w:rPr>
          <w:rFonts w:cs="Arial"/>
        </w:rPr>
        <w:t xml:space="preserve">II. </w:t>
      </w:r>
      <w:r>
        <w:rPr>
          <w:rFonts w:cs="Arial"/>
        </w:rPr>
        <w:tab/>
        <w:t>Siendo diferentes las partes e invocándose distintos agravios al acto impugnado sea uno mismo o se impugnen varias partes del mismo acto, y</w:t>
      </w:r>
    </w:p>
    <w:p w14:paraId="53D0A5C0" w14:textId="77777777" w:rsidR="00D3344B" w:rsidRDefault="00D3344B">
      <w:pPr>
        <w:pStyle w:val="Estilo"/>
        <w:ind w:left="567" w:hanging="567"/>
        <w:rPr>
          <w:rFonts w:cs="Arial"/>
        </w:rPr>
      </w:pPr>
    </w:p>
    <w:p w14:paraId="0673A3B3" w14:textId="77777777" w:rsidR="00D3344B" w:rsidRDefault="00143C25">
      <w:pPr>
        <w:pStyle w:val="Estilo"/>
        <w:ind w:left="567" w:hanging="567"/>
        <w:rPr>
          <w:rFonts w:cs="Arial"/>
        </w:rPr>
      </w:pPr>
      <w:r>
        <w:rPr>
          <w:rFonts w:cs="Arial"/>
        </w:rPr>
        <w:t xml:space="preserve">III. </w:t>
      </w:r>
      <w:r>
        <w:rPr>
          <w:rFonts w:cs="Arial"/>
        </w:rPr>
        <w:tab/>
        <w:t>Independientemente de que las partes y los agravios sean o no diversos, se impugnen actos que sean unos antecedentes o consecuencia de los otros.</w:t>
      </w:r>
    </w:p>
    <w:p w14:paraId="1D5BC18D" w14:textId="77777777" w:rsidR="00D3344B" w:rsidRDefault="00D3344B">
      <w:pPr>
        <w:pStyle w:val="Estilo"/>
        <w:rPr>
          <w:rFonts w:cs="Arial"/>
        </w:rPr>
      </w:pPr>
    </w:p>
    <w:p w14:paraId="641D088D" w14:textId="77777777" w:rsidR="00D3344B" w:rsidRDefault="00143C25">
      <w:pPr>
        <w:pStyle w:val="Estilo"/>
        <w:rPr>
          <w:rFonts w:cs="Arial"/>
        </w:rPr>
      </w:pPr>
      <w:r>
        <w:rPr>
          <w:rFonts w:cs="Arial"/>
          <w:b/>
        </w:rPr>
        <w:t>Artículo 458.</w:t>
      </w:r>
      <w:r>
        <w:rPr>
          <w:rFonts w:cs="Arial"/>
        </w:rPr>
        <w:t xml:space="preserve"> La interrupción del juicio por causa de muerte, disolución, incapacidad o declaratoria de ausencia durará como máximo un año y se sujetará a lo siguiente:</w:t>
      </w:r>
    </w:p>
    <w:p w14:paraId="48DDEA41" w14:textId="77777777" w:rsidR="00D3344B" w:rsidRDefault="00D3344B">
      <w:pPr>
        <w:pStyle w:val="Estilo"/>
        <w:rPr>
          <w:rFonts w:cs="Arial"/>
        </w:rPr>
      </w:pPr>
    </w:p>
    <w:p w14:paraId="0470A213" w14:textId="77777777" w:rsidR="00D3344B" w:rsidRDefault="00143C25">
      <w:pPr>
        <w:pStyle w:val="Estilo"/>
        <w:ind w:left="567" w:hanging="567"/>
        <w:rPr>
          <w:rFonts w:cs="Arial"/>
        </w:rPr>
      </w:pPr>
      <w:r>
        <w:rPr>
          <w:rFonts w:cs="Arial"/>
        </w:rPr>
        <w:lastRenderedPageBreak/>
        <w:t xml:space="preserve">I. </w:t>
      </w:r>
      <w:r>
        <w:rPr>
          <w:rFonts w:cs="Arial"/>
        </w:rPr>
        <w:tab/>
        <w:t>Se decretará por el magistrado a partir de la fecha en que éste tenga conocimiento de la existencia de alguno de los supuestos a que se refiere este artículo, y</w:t>
      </w:r>
    </w:p>
    <w:p w14:paraId="700659F0" w14:textId="77777777" w:rsidR="00D3344B" w:rsidRDefault="00D3344B">
      <w:pPr>
        <w:pStyle w:val="Estilo"/>
        <w:ind w:left="567" w:hanging="567"/>
        <w:rPr>
          <w:rFonts w:cs="Arial"/>
        </w:rPr>
      </w:pPr>
    </w:p>
    <w:p w14:paraId="3EB53E61" w14:textId="77777777" w:rsidR="00D3344B" w:rsidRDefault="00143C25">
      <w:pPr>
        <w:pStyle w:val="Estilo"/>
        <w:ind w:left="567" w:hanging="567"/>
        <w:rPr>
          <w:rFonts w:cs="Arial"/>
        </w:rPr>
      </w:pPr>
      <w:r>
        <w:rPr>
          <w:rFonts w:cs="Arial"/>
        </w:rPr>
        <w:t xml:space="preserve">II. </w:t>
      </w:r>
      <w:r>
        <w:rPr>
          <w:rFonts w:cs="Arial"/>
        </w:rPr>
        <w:tab/>
        <w:t>Si transcurrido el plazo máximo de interrupción, no comparece el albacea, el representante legal o el tutor, el magistrado acordará la reanudación del juicio, ordenando que todas las notificaciones se efectúen por lista al representante de la sucesión o de la liquidación, según sea el caso.</w:t>
      </w:r>
    </w:p>
    <w:p w14:paraId="4A26E22F" w14:textId="77777777" w:rsidR="00D3344B" w:rsidRDefault="00D3344B">
      <w:pPr>
        <w:pStyle w:val="Estilo"/>
        <w:rPr>
          <w:rFonts w:cs="Arial"/>
        </w:rPr>
      </w:pPr>
    </w:p>
    <w:p w14:paraId="50C001D6" w14:textId="77777777" w:rsidR="00D3344B" w:rsidRDefault="00143C25">
      <w:pPr>
        <w:pStyle w:val="Estilo"/>
        <w:rPr>
          <w:rFonts w:cs="Arial"/>
        </w:rPr>
      </w:pPr>
      <w:r>
        <w:rPr>
          <w:rFonts w:cs="Arial"/>
          <w:b/>
        </w:rPr>
        <w:t>Artículo 459.</w:t>
      </w:r>
      <w:r>
        <w:rPr>
          <w:rFonts w:cs="Arial"/>
        </w:rPr>
        <w:t xml:space="preserve"> Las partes podrán recusar al magistrado o a los peritos del Tribunal, cuando estén en alguno de los casos de impedimento a que se refiere el artículo 441 de este código.</w:t>
      </w:r>
    </w:p>
    <w:p w14:paraId="711343A2" w14:textId="77777777" w:rsidR="00D3344B" w:rsidRDefault="00D3344B">
      <w:pPr>
        <w:pStyle w:val="Estilo"/>
        <w:rPr>
          <w:rFonts w:cs="Arial"/>
        </w:rPr>
      </w:pPr>
    </w:p>
    <w:p w14:paraId="0B169657" w14:textId="77777777" w:rsidR="00D3344B" w:rsidRDefault="00143C25">
      <w:pPr>
        <w:pStyle w:val="Estilo"/>
        <w:rPr>
          <w:rFonts w:cs="Arial"/>
        </w:rPr>
      </w:pPr>
      <w:r>
        <w:rPr>
          <w:rFonts w:cs="Arial"/>
          <w:b/>
        </w:rPr>
        <w:t>Artículo 460.</w:t>
      </w:r>
      <w:r>
        <w:rPr>
          <w:rFonts w:cs="Arial"/>
        </w:rPr>
        <w:t xml:space="preserve"> La recusación del magistrado se promoverá mediante escrito que se presente en la sala de que se trate, acompañando las pruebas que se ofrezcan. El presidente del Tribunal, dentro de los cinco días siguientes, enviará al Pleno, el escrito de recusación junto con un informe que el magistrado recusado debe rendir. A falta de informe se presumirá cierto el impedimento. Si el pleno del Tribunal considera fundada la recusación, el magistrado será sustituido en los términos de la Ley Orgánica del Poder Judicial. Los magistrados que conozcan de una recusación son irrecusables para ese solo efecto.</w:t>
      </w:r>
    </w:p>
    <w:p w14:paraId="7C923E13" w14:textId="77777777" w:rsidR="00D3344B" w:rsidRDefault="00D3344B">
      <w:pPr>
        <w:pStyle w:val="Estilo"/>
        <w:rPr>
          <w:rFonts w:cs="Arial"/>
        </w:rPr>
      </w:pPr>
    </w:p>
    <w:p w14:paraId="11646122" w14:textId="77777777" w:rsidR="00D3344B" w:rsidRDefault="00143C25">
      <w:pPr>
        <w:pStyle w:val="Estilo"/>
        <w:rPr>
          <w:rFonts w:cs="Arial"/>
        </w:rPr>
      </w:pPr>
      <w:r>
        <w:rPr>
          <w:rFonts w:cs="Arial"/>
        </w:rPr>
        <w:t>La recusación del perito del Tribunal se promoverá ante el magistrado, dentro de los seis días siguientes a la fecha en que surta efectos la notificación del acuerdo por el que se le designe.</w:t>
      </w:r>
    </w:p>
    <w:p w14:paraId="52EEFD23" w14:textId="77777777" w:rsidR="00D3344B" w:rsidRDefault="00D3344B">
      <w:pPr>
        <w:pStyle w:val="Estilo"/>
        <w:rPr>
          <w:rFonts w:cs="Arial"/>
        </w:rPr>
      </w:pPr>
    </w:p>
    <w:p w14:paraId="357212DD" w14:textId="77777777" w:rsidR="00D3344B" w:rsidRDefault="00143C25">
      <w:pPr>
        <w:pStyle w:val="Estilo"/>
        <w:rPr>
          <w:rFonts w:cs="Arial"/>
        </w:rPr>
      </w:pPr>
      <w:r>
        <w:rPr>
          <w:rFonts w:cs="Arial"/>
        </w:rPr>
        <w:t>El magistrado pedirá al perito recusado que rinda un informe dentro de los tres días siguientes, a falta de informe se presumirá cierto el impedimento. Si el Magistrado encuentra fundada la recusación substituirá al perito.</w:t>
      </w:r>
    </w:p>
    <w:p w14:paraId="744A7861" w14:textId="77777777" w:rsidR="00D3344B" w:rsidRDefault="00D3344B">
      <w:pPr>
        <w:pStyle w:val="Estilo"/>
        <w:rPr>
          <w:rFonts w:cs="Arial"/>
        </w:rPr>
      </w:pPr>
    </w:p>
    <w:p w14:paraId="67F9281B" w14:textId="77777777" w:rsidR="00D3344B" w:rsidRDefault="00143C25">
      <w:pPr>
        <w:pStyle w:val="Estilo"/>
        <w:rPr>
          <w:rFonts w:cs="Arial"/>
        </w:rPr>
      </w:pPr>
      <w:r>
        <w:rPr>
          <w:rFonts w:cs="Arial"/>
          <w:b/>
        </w:rPr>
        <w:t>Artículo 461.</w:t>
      </w:r>
      <w:r>
        <w:rPr>
          <w:rFonts w:cs="Arial"/>
        </w:rPr>
        <w:t xml:space="preserve"> Los particulares podrán promover el incidente de suspensión de la ejecución, cuando la autoridad ejecutora niegue la suspensión, rechace la garantía ofrecida o reinicie la ejecución ante el magistrado, acompañando copia de los documentos en que se haga constar el ofrecimiento y, en su caso, otorgamiento de la garantía, así como de la solicitud de suspensión presentada ante la ejecutora y, si la hubiere, la documentación en que conste la negativa de la suspensión, el rechazo de la garantía o el reinicio de la ejecución.</w:t>
      </w:r>
    </w:p>
    <w:p w14:paraId="5C849236" w14:textId="77777777" w:rsidR="00D3344B" w:rsidRDefault="00D3344B">
      <w:pPr>
        <w:pStyle w:val="Estilo"/>
        <w:rPr>
          <w:rFonts w:cs="Arial"/>
        </w:rPr>
      </w:pPr>
    </w:p>
    <w:p w14:paraId="64EA0BDD" w14:textId="77777777" w:rsidR="00D3344B" w:rsidRDefault="00143C25">
      <w:pPr>
        <w:pStyle w:val="Estilo"/>
        <w:rPr>
          <w:rFonts w:cs="Arial"/>
        </w:rPr>
      </w:pPr>
      <w:r>
        <w:rPr>
          <w:rFonts w:cs="Arial"/>
        </w:rPr>
        <w:t>Con los mismos tramites del incidente previsto en el párrafo anterior, las autoridades fiscales podrán impugnar el otorgamiento de la suspensión cuando no se ajuste a la ley.</w:t>
      </w:r>
    </w:p>
    <w:p w14:paraId="01D60CDC" w14:textId="77777777" w:rsidR="00D3344B" w:rsidRDefault="00D3344B">
      <w:pPr>
        <w:pStyle w:val="Estilo"/>
        <w:rPr>
          <w:rFonts w:cs="Arial"/>
        </w:rPr>
      </w:pPr>
    </w:p>
    <w:p w14:paraId="0BB7F2CC" w14:textId="77777777" w:rsidR="00D3344B" w:rsidRDefault="00143C25">
      <w:pPr>
        <w:pStyle w:val="Estilo"/>
        <w:rPr>
          <w:rFonts w:cs="Arial"/>
        </w:rPr>
      </w:pPr>
      <w:r>
        <w:rPr>
          <w:rFonts w:cs="Arial"/>
        </w:rPr>
        <w:t>El incidente previsto en este artículo podrá promoverse hasta que se dicte sentencia de la sala. Mientras no se dicte la misma, el Magistrado podrá modificar o revocar el auto que haya decretado o negado la suspensión, cuando ocurra un hecho superveniente que lo justifique.</w:t>
      </w:r>
    </w:p>
    <w:p w14:paraId="2AEA294C" w14:textId="77777777" w:rsidR="00D3344B" w:rsidRDefault="00D3344B">
      <w:pPr>
        <w:pStyle w:val="Estilo"/>
        <w:rPr>
          <w:rFonts w:cs="Arial"/>
        </w:rPr>
      </w:pPr>
    </w:p>
    <w:p w14:paraId="743F0105" w14:textId="77777777" w:rsidR="00D3344B" w:rsidRDefault="00143C25">
      <w:pPr>
        <w:pStyle w:val="Estilo"/>
        <w:rPr>
          <w:rFonts w:cs="Arial"/>
        </w:rPr>
      </w:pPr>
      <w:r>
        <w:rPr>
          <w:rFonts w:cs="Arial"/>
          <w:b/>
        </w:rPr>
        <w:t>Artículo 462.</w:t>
      </w:r>
      <w:r>
        <w:rPr>
          <w:rFonts w:cs="Arial"/>
        </w:rPr>
        <w:t xml:space="preserve"> En el auto que admita el incidente a que se refiere el artículo 461, el magistrado ordenará correr traslado a la autoridad a quien se impute el acto, pidiéndole un informe que deberá rendir en un plazo de tres días. Asimismo, podrá decretar la suspensión provisional de la ejecución. Si la autoridad ejecutora no rinde el informe o si este no se refiere específicamente a los hechos que le impute el promovente, se tendrán éstos por ciertos.</w:t>
      </w:r>
    </w:p>
    <w:p w14:paraId="30170528" w14:textId="77777777" w:rsidR="00D3344B" w:rsidRDefault="00D3344B">
      <w:pPr>
        <w:pStyle w:val="Estilo"/>
        <w:rPr>
          <w:rFonts w:cs="Arial"/>
        </w:rPr>
      </w:pPr>
    </w:p>
    <w:p w14:paraId="7E2D93CA" w14:textId="77777777" w:rsidR="00D3344B" w:rsidRDefault="00143C25">
      <w:pPr>
        <w:pStyle w:val="Estilo"/>
        <w:rPr>
          <w:rFonts w:cs="Arial"/>
        </w:rPr>
      </w:pPr>
      <w:r>
        <w:rPr>
          <w:rFonts w:cs="Arial"/>
        </w:rPr>
        <w:t>Dentro del plazo de cinco días a partir de que haya recibido el informe, o de que haya vencido el término para presentarlo, el magistrado dictará resolución en la que decrete o niegue la suspensión del procedimiento administrativo de ejecución o decida sobre la admisión de la garantía ofrecida.</w:t>
      </w:r>
    </w:p>
    <w:p w14:paraId="358B986E" w14:textId="77777777" w:rsidR="00D3344B" w:rsidRDefault="00D3344B">
      <w:pPr>
        <w:pStyle w:val="Estilo"/>
        <w:rPr>
          <w:rFonts w:cs="Arial"/>
        </w:rPr>
      </w:pPr>
    </w:p>
    <w:p w14:paraId="47638B1A" w14:textId="77777777" w:rsidR="00D3344B" w:rsidRDefault="00143C25">
      <w:pPr>
        <w:pStyle w:val="Estilo"/>
        <w:rPr>
          <w:rFonts w:cs="Arial"/>
        </w:rPr>
      </w:pPr>
      <w:r>
        <w:rPr>
          <w:rFonts w:cs="Arial"/>
        </w:rPr>
        <w:t>Si la autoridad no da cumplimiento a la orden de suspensión o de admisión de la garantía, el magistrado declarará la nulidad de las actuaciones realizadas con violación a la misma e impondrá a la autoridad renuente una multa de 1 a 3 UMA mensual.</w:t>
      </w:r>
    </w:p>
    <w:p w14:paraId="50DC47CD" w14:textId="77777777" w:rsidR="00D3344B" w:rsidRDefault="00D3344B">
      <w:pPr>
        <w:pStyle w:val="Estilo"/>
        <w:rPr>
          <w:rFonts w:cs="Arial"/>
        </w:rPr>
      </w:pPr>
    </w:p>
    <w:p w14:paraId="2DBB57C5" w14:textId="77777777" w:rsidR="00D3344B" w:rsidRDefault="00143C25">
      <w:pPr>
        <w:pStyle w:val="Estilo"/>
        <w:rPr>
          <w:rFonts w:cs="Arial"/>
        </w:rPr>
      </w:pPr>
      <w:r>
        <w:rPr>
          <w:rFonts w:cs="Arial"/>
        </w:rPr>
        <w:t>Si el incidente es promovido por la autoridad por haberse concedido indebidamente una suspensión, se tramitará lo conducente en los términos de este precepto.</w:t>
      </w:r>
    </w:p>
    <w:p w14:paraId="0722E14F" w14:textId="77777777" w:rsidR="00D3344B" w:rsidRDefault="00D3344B">
      <w:pPr>
        <w:pStyle w:val="Estilo"/>
        <w:rPr>
          <w:rFonts w:cs="Arial"/>
        </w:rPr>
      </w:pPr>
    </w:p>
    <w:p w14:paraId="602A44C7" w14:textId="77777777" w:rsidR="00D3344B" w:rsidRDefault="00143C25">
      <w:pPr>
        <w:pStyle w:val="Estilo"/>
        <w:rPr>
          <w:rFonts w:cs="Arial"/>
        </w:rPr>
      </w:pPr>
      <w:r>
        <w:rPr>
          <w:rFonts w:cs="Arial"/>
          <w:b/>
        </w:rPr>
        <w:t>Artículo 463.</w:t>
      </w:r>
      <w:r>
        <w:rPr>
          <w:rFonts w:cs="Arial"/>
        </w:rPr>
        <w:t xml:space="preserve"> Cuando se promueva alguno de los incidentes previstos en el artículo 456 se suspenderá el juicio en el principal hasta que se dicte la resolución correspondiente.</w:t>
      </w:r>
    </w:p>
    <w:p w14:paraId="509D5F28" w14:textId="77777777" w:rsidR="00D3344B" w:rsidRDefault="00D3344B">
      <w:pPr>
        <w:pStyle w:val="Estilo"/>
        <w:rPr>
          <w:rFonts w:cs="Arial"/>
        </w:rPr>
      </w:pPr>
    </w:p>
    <w:p w14:paraId="40586BB4" w14:textId="77777777" w:rsidR="00D3344B" w:rsidRDefault="00143C25">
      <w:pPr>
        <w:pStyle w:val="Estilo"/>
        <w:rPr>
          <w:rFonts w:cs="Arial"/>
        </w:rPr>
      </w:pPr>
      <w:r>
        <w:rPr>
          <w:rFonts w:cs="Arial"/>
        </w:rPr>
        <w:t>Los incidentes a que se refieren las fracciones I, II y IV del artículo 456 únicamente podrán promoverse hasta antes de que quede cerrada la instrucción, en los términos del artículo 470 de este código.</w:t>
      </w:r>
    </w:p>
    <w:p w14:paraId="1B28C0FE" w14:textId="77777777" w:rsidR="00D3344B" w:rsidRDefault="00D3344B">
      <w:pPr>
        <w:pStyle w:val="Estilo"/>
        <w:rPr>
          <w:rFonts w:cs="Arial"/>
        </w:rPr>
      </w:pPr>
    </w:p>
    <w:p w14:paraId="058099A2" w14:textId="77777777" w:rsidR="00D3344B" w:rsidRDefault="00143C25">
      <w:pPr>
        <w:pStyle w:val="Estilo"/>
        <w:rPr>
          <w:rFonts w:cs="Arial"/>
        </w:rPr>
      </w:pPr>
      <w:r>
        <w:rPr>
          <w:rFonts w:cs="Arial"/>
        </w:rPr>
        <w:t>Cuando se promuevan incidentes que no sean de previo y especial pronunciamiento continuará el trámite del procedimiento.</w:t>
      </w:r>
    </w:p>
    <w:p w14:paraId="319288A9" w14:textId="77777777" w:rsidR="00D3344B" w:rsidRDefault="00D3344B">
      <w:pPr>
        <w:pStyle w:val="Estilo"/>
        <w:rPr>
          <w:rFonts w:cs="Arial"/>
        </w:rPr>
      </w:pPr>
    </w:p>
    <w:p w14:paraId="5D9186B2" w14:textId="77777777" w:rsidR="00D3344B" w:rsidRDefault="00143C25">
      <w:pPr>
        <w:pStyle w:val="Estilo"/>
        <w:rPr>
          <w:rFonts w:cs="Arial"/>
        </w:rPr>
      </w:pPr>
      <w:r>
        <w:rPr>
          <w:rFonts w:cs="Arial"/>
        </w:rPr>
        <w:t>Si no está previsto algún trámite especial los incidentes se substanciarán corriendo traslado de la promoción a las partes por el término de tres días. Con el escrito por el que se promueva el incidente o se desahogue el traslado concedido, se ofrecerán las pruebas pertinentes y se presentarán los documentos, los cuestionarios e interrogatorios de testigos y peritos, siendo aplicables para las pruebas pericial y testimonial las reglas relativas del principal.</w:t>
      </w:r>
    </w:p>
    <w:p w14:paraId="32E9498F" w14:textId="77777777" w:rsidR="00D3344B" w:rsidRDefault="00D3344B">
      <w:pPr>
        <w:pStyle w:val="Estilo"/>
        <w:rPr>
          <w:rFonts w:cs="Arial"/>
        </w:rPr>
      </w:pPr>
    </w:p>
    <w:p w14:paraId="3AB7C632" w14:textId="77777777" w:rsidR="00D3344B" w:rsidRDefault="00143C25">
      <w:pPr>
        <w:pStyle w:val="Estilo"/>
        <w:rPr>
          <w:rFonts w:cs="Arial"/>
        </w:rPr>
      </w:pPr>
      <w:r>
        <w:rPr>
          <w:rFonts w:cs="Arial"/>
          <w:b/>
        </w:rPr>
        <w:t>Artículo 464.</w:t>
      </w:r>
      <w:r>
        <w:rPr>
          <w:rFonts w:cs="Arial"/>
        </w:rPr>
        <w:t xml:space="preserve"> Cuando alguna de las partes sostenga la falsedad de un documento, incluyendo las promociones y actuaciones en juicio, el incidente se podrá hacer valer ante el magistrado hasta antes que se cierre la instrucción del juicio. El incidente se substanciará conforme a lo dispuesto en el cuarto párrafo del artículo 463, corriendo traslado de la promoción a las partes por el término de diez días.</w:t>
      </w:r>
    </w:p>
    <w:p w14:paraId="373B3E70" w14:textId="77777777" w:rsidR="00D3344B" w:rsidRDefault="00D3344B">
      <w:pPr>
        <w:pStyle w:val="Estilo"/>
        <w:rPr>
          <w:rFonts w:cs="Arial"/>
        </w:rPr>
      </w:pPr>
    </w:p>
    <w:p w14:paraId="76D71318" w14:textId="77777777" w:rsidR="00D3344B" w:rsidRDefault="00143C25">
      <w:pPr>
        <w:pStyle w:val="Estilo"/>
        <w:rPr>
          <w:rFonts w:cs="Arial"/>
        </w:rPr>
      </w:pPr>
      <w:r>
        <w:rPr>
          <w:rFonts w:cs="Arial"/>
        </w:rPr>
        <w:lastRenderedPageBreak/>
        <w:t xml:space="preserve">Si alguna de las partes sostiene la falsedad de un documento firmado por otra, el magistrado instructor podrá citar a la parte respectiva para que estampe su firma en presencia del </w:t>
      </w:r>
      <w:proofErr w:type="gramStart"/>
      <w:r>
        <w:rPr>
          <w:rFonts w:cs="Arial"/>
        </w:rPr>
        <w:t>Secretario</w:t>
      </w:r>
      <w:proofErr w:type="gramEnd"/>
      <w:r>
        <w:rPr>
          <w:rFonts w:cs="Arial"/>
        </w:rPr>
        <w:t xml:space="preserve"> de Acuerdo de la Sala.</w:t>
      </w:r>
    </w:p>
    <w:p w14:paraId="340479B4" w14:textId="77777777" w:rsidR="00D3344B" w:rsidRDefault="00D3344B">
      <w:pPr>
        <w:pStyle w:val="Estilo"/>
        <w:rPr>
          <w:rFonts w:cs="Arial"/>
        </w:rPr>
      </w:pPr>
    </w:p>
    <w:p w14:paraId="2ABDBD24" w14:textId="77777777" w:rsidR="00D3344B" w:rsidRDefault="00143C25">
      <w:pPr>
        <w:pStyle w:val="Estilo"/>
        <w:rPr>
          <w:rFonts w:cs="Arial"/>
        </w:rPr>
      </w:pPr>
      <w:r>
        <w:rPr>
          <w:rFonts w:cs="Arial"/>
        </w:rPr>
        <w:t xml:space="preserve">En los casos distintos de los señalados en el párrafo anterior, el </w:t>
      </w:r>
      <w:proofErr w:type="spellStart"/>
      <w:r>
        <w:rPr>
          <w:rFonts w:cs="Arial"/>
        </w:rPr>
        <w:t>incidentista</w:t>
      </w:r>
      <w:proofErr w:type="spellEnd"/>
      <w:r>
        <w:rPr>
          <w:rFonts w:cs="Arial"/>
        </w:rPr>
        <w:t xml:space="preserve"> deberá acompañar el documento que considere como indubitado o señalar el lugar donde se encuentre, o bien ofrecer la pericial correspondiente; si no lo hace, el magistrado instructor desechará el incidente.</w:t>
      </w:r>
    </w:p>
    <w:p w14:paraId="4C0DE43F" w14:textId="77777777" w:rsidR="00D3344B" w:rsidRDefault="00D3344B">
      <w:pPr>
        <w:pStyle w:val="Estilo"/>
        <w:rPr>
          <w:rFonts w:cs="Arial"/>
        </w:rPr>
      </w:pPr>
    </w:p>
    <w:p w14:paraId="4BFA1A61" w14:textId="77777777" w:rsidR="00D3344B" w:rsidRDefault="00143C25">
      <w:pPr>
        <w:pStyle w:val="Estilo"/>
        <w:rPr>
          <w:rFonts w:cs="Arial"/>
        </w:rPr>
      </w:pPr>
      <w:r>
        <w:rPr>
          <w:rFonts w:cs="Arial"/>
        </w:rPr>
        <w:t>El magistrado resolverá sobre la autenticidad del documento exclusivamente para los efectos del juicio en el que se presente el incidente.</w:t>
      </w:r>
    </w:p>
    <w:p w14:paraId="54D2DEBE" w14:textId="77777777" w:rsidR="00D3344B" w:rsidRDefault="00D3344B">
      <w:pPr>
        <w:pStyle w:val="Estilo"/>
        <w:rPr>
          <w:rFonts w:cs="Arial"/>
        </w:rPr>
      </w:pPr>
    </w:p>
    <w:p w14:paraId="38B80141" w14:textId="77777777" w:rsidR="00D3344B" w:rsidRDefault="00143C25">
      <w:pPr>
        <w:pStyle w:val="Estilo"/>
        <w:jc w:val="center"/>
        <w:rPr>
          <w:rFonts w:cs="Arial"/>
          <w:b/>
        </w:rPr>
      </w:pPr>
      <w:r>
        <w:rPr>
          <w:rFonts w:cs="Arial"/>
          <w:b/>
        </w:rPr>
        <w:t>Capítulo VII</w:t>
      </w:r>
    </w:p>
    <w:p w14:paraId="0614F97A" w14:textId="77777777" w:rsidR="00D3344B" w:rsidRDefault="00143C25">
      <w:pPr>
        <w:pStyle w:val="Estilo"/>
        <w:jc w:val="center"/>
        <w:rPr>
          <w:rFonts w:cs="Arial"/>
          <w:b/>
        </w:rPr>
      </w:pPr>
      <w:r>
        <w:rPr>
          <w:rFonts w:cs="Arial"/>
          <w:b/>
        </w:rPr>
        <w:t>De las Pruebas</w:t>
      </w:r>
    </w:p>
    <w:p w14:paraId="6DB36F25" w14:textId="77777777" w:rsidR="00D3344B" w:rsidRDefault="00D3344B">
      <w:pPr>
        <w:pStyle w:val="Estilo"/>
        <w:rPr>
          <w:rFonts w:cs="Arial"/>
        </w:rPr>
      </w:pPr>
    </w:p>
    <w:p w14:paraId="17BBD6A1" w14:textId="77777777" w:rsidR="00D3344B" w:rsidRDefault="00143C25">
      <w:pPr>
        <w:pStyle w:val="Estilo"/>
        <w:rPr>
          <w:rFonts w:cs="Arial"/>
        </w:rPr>
      </w:pPr>
      <w:r>
        <w:rPr>
          <w:rFonts w:cs="Arial"/>
          <w:b/>
        </w:rPr>
        <w:t>Artículo 465.</w:t>
      </w:r>
      <w:r>
        <w:rPr>
          <w:rFonts w:cs="Arial"/>
        </w:rPr>
        <w:t xml:space="preserve"> En los juicios que se tramiten ante el Tribunal, serán admisibles toda clase de pruebas, excepto la de confesión de las autoridades mediante absolución de posiciones y la petición de informes, salvo que los informes se limiten a hechos que consten en documentos que obren en poder de las autoridades.</w:t>
      </w:r>
    </w:p>
    <w:p w14:paraId="1C259F74" w14:textId="77777777" w:rsidR="00D3344B" w:rsidRDefault="00D3344B">
      <w:pPr>
        <w:pStyle w:val="Estilo"/>
        <w:rPr>
          <w:rFonts w:cs="Arial"/>
        </w:rPr>
      </w:pPr>
    </w:p>
    <w:p w14:paraId="6A62EB1F" w14:textId="77777777" w:rsidR="00D3344B" w:rsidRDefault="00143C25">
      <w:pPr>
        <w:pStyle w:val="Estilo"/>
        <w:rPr>
          <w:rFonts w:cs="Arial"/>
        </w:rPr>
      </w:pPr>
      <w:r>
        <w:rPr>
          <w:rFonts w:cs="Arial"/>
        </w:rPr>
        <w:t>Las pruebas supervinientes podrán presentarse siempre que no se haya dictado sentencia. En este caso, el magistrado ordenará dar vista a la contraparte para que en el plazo de cinco días exprese lo que a su derecho convenga.</w:t>
      </w:r>
    </w:p>
    <w:p w14:paraId="6FE2F720" w14:textId="77777777" w:rsidR="00D3344B" w:rsidRDefault="00D3344B">
      <w:pPr>
        <w:pStyle w:val="Estilo"/>
        <w:rPr>
          <w:rFonts w:cs="Arial"/>
        </w:rPr>
      </w:pPr>
    </w:p>
    <w:p w14:paraId="712F71EB" w14:textId="77777777" w:rsidR="00D3344B" w:rsidRDefault="00143C25">
      <w:pPr>
        <w:pStyle w:val="Estilo"/>
        <w:rPr>
          <w:rFonts w:cs="Arial"/>
        </w:rPr>
      </w:pPr>
      <w:r>
        <w:rPr>
          <w:rFonts w:cs="Arial"/>
        </w:rPr>
        <w:t>El magistrado podrá acordar la exhibición de cualquier documento que tenga relación con los hechos controvertidos o para ordenar la práctica de cualquier diligencia.</w:t>
      </w:r>
    </w:p>
    <w:p w14:paraId="443248C5" w14:textId="77777777" w:rsidR="00D3344B" w:rsidRDefault="00D3344B">
      <w:pPr>
        <w:pStyle w:val="Estilo"/>
        <w:rPr>
          <w:rFonts w:cs="Arial"/>
        </w:rPr>
      </w:pPr>
    </w:p>
    <w:p w14:paraId="581E85E8" w14:textId="77777777" w:rsidR="00D3344B" w:rsidRDefault="00143C25">
      <w:pPr>
        <w:pStyle w:val="Estilo"/>
        <w:rPr>
          <w:rFonts w:cs="Arial"/>
        </w:rPr>
      </w:pPr>
      <w:r>
        <w:rPr>
          <w:rFonts w:cs="Arial"/>
          <w:b/>
        </w:rPr>
        <w:t>Artículo 466.</w:t>
      </w:r>
      <w:r>
        <w:rPr>
          <w:rFonts w:cs="Arial"/>
        </w:rPr>
        <w:t xml:space="preserve"> La prueba pericial se sujetará a lo siguiente:</w:t>
      </w:r>
    </w:p>
    <w:p w14:paraId="2603F50B" w14:textId="77777777" w:rsidR="00D3344B" w:rsidRDefault="00D3344B">
      <w:pPr>
        <w:pStyle w:val="Estilo"/>
        <w:rPr>
          <w:rFonts w:cs="Arial"/>
        </w:rPr>
      </w:pPr>
    </w:p>
    <w:p w14:paraId="00DC5FB9" w14:textId="77777777" w:rsidR="00D3344B" w:rsidRDefault="00143C25">
      <w:pPr>
        <w:pStyle w:val="Estilo"/>
        <w:ind w:left="567" w:hanging="567"/>
        <w:rPr>
          <w:rFonts w:cs="Arial"/>
        </w:rPr>
      </w:pPr>
      <w:r>
        <w:rPr>
          <w:rFonts w:cs="Arial"/>
        </w:rPr>
        <w:t xml:space="preserve">I. </w:t>
      </w:r>
      <w:r>
        <w:rPr>
          <w:rFonts w:cs="Arial"/>
        </w:rPr>
        <w:tab/>
        <w:t xml:space="preserve">En el auto que recaiga a la contestación de la demanda o de su ampliación, se requerirá a las partes para que dentro del plazo de diez días presenten a sus peritos, a fin de que acrediten que reúnen los requisitos correspondientes, acepten el cargo y protesten su legal desempeño, apercibiéndolos de </w:t>
      </w:r>
      <w:proofErr w:type="gramStart"/>
      <w:r>
        <w:rPr>
          <w:rFonts w:cs="Arial"/>
        </w:rPr>
        <w:t>que</w:t>
      </w:r>
      <w:proofErr w:type="gramEnd"/>
      <w:r>
        <w:rPr>
          <w:rFonts w:cs="Arial"/>
        </w:rPr>
        <w:t xml:space="preserve"> si no lo hacen sin justa causa, o la persona propuesta no acepta el cargo o no reúne los requisitos de ley, sólo se considerará el peritaje de quien haya cumplimentado el requerimiento;</w:t>
      </w:r>
    </w:p>
    <w:p w14:paraId="2150DC94" w14:textId="77777777" w:rsidR="00D3344B" w:rsidRDefault="00D3344B">
      <w:pPr>
        <w:pStyle w:val="Estilo"/>
        <w:ind w:left="567" w:hanging="567"/>
        <w:rPr>
          <w:rFonts w:cs="Arial"/>
        </w:rPr>
      </w:pPr>
    </w:p>
    <w:p w14:paraId="362ADF3A" w14:textId="77777777" w:rsidR="00D3344B" w:rsidRDefault="00143C25">
      <w:pPr>
        <w:pStyle w:val="Estilo"/>
        <w:ind w:left="567" w:hanging="567"/>
        <w:rPr>
          <w:rFonts w:cs="Arial"/>
        </w:rPr>
      </w:pPr>
      <w:r>
        <w:rPr>
          <w:rFonts w:cs="Arial"/>
        </w:rPr>
        <w:t xml:space="preserve">II. </w:t>
      </w:r>
      <w:r>
        <w:rPr>
          <w:rFonts w:cs="Arial"/>
        </w:rPr>
        <w:tab/>
        <w:t>El magistrado, cuando a su juicio deba presidir la diligencia y lo permita la naturaleza de ésta, señalará lugar, día y hora para el desahogo de la prueba pericial pudiendo pedir a los peritos todas las aclaraciones que estime conducentes y exigirles la práctica de nuevas diligencias;</w:t>
      </w:r>
    </w:p>
    <w:p w14:paraId="25C281A9" w14:textId="77777777" w:rsidR="00D3344B" w:rsidRDefault="00D3344B">
      <w:pPr>
        <w:pStyle w:val="Estilo"/>
        <w:ind w:left="567" w:hanging="567"/>
        <w:rPr>
          <w:rFonts w:cs="Arial"/>
        </w:rPr>
      </w:pPr>
    </w:p>
    <w:p w14:paraId="31F4FA6D" w14:textId="77777777" w:rsidR="00D3344B" w:rsidRDefault="00143C25">
      <w:pPr>
        <w:pStyle w:val="Estilo"/>
        <w:ind w:left="567" w:hanging="567"/>
        <w:rPr>
          <w:rFonts w:cs="Arial"/>
        </w:rPr>
      </w:pPr>
      <w:r>
        <w:rPr>
          <w:rFonts w:cs="Arial"/>
        </w:rPr>
        <w:t xml:space="preserve">III. </w:t>
      </w:r>
      <w:r>
        <w:rPr>
          <w:rFonts w:cs="Arial"/>
        </w:rPr>
        <w:tab/>
        <w:t xml:space="preserve">En los acuerdos por los que se les reconozca a cada perito, el magistrado instructor le concederá un plazo mínimo de quince días para que rinda su </w:t>
      </w:r>
      <w:r>
        <w:rPr>
          <w:rFonts w:cs="Arial"/>
        </w:rPr>
        <w:lastRenderedPageBreak/>
        <w:t>dictamen, con el apercibimiento a la parte que lo propuso de que únicamente se considerarán los dictámenes rendidos dentro del plazo concedido;</w:t>
      </w:r>
    </w:p>
    <w:p w14:paraId="1E37ECC2" w14:textId="77777777" w:rsidR="00D3344B" w:rsidRDefault="00D3344B">
      <w:pPr>
        <w:pStyle w:val="Estilo"/>
        <w:ind w:left="567" w:hanging="567"/>
        <w:rPr>
          <w:rFonts w:cs="Arial"/>
        </w:rPr>
      </w:pPr>
    </w:p>
    <w:p w14:paraId="62829B0D" w14:textId="77777777" w:rsidR="00D3344B" w:rsidRDefault="00143C25">
      <w:pPr>
        <w:pStyle w:val="Estilo"/>
        <w:ind w:left="567" w:hanging="567"/>
        <w:rPr>
          <w:rFonts w:cs="Arial"/>
        </w:rPr>
      </w:pPr>
      <w:r>
        <w:rPr>
          <w:rFonts w:cs="Arial"/>
        </w:rPr>
        <w:t xml:space="preserve">IV. </w:t>
      </w:r>
      <w:r>
        <w:rPr>
          <w:rFonts w:cs="Arial"/>
        </w:rPr>
        <w:tab/>
        <w:t>Por una sola vez y por causa que lo justifique, comunicada al magistrado antes de vencer los plazos mencionados en este artículo, las partes podrán solicitar la sustitución de su perito, señalando el nombre y domicilio de la nueva persona propuesta. La parte que haya sustituido a su perito conforme a la fracción I, ya no podrá hacerlo en el caso previsto en la fracción III de este precepto, y</w:t>
      </w:r>
    </w:p>
    <w:p w14:paraId="478333FD" w14:textId="77777777" w:rsidR="00D3344B" w:rsidRDefault="00D3344B">
      <w:pPr>
        <w:pStyle w:val="Estilo"/>
        <w:ind w:left="567" w:hanging="567"/>
        <w:rPr>
          <w:rFonts w:cs="Arial"/>
        </w:rPr>
      </w:pPr>
    </w:p>
    <w:p w14:paraId="0F6E4AD4" w14:textId="77777777" w:rsidR="00D3344B" w:rsidRDefault="00143C25">
      <w:pPr>
        <w:pStyle w:val="Estilo"/>
        <w:ind w:left="567" w:hanging="567"/>
        <w:rPr>
          <w:rFonts w:cs="Arial"/>
        </w:rPr>
      </w:pPr>
      <w:r>
        <w:rPr>
          <w:rFonts w:cs="Arial"/>
        </w:rPr>
        <w:t xml:space="preserve">V. </w:t>
      </w:r>
      <w:r>
        <w:rPr>
          <w:rFonts w:cs="Arial"/>
        </w:rPr>
        <w:tab/>
        <w:t>El perito tercero será designado por el Magistrado de entre los que tenga registrado el Tribunal. En el caso de que no hubiere perito registrado en la ciencia o arte sobre el cual verse el peritaje, el magistrado designará bajo su responsabilidad a la persona que debe rendir dicho dictamen y las partes cubrirán sus honorarios. Cuando haya lugar a designar perito tercero valuador, el nombramiento deberá recaer en un perito legalmente autorizado, debiendo cubrirse sus honorarios por las partes.</w:t>
      </w:r>
    </w:p>
    <w:p w14:paraId="1539594C" w14:textId="77777777" w:rsidR="00D3344B" w:rsidRDefault="00D3344B">
      <w:pPr>
        <w:pStyle w:val="Estilo"/>
        <w:rPr>
          <w:rFonts w:cs="Arial"/>
        </w:rPr>
      </w:pPr>
    </w:p>
    <w:p w14:paraId="54236783" w14:textId="77777777" w:rsidR="00D3344B" w:rsidRDefault="00143C25">
      <w:pPr>
        <w:pStyle w:val="Estilo"/>
        <w:rPr>
          <w:rFonts w:cs="Arial"/>
        </w:rPr>
      </w:pPr>
      <w:r>
        <w:rPr>
          <w:rFonts w:cs="Arial"/>
          <w:b/>
        </w:rPr>
        <w:t>Artículo 467.</w:t>
      </w:r>
      <w:r>
        <w:rPr>
          <w:rFonts w:cs="Arial"/>
        </w:rPr>
        <w:t xml:space="preserve"> Para desahogar la prueba testimonial se requerirá a la oferente para que presente a los testigos y cuando esta manifieste no poder presentarlos, el magistrado los citará para que comparezcan el día y hora que al efecto señale. De los testimonios se levantará acta pormenorizada y podrán serles formuladas por el magistrado o por las partes aquellas preguntas que estén en relación directa con los hechos controvertidos o persigan la aclaración de cualquier respuesta. Las autoridades rendirán testimonio por escrito.</w:t>
      </w:r>
    </w:p>
    <w:p w14:paraId="6D47018D" w14:textId="77777777" w:rsidR="00D3344B" w:rsidRDefault="00D3344B">
      <w:pPr>
        <w:pStyle w:val="Estilo"/>
        <w:rPr>
          <w:rFonts w:cs="Arial"/>
        </w:rPr>
      </w:pPr>
    </w:p>
    <w:p w14:paraId="58136CD1" w14:textId="77777777" w:rsidR="00D3344B" w:rsidRDefault="00143C25">
      <w:pPr>
        <w:pStyle w:val="Estilo"/>
        <w:rPr>
          <w:rFonts w:cs="Arial"/>
        </w:rPr>
      </w:pPr>
      <w:r>
        <w:rPr>
          <w:rFonts w:cs="Arial"/>
          <w:b/>
        </w:rPr>
        <w:t>Artículo 468.</w:t>
      </w:r>
      <w:r>
        <w:rPr>
          <w:rFonts w:cs="Arial"/>
        </w:rPr>
        <w:t xml:space="preserve"> A fin de que las partes puedan rendir sus pruebas, los funcionarios o autoridades tienen obligación de expedir con toda oportunidad, previo pago de los derechos correspondientes, las copias certificadas de los documentos que les soliciten; si no se cumpliera con esa obligación la parte interesada solicitará al magistrado que requiera a los omisos.</w:t>
      </w:r>
    </w:p>
    <w:p w14:paraId="7C426BA8" w14:textId="77777777" w:rsidR="00D3344B" w:rsidRDefault="00D3344B">
      <w:pPr>
        <w:pStyle w:val="Estilo"/>
        <w:rPr>
          <w:rFonts w:cs="Arial"/>
        </w:rPr>
      </w:pPr>
    </w:p>
    <w:p w14:paraId="1B291527" w14:textId="77777777" w:rsidR="00D3344B" w:rsidRDefault="00143C25">
      <w:pPr>
        <w:pStyle w:val="Estilo"/>
        <w:rPr>
          <w:rFonts w:cs="Arial"/>
        </w:rPr>
      </w:pPr>
      <w:r>
        <w:rPr>
          <w:rFonts w:cs="Arial"/>
        </w:rPr>
        <w:t>Cuando sin causa justificada la autoridad demandada no expida las copias de los documentos ofrecidos por el demandante para probar los hechos imputados a aquella y siempre que los documentos solicitados hubieran sido identificados con toda precisión tanto en sus características como en su contenido, se presumirán ciertos los hechos que pretenda probar con esos documentos.</w:t>
      </w:r>
    </w:p>
    <w:p w14:paraId="121D3C3B" w14:textId="77777777" w:rsidR="00D3344B" w:rsidRDefault="00D3344B">
      <w:pPr>
        <w:pStyle w:val="Estilo"/>
        <w:rPr>
          <w:rFonts w:cs="Arial"/>
        </w:rPr>
      </w:pPr>
    </w:p>
    <w:p w14:paraId="069C6CB8" w14:textId="77777777" w:rsidR="00D3344B" w:rsidRDefault="00143C25">
      <w:pPr>
        <w:pStyle w:val="Estilo"/>
        <w:rPr>
          <w:rFonts w:cs="Arial"/>
        </w:rPr>
      </w:pPr>
      <w:r>
        <w:rPr>
          <w:rFonts w:cs="Arial"/>
        </w:rPr>
        <w:t>En los casos en que la autoridad no sea parte, el magistrado podrá hacer valer como medida de apremio la imposición de multas de hasta el monto del equivalente a la UMA mensual elevado al trimestre, a los funcionarios omisos.</w:t>
      </w:r>
    </w:p>
    <w:p w14:paraId="3A0374AF" w14:textId="77777777" w:rsidR="00D3344B" w:rsidRDefault="00D3344B">
      <w:pPr>
        <w:pStyle w:val="Estilo"/>
        <w:rPr>
          <w:rFonts w:cs="Arial"/>
        </w:rPr>
      </w:pPr>
    </w:p>
    <w:p w14:paraId="31A02D00" w14:textId="77777777" w:rsidR="00D3344B" w:rsidRDefault="00143C25">
      <w:pPr>
        <w:pStyle w:val="Estilo"/>
        <w:rPr>
          <w:rFonts w:cs="Arial"/>
        </w:rPr>
      </w:pPr>
      <w:r>
        <w:rPr>
          <w:rFonts w:cs="Arial"/>
        </w:rPr>
        <w:t xml:space="preserve">Cuando se soliciten copias de documentos que no puedan proporcionarse en la práctica administrativa normal, las autoridades podrán solicitar un plazo adicional para hacer las diligencias extraordinarias que el caso amerite y si al cabo de éstas </w:t>
      </w:r>
      <w:r>
        <w:rPr>
          <w:rFonts w:cs="Arial"/>
        </w:rPr>
        <w:lastRenderedPageBreak/>
        <w:t>no se localizan, el magistrado podrá considerar que se está en presencia de omisión por causa justificada.</w:t>
      </w:r>
    </w:p>
    <w:p w14:paraId="68EB2127" w14:textId="77777777" w:rsidR="00D3344B" w:rsidRDefault="00D3344B">
      <w:pPr>
        <w:pStyle w:val="Estilo"/>
        <w:rPr>
          <w:rFonts w:cs="Arial"/>
        </w:rPr>
      </w:pPr>
    </w:p>
    <w:p w14:paraId="1F63D24D" w14:textId="77777777" w:rsidR="00D3344B" w:rsidRDefault="00143C25">
      <w:pPr>
        <w:pStyle w:val="Estilo"/>
        <w:rPr>
          <w:rFonts w:cs="Arial"/>
        </w:rPr>
      </w:pPr>
      <w:r>
        <w:rPr>
          <w:rFonts w:cs="Arial"/>
          <w:b/>
        </w:rPr>
        <w:t>Artículo 469.</w:t>
      </w:r>
      <w:r>
        <w:rPr>
          <w:rFonts w:cs="Arial"/>
        </w:rPr>
        <w:t xml:space="preserve"> La valoración de las pruebas se hará de acuerdo con las siguientes disposiciones:</w:t>
      </w:r>
    </w:p>
    <w:p w14:paraId="5387947C" w14:textId="77777777" w:rsidR="00D3344B" w:rsidRDefault="00D3344B">
      <w:pPr>
        <w:pStyle w:val="Estilo"/>
        <w:rPr>
          <w:rFonts w:cs="Arial"/>
        </w:rPr>
      </w:pPr>
    </w:p>
    <w:p w14:paraId="135841F3" w14:textId="77777777" w:rsidR="00D3344B" w:rsidRDefault="00143C25">
      <w:pPr>
        <w:pStyle w:val="Estilo"/>
        <w:ind w:left="567" w:hanging="567"/>
        <w:rPr>
          <w:rFonts w:cs="Arial"/>
        </w:rPr>
      </w:pPr>
      <w:r>
        <w:rPr>
          <w:rFonts w:cs="Arial"/>
        </w:rPr>
        <w:t xml:space="preserve">I. </w:t>
      </w:r>
      <w:r>
        <w:rPr>
          <w:rFonts w:cs="Arial"/>
        </w:rPr>
        <w:tab/>
        <w:t>Harán prueba plena la confesión expresa de las partes, las presunciones legales que no admitan prueba en contrario, así como los hechos legalmente afirmados por autoridades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3BE6C625" w14:textId="77777777" w:rsidR="00D3344B" w:rsidRDefault="00D3344B">
      <w:pPr>
        <w:pStyle w:val="Estilo"/>
        <w:ind w:left="567" w:hanging="567"/>
        <w:rPr>
          <w:rFonts w:cs="Arial"/>
        </w:rPr>
      </w:pPr>
    </w:p>
    <w:p w14:paraId="1F4C3C21" w14:textId="77777777" w:rsidR="00D3344B" w:rsidRDefault="00143C25">
      <w:pPr>
        <w:pStyle w:val="Estilo"/>
        <w:ind w:left="567" w:hanging="567"/>
        <w:rPr>
          <w:rFonts w:cs="Arial"/>
        </w:rPr>
      </w:pPr>
      <w:r>
        <w:rPr>
          <w:rFonts w:cs="Arial"/>
        </w:rPr>
        <w:t xml:space="preserve">II. </w:t>
      </w:r>
      <w:r>
        <w:rPr>
          <w:rFonts w:cs="Arial"/>
        </w:rPr>
        <w:tab/>
        <w:t>Tratándose de actos de comprobación de las autoridades administrativas, se entenderán como legalmente afirmados los hechos que constan en las actas respectivas;</w:t>
      </w:r>
    </w:p>
    <w:p w14:paraId="4AAB8ACA" w14:textId="77777777" w:rsidR="00D3344B" w:rsidRDefault="00D3344B">
      <w:pPr>
        <w:pStyle w:val="Estilo"/>
        <w:ind w:left="567" w:hanging="567"/>
        <w:rPr>
          <w:rFonts w:cs="Arial"/>
        </w:rPr>
      </w:pPr>
    </w:p>
    <w:p w14:paraId="31F84831" w14:textId="77777777" w:rsidR="00D3344B" w:rsidRDefault="00143C25">
      <w:pPr>
        <w:pStyle w:val="Estilo"/>
        <w:ind w:left="567" w:hanging="567"/>
        <w:rPr>
          <w:rFonts w:cs="Arial"/>
        </w:rPr>
      </w:pPr>
      <w:r>
        <w:rPr>
          <w:rFonts w:cs="Arial"/>
        </w:rPr>
        <w:t xml:space="preserve">III. </w:t>
      </w:r>
      <w:r>
        <w:rPr>
          <w:rFonts w:cs="Arial"/>
        </w:rPr>
        <w:tab/>
        <w:t>El valor de las pruebas pericial y testimonial, así como el de las demás pruebas quedará a la prudente apreciación del magistrado, y</w:t>
      </w:r>
    </w:p>
    <w:p w14:paraId="1CF64D5B" w14:textId="77777777" w:rsidR="00D3344B" w:rsidRDefault="00D3344B">
      <w:pPr>
        <w:pStyle w:val="Estilo"/>
        <w:ind w:left="567" w:hanging="567"/>
        <w:rPr>
          <w:rFonts w:cs="Arial"/>
        </w:rPr>
      </w:pPr>
    </w:p>
    <w:p w14:paraId="30024F76" w14:textId="77777777" w:rsidR="00D3344B" w:rsidRDefault="00143C25">
      <w:pPr>
        <w:pStyle w:val="Estilo"/>
        <w:ind w:left="567" w:hanging="567"/>
        <w:rPr>
          <w:rFonts w:cs="Arial"/>
        </w:rPr>
      </w:pPr>
      <w:r>
        <w:rPr>
          <w:rFonts w:cs="Arial"/>
        </w:rPr>
        <w:t xml:space="preserve">IV. </w:t>
      </w:r>
      <w:r>
        <w:rPr>
          <w:rFonts w:cs="Arial"/>
        </w:rPr>
        <w:tab/>
        <w:t>Cuando por el enlace de las pruebas rendidas y de las presunciones formadas, el magistrado adquiera convicción distinta acerca de los hechos materia del litigio, podrá valorar las pruebas sin sujetarse a lo dispuesto en las fracciones anteriores, debiendo fundar razonadamente esta parte de su sentencia.</w:t>
      </w:r>
    </w:p>
    <w:p w14:paraId="63AF2C92" w14:textId="77777777" w:rsidR="00D3344B" w:rsidRDefault="00D3344B">
      <w:pPr>
        <w:pStyle w:val="Estilo"/>
        <w:rPr>
          <w:rFonts w:cs="Arial"/>
        </w:rPr>
      </w:pPr>
    </w:p>
    <w:p w14:paraId="524DBA8C" w14:textId="77777777" w:rsidR="00D3344B" w:rsidRDefault="00143C25">
      <w:pPr>
        <w:pStyle w:val="Estilo"/>
        <w:jc w:val="center"/>
        <w:rPr>
          <w:rFonts w:cs="Arial"/>
          <w:b/>
        </w:rPr>
      </w:pPr>
      <w:r>
        <w:rPr>
          <w:rFonts w:cs="Arial"/>
          <w:b/>
        </w:rPr>
        <w:t>Capítulo VIII</w:t>
      </w:r>
    </w:p>
    <w:p w14:paraId="0AFA8114" w14:textId="77777777" w:rsidR="00D3344B" w:rsidRDefault="00143C25">
      <w:pPr>
        <w:pStyle w:val="Estilo"/>
        <w:jc w:val="center"/>
        <w:rPr>
          <w:rFonts w:cs="Arial"/>
          <w:b/>
        </w:rPr>
      </w:pPr>
      <w:r>
        <w:rPr>
          <w:rFonts w:cs="Arial"/>
          <w:b/>
        </w:rPr>
        <w:t>Del Cierre de la Instrucción</w:t>
      </w:r>
    </w:p>
    <w:p w14:paraId="4736852D" w14:textId="77777777" w:rsidR="00D3344B" w:rsidRDefault="00D3344B">
      <w:pPr>
        <w:pStyle w:val="Estilo"/>
        <w:rPr>
          <w:rFonts w:cs="Arial"/>
        </w:rPr>
      </w:pPr>
    </w:p>
    <w:p w14:paraId="119FEFEF" w14:textId="77777777" w:rsidR="00D3344B" w:rsidRDefault="00143C25">
      <w:pPr>
        <w:pStyle w:val="Estilo"/>
        <w:rPr>
          <w:rFonts w:cs="Arial"/>
        </w:rPr>
      </w:pPr>
      <w:r>
        <w:rPr>
          <w:rFonts w:cs="Arial"/>
          <w:b/>
        </w:rPr>
        <w:t>Artículo 470.</w:t>
      </w:r>
      <w:r>
        <w:rPr>
          <w:rFonts w:cs="Arial"/>
        </w:rPr>
        <w:t xml:space="preserve"> El magistrado, diez días después de que haya concluido la sustanciación del juicio y no existiere ninguna cuestión pendiente que impida su resolución, notificará por lista a las partes que tienen un término de cinco días para formular alegatos por escrito. Los alegatos presentados en tiempo deberán ser considerados al dictar sentencia.</w:t>
      </w:r>
    </w:p>
    <w:p w14:paraId="3FC45C78" w14:textId="77777777" w:rsidR="00D3344B" w:rsidRDefault="00D3344B">
      <w:pPr>
        <w:pStyle w:val="Estilo"/>
        <w:rPr>
          <w:rFonts w:cs="Arial"/>
        </w:rPr>
      </w:pPr>
    </w:p>
    <w:p w14:paraId="6B1C4DB8" w14:textId="77777777" w:rsidR="00D3344B" w:rsidRDefault="00143C25">
      <w:pPr>
        <w:pStyle w:val="Estilo"/>
        <w:rPr>
          <w:rFonts w:cs="Arial"/>
        </w:rPr>
      </w:pPr>
      <w:r>
        <w:rPr>
          <w:rFonts w:cs="Arial"/>
        </w:rPr>
        <w:t>Al vencer el plazo de cinco días a que se refiere el párrafo anterior, con alegatos o sin ellos, quedará cerrada la instrucción, sin necesidad de declaratoria expresa.</w:t>
      </w:r>
    </w:p>
    <w:p w14:paraId="37DE7BCA" w14:textId="77777777" w:rsidR="00D3344B" w:rsidRDefault="00D3344B">
      <w:pPr>
        <w:pStyle w:val="Estilo"/>
        <w:rPr>
          <w:rFonts w:cs="Arial"/>
        </w:rPr>
      </w:pPr>
    </w:p>
    <w:p w14:paraId="6D3FB63E" w14:textId="77777777" w:rsidR="00D3344B" w:rsidRDefault="00143C25">
      <w:pPr>
        <w:pStyle w:val="Estilo"/>
        <w:jc w:val="center"/>
        <w:rPr>
          <w:rFonts w:cs="Arial"/>
          <w:b/>
        </w:rPr>
      </w:pPr>
      <w:r>
        <w:rPr>
          <w:rFonts w:cs="Arial"/>
          <w:b/>
        </w:rPr>
        <w:t>Capítulo IX</w:t>
      </w:r>
    </w:p>
    <w:p w14:paraId="403F5BC3" w14:textId="77777777" w:rsidR="00D3344B" w:rsidRDefault="00143C25">
      <w:pPr>
        <w:pStyle w:val="Estilo"/>
        <w:jc w:val="center"/>
        <w:rPr>
          <w:rFonts w:cs="Arial"/>
          <w:b/>
        </w:rPr>
      </w:pPr>
      <w:r>
        <w:rPr>
          <w:rFonts w:cs="Arial"/>
          <w:b/>
        </w:rPr>
        <w:t>De la Sentencia</w:t>
      </w:r>
    </w:p>
    <w:p w14:paraId="59B02FC4" w14:textId="77777777" w:rsidR="00D3344B" w:rsidRDefault="00D3344B">
      <w:pPr>
        <w:pStyle w:val="Estilo"/>
        <w:rPr>
          <w:rFonts w:cs="Arial"/>
        </w:rPr>
      </w:pPr>
    </w:p>
    <w:p w14:paraId="57254992" w14:textId="77777777" w:rsidR="00D3344B" w:rsidRDefault="00143C25">
      <w:pPr>
        <w:pStyle w:val="Estilo"/>
        <w:rPr>
          <w:rFonts w:cs="Arial"/>
        </w:rPr>
      </w:pPr>
      <w:r>
        <w:rPr>
          <w:rFonts w:cs="Arial"/>
          <w:b/>
        </w:rPr>
        <w:t>Artículo 471.</w:t>
      </w:r>
      <w:r>
        <w:rPr>
          <w:rFonts w:cs="Arial"/>
        </w:rPr>
        <w:t xml:space="preserve"> La sentencia se dictará por la sala, dentro de los cuarenta y cinco días siguientes a aquel en que se cierre la instrucción en el juicio. Para dictar resolución en los casos de sobreseimiento por alguna de las causas previstas en el artículo 440 de este código, no será necesario que se hubiese cerrado la instrucción.</w:t>
      </w:r>
    </w:p>
    <w:p w14:paraId="4C8437EF" w14:textId="77777777" w:rsidR="00D3344B" w:rsidRDefault="00D3344B">
      <w:pPr>
        <w:pStyle w:val="Estilo"/>
        <w:rPr>
          <w:rFonts w:cs="Arial"/>
        </w:rPr>
      </w:pPr>
    </w:p>
    <w:p w14:paraId="0762BA1F" w14:textId="77777777" w:rsidR="00D3344B" w:rsidRDefault="00143C25">
      <w:pPr>
        <w:pStyle w:val="Estilo"/>
        <w:rPr>
          <w:rFonts w:cs="Arial"/>
        </w:rPr>
      </w:pPr>
      <w:r>
        <w:rPr>
          <w:rFonts w:cs="Arial"/>
          <w:b/>
        </w:rPr>
        <w:lastRenderedPageBreak/>
        <w:t>Artículo 472.</w:t>
      </w:r>
      <w:r>
        <w:rPr>
          <w:rFonts w:cs="Arial"/>
        </w:rPr>
        <w:t xml:space="preserve"> Las sentencias se fundarán en derecho y resolverán sobre la pretensión del actor que se deduzca de su demanda, en relación con una resolución impugnada, teniendo la facultad de invocar hechos notorios.</w:t>
      </w:r>
    </w:p>
    <w:p w14:paraId="718AF91F" w14:textId="77777777" w:rsidR="00D3344B" w:rsidRDefault="00D3344B">
      <w:pPr>
        <w:pStyle w:val="Estilo"/>
        <w:rPr>
          <w:rFonts w:cs="Arial"/>
        </w:rPr>
      </w:pPr>
    </w:p>
    <w:p w14:paraId="7B840D80" w14:textId="77777777" w:rsidR="00D3344B" w:rsidRDefault="00143C25">
      <w:pPr>
        <w:pStyle w:val="Estilo"/>
        <w:rPr>
          <w:rFonts w:cs="Arial"/>
        </w:rPr>
      </w:pPr>
      <w:r>
        <w:rPr>
          <w:rFonts w:cs="Arial"/>
        </w:rPr>
        <w:t>Cuando se hagan valer diversas causales de ilegalidad, la sentencia o resolución de la sala deberá examinar primero aquellos que puedan llevar a declarar la nulidad lisa y llana. En el caso de que la sentencia declare la nulidad de una resolución por la omisión de los requisitos formales exigidos por las leyes, o por vicios de procedimiento, la misma deberá señalar en que forma afectaron las defensas del particular y trascendieron al sentido de la resolución.</w:t>
      </w:r>
    </w:p>
    <w:p w14:paraId="1406CF6E" w14:textId="77777777" w:rsidR="00D3344B" w:rsidRDefault="00D3344B">
      <w:pPr>
        <w:pStyle w:val="Estilo"/>
        <w:rPr>
          <w:rFonts w:cs="Arial"/>
        </w:rPr>
      </w:pPr>
    </w:p>
    <w:p w14:paraId="64506009" w14:textId="77777777" w:rsidR="00D3344B" w:rsidRDefault="00143C25">
      <w:pPr>
        <w:pStyle w:val="Estilo"/>
        <w:rPr>
          <w:rFonts w:cs="Arial"/>
        </w:rPr>
      </w:pPr>
      <w:r>
        <w:rPr>
          <w:rFonts w:cs="Arial"/>
        </w:rPr>
        <w:t>La sala deberá examinar en su conjunto los agravios y causales de ilegalidad, así como los demás razonamientos de las partes, a fin de resolver la cuestión efectivamente planteada, pero sin cambiar los hechos expuestos en la demanda y en la contestación.</w:t>
      </w:r>
    </w:p>
    <w:p w14:paraId="7A81387F" w14:textId="77777777" w:rsidR="00D3344B" w:rsidRDefault="00D3344B">
      <w:pPr>
        <w:pStyle w:val="Estilo"/>
        <w:rPr>
          <w:rFonts w:cs="Arial"/>
        </w:rPr>
      </w:pPr>
    </w:p>
    <w:p w14:paraId="4A614A4F" w14:textId="77777777" w:rsidR="00D3344B" w:rsidRDefault="00143C25">
      <w:pPr>
        <w:pStyle w:val="Estilo"/>
        <w:rPr>
          <w:rFonts w:cs="Arial"/>
        </w:rPr>
      </w:pPr>
      <w:r>
        <w:rPr>
          <w:rFonts w:cs="Arial"/>
        </w:rPr>
        <w:t>Trabándose (sic) de las sentencias que resuelvan sobre la legalidad de la resolución dictada en un recurso administrativo, si se cuenta con elementos suficientes para ello, la sala se pronunciara sobre la legalidad de la resolución recurrida, en la parte que no satisfizo el interés jurídico del demandante no se podrán anular o modificar los actos de las autoridades administrativas no impugnados de manera expresa en la demanda.</w:t>
      </w:r>
    </w:p>
    <w:p w14:paraId="116CA161" w14:textId="77777777" w:rsidR="00D3344B" w:rsidRDefault="00D3344B">
      <w:pPr>
        <w:pStyle w:val="Estilo"/>
        <w:rPr>
          <w:rFonts w:cs="Arial"/>
        </w:rPr>
      </w:pPr>
    </w:p>
    <w:p w14:paraId="0F77B034" w14:textId="77777777" w:rsidR="00D3344B" w:rsidRDefault="00143C25">
      <w:pPr>
        <w:pStyle w:val="Estilo"/>
        <w:rPr>
          <w:rFonts w:cs="Arial"/>
        </w:rPr>
      </w:pPr>
      <w:r>
        <w:rPr>
          <w:rFonts w:cs="Arial"/>
        </w:rPr>
        <w:t>En el caso de sentencias en que se condene a la autoridad a la restitución de un derecho subjetivo violado o a la devolución de una cantidad, el tribunal deberá previamente constatar el derecho que tiene el particular, además de la ilegalidad de la resolución impugnada.</w:t>
      </w:r>
    </w:p>
    <w:p w14:paraId="7DAF6393" w14:textId="77777777" w:rsidR="00D3344B" w:rsidRDefault="00D3344B">
      <w:pPr>
        <w:pStyle w:val="Estilo"/>
        <w:rPr>
          <w:rFonts w:cs="Arial"/>
        </w:rPr>
      </w:pPr>
    </w:p>
    <w:p w14:paraId="4C8BF071" w14:textId="77777777" w:rsidR="00D3344B" w:rsidRDefault="00143C25">
      <w:pPr>
        <w:pStyle w:val="Estilo"/>
        <w:rPr>
          <w:rFonts w:cs="Arial"/>
        </w:rPr>
      </w:pPr>
      <w:r>
        <w:rPr>
          <w:rFonts w:cs="Arial"/>
          <w:b/>
        </w:rPr>
        <w:t>Artículo 473.</w:t>
      </w:r>
      <w:r>
        <w:rPr>
          <w:rFonts w:cs="Arial"/>
        </w:rPr>
        <w:t xml:space="preserve"> Se declarará que una resolución administrativa es ilegal cuando se demuestre alguna de las siguientes causales:</w:t>
      </w:r>
    </w:p>
    <w:p w14:paraId="2F940A93" w14:textId="77777777" w:rsidR="00D3344B" w:rsidRDefault="00D3344B">
      <w:pPr>
        <w:pStyle w:val="Estilo"/>
        <w:ind w:left="567" w:hanging="567"/>
        <w:rPr>
          <w:rFonts w:cs="Arial"/>
        </w:rPr>
      </w:pPr>
    </w:p>
    <w:p w14:paraId="5D6675FA" w14:textId="77777777" w:rsidR="00D3344B" w:rsidRDefault="00143C25">
      <w:pPr>
        <w:pStyle w:val="Estilo"/>
        <w:ind w:left="567" w:hanging="567"/>
        <w:rPr>
          <w:rFonts w:cs="Arial"/>
        </w:rPr>
      </w:pPr>
      <w:r>
        <w:rPr>
          <w:rFonts w:cs="Arial"/>
        </w:rPr>
        <w:t xml:space="preserve">I. </w:t>
      </w:r>
      <w:r>
        <w:rPr>
          <w:rFonts w:cs="Arial"/>
        </w:rPr>
        <w:tab/>
        <w:t>Incompetencia del funcionario que la haya dictado u ordenado o tramitado el procedimiento del que deriva dicha resolución;</w:t>
      </w:r>
    </w:p>
    <w:p w14:paraId="3EC8EA16" w14:textId="77777777" w:rsidR="00D3344B" w:rsidRDefault="00D3344B">
      <w:pPr>
        <w:pStyle w:val="Estilo"/>
        <w:ind w:left="567" w:hanging="567"/>
        <w:rPr>
          <w:rFonts w:cs="Arial"/>
        </w:rPr>
      </w:pPr>
    </w:p>
    <w:p w14:paraId="3CC927E8" w14:textId="77777777" w:rsidR="00D3344B" w:rsidRDefault="00143C25">
      <w:pPr>
        <w:pStyle w:val="Estilo"/>
        <w:ind w:left="567" w:hanging="567"/>
        <w:rPr>
          <w:rFonts w:cs="Arial"/>
        </w:rPr>
      </w:pPr>
      <w:r>
        <w:rPr>
          <w:rFonts w:cs="Arial"/>
        </w:rPr>
        <w:t xml:space="preserve">II. </w:t>
      </w:r>
      <w:r>
        <w:rPr>
          <w:rFonts w:cs="Arial"/>
        </w:rPr>
        <w:tab/>
        <w:t>Omisión de los requisitos formales exigidos por las leyes, que afecte las defensas del particular y trascienda al sentido de la resolución impugnada, inclusive la ausencia de fundamentación o motivación, en su caso;</w:t>
      </w:r>
    </w:p>
    <w:p w14:paraId="0C0CC7ED" w14:textId="77777777" w:rsidR="00D3344B" w:rsidRDefault="00D3344B">
      <w:pPr>
        <w:pStyle w:val="Estilo"/>
        <w:ind w:left="567" w:hanging="567"/>
        <w:rPr>
          <w:rFonts w:cs="Arial"/>
        </w:rPr>
      </w:pPr>
    </w:p>
    <w:p w14:paraId="615E7E00" w14:textId="77777777" w:rsidR="00D3344B" w:rsidRDefault="00143C25">
      <w:pPr>
        <w:pStyle w:val="Estilo"/>
        <w:ind w:left="567" w:hanging="567"/>
        <w:rPr>
          <w:rFonts w:cs="Arial"/>
        </w:rPr>
      </w:pPr>
      <w:r>
        <w:rPr>
          <w:rFonts w:cs="Arial"/>
        </w:rPr>
        <w:t xml:space="preserve">III. </w:t>
      </w:r>
      <w:r>
        <w:rPr>
          <w:rFonts w:cs="Arial"/>
        </w:rPr>
        <w:tab/>
        <w:t>Vicios del procedimiento que afecten las defensas del particular y trasciendan al sentido de la resolución impugnada;</w:t>
      </w:r>
    </w:p>
    <w:p w14:paraId="0114BAF8" w14:textId="77777777" w:rsidR="00D3344B" w:rsidRDefault="00D3344B">
      <w:pPr>
        <w:pStyle w:val="Estilo"/>
        <w:ind w:left="567" w:hanging="567"/>
        <w:rPr>
          <w:rFonts w:cs="Arial"/>
        </w:rPr>
      </w:pPr>
    </w:p>
    <w:p w14:paraId="13555DF7" w14:textId="77777777" w:rsidR="00D3344B" w:rsidRDefault="00143C25">
      <w:pPr>
        <w:pStyle w:val="Estilo"/>
        <w:ind w:left="567" w:hanging="567"/>
        <w:rPr>
          <w:rFonts w:cs="Arial"/>
        </w:rPr>
      </w:pPr>
      <w:r>
        <w:rPr>
          <w:rFonts w:cs="Arial"/>
        </w:rPr>
        <w:t xml:space="preserve">IV. </w:t>
      </w:r>
      <w:r>
        <w:rPr>
          <w:rFonts w:cs="Arial"/>
        </w:rPr>
        <w:tab/>
        <w:t xml:space="preserve">Si los hechos que la motivaron no se realizaron, fueron distintos o se apreciaron en forma equivocada, o bien si se </w:t>
      </w:r>
      <w:proofErr w:type="spellStart"/>
      <w:r>
        <w:rPr>
          <w:rFonts w:cs="Arial"/>
        </w:rPr>
        <w:t>dicto</w:t>
      </w:r>
      <w:proofErr w:type="spellEnd"/>
      <w:r>
        <w:rPr>
          <w:rFonts w:cs="Arial"/>
        </w:rPr>
        <w:t xml:space="preserve"> en contravención de las disposiciones aplicadas o dejo de aplicar las debidas, y</w:t>
      </w:r>
    </w:p>
    <w:p w14:paraId="4D02841A" w14:textId="77777777" w:rsidR="00D3344B" w:rsidRDefault="00D3344B">
      <w:pPr>
        <w:pStyle w:val="Estilo"/>
        <w:ind w:left="567" w:hanging="567"/>
        <w:rPr>
          <w:rFonts w:cs="Arial"/>
        </w:rPr>
      </w:pPr>
    </w:p>
    <w:p w14:paraId="7492C7B3" w14:textId="77777777" w:rsidR="00D3344B" w:rsidRDefault="00143C25">
      <w:pPr>
        <w:pStyle w:val="Estilo"/>
        <w:ind w:left="567" w:hanging="567"/>
        <w:rPr>
          <w:rFonts w:cs="Arial"/>
        </w:rPr>
      </w:pPr>
      <w:r>
        <w:rPr>
          <w:rFonts w:cs="Arial"/>
        </w:rPr>
        <w:lastRenderedPageBreak/>
        <w:t xml:space="preserve">V. </w:t>
      </w:r>
      <w:r>
        <w:rPr>
          <w:rFonts w:cs="Arial"/>
        </w:rPr>
        <w:tab/>
        <w:t>Cuando la resolución administrativa dictada en ejercicio de facultades discrecionales no corresponda a los fines para los cuales la ley confiera dichas facultades.</w:t>
      </w:r>
    </w:p>
    <w:p w14:paraId="3E0415EA" w14:textId="77777777" w:rsidR="00D3344B" w:rsidRDefault="00D3344B">
      <w:pPr>
        <w:pStyle w:val="Estilo"/>
        <w:rPr>
          <w:rFonts w:cs="Arial"/>
        </w:rPr>
      </w:pPr>
    </w:p>
    <w:p w14:paraId="3DC97D76" w14:textId="77777777" w:rsidR="00D3344B" w:rsidRDefault="00143C25">
      <w:pPr>
        <w:pStyle w:val="Estilo"/>
        <w:rPr>
          <w:rFonts w:cs="Arial"/>
        </w:rPr>
      </w:pPr>
      <w:r>
        <w:rPr>
          <w:rFonts w:cs="Arial"/>
        </w:rPr>
        <w:t>La sala podrá hacer valer de oficio, por ser de orden público, la incompetencia de la autoridad para dictar la resolución impugnada y la ausencia total de fundamentación o motivación en dicha resolución.</w:t>
      </w:r>
    </w:p>
    <w:p w14:paraId="75DEEE55" w14:textId="77777777" w:rsidR="00D3344B" w:rsidRDefault="00D3344B">
      <w:pPr>
        <w:pStyle w:val="Estilo"/>
        <w:rPr>
          <w:rFonts w:cs="Arial"/>
        </w:rPr>
      </w:pPr>
    </w:p>
    <w:p w14:paraId="046A2440" w14:textId="77777777" w:rsidR="00D3344B" w:rsidRDefault="00143C25">
      <w:pPr>
        <w:pStyle w:val="Estilo"/>
        <w:rPr>
          <w:rFonts w:cs="Arial"/>
        </w:rPr>
      </w:pPr>
      <w:r>
        <w:rPr>
          <w:rFonts w:cs="Arial"/>
          <w:b/>
        </w:rPr>
        <w:t>Artículo 474.</w:t>
      </w:r>
      <w:r>
        <w:rPr>
          <w:rFonts w:cs="Arial"/>
        </w:rPr>
        <w:t xml:space="preserve"> La sentencia definitiva podrá:</w:t>
      </w:r>
    </w:p>
    <w:p w14:paraId="76FD57FB" w14:textId="77777777" w:rsidR="00D3344B" w:rsidRDefault="00D3344B">
      <w:pPr>
        <w:pStyle w:val="Estilo"/>
        <w:rPr>
          <w:rFonts w:cs="Arial"/>
        </w:rPr>
      </w:pPr>
    </w:p>
    <w:p w14:paraId="702522E1" w14:textId="77777777" w:rsidR="00D3344B" w:rsidRDefault="00143C25">
      <w:pPr>
        <w:pStyle w:val="Estilo"/>
        <w:ind w:left="567" w:hanging="567"/>
        <w:rPr>
          <w:rFonts w:cs="Arial"/>
        </w:rPr>
      </w:pPr>
      <w:r>
        <w:rPr>
          <w:rFonts w:cs="Arial"/>
        </w:rPr>
        <w:t xml:space="preserve">I. </w:t>
      </w:r>
      <w:r>
        <w:rPr>
          <w:rFonts w:cs="Arial"/>
        </w:rPr>
        <w:tab/>
        <w:t>Reconocer la validez de la resolución impugnada;</w:t>
      </w:r>
    </w:p>
    <w:p w14:paraId="5BB804C0" w14:textId="77777777" w:rsidR="00D3344B" w:rsidRDefault="00D3344B">
      <w:pPr>
        <w:pStyle w:val="Estilo"/>
        <w:ind w:left="567" w:hanging="567"/>
        <w:rPr>
          <w:rFonts w:cs="Arial"/>
        </w:rPr>
      </w:pPr>
    </w:p>
    <w:p w14:paraId="3D9B330F" w14:textId="77777777" w:rsidR="00D3344B" w:rsidRDefault="00143C25">
      <w:pPr>
        <w:pStyle w:val="Estilo"/>
        <w:ind w:left="567" w:hanging="567"/>
        <w:rPr>
          <w:rFonts w:cs="Arial"/>
        </w:rPr>
      </w:pPr>
      <w:r>
        <w:rPr>
          <w:rFonts w:cs="Arial"/>
        </w:rPr>
        <w:t xml:space="preserve">II. </w:t>
      </w:r>
      <w:r>
        <w:rPr>
          <w:rFonts w:cs="Arial"/>
        </w:rPr>
        <w:tab/>
        <w:t>Declarar la nulidad de la resolución impugnada;</w:t>
      </w:r>
    </w:p>
    <w:p w14:paraId="0602A337" w14:textId="77777777" w:rsidR="00D3344B" w:rsidRDefault="00D3344B">
      <w:pPr>
        <w:pStyle w:val="Estilo"/>
        <w:ind w:left="567" w:hanging="567"/>
        <w:rPr>
          <w:rFonts w:cs="Arial"/>
        </w:rPr>
      </w:pPr>
    </w:p>
    <w:p w14:paraId="2E3C2383" w14:textId="77777777" w:rsidR="00D3344B" w:rsidRDefault="00143C25">
      <w:pPr>
        <w:pStyle w:val="Estilo"/>
        <w:ind w:left="567" w:hanging="567"/>
        <w:rPr>
          <w:rFonts w:cs="Arial"/>
        </w:rPr>
      </w:pPr>
      <w:r>
        <w:rPr>
          <w:rFonts w:cs="Arial"/>
        </w:rPr>
        <w:t xml:space="preserve">III. </w:t>
      </w:r>
      <w:r>
        <w:rPr>
          <w:rFonts w:cs="Arial"/>
        </w:rPr>
        <w:tab/>
        <w:t>Declarar la nulidad de la resolución impugnada para determinados efectos, debiendo precisar con claridad la forma y términos en que la autoridad debe cumplirla, salvo que se trate de facultades discrecionales, y</w:t>
      </w:r>
    </w:p>
    <w:p w14:paraId="542B2AB6" w14:textId="77777777" w:rsidR="00D3344B" w:rsidRDefault="00D3344B">
      <w:pPr>
        <w:pStyle w:val="Estilo"/>
        <w:ind w:left="567" w:hanging="567"/>
        <w:rPr>
          <w:rFonts w:cs="Arial"/>
        </w:rPr>
      </w:pPr>
    </w:p>
    <w:p w14:paraId="171264F5" w14:textId="77777777" w:rsidR="00D3344B" w:rsidRDefault="00143C25">
      <w:pPr>
        <w:pStyle w:val="Estilo"/>
        <w:ind w:left="567" w:hanging="567"/>
        <w:rPr>
          <w:rFonts w:cs="Arial"/>
        </w:rPr>
      </w:pPr>
      <w:r>
        <w:rPr>
          <w:rFonts w:cs="Arial"/>
        </w:rPr>
        <w:t xml:space="preserve">IV. </w:t>
      </w:r>
      <w:r>
        <w:rPr>
          <w:rFonts w:cs="Arial"/>
        </w:rPr>
        <w:tab/>
        <w:t>Declarar la existencia de un derecho subjetivo y condenar al cumplimiento de una obligación, así como declarar la nulidad de la resolución impugnada.</w:t>
      </w:r>
    </w:p>
    <w:p w14:paraId="37B7C081" w14:textId="77777777" w:rsidR="00D3344B" w:rsidRDefault="00D3344B">
      <w:pPr>
        <w:pStyle w:val="Estilo"/>
        <w:rPr>
          <w:rFonts w:cs="Arial"/>
        </w:rPr>
      </w:pPr>
    </w:p>
    <w:p w14:paraId="1F60E2DE" w14:textId="77777777" w:rsidR="00D3344B" w:rsidRDefault="00143C25">
      <w:pPr>
        <w:pStyle w:val="Estilo"/>
        <w:rPr>
          <w:rFonts w:cs="Arial"/>
        </w:rPr>
      </w:pPr>
      <w:r>
        <w:rPr>
          <w:rFonts w:cs="Arial"/>
        </w:rPr>
        <w:t>Si la sentencia obliga a la autoridad a realizar un determinado acto o iniciar un procedimiento, deberá cumplirse en un plazo de dos meses contados a partir de que la sentencia quede firme.</w:t>
      </w:r>
    </w:p>
    <w:p w14:paraId="62EC157F" w14:textId="77777777" w:rsidR="00D3344B" w:rsidRDefault="00D3344B">
      <w:pPr>
        <w:pStyle w:val="Estilo"/>
        <w:rPr>
          <w:rFonts w:cs="Arial"/>
        </w:rPr>
      </w:pPr>
    </w:p>
    <w:p w14:paraId="1601817B" w14:textId="77777777" w:rsidR="00D3344B" w:rsidRDefault="00143C25">
      <w:pPr>
        <w:pStyle w:val="Estilo"/>
        <w:rPr>
          <w:rFonts w:cs="Arial"/>
        </w:rPr>
      </w:pPr>
      <w:r>
        <w:rPr>
          <w:rFonts w:cs="Arial"/>
        </w:rPr>
        <w:t>En el caso de que se interponga recurso, se suspenderá el efecto de la sentencia hasta que se dicte la resolución que ponga fin a la controversia.</w:t>
      </w:r>
    </w:p>
    <w:p w14:paraId="52D10514" w14:textId="77777777" w:rsidR="00D3344B" w:rsidRDefault="00D3344B">
      <w:pPr>
        <w:pStyle w:val="Estilo"/>
        <w:rPr>
          <w:rFonts w:cs="Arial"/>
        </w:rPr>
      </w:pPr>
    </w:p>
    <w:p w14:paraId="37BCAF5A" w14:textId="77777777" w:rsidR="00D3344B" w:rsidRDefault="00143C25">
      <w:pPr>
        <w:pStyle w:val="Estilo"/>
        <w:rPr>
          <w:rFonts w:cs="Arial"/>
        </w:rPr>
      </w:pPr>
      <w:r>
        <w:rPr>
          <w:rFonts w:cs="Arial"/>
        </w:rPr>
        <w:t xml:space="preserve">Siempre que se </w:t>
      </w:r>
      <w:proofErr w:type="spellStart"/>
      <w:r>
        <w:rPr>
          <w:rFonts w:cs="Arial"/>
        </w:rPr>
        <w:t>este</w:t>
      </w:r>
      <w:proofErr w:type="spellEnd"/>
      <w:r>
        <w:rPr>
          <w:rFonts w:cs="Arial"/>
        </w:rPr>
        <w:t xml:space="preserve"> en alguno de los supuestos previstos en las fracciones II y III, del artículo 473 de este código, La sala declarará la nulidad para el efecto de que se reponga el procedimiento o se emita nueva resolución; en los demás casos, también podrá indicar los términos conforme a los cuales debe dictar su resolución la autoridad administrativa, salvo que se trate de facultades discrecionales.</w:t>
      </w:r>
    </w:p>
    <w:p w14:paraId="5C9FD66D" w14:textId="77777777" w:rsidR="00D3344B" w:rsidRDefault="00D3344B">
      <w:pPr>
        <w:pStyle w:val="Estilo"/>
        <w:rPr>
          <w:rFonts w:cs="Arial"/>
        </w:rPr>
      </w:pPr>
    </w:p>
    <w:p w14:paraId="7AF1FF6B" w14:textId="77777777" w:rsidR="00D3344B" w:rsidRDefault="00143C25">
      <w:pPr>
        <w:pStyle w:val="Estilo"/>
        <w:jc w:val="center"/>
        <w:rPr>
          <w:rFonts w:cs="Arial"/>
          <w:b/>
        </w:rPr>
      </w:pPr>
      <w:r>
        <w:rPr>
          <w:rFonts w:cs="Arial"/>
          <w:b/>
        </w:rPr>
        <w:t>Capítulo X</w:t>
      </w:r>
    </w:p>
    <w:p w14:paraId="30E09453" w14:textId="77777777" w:rsidR="00D3344B" w:rsidRDefault="00143C25">
      <w:pPr>
        <w:pStyle w:val="Estilo"/>
        <w:jc w:val="center"/>
        <w:rPr>
          <w:rFonts w:cs="Arial"/>
          <w:b/>
        </w:rPr>
      </w:pPr>
      <w:r>
        <w:rPr>
          <w:rFonts w:cs="Arial"/>
          <w:b/>
        </w:rPr>
        <w:t>De los Medios de Impugnación</w:t>
      </w:r>
    </w:p>
    <w:p w14:paraId="32A6EFB9" w14:textId="77777777" w:rsidR="00D3344B" w:rsidRDefault="00D3344B">
      <w:pPr>
        <w:pStyle w:val="Estilo"/>
        <w:jc w:val="center"/>
        <w:rPr>
          <w:rFonts w:cs="Arial"/>
          <w:b/>
        </w:rPr>
      </w:pPr>
    </w:p>
    <w:p w14:paraId="49474F31" w14:textId="77777777" w:rsidR="00D3344B" w:rsidRDefault="00143C25">
      <w:pPr>
        <w:pStyle w:val="Estilo"/>
        <w:jc w:val="center"/>
        <w:rPr>
          <w:rFonts w:cs="Arial"/>
          <w:b/>
        </w:rPr>
      </w:pPr>
      <w:r>
        <w:rPr>
          <w:rFonts w:cs="Arial"/>
          <w:b/>
        </w:rPr>
        <w:t>Sección Primera</w:t>
      </w:r>
    </w:p>
    <w:p w14:paraId="4FB5F37A" w14:textId="77777777" w:rsidR="00D3344B" w:rsidRDefault="00143C25">
      <w:pPr>
        <w:pStyle w:val="Estilo"/>
        <w:jc w:val="center"/>
        <w:rPr>
          <w:rFonts w:cs="Arial"/>
          <w:b/>
        </w:rPr>
      </w:pPr>
      <w:r>
        <w:rPr>
          <w:rFonts w:cs="Arial"/>
          <w:b/>
        </w:rPr>
        <w:t>De la Reclamación</w:t>
      </w:r>
    </w:p>
    <w:p w14:paraId="124A5FA6" w14:textId="77777777" w:rsidR="00D3344B" w:rsidRDefault="00D3344B">
      <w:pPr>
        <w:pStyle w:val="Estilo"/>
        <w:rPr>
          <w:rFonts w:cs="Arial"/>
        </w:rPr>
      </w:pPr>
    </w:p>
    <w:p w14:paraId="4A440BFE" w14:textId="77777777" w:rsidR="00D3344B" w:rsidRDefault="00143C25">
      <w:pPr>
        <w:pStyle w:val="Estilo"/>
        <w:rPr>
          <w:rFonts w:cs="Arial"/>
        </w:rPr>
      </w:pPr>
      <w:r>
        <w:rPr>
          <w:rFonts w:cs="Arial"/>
          <w:b/>
        </w:rPr>
        <w:t>Artículo 475.</w:t>
      </w:r>
      <w:r>
        <w:rPr>
          <w:rFonts w:cs="Arial"/>
        </w:rPr>
        <w:t xml:space="preserve"> El recurso de reclamación procederá en contra de las resoluciones del magistrado que admitan, desechen o tengan por no presentada la demanda, la contestación, la ampliación de ambas o alguna prueba; las que decreten o nieguen el sobreseimiento del juicio o aquellas que admitan o rechacen la intervención del tercero. La reclamación se interpondrá ante la Presidencia del Tribunal, dentro de </w:t>
      </w:r>
      <w:r>
        <w:rPr>
          <w:rFonts w:cs="Arial"/>
        </w:rPr>
        <w:lastRenderedPageBreak/>
        <w:t>los quince días siguientes a aquel en que surta efectos la notificación de que se trate.</w:t>
      </w:r>
    </w:p>
    <w:p w14:paraId="2F8CDAF4" w14:textId="77777777" w:rsidR="00D3344B" w:rsidRDefault="00D3344B">
      <w:pPr>
        <w:pStyle w:val="Estilo"/>
        <w:rPr>
          <w:rFonts w:cs="Arial"/>
        </w:rPr>
      </w:pPr>
    </w:p>
    <w:p w14:paraId="49B887A6" w14:textId="77777777" w:rsidR="00D3344B" w:rsidRDefault="00143C25">
      <w:pPr>
        <w:pStyle w:val="Estilo"/>
        <w:rPr>
          <w:rFonts w:cs="Arial"/>
        </w:rPr>
      </w:pPr>
      <w:r>
        <w:rPr>
          <w:rFonts w:cs="Arial"/>
          <w:b/>
        </w:rPr>
        <w:t>Artículo 476.</w:t>
      </w:r>
      <w:r>
        <w:rPr>
          <w:rFonts w:cs="Arial"/>
        </w:rPr>
        <w:t xml:space="preserve"> Interpuesto el recurso a que se refiere el artículo anterior, se ordenará correr traslado a la contraparte por el término de quince días para que exprese lo que a su derecho convenga y sin </w:t>
      </w:r>
      <w:proofErr w:type="spellStart"/>
      <w:r>
        <w:rPr>
          <w:rFonts w:cs="Arial"/>
        </w:rPr>
        <w:t>mas</w:t>
      </w:r>
      <w:proofErr w:type="spellEnd"/>
      <w:r>
        <w:rPr>
          <w:rFonts w:cs="Arial"/>
        </w:rPr>
        <w:t xml:space="preserve"> trámite dará cuenta al Pleno para que resuelva en el término de cinco días. El magistrado que haya dictado el acuerdo recurrido no podrá excusarse.</w:t>
      </w:r>
    </w:p>
    <w:p w14:paraId="4738D04F" w14:textId="77777777" w:rsidR="00D3344B" w:rsidRDefault="00D3344B">
      <w:pPr>
        <w:pStyle w:val="Estilo"/>
        <w:rPr>
          <w:rFonts w:cs="Arial"/>
        </w:rPr>
      </w:pPr>
    </w:p>
    <w:p w14:paraId="699C3AD7" w14:textId="77777777" w:rsidR="00D3344B" w:rsidRDefault="00143C25">
      <w:pPr>
        <w:pStyle w:val="Estilo"/>
        <w:rPr>
          <w:rFonts w:cs="Arial"/>
        </w:rPr>
      </w:pPr>
      <w:r>
        <w:rPr>
          <w:rFonts w:cs="Arial"/>
          <w:b/>
        </w:rPr>
        <w:t>Artículo 477.</w:t>
      </w:r>
      <w:r>
        <w:rPr>
          <w:rFonts w:cs="Arial"/>
        </w:rPr>
        <w:t xml:space="preserve"> Cuando la reclamación se interponga en contra del acuerdo que sobresea el juicio antes de que se hubiere cerrado la instrucción, en caso de desistimiento del demandante, no será necesario dar vista a la contraparte.</w:t>
      </w:r>
    </w:p>
    <w:p w14:paraId="298A49A3" w14:textId="77777777" w:rsidR="00D3344B" w:rsidRDefault="00D3344B">
      <w:pPr>
        <w:pStyle w:val="Estilo"/>
        <w:rPr>
          <w:rFonts w:cs="Arial"/>
        </w:rPr>
      </w:pPr>
    </w:p>
    <w:p w14:paraId="3937AB89" w14:textId="77777777" w:rsidR="00D3344B" w:rsidRDefault="00143C25">
      <w:pPr>
        <w:pStyle w:val="Estilo"/>
        <w:jc w:val="center"/>
        <w:rPr>
          <w:rFonts w:cs="Arial"/>
          <w:b/>
        </w:rPr>
      </w:pPr>
      <w:r>
        <w:rPr>
          <w:rFonts w:cs="Arial"/>
          <w:b/>
        </w:rPr>
        <w:t>Sección Segunda</w:t>
      </w:r>
    </w:p>
    <w:p w14:paraId="27BC7EE3" w14:textId="77777777" w:rsidR="00D3344B" w:rsidRDefault="00143C25">
      <w:pPr>
        <w:pStyle w:val="Estilo"/>
        <w:jc w:val="center"/>
        <w:rPr>
          <w:rFonts w:cs="Arial"/>
          <w:b/>
        </w:rPr>
      </w:pPr>
      <w:r>
        <w:rPr>
          <w:rFonts w:cs="Arial"/>
          <w:b/>
        </w:rPr>
        <w:t>De la Revisión</w:t>
      </w:r>
    </w:p>
    <w:p w14:paraId="055C9552" w14:textId="77777777" w:rsidR="00D3344B" w:rsidRDefault="00D3344B">
      <w:pPr>
        <w:pStyle w:val="Estilo"/>
        <w:rPr>
          <w:rFonts w:cs="Arial"/>
        </w:rPr>
      </w:pPr>
    </w:p>
    <w:p w14:paraId="4BD92FDF" w14:textId="77777777" w:rsidR="00D3344B" w:rsidRDefault="00143C25">
      <w:pPr>
        <w:pStyle w:val="Estilo"/>
        <w:rPr>
          <w:rFonts w:cs="Arial"/>
        </w:rPr>
      </w:pPr>
      <w:r>
        <w:rPr>
          <w:rFonts w:cs="Arial"/>
          <w:b/>
        </w:rPr>
        <w:t>Artículo 478.</w:t>
      </w:r>
      <w:r>
        <w:rPr>
          <w:rFonts w:cs="Arial"/>
        </w:rPr>
        <w:t xml:space="preserve"> Las resoluciones de la sala que decreten o nieguen sobreseimientos y las sentencias definitivas, podrán ser impugnadas por la autoridad a través de la unidad administrativa encargada de su defensa jurídica, interponiendo el recurso de revisión ante la Presidencia del Tribunal, mediante escrito que presente ante ésta dentro de los quince días siguientes al día en que surta efectos su notificación.</w:t>
      </w:r>
    </w:p>
    <w:p w14:paraId="660E69FB" w14:textId="77777777" w:rsidR="00D3344B" w:rsidRDefault="00D3344B">
      <w:pPr>
        <w:pStyle w:val="Estilo"/>
        <w:rPr>
          <w:rFonts w:cs="Arial"/>
        </w:rPr>
      </w:pPr>
    </w:p>
    <w:p w14:paraId="5204B892" w14:textId="77777777" w:rsidR="00D3344B" w:rsidRDefault="00143C25">
      <w:pPr>
        <w:pStyle w:val="Estilo"/>
        <w:jc w:val="center"/>
        <w:rPr>
          <w:rFonts w:cs="Arial"/>
          <w:b/>
        </w:rPr>
      </w:pPr>
      <w:r>
        <w:rPr>
          <w:rFonts w:cs="Arial"/>
          <w:b/>
        </w:rPr>
        <w:t>TÍTULO DÉCIMO QUINTO</w:t>
      </w:r>
    </w:p>
    <w:p w14:paraId="1A299295" w14:textId="77777777" w:rsidR="00D3344B" w:rsidRDefault="00143C25">
      <w:pPr>
        <w:pStyle w:val="Estilo"/>
        <w:jc w:val="center"/>
        <w:rPr>
          <w:rFonts w:cs="Arial"/>
          <w:b/>
        </w:rPr>
      </w:pPr>
      <w:r>
        <w:rPr>
          <w:rFonts w:cs="Arial"/>
          <w:b/>
        </w:rPr>
        <w:t>COORDINACIÓN HACENDARIA</w:t>
      </w:r>
    </w:p>
    <w:p w14:paraId="47E913ED" w14:textId="77777777" w:rsidR="00D3344B" w:rsidRDefault="00D3344B">
      <w:pPr>
        <w:pStyle w:val="Estilo"/>
        <w:jc w:val="center"/>
        <w:rPr>
          <w:rFonts w:cs="Arial"/>
          <w:b/>
        </w:rPr>
      </w:pPr>
    </w:p>
    <w:p w14:paraId="53AE54F8" w14:textId="77777777" w:rsidR="00D3344B" w:rsidRDefault="00143C25">
      <w:pPr>
        <w:pStyle w:val="Estilo"/>
        <w:jc w:val="center"/>
        <w:rPr>
          <w:rFonts w:cs="Arial"/>
          <w:b/>
        </w:rPr>
      </w:pPr>
      <w:r>
        <w:rPr>
          <w:rFonts w:cs="Arial"/>
          <w:b/>
        </w:rPr>
        <w:t>Capítulo I</w:t>
      </w:r>
    </w:p>
    <w:p w14:paraId="61FEA12F" w14:textId="77777777" w:rsidR="00D3344B" w:rsidRDefault="00143C25">
      <w:pPr>
        <w:pStyle w:val="Estilo"/>
        <w:jc w:val="center"/>
        <w:rPr>
          <w:rFonts w:cs="Arial"/>
          <w:b/>
        </w:rPr>
      </w:pPr>
      <w:r>
        <w:rPr>
          <w:rFonts w:cs="Arial"/>
          <w:b/>
        </w:rPr>
        <w:t>Disposiciones Generales</w:t>
      </w:r>
    </w:p>
    <w:p w14:paraId="007A61EB" w14:textId="77777777" w:rsidR="00D3344B" w:rsidRDefault="00D3344B">
      <w:pPr>
        <w:pStyle w:val="Estilo"/>
        <w:rPr>
          <w:rFonts w:cs="Arial"/>
        </w:rPr>
      </w:pPr>
    </w:p>
    <w:p w14:paraId="720B1FAD" w14:textId="77777777" w:rsidR="00D3344B" w:rsidRDefault="00143C25">
      <w:pPr>
        <w:pStyle w:val="Estilo"/>
        <w:rPr>
          <w:rFonts w:cs="Arial"/>
        </w:rPr>
      </w:pPr>
      <w:r>
        <w:rPr>
          <w:rFonts w:cs="Arial"/>
          <w:b/>
        </w:rPr>
        <w:t>Artículo 479.</w:t>
      </w:r>
      <w:r>
        <w:rPr>
          <w:rFonts w:cs="Arial"/>
        </w:rPr>
        <w:t xml:space="preserve"> La aplicación de las disposiciones en materia de coordinación hacendaria corresponde al Congreso, al Ejecutivo y a los ayuntamientos, quienes ejercerán sus atribuciones de manera concurrente y coordinada en el ámbito de sus respectivas competencias, por sí o a través de sus dependencias y entidades.</w:t>
      </w:r>
    </w:p>
    <w:p w14:paraId="2FCB2F9A" w14:textId="77777777" w:rsidR="00D3344B" w:rsidRDefault="00D3344B">
      <w:pPr>
        <w:pStyle w:val="Estilo"/>
        <w:rPr>
          <w:rFonts w:cs="Arial"/>
        </w:rPr>
      </w:pPr>
    </w:p>
    <w:p w14:paraId="20EE00C9" w14:textId="77777777" w:rsidR="00D3344B" w:rsidRDefault="00143C25">
      <w:pPr>
        <w:pStyle w:val="Estilo"/>
        <w:rPr>
          <w:rFonts w:cs="Arial"/>
        </w:rPr>
      </w:pPr>
      <w:r>
        <w:rPr>
          <w:rFonts w:cs="Arial"/>
          <w:b/>
        </w:rPr>
        <w:t>Artículo 480.</w:t>
      </w:r>
      <w:r>
        <w:rPr>
          <w:rFonts w:cs="Arial"/>
        </w:rPr>
        <w:t xml:space="preserve"> El presente título contiene los principios fundamentales bajo los cuales se establecerá la coordinación hacendaria entre el Gobierno del Estado y los municipios, cuyas disposiciones tienen por objeto:</w:t>
      </w:r>
    </w:p>
    <w:p w14:paraId="65A0F0B0" w14:textId="77777777" w:rsidR="00D3344B" w:rsidRDefault="00D3344B">
      <w:pPr>
        <w:pStyle w:val="Estilo"/>
        <w:rPr>
          <w:rFonts w:cs="Arial"/>
        </w:rPr>
      </w:pPr>
    </w:p>
    <w:p w14:paraId="6A3E8FB0" w14:textId="77777777" w:rsidR="00D3344B" w:rsidRDefault="00143C25">
      <w:pPr>
        <w:pStyle w:val="Estilo"/>
        <w:ind w:left="567" w:hanging="567"/>
        <w:rPr>
          <w:rFonts w:cs="Arial"/>
        </w:rPr>
      </w:pPr>
      <w:r>
        <w:rPr>
          <w:rFonts w:cs="Arial"/>
        </w:rPr>
        <w:t xml:space="preserve">I. </w:t>
      </w:r>
      <w:r>
        <w:rPr>
          <w:rFonts w:cs="Arial"/>
        </w:rPr>
        <w:tab/>
        <w:t>Normar y definir, conforme a las atribuciones constitucionales del Congreso, las bases de operación de carácter general y específico, a que habrán de sujetarse los recursos que se ejercerán en el Estado, a través de lo establecido en la Ley de Coordinación Fiscal y en el Decreto del Presupuesto de Egresos de la Federación y del Estado para el año correspondiente, así como en otros ordenamientos, a través de los que se deriven programas de descentralización del gasto;</w:t>
      </w:r>
    </w:p>
    <w:p w14:paraId="7D1B4786" w14:textId="77777777" w:rsidR="00D3344B" w:rsidRDefault="00D3344B">
      <w:pPr>
        <w:pStyle w:val="Estilo"/>
        <w:ind w:left="567" w:hanging="567"/>
        <w:rPr>
          <w:rFonts w:cs="Arial"/>
        </w:rPr>
      </w:pPr>
    </w:p>
    <w:p w14:paraId="1A93D1CC" w14:textId="77777777" w:rsidR="00D3344B" w:rsidRDefault="00143C25">
      <w:pPr>
        <w:pStyle w:val="Estilo"/>
        <w:ind w:left="567" w:hanging="567"/>
        <w:rPr>
          <w:rFonts w:cs="Arial"/>
        </w:rPr>
      </w:pPr>
      <w:r>
        <w:rPr>
          <w:rFonts w:cs="Arial"/>
        </w:rPr>
        <w:lastRenderedPageBreak/>
        <w:t xml:space="preserve">II. </w:t>
      </w:r>
      <w:r>
        <w:rPr>
          <w:rFonts w:cs="Arial"/>
        </w:rPr>
        <w:tab/>
        <w:t xml:space="preserve">Establecer el Sistema Estatal de Coordinación Hacendaria para consolidar un federalismo hacendario garante de la soberanía estatal; respetuoso de los municipios, y para </w:t>
      </w:r>
      <w:proofErr w:type="gramStart"/>
      <w:r>
        <w:rPr>
          <w:rFonts w:cs="Arial"/>
        </w:rPr>
        <w:t>que</w:t>
      </w:r>
      <w:proofErr w:type="gramEnd"/>
      <w:r>
        <w:rPr>
          <w:rFonts w:cs="Arial"/>
        </w:rPr>
        <w:t xml:space="preserve"> con justicia y equidad, se asignen recursos considerando los rezagos sociales y las disparidades regionales del Estado;</w:t>
      </w:r>
    </w:p>
    <w:p w14:paraId="33E44B2A" w14:textId="77777777" w:rsidR="00D3344B" w:rsidRDefault="00D3344B">
      <w:pPr>
        <w:pStyle w:val="Estilo"/>
        <w:ind w:left="567" w:hanging="567"/>
        <w:rPr>
          <w:rFonts w:cs="Arial"/>
        </w:rPr>
      </w:pPr>
    </w:p>
    <w:p w14:paraId="58244BBE" w14:textId="77777777" w:rsidR="00D3344B" w:rsidRDefault="00143C25">
      <w:pPr>
        <w:pStyle w:val="Estilo"/>
        <w:ind w:left="567" w:hanging="567"/>
        <w:rPr>
          <w:rFonts w:cs="Arial"/>
        </w:rPr>
      </w:pPr>
      <w:r>
        <w:rPr>
          <w:rFonts w:cs="Arial"/>
        </w:rPr>
        <w:t xml:space="preserve">III. </w:t>
      </w:r>
      <w:r>
        <w:rPr>
          <w:rFonts w:cs="Arial"/>
        </w:rPr>
        <w:tab/>
        <w:t>Establecer las bases de cálculo para la distribución a los municipios de los ingresos derivados de los Sistema (sic) Nacional de Coordinación Fiscal y Estatal de Coordinación Hacendaria, determinando montos y plazos de pago de las participaciones;</w:t>
      </w:r>
    </w:p>
    <w:p w14:paraId="037AAECA" w14:textId="77777777" w:rsidR="00D3344B" w:rsidRDefault="00D3344B">
      <w:pPr>
        <w:pStyle w:val="Estilo"/>
        <w:ind w:left="567" w:hanging="567"/>
        <w:rPr>
          <w:rFonts w:cs="Arial"/>
        </w:rPr>
      </w:pPr>
    </w:p>
    <w:p w14:paraId="14902B0A" w14:textId="77777777" w:rsidR="00D3344B" w:rsidRDefault="00143C25">
      <w:pPr>
        <w:pStyle w:val="Estilo"/>
        <w:ind w:left="567" w:hanging="567"/>
        <w:rPr>
          <w:rFonts w:cs="Arial"/>
        </w:rPr>
      </w:pPr>
      <w:r>
        <w:rPr>
          <w:rFonts w:cs="Arial"/>
          <w:i/>
          <w:sz w:val="16"/>
        </w:rPr>
        <w:t>(REFORMADA, P.O. 30 DE DICIEMBRE DE 2005)</w:t>
      </w:r>
    </w:p>
    <w:p w14:paraId="79CFE630" w14:textId="77777777" w:rsidR="00D3344B" w:rsidRDefault="00143C25">
      <w:pPr>
        <w:pStyle w:val="Estilo"/>
        <w:ind w:left="567" w:hanging="567"/>
        <w:rPr>
          <w:rFonts w:cs="Arial"/>
        </w:rPr>
      </w:pPr>
      <w:r>
        <w:rPr>
          <w:rFonts w:cs="Arial"/>
        </w:rPr>
        <w:t xml:space="preserve">IV. </w:t>
      </w:r>
      <w:r>
        <w:rPr>
          <w:rFonts w:cs="Arial"/>
        </w:rPr>
        <w:tab/>
        <w:t>Determinar las participaciones que corresponderán a los municipios, y éstos a su vez determinar y entregar las que le correspondan a las Presidencias de Comunidad, en el marco del Sistema Estatal de Coordinación Hacendaria;</w:t>
      </w:r>
    </w:p>
    <w:p w14:paraId="37BEAB2F" w14:textId="77777777" w:rsidR="00D3344B" w:rsidRDefault="00D3344B">
      <w:pPr>
        <w:pStyle w:val="Estilo"/>
        <w:ind w:left="567" w:hanging="567"/>
        <w:rPr>
          <w:rFonts w:cs="Arial"/>
        </w:rPr>
      </w:pPr>
    </w:p>
    <w:p w14:paraId="28BA0BB5" w14:textId="77777777" w:rsidR="00D3344B" w:rsidRDefault="00143C25">
      <w:pPr>
        <w:pStyle w:val="Estilo"/>
        <w:ind w:left="567" w:hanging="567"/>
        <w:rPr>
          <w:rFonts w:cs="Arial"/>
        </w:rPr>
      </w:pPr>
      <w:r>
        <w:rPr>
          <w:rFonts w:cs="Arial"/>
        </w:rPr>
        <w:t xml:space="preserve">V. </w:t>
      </w:r>
      <w:r>
        <w:rPr>
          <w:rFonts w:cs="Arial"/>
        </w:rPr>
        <w:tab/>
        <w:t>Procurar entre las instancias de Gobierno y sus competencias, la coordinación en materia de gasto, para garantizar que la presupuestación, ejercicio, control y evaluación de los recursos se realice con base en criterios de oportunidad, equidad y eficiencia;</w:t>
      </w:r>
    </w:p>
    <w:p w14:paraId="045FEC3C" w14:textId="77777777" w:rsidR="00D3344B" w:rsidRDefault="00D3344B">
      <w:pPr>
        <w:pStyle w:val="Estilo"/>
        <w:ind w:left="567" w:hanging="567"/>
        <w:rPr>
          <w:rFonts w:cs="Arial"/>
        </w:rPr>
      </w:pPr>
    </w:p>
    <w:p w14:paraId="6EF6663A" w14:textId="77777777" w:rsidR="00D3344B" w:rsidRDefault="00143C25">
      <w:pPr>
        <w:pStyle w:val="Estilo"/>
        <w:ind w:left="567" w:hanging="567"/>
        <w:rPr>
          <w:rFonts w:cs="Arial"/>
        </w:rPr>
      </w:pPr>
      <w:r>
        <w:rPr>
          <w:rFonts w:cs="Arial"/>
        </w:rPr>
        <w:t xml:space="preserve">VI. </w:t>
      </w:r>
      <w:r>
        <w:rPr>
          <w:rFonts w:cs="Arial"/>
        </w:rPr>
        <w:tab/>
        <w:t>Definir las bases para ejercer el control coordinado de los patrimonios estatal y municipal, así como ofrecer en garantía parte de estos patrimonios sin comprometer necesariamente las participaciones fiscales federales;</w:t>
      </w:r>
    </w:p>
    <w:p w14:paraId="7DBCB441" w14:textId="77777777" w:rsidR="00D3344B" w:rsidRDefault="00D3344B">
      <w:pPr>
        <w:pStyle w:val="Estilo"/>
        <w:ind w:left="567" w:hanging="567"/>
        <w:rPr>
          <w:rFonts w:cs="Arial"/>
        </w:rPr>
      </w:pPr>
    </w:p>
    <w:p w14:paraId="4B5C251D" w14:textId="77777777" w:rsidR="00D3344B" w:rsidRDefault="00143C25">
      <w:pPr>
        <w:pStyle w:val="Estilo"/>
        <w:ind w:left="567" w:hanging="567"/>
        <w:rPr>
          <w:rFonts w:cs="Arial"/>
        </w:rPr>
      </w:pPr>
      <w:r>
        <w:rPr>
          <w:rFonts w:cs="Arial"/>
        </w:rPr>
        <w:t xml:space="preserve">VII. </w:t>
      </w:r>
      <w:r>
        <w:rPr>
          <w:rFonts w:cs="Arial"/>
        </w:rPr>
        <w:tab/>
        <w:t>Fijar las facultades y obligaciones de los órganos estatales en materia de coordinación hacendaria, a efecto de propiciar una adecuada coordinación entre el Estado y los municipios para la administración de los ingresos que les corresponde, en cuanto a la recaudación, vigilancia, control y evaluación del gasto público;</w:t>
      </w:r>
    </w:p>
    <w:p w14:paraId="29089AFC" w14:textId="77777777" w:rsidR="00D3344B" w:rsidRDefault="00D3344B">
      <w:pPr>
        <w:pStyle w:val="Estilo"/>
        <w:ind w:left="567" w:hanging="567"/>
        <w:rPr>
          <w:rFonts w:cs="Arial"/>
        </w:rPr>
      </w:pPr>
    </w:p>
    <w:p w14:paraId="4A2E7A08" w14:textId="77777777" w:rsidR="00D3344B" w:rsidRDefault="00143C25">
      <w:pPr>
        <w:pStyle w:val="Estilo"/>
        <w:ind w:left="567" w:hanging="567"/>
        <w:rPr>
          <w:rFonts w:cs="Arial"/>
        </w:rPr>
      </w:pPr>
      <w:r>
        <w:rPr>
          <w:rFonts w:cs="Arial"/>
        </w:rPr>
        <w:t xml:space="preserve">VIII. </w:t>
      </w:r>
      <w:r>
        <w:rPr>
          <w:rFonts w:cs="Arial"/>
        </w:rPr>
        <w:tab/>
        <w:t>Promover en el marco del Sistema Estatal de Coordinación Hacendaria, dar mayor equidad, claridad y transparencia a la fórmula de distribución de participaciones a los municipios, bajo un permanente esquema de incentivos al esfuerzo recaudatorio que cada uno realice, particularmente en impuestos municipales;</w:t>
      </w:r>
    </w:p>
    <w:p w14:paraId="740C5F7E" w14:textId="77777777" w:rsidR="00D3344B" w:rsidRDefault="00D3344B">
      <w:pPr>
        <w:pStyle w:val="Estilo"/>
        <w:ind w:left="567" w:hanging="567"/>
        <w:rPr>
          <w:rFonts w:cs="Arial"/>
        </w:rPr>
      </w:pPr>
    </w:p>
    <w:p w14:paraId="19B855C5" w14:textId="77777777" w:rsidR="00D3344B" w:rsidRDefault="00143C25">
      <w:pPr>
        <w:pStyle w:val="Estilo"/>
        <w:ind w:left="567" w:hanging="567"/>
        <w:rPr>
          <w:rFonts w:cs="Arial"/>
        </w:rPr>
      </w:pPr>
      <w:r>
        <w:rPr>
          <w:rFonts w:cs="Arial"/>
        </w:rPr>
        <w:t xml:space="preserve">IX. </w:t>
      </w:r>
      <w:r>
        <w:rPr>
          <w:rFonts w:cs="Arial"/>
        </w:rPr>
        <w:tab/>
        <w:t>Constituir los organismos en materia hacendaria para el cumplimiento de los objetivos de este código. Así como de los convenios de coordinación;</w:t>
      </w:r>
    </w:p>
    <w:p w14:paraId="4FBF16BF" w14:textId="77777777" w:rsidR="00D3344B" w:rsidRDefault="00D3344B">
      <w:pPr>
        <w:pStyle w:val="Estilo"/>
        <w:ind w:left="567" w:hanging="567"/>
        <w:rPr>
          <w:rFonts w:cs="Arial"/>
        </w:rPr>
      </w:pPr>
    </w:p>
    <w:p w14:paraId="70D86F5B" w14:textId="77777777" w:rsidR="00D3344B" w:rsidRDefault="00143C25">
      <w:pPr>
        <w:pStyle w:val="Estilo"/>
        <w:ind w:left="567" w:hanging="567"/>
        <w:rPr>
          <w:rFonts w:cs="Arial"/>
        </w:rPr>
      </w:pPr>
      <w:r>
        <w:rPr>
          <w:rFonts w:cs="Arial"/>
        </w:rPr>
        <w:t xml:space="preserve">X. </w:t>
      </w:r>
      <w:r>
        <w:rPr>
          <w:rFonts w:cs="Arial"/>
        </w:rPr>
        <w:tab/>
        <w:t>Promover la participación ciudadana en los ámbitos estatal y municipales para la toma de decisiones en la orientación, definición y jerarquización de los programas y proyectos públicos, de acuerdo a las normas establecidas, y</w:t>
      </w:r>
    </w:p>
    <w:p w14:paraId="3A34EB52" w14:textId="77777777" w:rsidR="00D3344B" w:rsidRDefault="00D3344B">
      <w:pPr>
        <w:pStyle w:val="Estilo"/>
        <w:ind w:left="567" w:hanging="567"/>
        <w:rPr>
          <w:rFonts w:cs="Arial"/>
        </w:rPr>
      </w:pPr>
    </w:p>
    <w:p w14:paraId="1B348CF9" w14:textId="77777777" w:rsidR="00D3344B" w:rsidRDefault="00143C25">
      <w:pPr>
        <w:pStyle w:val="Estilo"/>
        <w:ind w:left="567" w:hanging="567"/>
        <w:rPr>
          <w:rFonts w:cs="Arial"/>
        </w:rPr>
      </w:pPr>
      <w:r>
        <w:rPr>
          <w:rFonts w:cs="Arial"/>
        </w:rPr>
        <w:t xml:space="preserve">XI. </w:t>
      </w:r>
      <w:r>
        <w:rPr>
          <w:rFonts w:cs="Arial"/>
        </w:rPr>
        <w:tab/>
        <w:t>Reducir la dependencia financiera de los municipios, promoviendo la eficiencia en la recaudación de sus ingresos propios.</w:t>
      </w:r>
    </w:p>
    <w:p w14:paraId="4A10DA50" w14:textId="77777777" w:rsidR="00D3344B" w:rsidRDefault="00D3344B">
      <w:pPr>
        <w:pStyle w:val="Estilo"/>
        <w:rPr>
          <w:rFonts w:cs="Arial"/>
        </w:rPr>
      </w:pPr>
    </w:p>
    <w:p w14:paraId="03940F33" w14:textId="77777777" w:rsidR="00D3344B" w:rsidRDefault="00143C25">
      <w:pPr>
        <w:pStyle w:val="Estilo"/>
        <w:rPr>
          <w:rFonts w:cs="Arial"/>
        </w:rPr>
      </w:pPr>
      <w:r>
        <w:rPr>
          <w:rFonts w:cs="Arial"/>
          <w:b/>
        </w:rPr>
        <w:lastRenderedPageBreak/>
        <w:t>Artículo 481.</w:t>
      </w:r>
      <w:r>
        <w:rPr>
          <w:rFonts w:cs="Arial"/>
        </w:rPr>
        <w:t xml:space="preserve"> Los recursos objeto de coordinación hacendaria son los siguientes:</w:t>
      </w:r>
    </w:p>
    <w:p w14:paraId="6217CCBA" w14:textId="77777777" w:rsidR="00D3344B" w:rsidRDefault="00D3344B">
      <w:pPr>
        <w:pStyle w:val="Estilo"/>
        <w:rPr>
          <w:rFonts w:cs="Arial"/>
        </w:rPr>
      </w:pPr>
    </w:p>
    <w:p w14:paraId="4615D410" w14:textId="77777777" w:rsidR="00D3344B" w:rsidRDefault="00143C25">
      <w:pPr>
        <w:pStyle w:val="Estilo"/>
        <w:ind w:left="567" w:hanging="567"/>
        <w:rPr>
          <w:rFonts w:cs="Arial"/>
        </w:rPr>
      </w:pPr>
      <w:r>
        <w:rPr>
          <w:rFonts w:cs="Arial"/>
        </w:rPr>
        <w:t xml:space="preserve">I. </w:t>
      </w:r>
      <w:r>
        <w:rPr>
          <w:rFonts w:cs="Arial"/>
        </w:rPr>
        <w:tab/>
        <w:t>Las participaciones federales, establecidas en el capítulo I de la Ley de Coordinación Fiscal que se aplican en el Estado;</w:t>
      </w:r>
    </w:p>
    <w:p w14:paraId="4E753125" w14:textId="77777777" w:rsidR="00D3344B" w:rsidRDefault="00D3344B">
      <w:pPr>
        <w:pStyle w:val="Estilo"/>
        <w:ind w:left="567" w:hanging="567"/>
        <w:rPr>
          <w:rFonts w:cs="Arial"/>
        </w:rPr>
      </w:pPr>
    </w:p>
    <w:p w14:paraId="00EB2F4A" w14:textId="77777777" w:rsidR="00D3344B" w:rsidRDefault="00143C25">
      <w:pPr>
        <w:pStyle w:val="Estilo"/>
        <w:ind w:left="567" w:hanging="567"/>
        <w:rPr>
          <w:rFonts w:cs="Arial"/>
        </w:rPr>
      </w:pPr>
      <w:r>
        <w:rPr>
          <w:rFonts w:cs="Arial"/>
        </w:rPr>
        <w:t xml:space="preserve">II. </w:t>
      </w:r>
      <w:r>
        <w:rPr>
          <w:rFonts w:cs="Arial"/>
        </w:rPr>
        <w:tab/>
        <w:t>Las aportaciones federales, constituidas por los fondos establecidos en el capítulo V de la Ley de Coordinación Fiscal y que se regulan en el presente ordenamiento en uso de las facultades conferidas al Estado en la Constitución Federal y en la Constitución Local para establecer el destino de dichos recursos, mismos que se aplicarán, administrarán, ejercerán, supervisarán y fiscalizarán a través del ejercicio de las atribuciones contenidas en el presente código y demás ordenamientos;</w:t>
      </w:r>
    </w:p>
    <w:p w14:paraId="5981CB00" w14:textId="77777777" w:rsidR="00D3344B" w:rsidRDefault="00D3344B">
      <w:pPr>
        <w:pStyle w:val="Estilo"/>
        <w:ind w:left="567" w:hanging="567"/>
        <w:rPr>
          <w:rFonts w:cs="Arial"/>
        </w:rPr>
      </w:pPr>
    </w:p>
    <w:p w14:paraId="6355A3C7" w14:textId="77777777" w:rsidR="00D3344B" w:rsidRDefault="00143C25">
      <w:pPr>
        <w:pStyle w:val="Estilo"/>
        <w:ind w:left="567" w:hanging="567"/>
        <w:rPr>
          <w:rFonts w:cs="Arial"/>
        </w:rPr>
      </w:pPr>
      <w:r>
        <w:rPr>
          <w:rFonts w:cs="Arial"/>
        </w:rPr>
        <w:t xml:space="preserve">III. </w:t>
      </w:r>
      <w:r>
        <w:rPr>
          <w:rFonts w:cs="Arial"/>
        </w:rPr>
        <w:tab/>
        <w:t>Las reasignaciones del gasto derivados del Presupuesto de Egresos de la Federación y del Estado que se ejerzan a través de convenios o acuerdos;</w:t>
      </w:r>
    </w:p>
    <w:p w14:paraId="6778FA5C" w14:textId="77777777" w:rsidR="00D3344B" w:rsidRDefault="00D3344B">
      <w:pPr>
        <w:pStyle w:val="Estilo"/>
        <w:ind w:left="567" w:hanging="567"/>
        <w:rPr>
          <w:rFonts w:cs="Arial"/>
        </w:rPr>
      </w:pPr>
    </w:p>
    <w:p w14:paraId="272978EF" w14:textId="77777777" w:rsidR="00D3344B" w:rsidRDefault="00143C25">
      <w:pPr>
        <w:pStyle w:val="Estilo"/>
        <w:ind w:left="567" w:hanging="567"/>
        <w:rPr>
          <w:rFonts w:cs="Arial"/>
        </w:rPr>
      </w:pPr>
      <w:r>
        <w:rPr>
          <w:rFonts w:cs="Arial"/>
        </w:rPr>
        <w:t xml:space="preserve">IV. </w:t>
      </w:r>
      <w:r>
        <w:rPr>
          <w:rFonts w:cs="Arial"/>
        </w:rPr>
        <w:tab/>
        <w:t>Los ingresos provenientes de empréstitos y créditos que contraten conjunta o separadamente, el Gobierno del Estado, los ayuntamientos y sus entidades, en los términos y condiciones previstas en este código, y</w:t>
      </w:r>
    </w:p>
    <w:p w14:paraId="7D1136AC" w14:textId="77777777" w:rsidR="00D3344B" w:rsidRDefault="00D3344B">
      <w:pPr>
        <w:pStyle w:val="Estilo"/>
        <w:ind w:left="567" w:hanging="567"/>
        <w:rPr>
          <w:rFonts w:cs="Arial"/>
        </w:rPr>
      </w:pPr>
    </w:p>
    <w:p w14:paraId="186B5A20" w14:textId="77777777" w:rsidR="00D3344B" w:rsidRDefault="00143C25">
      <w:pPr>
        <w:pStyle w:val="Estilo"/>
        <w:ind w:left="567" w:hanging="567"/>
        <w:rPr>
          <w:rFonts w:cs="Arial"/>
        </w:rPr>
      </w:pPr>
      <w:r>
        <w:rPr>
          <w:rFonts w:cs="Arial"/>
        </w:rPr>
        <w:t xml:space="preserve">V. </w:t>
      </w:r>
      <w:r>
        <w:rPr>
          <w:rFonts w:cs="Arial"/>
        </w:rPr>
        <w:tab/>
        <w:t>Los ingresos propios que corresponden a impuestos, derechos, aprovechamientos, productos y los demás que previene este código, en cuanto a su captación, participaciones en su caso y entero correspondiente.</w:t>
      </w:r>
    </w:p>
    <w:p w14:paraId="696D37FE" w14:textId="77777777" w:rsidR="00D3344B" w:rsidRDefault="00D3344B">
      <w:pPr>
        <w:pStyle w:val="Estilo"/>
        <w:rPr>
          <w:rFonts w:cs="Arial"/>
        </w:rPr>
      </w:pPr>
    </w:p>
    <w:p w14:paraId="1E09F839" w14:textId="77777777" w:rsidR="00D3344B" w:rsidRDefault="00143C25">
      <w:pPr>
        <w:pStyle w:val="Estilo"/>
        <w:rPr>
          <w:rFonts w:cs="Arial"/>
        </w:rPr>
      </w:pPr>
      <w:r>
        <w:rPr>
          <w:rFonts w:cs="Arial"/>
          <w:b/>
        </w:rPr>
        <w:t>Artículo 482.</w:t>
      </w:r>
      <w:r>
        <w:rPr>
          <w:rFonts w:cs="Arial"/>
        </w:rPr>
        <w:t xml:space="preserve"> Los municipios que no cuenten con la capacidad e infraestructura administrativa para cumplir con las disposiciones que señala este código, podrán celebrar convenios entre sí o con el Estado para que se hagan cargo de la ejecución de las acciones que se derivan de la aplicación de los recursos a que se refieren estos ordenamientos.</w:t>
      </w:r>
    </w:p>
    <w:p w14:paraId="7F845A3A" w14:textId="77777777" w:rsidR="00D3344B" w:rsidRDefault="00D3344B">
      <w:pPr>
        <w:pStyle w:val="Estilo"/>
        <w:rPr>
          <w:rFonts w:cs="Arial"/>
        </w:rPr>
      </w:pPr>
    </w:p>
    <w:p w14:paraId="138653C4" w14:textId="77777777" w:rsidR="00D3344B" w:rsidRDefault="00143C25">
      <w:pPr>
        <w:pStyle w:val="Estilo"/>
        <w:rPr>
          <w:rFonts w:cs="Arial"/>
        </w:rPr>
      </w:pPr>
      <w:r>
        <w:rPr>
          <w:rFonts w:cs="Arial"/>
          <w:b/>
        </w:rPr>
        <w:t>Artículo 483.</w:t>
      </w:r>
      <w:r>
        <w:rPr>
          <w:rFonts w:cs="Arial"/>
        </w:rPr>
        <w:t xml:space="preserve"> El Congreso conocerá de los convenios de coordinación y de colaboración administrativa que se celebren entre el Estado y los municipios o éstos entre sí, mismos que deberán contener las disposiciones generales y específicas de acuerdo con las bases y contenidos mínimos que se establecen en este ordenamiento y demás Leyes aplicables; dichos convenios deberán publicarse en el Periódico Oficial del Estado tratarán entre otras materias, las siguientes:</w:t>
      </w:r>
    </w:p>
    <w:p w14:paraId="234840E0" w14:textId="77777777" w:rsidR="00D3344B" w:rsidRDefault="00D3344B">
      <w:pPr>
        <w:pStyle w:val="Estilo"/>
        <w:rPr>
          <w:rFonts w:cs="Arial"/>
        </w:rPr>
      </w:pPr>
    </w:p>
    <w:p w14:paraId="25ED8D78" w14:textId="77777777" w:rsidR="00D3344B" w:rsidRDefault="00143C25">
      <w:pPr>
        <w:pStyle w:val="Estilo"/>
        <w:ind w:left="567" w:hanging="567"/>
        <w:rPr>
          <w:rFonts w:cs="Arial"/>
        </w:rPr>
      </w:pPr>
      <w:r>
        <w:rPr>
          <w:rFonts w:cs="Arial"/>
        </w:rPr>
        <w:t xml:space="preserve">I. </w:t>
      </w:r>
      <w:r>
        <w:rPr>
          <w:rFonts w:cs="Arial"/>
        </w:rPr>
        <w:tab/>
        <w:t>Registro de contribuyentes;</w:t>
      </w:r>
    </w:p>
    <w:p w14:paraId="255901FF" w14:textId="77777777" w:rsidR="00D3344B" w:rsidRDefault="00D3344B">
      <w:pPr>
        <w:pStyle w:val="Estilo"/>
        <w:ind w:left="567" w:hanging="567"/>
        <w:rPr>
          <w:rFonts w:cs="Arial"/>
        </w:rPr>
      </w:pPr>
    </w:p>
    <w:p w14:paraId="62AE5F76" w14:textId="77777777" w:rsidR="00D3344B" w:rsidRDefault="00143C25">
      <w:pPr>
        <w:pStyle w:val="Estilo"/>
        <w:ind w:left="567" w:hanging="567"/>
        <w:rPr>
          <w:rFonts w:cs="Arial"/>
        </w:rPr>
      </w:pPr>
      <w:r>
        <w:rPr>
          <w:rFonts w:cs="Arial"/>
        </w:rPr>
        <w:t xml:space="preserve">II. </w:t>
      </w:r>
      <w:r>
        <w:rPr>
          <w:rFonts w:cs="Arial"/>
        </w:rPr>
        <w:tab/>
        <w:t>Determinación y liquidación de contribuciones y de sus accesorios;</w:t>
      </w:r>
    </w:p>
    <w:p w14:paraId="56912B2D" w14:textId="77777777" w:rsidR="00D3344B" w:rsidRDefault="00D3344B">
      <w:pPr>
        <w:pStyle w:val="Estilo"/>
        <w:ind w:left="567" w:hanging="567"/>
        <w:rPr>
          <w:rFonts w:cs="Arial"/>
        </w:rPr>
      </w:pPr>
    </w:p>
    <w:p w14:paraId="1A323A1D" w14:textId="77777777" w:rsidR="00D3344B" w:rsidRDefault="00143C25">
      <w:pPr>
        <w:pStyle w:val="Estilo"/>
        <w:ind w:left="567" w:hanging="567"/>
        <w:rPr>
          <w:rFonts w:cs="Arial"/>
        </w:rPr>
      </w:pPr>
      <w:r>
        <w:rPr>
          <w:rFonts w:cs="Arial"/>
        </w:rPr>
        <w:t xml:space="preserve">III. </w:t>
      </w:r>
      <w:r>
        <w:rPr>
          <w:rFonts w:cs="Arial"/>
        </w:rPr>
        <w:tab/>
        <w:t>Recaudación, notificación y cobranza de créditos fiscales;</w:t>
      </w:r>
    </w:p>
    <w:p w14:paraId="13EC1912" w14:textId="77777777" w:rsidR="00D3344B" w:rsidRDefault="00D3344B">
      <w:pPr>
        <w:pStyle w:val="Estilo"/>
        <w:ind w:left="567" w:hanging="567"/>
        <w:rPr>
          <w:rFonts w:cs="Arial"/>
        </w:rPr>
      </w:pPr>
    </w:p>
    <w:p w14:paraId="638A734C" w14:textId="77777777" w:rsidR="00D3344B" w:rsidRDefault="00143C25">
      <w:pPr>
        <w:pStyle w:val="Estilo"/>
        <w:ind w:left="567" w:hanging="567"/>
        <w:rPr>
          <w:rFonts w:cs="Arial"/>
        </w:rPr>
      </w:pPr>
      <w:r>
        <w:rPr>
          <w:rFonts w:cs="Arial"/>
        </w:rPr>
        <w:t xml:space="preserve">IV. </w:t>
      </w:r>
      <w:r>
        <w:rPr>
          <w:rFonts w:cs="Arial"/>
        </w:rPr>
        <w:tab/>
        <w:t>Asistencia al contribuyente;</w:t>
      </w:r>
    </w:p>
    <w:p w14:paraId="51760772" w14:textId="77777777" w:rsidR="00D3344B" w:rsidRDefault="00D3344B">
      <w:pPr>
        <w:pStyle w:val="Estilo"/>
        <w:ind w:left="567" w:hanging="567"/>
        <w:rPr>
          <w:rFonts w:cs="Arial"/>
        </w:rPr>
      </w:pPr>
    </w:p>
    <w:p w14:paraId="38087C47" w14:textId="77777777" w:rsidR="00D3344B" w:rsidRDefault="00143C25">
      <w:pPr>
        <w:pStyle w:val="Estilo"/>
        <w:ind w:left="567" w:hanging="567"/>
        <w:rPr>
          <w:rFonts w:cs="Arial"/>
        </w:rPr>
      </w:pPr>
      <w:r>
        <w:rPr>
          <w:rFonts w:cs="Arial"/>
        </w:rPr>
        <w:t xml:space="preserve">V. </w:t>
      </w:r>
      <w:r>
        <w:rPr>
          <w:rFonts w:cs="Arial"/>
        </w:rPr>
        <w:tab/>
        <w:t>Autorización del pago de créditos fiscales en plazo diferido o en parcialidades;</w:t>
      </w:r>
    </w:p>
    <w:p w14:paraId="38947DCB" w14:textId="77777777" w:rsidR="00D3344B" w:rsidRDefault="00D3344B">
      <w:pPr>
        <w:pStyle w:val="Estilo"/>
        <w:ind w:left="567" w:hanging="567"/>
        <w:rPr>
          <w:rFonts w:cs="Arial"/>
        </w:rPr>
      </w:pPr>
    </w:p>
    <w:p w14:paraId="33AAB1F5" w14:textId="77777777" w:rsidR="00D3344B" w:rsidRDefault="00143C25">
      <w:pPr>
        <w:pStyle w:val="Estilo"/>
        <w:ind w:left="567" w:hanging="567"/>
        <w:rPr>
          <w:rFonts w:cs="Arial"/>
        </w:rPr>
      </w:pPr>
      <w:r>
        <w:rPr>
          <w:rFonts w:cs="Arial"/>
        </w:rPr>
        <w:t xml:space="preserve">VI. </w:t>
      </w:r>
      <w:r>
        <w:rPr>
          <w:rFonts w:cs="Arial"/>
        </w:rPr>
        <w:tab/>
        <w:t>Aplicación y condonación de multas;</w:t>
      </w:r>
    </w:p>
    <w:p w14:paraId="3679DC58" w14:textId="77777777" w:rsidR="00D3344B" w:rsidRDefault="00D3344B">
      <w:pPr>
        <w:pStyle w:val="Estilo"/>
        <w:ind w:left="567" w:hanging="567"/>
        <w:rPr>
          <w:rFonts w:cs="Arial"/>
        </w:rPr>
      </w:pPr>
    </w:p>
    <w:p w14:paraId="7C06FBB9" w14:textId="77777777" w:rsidR="00D3344B" w:rsidRDefault="00143C25">
      <w:pPr>
        <w:pStyle w:val="Estilo"/>
        <w:ind w:left="567" w:hanging="567"/>
        <w:rPr>
          <w:rFonts w:cs="Arial"/>
        </w:rPr>
      </w:pPr>
      <w:r>
        <w:rPr>
          <w:rFonts w:cs="Arial"/>
        </w:rPr>
        <w:t xml:space="preserve">VII. </w:t>
      </w:r>
      <w:r>
        <w:rPr>
          <w:rFonts w:cs="Arial"/>
        </w:rPr>
        <w:tab/>
        <w:t>Comprobación del cumplimiento de disposiciones fiscales;</w:t>
      </w:r>
    </w:p>
    <w:p w14:paraId="32F3EDA8" w14:textId="77777777" w:rsidR="00D3344B" w:rsidRDefault="00D3344B">
      <w:pPr>
        <w:pStyle w:val="Estilo"/>
        <w:ind w:left="567" w:hanging="567"/>
        <w:rPr>
          <w:rFonts w:cs="Arial"/>
        </w:rPr>
      </w:pPr>
    </w:p>
    <w:p w14:paraId="52F10CD6" w14:textId="77777777" w:rsidR="00D3344B" w:rsidRDefault="00143C25">
      <w:pPr>
        <w:pStyle w:val="Estilo"/>
        <w:ind w:left="567" w:hanging="567"/>
        <w:rPr>
          <w:rFonts w:cs="Arial"/>
        </w:rPr>
      </w:pPr>
      <w:r>
        <w:rPr>
          <w:rFonts w:cs="Arial"/>
        </w:rPr>
        <w:t xml:space="preserve">VIII. </w:t>
      </w:r>
      <w:r>
        <w:rPr>
          <w:rFonts w:cs="Arial"/>
        </w:rPr>
        <w:tab/>
        <w:t>Asesoría y apoyo técnico en informática;</w:t>
      </w:r>
    </w:p>
    <w:p w14:paraId="04866089" w14:textId="77777777" w:rsidR="00D3344B" w:rsidRDefault="00D3344B">
      <w:pPr>
        <w:pStyle w:val="Estilo"/>
        <w:ind w:left="567" w:hanging="567"/>
        <w:rPr>
          <w:rFonts w:cs="Arial"/>
        </w:rPr>
      </w:pPr>
    </w:p>
    <w:p w14:paraId="323225BD" w14:textId="77777777" w:rsidR="00D3344B" w:rsidRDefault="00143C25">
      <w:pPr>
        <w:pStyle w:val="Estilo"/>
        <w:ind w:left="567" w:hanging="567"/>
        <w:rPr>
          <w:rFonts w:cs="Arial"/>
        </w:rPr>
      </w:pPr>
      <w:r>
        <w:rPr>
          <w:rFonts w:cs="Arial"/>
        </w:rPr>
        <w:t xml:space="preserve">IX. </w:t>
      </w:r>
      <w:r>
        <w:rPr>
          <w:rFonts w:cs="Arial"/>
        </w:rPr>
        <w:tab/>
        <w:t>Tramitación y resolución del recurso administrativo de inconformidad;</w:t>
      </w:r>
    </w:p>
    <w:p w14:paraId="48DE7F74" w14:textId="77777777" w:rsidR="00D3344B" w:rsidRDefault="00D3344B">
      <w:pPr>
        <w:pStyle w:val="Estilo"/>
        <w:ind w:left="567" w:hanging="567"/>
        <w:rPr>
          <w:rFonts w:cs="Arial"/>
        </w:rPr>
      </w:pPr>
    </w:p>
    <w:p w14:paraId="1ACC5D09" w14:textId="77777777" w:rsidR="00D3344B" w:rsidRDefault="00143C25">
      <w:pPr>
        <w:pStyle w:val="Estilo"/>
        <w:ind w:left="567" w:hanging="567"/>
        <w:rPr>
          <w:rFonts w:cs="Arial"/>
        </w:rPr>
      </w:pPr>
      <w:r>
        <w:rPr>
          <w:rFonts w:cs="Arial"/>
        </w:rPr>
        <w:t xml:space="preserve">X. </w:t>
      </w:r>
      <w:r>
        <w:rPr>
          <w:rFonts w:cs="Arial"/>
        </w:rPr>
        <w:tab/>
        <w:t>Intervención en los procedimientos administrativos;</w:t>
      </w:r>
    </w:p>
    <w:p w14:paraId="2D19D838" w14:textId="77777777" w:rsidR="00D3344B" w:rsidRDefault="00D3344B">
      <w:pPr>
        <w:pStyle w:val="Estilo"/>
        <w:ind w:left="567" w:hanging="567"/>
        <w:rPr>
          <w:rFonts w:cs="Arial"/>
        </w:rPr>
      </w:pPr>
    </w:p>
    <w:p w14:paraId="5388ADCA" w14:textId="77777777" w:rsidR="00D3344B" w:rsidRDefault="00143C25">
      <w:pPr>
        <w:pStyle w:val="Estilo"/>
        <w:ind w:left="567" w:hanging="567"/>
        <w:rPr>
          <w:rFonts w:cs="Arial"/>
        </w:rPr>
      </w:pPr>
      <w:r>
        <w:rPr>
          <w:rFonts w:cs="Arial"/>
        </w:rPr>
        <w:t xml:space="preserve">XI. </w:t>
      </w:r>
      <w:r>
        <w:rPr>
          <w:rFonts w:cs="Arial"/>
        </w:rPr>
        <w:tab/>
        <w:t>Elaboración de programas financieros, de planeación, programación, evaluación y control, gestión, contratación de deuda pública, de inversión, de administración del patrimonio o en materia de gasto público, y</w:t>
      </w:r>
    </w:p>
    <w:p w14:paraId="3D80093B" w14:textId="77777777" w:rsidR="00D3344B" w:rsidRDefault="00D3344B">
      <w:pPr>
        <w:pStyle w:val="Estilo"/>
        <w:ind w:left="567" w:hanging="567"/>
        <w:rPr>
          <w:rFonts w:cs="Arial"/>
        </w:rPr>
      </w:pPr>
    </w:p>
    <w:p w14:paraId="73EEF705" w14:textId="77777777" w:rsidR="00D3344B" w:rsidRDefault="00143C25">
      <w:pPr>
        <w:pStyle w:val="Estilo"/>
        <w:ind w:left="567" w:hanging="567"/>
        <w:rPr>
          <w:rFonts w:cs="Arial"/>
        </w:rPr>
      </w:pPr>
      <w:r>
        <w:rPr>
          <w:rFonts w:cs="Arial"/>
        </w:rPr>
        <w:t xml:space="preserve">XII. </w:t>
      </w:r>
      <w:r>
        <w:rPr>
          <w:rFonts w:cs="Arial"/>
        </w:rPr>
        <w:tab/>
        <w:t xml:space="preserve">Las demás no comprendidas en las fracciones anteriores, relacionadas con la materia </w:t>
      </w:r>
      <w:proofErr w:type="spellStart"/>
      <w:r>
        <w:rPr>
          <w:rFonts w:cs="Arial"/>
        </w:rPr>
        <w:t>hacendaría</w:t>
      </w:r>
      <w:proofErr w:type="spellEnd"/>
      <w:r>
        <w:rPr>
          <w:rFonts w:cs="Arial"/>
        </w:rPr>
        <w:t>.</w:t>
      </w:r>
    </w:p>
    <w:p w14:paraId="31876BCF" w14:textId="77777777" w:rsidR="00D3344B" w:rsidRDefault="00D3344B">
      <w:pPr>
        <w:pStyle w:val="Estilo"/>
        <w:rPr>
          <w:rFonts w:cs="Arial"/>
        </w:rPr>
      </w:pPr>
    </w:p>
    <w:p w14:paraId="333FBABE" w14:textId="77777777" w:rsidR="00D3344B" w:rsidRDefault="00143C25">
      <w:pPr>
        <w:pStyle w:val="Estilo"/>
        <w:rPr>
          <w:rFonts w:cs="Arial"/>
        </w:rPr>
      </w:pPr>
      <w:r>
        <w:rPr>
          <w:rFonts w:cs="Arial"/>
          <w:i/>
          <w:sz w:val="16"/>
        </w:rPr>
        <w:t>(REFORMADO, P.O. 31 DE DICIEMBRE DE 2007)</w:t>
      </w:r>
    </w:p>
    <w:p w14:paraId="2EEBDCFF" w14:textId="77777777" w:rsidR="00D3344B" w:rsidRDefault="00143C25">
      <w:pPr>
        <w:pStyle w:val="Estilo"/>
        <w:rPr>
          <w:rFonts w:cs="Arial"/>
        </w:rPr>
      </w:pPr>
      <w:r>
        <w:rPr>
          <w:rFonts w:cs="Arial"/>
          <w:b/>
        </w:rPr>
        <w:t>Artículo 484.</w:t>
      </w:r>
      <w:r>
        <w:rPr>
          <w:rFonts w:cs="Arial"/>
        </w:rPr>
        <w:t xml:space="preserve"> Los recursos que la Federación transfiera al Estado derivados de programas federales de descentralización del gasto y aquellos que, por su naturaleza análoga puedan ser considerados bajo este rubro, se sujetarán para su ejercicio, a las disposiciones de este código.</w:t>
      </w:r>
    </w:p>
    <w:p w14:paraId="2989F18A" w14:textId="77777777" w:rsidR="00D3344B" w:rsidRDefault="00D3344B">
      <w:pPr>
        <w:pStyle w:val="Estilo"/>
        <w:rPr>
          <w:rFonts w:cs="Arial"/>
        </w:rPr>
      </w:pPr>
    </w:p>
    <w:p w14:paraId="2C03F8E0" w14:textId="77777777" w:rsidR="00D3344B" w:rsidRDefault="00143C25">
      <w:pPr>
        <w:pStyle w:val="Estilo"/>
        <w:rPr>
          <w:rFonts w:cs="Arial"/>
        </w:rPr>
      </w:pPr>
      <w:r>
        <w:rPr>
          <w:rFonts w:cs="Arial"/>
          <w:b/>
        </w:rPr>
        <w:t>Artículo 485.</w:t>
      </w:r>
      <w:r>
        <w:rPr>
          <w:rFonts w:cs="Arial"/>
        </w:rPr>
        <w:t xml:space="preserve"> Los recursos a que se refiere este título, formarán parte del ingreso y del gasto del Estado y de los municipios, y su ejercicio deberá ser incorporado en la rendición de las cuentas de la hacienda pública estatal y municipal ante el Congreso.</w:t>
      </w:r>
    </w:p>
    <w:p w14:paraId="2F6F76A1" w14:textId="77777777" w:rsidR="00D3344B" w:rsidRDefault="00D3344B">
      <w:pPr>
        <w:pStyle w:val="Estilo"/>
        <w:rPr>
          <w:rFonts w:cs="Arial"/>
        </w:rPr>
      </w:pPr>
    </w:p>
    <w:p w14:paraId="6226BC61" w14:textId="77777777" w:rsidR="00D3344B" w:rsidRDefault="00143C25">
      <w:pPr>
        <w:pStyle w:val="Estilo"/>
        <w:rPr>
          <w:rFonts w:cs="Arial"/>
        </w:rPr>
      </w:pPr>
      <w:r>
        <w:rPr>
          <w:rFonts w:cs="Arial"/>
          <w:i/>
          <w:sz w:val="16"/>
        </w:rPr>
        <w:t>(REFORMADO, P.O. 31 DE DICIEMBRE DE 2007)</w:t>
      </w:r>
    </w:p>
    <w:p w14:paraId="0315B06E" w14:textId="77777777" w:rsidR="00D3344B" w:rsidRDefault="00143C25">
      <w:pPr>
        <w:pStyle w:val="Estilo"/>
        <w:rPr>
          <w:rFonts w:cs="Arial"/>
        </w:rPr>
      </w:pPr>
      <w:r>
        <w:rPr>
          <w:rFonts w:cs="Arial"/>
          <w:b/>
        </w:rPr>
        <w:t>Artículo 486.</w:t>
      </w:r>
      <w:r>
        <w:rPr>
          <w:rFonts w:cs="Arial"/>
        </w:rPr>
        <w:t xml:space="preserve"> El Ejecutivo será el responsable de distribuir y entregar a los municipios los recursos que les corresponda de acuerdo al Fondo Estatal Participable, de conformidad con lo dispuesto en este código para que se apliquen a los fines aprobados. De igual forma ejercerá sus facultades de conformidad con lo establecido en el artículo 49 de la Ley de Coordinación Fiscal. El Ejecutivo y los ayuntamientos promoverán las acciones necesarias que garanticen la transparente y oportuna asignación de los recursos.</w:t>
      </w:r>
    </w:p>
    <w:p w14:paraId="721E219B" w14:textId="77777777" w:rsidR="00D3344B" w:rsidRDefault="00D3344B">
      <w:pPr>
        <w:pStyle w:val="Estilo"/>
        <w:rPr>
          <w:rFonts w:cs="Arial"/>
        </w:rPr>
      </w:pPr>
    </w:p>
    <w:p w14:paraId="08FC399D" w14:textId="77777777" w:rsidR="00D3344B" w:rsidRDefault="00143C25">
      <w:pPr>
        <w:pStyle w:val="Estilo"/>
        <w:rPr>
          <w:rFonts w:cs="Arial"/>
        </w:rPr>
      </w:pPr>
      <w:r>
        <w:rPr>
          <w:rFonts w:cs="Arial"/>
          <w:i/>
          <w:sz w:val="16"/>
        </w:rPr>
        <w:t>(REFORMADO, P.O. 31 DE DICIEMBRE DE 2007)</w:t>
      </w:r>
    </w:p>
    <w:p w14:paraId="4F3B01A5" w14:textId="77777777" w:rsidR="00D3344B" w:rsidRDefault="00143C25">
      <w:pPr>
        <w:pStyle w:val="Estilo"/>
        <w:rPr>
          <w:rFonts w:cs="Arial"/>
        </w:rPr>
      </w:pPr>
      <w:r>
        <w:rPr>
          <w:rFonts w:cs="Arial"/>
          <w:b/>
        </w:rPr>
        <w:t>Artículo 487.</w:t>
      </w:r>
      <w:r>
        <w:rPr>
          <w:rFonts w:cs="Arial"/>
        </w:rPr>
        <w:t xml:space="preserve"> Los ingresos provenientes del Sistema Nacional de Coordinación Fiscal e Incentivos Federales derivados del Convenio de Colaboración y del Sistema Estatal de Coordinación Hacendaria, serán distribuidos a los municipios por el Ejecutivo, notificando al Congreso, con base en las fórmulas o criterios que en este código se establecen, y será responsabilidad de la Secretaría la aplicación de las fórmulas y sus procedimientos.</w:t>
      </w:r>
    </w:p>
    <w:p w14:paraId="25BAE6F7" w14:textId="77777777" w:rsidR="00D3344B" w:rsidRDefault="00D3344B">
      <w:pPr>
        <w:pStyle w:val="Estilo"/>
        <w:rPr>
          <w:rFonts w:cs="Arial"/>
        </w:rPr>
      </w:pPr>
    </w:p>
    <w:p w14:paraId="0E3B6B46" w14:textId="77777777" w:rsidR="00D3344B" w:rsidRDefault="00143C25">
      <w:pPr>
        <w:pStyle w:val="Estilo"/>
        <w:rPr>
          <w:rFonts w:cs="Arial"/>
        </w:rPr>
      </w:pPr>
      <w:r>
        <w:rPr>
          <w:rFonts w:cs="Arial"/>
          <w:b/>
        </w:rPr>
        <w:t>Artículo 488.</w:t>
      </w:r>
      <w:r>
        <w:rPr>
          <w:rFonts w:cs="Arial"/>
        </w:rPr>
        <w:t xml:space="preserve"> Los recursos a que se refiere este título, no serán embargables, ni los </w:t>
      </w:r>
      <w:proofErr w:type="gramStart"/>
      <w:r>
        <w:rPr>
          <w:rFonts w:cs="Arial"/>
        </w:rPr>
        <w:t>gobiernos estatal</w:t>
      </w:r>
      <w:proofErr w:type="gramEnd"/>
      <w:r>
        <w:rPr>
          <w:rFonts w:cs="Arial"/>
        </w:rPr>
        <w:t xml:space="preserve"> y municipales podrán bajo ninguna circunstancia, gravarlos, </w:t>
      </w:r>
      <w:r>
        <w:rPr>
          <w:rFonts w:cs="Arial"/>
        </w:rPr>
        <w:lastRenderedPageBreak/>
        <w:t>afectarlos en garantía ni destinarlos a fines distintos a los expresamente previstos, salvo lo dispuesto en la Ley de Coordinación Fiscal y demás disposiciones reglamentarias, así como los convenios que para tal efecto se celebren.</w:t>
      </w:r>
    </w:p>
    <w:p w14:paraId="188F123B" w14:textId="77777777" w:rsidR="00D3344B" w:rsidRDefault="00D3344B">
      <w:pPr>
        <w:pStyle w:val="Estilo"/>
        <w:rPr>
          <w:rFonts w:cs="Arial"/>
        </w:rPr>
      </w:pPr>
    </w:p>
    <w:p w14:paraId="43BB24F2" w14:textId="77777777" w:rsidR="00D3344B" w:rsidRDefault="00143C25">
      <w:pPr>
        <w:pStyle w:val="Estilo"/>
        <w:rPr>
          <w:rFonts w:cs="Arial"/>
          <w:i/>
          <w:sz w:val="16"/>
          <w:szCs w:val="16"/>
        </w:rPr>
      </w:pPr>
      <w:r>
        <w:rPr>
          <w:rFonts w:cs="Arial"/>
          <w:i/>
          <w:sz w:val="16"/>
          <w:szCs w:val="16"/>
        </w:rPr>
        <w:t>(ADICIONADO, P.O. 27 DE SEPTIEMBRE DE 2013)</w:t>
      </w:r>
    </w:p>
    <w:p w14:paraId="7D8524A3" w14:textId="77777777" w:rsidR="00D3344B" w:rsidRDefault="00143C25">
      <w:pPr>
        <w:pStyle w:val="Estilo"/>
        <w:rPr>
          <w:rFonts w:cs="Arial"/>
        </w:rPr>
      </w:pPr>
      <w:r>
        <w:rPr>
          <w:rFonts w:cs="Arial"/>
          <w:b/>
        </w:rPr>
        <w:t>Artículo 488-A.</w:t>
      </w:r>
      <w:r>
        <w:rPr>
          <w:rFonts w:cs="Arial"/>
        </w:rPr>
        <w:t xml:space="preserve"> Las multas que perciba el Gobierno del Estado de Tlaxcala como consecuencia de actos regulados por la (sic) Leyes, Acuerdos o Convenios de Coordinación Fiscal Federal, Acuerdos Administrativos o cualquier otro instrumento jurídico, podrán ser destinadas a los fines y en los montos que la Secretaría determine mediante acuerdo de carácter administrativo para elevar la productividad.</w:t>
      </w:r>
    </w:p>
    <w:p w14:paraId="77DB816A" w14:textId="77777777" w:rsidR="00D3344B" w:rsidRDefault="00D3344B">
      <w:pPr>
        <w:pStyle w:val="Estilo"/>
        <w:rPr>
          <w:rFonts w:cs="Arial"/>
        </w:rPr>
      </w:pPr>
    </w:p>
    <w:p w14:paraId="3B00B79E" w14:textId="77777777" w:rsidR="00D3344B" w:rsidRDefault="00143C25">
      <w:pPr>
        <w:pStyle w:val="Estilo"/>
        <w:jc w:val="center"/>
        <w:rPr>
          <w:rFonts w:cs="Arial"/>
          <w:b/>
        </w:rPr>
      </w:pPr>
      <w:r>
        <w:rPr>
          <w:rFonts w:cs="Arial"/>
          <w:b/>
        </w:rPr>
        <w:t>Capítulo II</w:t>
      </w:r>
    </w:p>
    <w:p w14:paraId="259108D5" w14:textId="77777777" w:rsidR="00D3344B" w:rsidRDefault="00143C25">
      <w:pPr>
        <w:pStyle w:val="Estilo"/>
        <w:jc w:val="center"/>
        <w:rPr>
          <w:rFonts w:cs="Arial"/>
          <w:b/>
        </w:rPr>
      </w:pPr>
      <w:r>
        <w:rPr>
          <w:rFonts w:cs="Arial"/>
          <w:b/>
        </w:rPr>
        <w:t>De la Planeación y Participación Ciudadana</w:t>
      </w:r>
    </w:p>
    <w:p w14:paraId="480CA473" w14:textId="77777777" w:rsidR="00D3344B" w:rsidRDefault="00D3344B">
      <w:pPr>
        <w:pStyle w:val="Estilo"/>
        <w:rPr>
          <w:rFonts w:cs="Arial"/>
        </w:rPr>
      </w:pPr>
    </w:p>
    <w:p w14:paraId="280DBE26" w14:textId="77777777" w:rsidR="00D3344B" w:rsidRDefault="00143C25">
      <w:pPr>
        <w:pStyle w:val="Estilo"/>
        <w:rPr>
          <w:rFonts w:cs="Arial"/>
        </w:rPr>
      </w:pPr>
      <w:r>
        <w:rPr>
          <w:rFonts w:cs="Arial"/>
          <w:i/>
          <w:sz w:val="16"/>
        </w:rPr>
        <w:t>(REFORMADO, P.O. 29 DE DICIEMBRE DE 2017)</w:t>
      </w:r>
    </w:p>
    <w:p w14:paraId="324480A3" w14:textId="77777777" w:rsidR="00D3344B" w:rsidRDefault="00143C25">
      <w:pPr>
        <w:pStyle w:val="Estilo"/>
        <w:rPr>
          <w:rFonts w:cs="Arial"/>
        </w:rPr>
      </w:pPr>
      <w:r>
        <w:rPr>
          <w:rFonts w:cs="Arial"/>
          <w:b/>
        </w:rPr>
        <w:t>Artículo 489.</w:t>
      </w:r>
      <w:r>
        <w:rPr>
          <w:rFonts w:cs="Arial"/>
        </w:rPr>
        <w:t xml:space="preserve"> La coordinación entre el Ejecutivo y los ayuntamientos tendrá como propósito principal, estimular el desarrollo equilibrado e integral de las comunidades, impulsando la igualdad sustantiva entre mujeres y hombres con base en una amplia participación social.</w:t>
      </w:r>
    </w:p>
    <w:p w14:paraId="0907B5F9" w14:textId="77777777" w:rsidR="00D3344B" w:rsidRDefault="00D3344B">
      <w:pPr>
        <w:pStyle w:val="Estilo"/>
        <w:rPr>
          <w:rFonts w:cs="Arial"/>
        </w:rPr>
      </w:pPr>
    </w:p>
    <w:p w14:paraId="07DCD33F" w14:textId="77777777" w:rsidR="00D3344B" w:rsidRDefault="00143C25">
      <w:pPr>
        <w:pStyle w:val="Estilo"/>
        <w:rPr>
          <w:rFonts w:cs="Arial"/>
        </w:rPr>
      </w:pPr>
      <w:r>
        <w:rPr>
          <w:rFonts w:cs="Arial"/>
          <w:b/>
        </w:rPr>
        <w:t>Artículo 490.</w:t>
      </w:r>
      <w:r>
        <w:rPr>
          <w:rFonts w:cs="Arial"/>
        </w:rPr>
        <w:t xml:space="preserve"> Los ayuntamientos constituirán, los comités de planeación de desarrollo municipal, quienes serán las instancias encargadas de planear, discutir, analizar y priorizar las obras y acciones a realizar, para atender las demandas de la población en congruencia con los planes, Nacional, Estatal y Municipal de Desarrollo, y a lo señalado en el presente código.</w:t>
      </w:r>
    </w:p>
    <w:p w14:paraId="3DA0DDCC" w14:textId="77777777" w:rsidR="00D3344B" w:rsidRDefault="00D3344B">
      <w:pPr>
        <w:pStyle w:val="Estilo"/>
        <w:rPr>
          <w:rFonts w:cs="Arial"/>
        </w:rPr>
      </w:pPr>
    </w:p>
    <w:p w14:paraId="5F69A0A4" w14:textId="77777777" w:rsidR="00D3344B" w:rsidRDefault="00143C25">
      <w:pPr>
        <w:pStyle w:val="Estilo"/>
        <w:rPr>
          <w:rFonts w:cs="Arial"/>
        </w:rPr>
      </w:pPr>
      <w:r>
        <w:rPr>
          <w:rFonts w:cs="Arial"/>
        </w:rPr>
        <w:t>El Ejecutivo, los ayuntamientos y las presidencias de comunidad promoverán la incorporación de los sectores social y privado para participar coordinadamente en la definición y ejecución de las políticas en materia de: salud, asistencia social, vivienda, educación, cultura y deporte, seguridad pública, agua potable, drenaje y alcantarillado, electrificación, transporte público, comercio y empleo.</w:t>
      </w:r>
    </w:p>
    <w:p w14:paraId="7244A2FE" w14:textId="77777777" w:rsidR="00D3344B" w:rsidRDefault="00D3344B">
      <w:pPr>
        <w:pStyle w:val="Estilo"/>
        <w:rPr>
          <w:rFonts w:cs="Arial"/>
        </w:rPr>
      </w:pPr>
    </w:p>
    <w:p w14:paraId="4E2DEE4C" w14:textId="77777777" w:rsidR="00D3344B" w:rsidRDefault="00143C25">
      <w:pPr>
        <w:pStyle w:val="Estilo"/>
        <w:jc w:val="center"/>
        <w:rPr>
          <w:rFonts w:cs="Arial"/>
          <w:b/>
        </w:rPr>
      </w:pPr>
      <w:r>
        <w:rPr>
          <w:rFonts w:cs="Arial"/>
          <w:b/>
        </w:rPr>
        <w:t>Capítulo III</w:t>
      </w:r>
    </w:p>
    <w:p w14:paraId="531BB58C" w14:textId="77777777" w:rsidR="00D3344B" w:rsidRDefault="00143C25">
      <w:pPr>
        <w:pStyle w:val="Estilo"/>
        <w:jc w:val="center"/>
        <w:rPr>
          <w:rFonts w:cs="Arial"/>
          <w:b/>
        </w:rPr>
      </w:pPr>
      <w:r>
        <w:rPr>
          <w:rFonts w:cs="Arial"/>
          <w:b/>
        </w:rPr>
        <w:t>Del Sistema Estatal de Coordinación Hacendaria</w:t>
      </w:r>
    </w:p>
    <w:p w14:paraId="691090D3" w14:textId="77777777" w:rsidR="00D3344B" w:rsidRDefault="00D3344B">
      <w:pPr>
        <w:pStyle w:val="Estilo"/>
        <w:rPr>
          <w:rFonts w:cs="Arial"/>
        </w:rPr>
      </w:pPr>
    </w:p>
    <w:p w14:paraId="3B90EE1B" w14:textId="77777777" w:rsidR="00D3344B" w:rsidRDefault="00143C25">
      <w:pPr>
        <w:pStyle w:val="Estilo"/>
        <w:rPr>
          <w:rFonts w:cs="Arial"/>
        </w:rPr>
      </w:pPr>
      <w:r>
        <w:rPr>
          <w:rFonts w:cs="Arial"/>
          <w:b/>
        </w:rPr>
        <w:t>Artículo 491.</w:t>
      </w:r>
      <w:r>
        <w:rPr>
          <w:rFonts w:cs="Arial"/>
        </w:rPr>
        <w:t xml:space="preserve"> Con las atribuciones conferidas al Gobierno del Estado y a los ayuntamientos derivadas de la Ley de Coordinación Fiscal, y las políticas en materia hacendaria se establece el Sistema Estatal de Coordinación Hacendaria.</w:t>
      </w:r>
    </w:p>
    <w:p w14:paraId="420B5A86" w14:textId="77777777" w:rsidR="00D3344B" w:rsidRDefault="00D3344B">
      <w:pPr>
        <w:pStyle w:val="Estilo"/>
        <w:rPr>
          <w:rFonts w:cs="Arial"/>
        </w:rPr>
      </w:pPr>
    </w:p>
    <w:p w14:paraId="489CA2EB" w14:textId="77777777" w:rsidR="00D3344B" w:rsidRDefault="00143C25">
      <w:pPr>
        <w:pStyle w:val="Estilo"/>
        <w:rPr>
          <w:rFonts w:cs="Arial"/>
        </w:rPr>
      </w:pPr>
      <w:r>
        <w:rPr>
          <w:rFonts w:cs="Arial"/>
          <w:b/>
        </w:rPr>
        <w:t>Artículo 492.</w:t>
      </w:r>
      <w:r>
        <w:rPr>
          <w:rFonts w:cs="Arial"/>
        </w:rPr>
        <w:t xml:space="preserve"> El Sistema Estatal de Coordinación Hacendaria tiene por objeto:</w:t>
      </w:r>
    </w:p>
    <w:p w14:paraId="3C22DBDA" w14:textId="77777777" w:rsidR="00D3344B" w:rsidRDefault="00D3344B">
      <w:pPr>
        <w:pStyle w:val="Estilo"/>
        <w:rPr>
          <w:rFonts w:cs="Arial"/>
        </w:rPr>
      </w:pPr>
    </w:p>
    <w:p w14:paraId="205902CE" w14:textId="77777777" w:rsidR="00D3344B" w:rsidRDefault="00143C25">
      <w:pPr>
        <w:pStyle w:val="Estilo"/>
        <w:ind w:left="567" w:hanging="567"/>
        <w:rPr>
          <w:rFonts w:cs="Arial"/>
        </w:rPr>
      </w:pPr>
      <w:r>
        <w:rPr>
          <w:rFonts w:cs="Arial"/>
        </w:rPr>
        <w:t xml:space="preserve">I. </w:t>
      </w:r>
      <w:r>
        <w:rPr>
          <w:rFonts w:cs="Arial"/>
        </w:rPr>
        <w:tab/>
        <w:t>Armonizar la Hacienda Estatal con las Haciendas de los municipios;</w:t>
      </w:r>
    </w:p>
    <w:p w14:paraId="11CD4CB1" w14:textId="77777777" w:rsidR="00D3344B" w:rsidRDefault="00D3344B">
      <w:pPr>
        <w:pStyle w:val="Estilo"/>
        <w:ind w:left="567" w:hanging="567"/>
        <w:rPr>
          <w:rFonts w:cs="Arial"/>
        </w:rPr>
      </w:pPr>
    </w:p>
    <w:p w14:paraId="0C03CA17" w14:textId="77777777" w:rsidR="00D3344B" w:rsidRDefault="00143C25">
      <w:pPr>
        <w:pStyle w:val="Estilo"/>
        <w:ind w:left="567" w:hanging="567"/>
        <w:rPr>
          <w:rFonts w:cs="Arial"/>
        </w:rPr>
      </w:pPr>
      <w:r>
        <w:rPr>
          <w:rFonts w:cs="Arial"/>
        </w:rPr>
        <w:t xml:space="preserve">II. </w:t>
      </w:r>
      <w:r>
        <w:rPr>
          <w:rFonts w:cs="Arial"/>
        </w:rPr>
        <w:tab/>
        <w:t>Establecer las bases para la coordinación de las haciendas públicas en materia de ingresos, gasto, patrimonio y financiamiento, y</w:t>
      </w:r>
    </w:p>
    <w:p w14:paraId="086C9925" w14:textId="77777777" w:rsidR="00D3344B" w:rsidRDefault="00D3344B">
      <w:pPr>
        <w:pStyle w:val="Estilo"/>
        <w:ind w:left="567" w:hanging="567"/>
        <w:rPr>
          <w:rFonts w:cs="Arial"/>
        </w:rPr>
      </w:pPr>
    </w:p>
    <w:p w14:paraId="493BCA2D" w14:textId="77777777" w:rsidR="00D3344B" w:rsidRDefault="00143C25">
      <w:pPr>
        <w:pStyle w:val="Estilo"/>
        <w:ind w:left="567" w:hanging="567"/>
        <w:rPr>
          <w:rFonts w:cs="Arial"/>
        </w:rPr>
      </w:pPr>
      <w:r>
        <w:rPr>
          <w:rFonts w:cs="Arial"/>
        </w:rPr>
        <w:t xml:space="preserve">III. </w:t>
      </w:r>
      <w:r>
        <w:rPr>
          <w:rFonts w:cs="Arial"/>
        </w:rPr>
        <w:tab/>
        <w:t>Fijar los criterios para la distribución de recursos a los municipios.</w:t>
      </w:r>
    </w:p>
    <w:p w14:paraId="15C800DC" w14:textId="77777777" w:rsidR="00D3344B" w:rsidRDefault="00D3344B">
      <w:pPr>
        <w:pStyle w:val="Estilo"/>
        <w:rPr>
          <w:rFonts w:cs="Arial"/>
        </w:rPr>
      </w:pPr>
    </w:p>
    <w:p w14:paraId="34D5A99A" w14:textId="77777777" w:rsidR="00D3344B" w:rsidRDefault="00143C25">
      <w:pPr>
        <w:pStyle w:val="Estilo"/>
        <w:rPr>
          <w:rFonts w:cs="Arial"/>
        </w:rPr>
      </w:pPr>
      <w:r>
        <w:rPr>
          <w:rFonts w:cs="Arial"/>
          <w:b/>
        </w:rPr>
        <w:t>Artículo 493.</w:t>
      </w:r>
      <w:r>
        <w:rPr>
          <w:rFonts w:cs="Arial"/>
        </w:rPr>
        <w:t xml:space="preserve"> El Ejecutivo transferirá, de acuerdo a la disponibilidad presupuestal, recursos a los ayuntamientos, procurando fortalecer la coordinación entre ambos para apoyar la política social que asegure la prioridad en la atención a regiones y grupos sociales rezagados.</w:t>
      </w:r>
    </w:p>
    <w:p w14:paraId="03D83CD6" w14:textId="77777777" w:rsidR="00D3344B" w:rsidRDefault="00D3344B">
      <w:pPr>
        <w:pStyle w:val="Estilo"/>
        <w:rPr>
          <w:rFonts w:cs="Arial"/>
        </w:rPr>
      </w:pPr>
    </w:p>
    <w:p w14:paraId="19A28096" w14:textId="77777777" w:rsidR="00D3344B" w:rsidRDefault="00143C25">
      <w:pPr>
        <w:pStyle w:val="Estilo"/>
        <w:rPr>
          <w:rFonts w:cs="Arial"/>
        </w:rPr>
      </w:pPr>
      <w:r>
        <w:rPr>
          <w:rFonts w:cs="Arial"/>
          <w:i/>
          <w:sz w:val="16"/>
        </w:rPr>
        <w:t>(REFORMADO, P.O. 29 DE DICIEMBRE DE 2017)</w:t>
      </w:r>
    </w:p>
    <w:p w14:paraId="0A2BBFBB" w14:textId="77777777" w:rsidR="00D3344B" w:rsidRDefault="00143C25">
      <w:pPr>
        <w:pStyle w:val="Estilo"/>
        <w:rPr>
          <w:rFonts w:cs="Arial"/>
        </w:rPr>
      </w:pPr>
      <w:r>
        <w:rPr>
          <w:rFonts w:cs="Arial"/>
          <w:b/>
        </w:rPr>
        <w:t>Artículo 494.</w:t>
      </w:r>
      <w:r>
        <w:rPr>
          <w:rFonts w:cs="Arial"/>
        </w:rPr>
        <w:t xml:space="preserve"> La coordinación entre el Ejecutivo y los ayuntamientos deberá armonizar con enfoque de género los procesos de planeación, administración, gasto, supervisión y ejecución, para garantizar la equitativa distribución de los recursos, y hacer posible la justicia social.</w:t>
      </w:r>
    </w:p>
    <w:p w14:paraId="4B67161D" w14:textId="77777777" w:rsidR="00D3344B" w:rsidRDefault="00D3344B">
      <w:pPr>
        <w:pStyle w:val="Estilo"/>
        <w:rPr>
          <w:rFonts w:cs="Arial"/>
        </w:rPr>
      </w:pPr>
    </w:p>
    <w:p w14:paraId="4CC844AE" w14:textId="77777777" w:rsidR="00D3344B" w:rsidRDefault="00143C25">
      <w:pPr>
        <w:pStyle w:val="Estilo"/>
        <w:jc w:val="center"/>
        <w:rPr>
          <w:rFonts w:cs="Arial"/>
          <w:b/>
        </w:rPr>
      </w:pPr>
      <w:r>
        <w:rPr>
          <w:rFonts w:cs="Arial"/>
          <w:b/>
        </w:rPr>
        <w:t>Capítulo IV</w:t>
      </w:r>
    </w:p>
    <w:p w14:paraId="39FFA180" w14:textId="77777777" w:rsidR="00D3344B" w:rsidRDefault="00143C25">
      <w:pPr>
        <w:pStyle w:val="Estilo"/>
        <w:jc w:val="center"/>
        <w:rPr>
          <w:rFonts w:cs="Arial"/>
          <w:b/>
        </w:rPr>
      </w:pPr>
      <w:r>
        <w:rPr>
          <w:rFonts w:cs="Arial"/>
          <w:b/>
        </w:rPr>
        <w:t>De las Bases de Coordinación en Ingreso y Gasto</w:t>
      </w:r>
    </w:p>
    <w:p w14:paraId="1EE3809F" w14:textId="77777777" w:rsidR="00D3344B" w:rsidRDefault="00D3344B">
      <w:pPr>
        <w:pStyle w:val="Estilo"/>
        <w:rPr>
          <w:rFonts w:cs="Arial"/>
        </w:rPr>
      </w:pPr>
    </w:p>
    <w:p w14:paraId="18CA146D" w14:textId="77777777" w:rsidR="00D3344B" w:rsidRDefault="00143C25">
      <w:pPr>
        <w:pStyle w:val="Estilo"/>
        <w:rPr>
          <w:rFonts w:cs="Arial"/>
        </w:rPr>
      </w:pPr>
      <w:r>
        <w:rPr>
          <w:rFonts w:cs="Arial"/>
          <w:i/>
          <w:sz w:val="16"/>
        </w:rPr>
        <w:t>(REFORMADO, P.O. 24 DE DICIEMBRE DE 2003)</w:t>
      </w:r>
    </w:p>
    <w:p w14:paraId="1B7E6A13" w14:textId="77777777" w:rsidR="00D3344B" w:rsidRDefault="00143C25">
      <w:pPr>
        <w:pStyle w:val="Estilo"/>
        <w:rPr>
          <w:rFonts w:cs="Arial"/>
        </w:rPr>
      </w:pPr>
      <w:r>
        <w:rPr>
          <w:rFonts w:cs="Arial"/>
          <w:b/>
        </w:rPr>
        <w:t>Artículo 495.</w:t>
      </w:r>
      <w:r>
        <w:rPr>
          <w:rFonts w:cs="Arial"/>
        </w:rPr>
        <w:t xml:space="preserve"> Al Estado de Tlaxcala, como miembro del Sistema Nacional de Coordinación Fiscal le son aplicables, en lo conducente, las disposiciones contenidas en los capítulos del I al IV de la Ley de Coordinación Fiscal y otras normas relativas a los mismos, por lo que el Ejecutivo y los ayuntamientos deberán mantener en suspenso los conceptos de ingresos estatales y municipales de conformidad con lo que establece el Convenio de Adhesión al Sistema Nacional de Coordinación Fiscal.</w:t>
      </w:r>
    </w:p>
    <w:p w14:paraId="5BB81186" w14:textId="77777777" w:rsidR="00D3344B" w:rsidRDefault="00D3344B">
      <w:pPr>
        <w:pStyle w:val="Estilo"/>
        <w:rPr>
          <w:rFonts w:cs="Arial"/>
        </w:rPr>
      </w:pPr>
    </w:p>
    <w:p w14:paraId="3F852B7B" w14:textId="77777777" w:rsidR="00D3344B" w:rsidRDefault="00143C25">
      <w:pPr>
        <w:pStyle w:val="Estilo"/>
        <w:rPr>
          <w:rFonts w:cs="Arial"/>
        </w:rPr>
      </w:pPr>
      <w:r>
        <w:rPr>
          <w:rFonts w:cs="Arial"/>
          <w:b/>
        </w:rPr>
        <w:t>Artículo 496.</w:t>
      </w:r>
      <w:r>
        <w:rPr>
          <w:rFonts w:cs="Arial"/>
        </w:rPr>
        <w:t xml:space="preserve"> Los impuestos y los derechos que se señalen en el convenio de adhesión al Sistema Nacional de Coordinación Fiscal que suscriba el Estado, de conformidad con el artículo anterior, podrán ser establecidos y regulados en la legislación local, si el propio sistema se modifica o se suspende.</w:t>
      </w:r>
    </w:p>
    <w:p w14:paraId="72E1D370" w14:textId="77777777" w:rsidR="00D3344B" w:rsidRDefault="00D3344B">
      <w:pPr>
        <w:pStyle w:val="Estilo"/>
        <w:rPr>
          <w:rFonts w:cs="Arial"/>
        </w:rPr>
      </w:pPr>
    </w:p>
    <w:p w14:paraId="5C797402" w14:textId="77777777" w:rsidR="00D3344B" w:rsidRDefault="00143C25">
      <w:pPr>
        <w:pStyle w:val="Estilo"/>
        <w:rPr>
          <w:rFonts w:cs="Arial"/>
        </w:rPr>
      </w:pPr>
      <w:r>
        <w:rPr>
          <w:rFonts w:cs="Arial"/>
          <w:b/>
        </w:rPr>
        <w:t>Artículo 497.</w:t>
      </w:r>
      <w:r>
        <w:rPr>
          <w:rFonts w:cs="Arial"/>
        </w:rPr>
        <w:t xml:space="preserve"> El Estado de Tlaxcala recibirá las participaciones correspondientes de los ingresos federales, de conformidad con lo dispuesto en la Ley de Coordinación Fiscal.</w:t>
      </w:r>
    </w:p>
    <w:p w14:paraId="3A64688A" w14:textId="77777777" w:rsidR="00D3344B" w:rsidRDefault="00D3344B">
      <w:pPr>
        <w:pStyle w:val="Estilo"/>
        <w:rPr>
          <w:rFonts w:cs="Arial"/>
        </w:rPr>
      </w:pPr>
    </w:p>
    <w:p w14:paraId="390B3A9E"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7ED499FC" w14:textId="77777777" w:rsidR="00D3344B" w:rsidRDefault="00143C25">
      <w:pPr>
        <w:pStyle w:val="Estilo"/>
        <w:rPr>
          <w:rFonts w:cs="Arial"/>
        </w:rPr>
      </w:pPr>
      <w:r>
        <w:rPr>
          <w:rFonts w:cs="Arial"/>
          <w:i/>
          <w:sz w:val="16"/>
        </w:rPr>
        <w:t>(REFORMADO, P.O. 23 DE DICIEMBRE DE 2008)</w:t>
      </w:r>
    </w:p>
    <w:p w14:paraId="3D24498A" w14:textId="77777777" w:rsidR="00D3344B" w:rsidRDefault="00143C25">
      <w:pPr>
        <w:pStyle w:val="Estilo"/>
        <w:rPr>
          <w:rFonts w:cs="Arial"/>
        </w:rPr>
      </w:pPr>
      <w:r>
        <w:rPr>
          <w:rFonts w:cs="Arial"/>
        </w:rPr>
        <w:t>Los municipios recibirán las participaciones de ingresos federales atendiendo a lo que señalan los artículos 115 y 73 de la Constitución Federal, Ley de Coordinación Fiscal, artículos 3, 29 y 91 de la Constitución Local, y este código.</w:t>
      </w:r>
    </w:p>
    <w:p w14:paraId="342609AD" w14:textId="77777777" w:rsidR="00D3344B" w:rsidRDefault="00D3344B">
      <w:pPr>
        <w:pStyle w:val="Estilo"/>
        <w:rPr>
          <w:rFonts w:cs="Arial"/>
        </w:rPr>
      </w:pPr>
    </w:p>
    <w:p w14:paraId="324E03D2" w14:textId="77777777" w:rsidR="00D3344B" w:rsidRDefault="00143C25">
      <w:pPr>
        <w:pStyle w:val="Estilo"/>
        <w:rPr>
          <w:rFonts w:cs="Arial"/>
        </w:rPr>
      </w:pPr>
      <w:r>
        <w:rPr>
          <w:rFonts w:cs="Arial"/>
          <w:b/>
        </w:rPr>
        <w:t>Artículo 498.</w:t>
      </w:r>
      <w:r>
        <w:rPr>
          <w:rFonts w:cs="Arial"/>
        </w:rPr>
        <w:t xml:space="preserve"> El Estado podrá celebrar convenios de colaboración administrativa con la federación y delegar en su caso, las funciones a los municipios que en los propios convenios se establezcan, ya sea en forma conjunta o individual.</w:t>
      </w:r>
    </w:p>
    <w:p w14:paraId="75F55E30" w14:textId="77777777" w:rsidR="00D3344B" w:rsidRDefault="00D3344B">
      <w:pPr>
        <w:pStyle w:val="Estilo"/>
        <w:rPr>
          <w:rFonts w:cs="Arial"/>
        </w:rPr>
      </w:pPr>
    </w:p>
    <w:p w14:paraId="612B3B8A" w14:textId="77777777" w:rsidR="00D3344B" w:rsidRDefault="00143C25">
      <w:pPr>
        <w:pStyle w:val="Estilo"/>
        <w:rPr>
          <w:rFonts w:cs="Arial"/>
        </w:rPr>
      </w:pPr>
      <w:r>
        <w:rPr>
          <w:rFonts w:cs="Arial"/>
          <w:b/>
        </w:rPr>
        <w:t>Artículo 499.</w:t>
      </w:r>
      <w:r>
        <w:rPr>
          <w:rFonts w:cs="Arial"/>
        </w:rPr>
        <w:t xml:space="preserve"> En las relaciones de los Gobiernos Federal y Estatal, derivadas del Sistema Nacional de Coordinación Fiscal, los municipios deberán tener una efectiva participación a través de los órganos del Sistema Estatal de Coordinación </w:t>
      </w:r>
      <w:r>
        <w:rPr>
          <w:rFonts w:cs="Arial"/>
        </w:rPr>
        <w:lastRenderedPageBreak/>
        <w:t>Hacendaria, en cuyo seno se acordará el sentido de la participación del Estado en los compromisos derivados del propio Sistema Nacional.</w:t>
      </w:r>
    </w:p>
    <w:p w14:paraId="529810BF" w14:textId="77777777" w:rsidR="00D3344B" w:rsidRDefault="00D3344B">
      <w:pPr>
        <w:pStyle w:val="Estilo"/>
        <w:rPr>
          <w:rFonts w:cs="Arial"/>
        </w:rPr>
      </w:pPr>
    </w:p>
    <w:p w14:paraId="2EC753A4" w14:textId="77777777" w:rsidR="00D3344B" w:rsidRDefault="00143C25">
      <w:pPr>
        <w:pStyle w:val="Estilo"/>
        <w:rPr>
          <w:rFonts w:cs="Arial"/>
        </w:rPr>
      </w:pPr>
      <w:r>
        <w:rPr>
          <w:rFonts w:cs="Arial"/>
          <w:i/>
          <w:sz w:val="16"/>
        </w:rPr>
        <w:t>(REFORMADO, P.O. 29 DE DICIEMBRE DE 2017)</w:t>
      </w:r>
    </w:p>
    <w:p w14:paraId="2FE095C4" w14:textId="77777777" w:rsidR="00D3344B" w:rsidRDefault="00143C25">
      <w:pPr>
        <w:pStyle w:val="Estilo"/>
        <w:rPr>
          <w:rFonts w:cs="Arial"/>
        </w:rPr>
      </w:pPr>
      <w:r>
        <w:rPr>
          <w:rFonts w:cs="Arial"/>
          <w:b/>
        </w:rPr>
        <w:t>Artículo 500.</w:t>
      </w:r>
      <w:r>
        <w:rPr>
          <w:rFonts w:cs="Arial"/>
        </w:rPr>
        <w:t xml:space="preserve"> El Estado y los municipios podrán coordinarse en materia de gasto público con el objeto de realizar programas con la debida incorporación de la perspectiva de género, que busquen satisfacer las necesidades colectivas, mediante la realización de obras y prestación de servicios públicos que demande la colectividad, cumpliendo estrictamente con la normatividad aplicable.</w:t>
      </w:r>
    </w:p>
    <w:p w14:paraId="55DE5C37" w14:textId="77777777" w:rsidR="00D3344B" w:rsidRDefault="00D3344B">
      <w:pPr>
        <w:pStyle w:val="Estilo"/>
        <w:rPr>
          <w:rFonts w:cs="Arial"/>
        </w:rPr>
      </w:pPr>
    </w:p>
    <w:p w14:paraId="4E8485EB" w14:textId="77777777" w:rsidR="00D3344B" w:rsidRDefault="00143C25">
      <w:pPr>
        <w:pStyle w:val="Estilo"/>
        <w:rPr>
          <w:rFonts w:cs="Arial"/>
        </w:rPr>
      </w:pPr>
      <w:r>
        <w:rPr>
          <w:rFonts w:cs="Arial"/>
          <w:i/>
          <w:sz w:val="16"/>
        </w:rPr>
        <w:t>(REFORMADO, P.O. 29 DE DICIEMBRE DE 2017)</w:t>
      </w:r>
    </w:p>
    <w:p w14:paraId="4D125D57" w14:textId="77777777" w:rsidR="00D3344B" w:rsidRDefault="00143C25">
      <w:pPr>
        <w:pStyle w:val="Estilo"/>
        <w:rPr>
          <w:rFonts w:cs="Arial"/>
        </w:rPr>
      </w:pPr>
      <w:r>
        <w:rPr>
          <w:rFonts w:cs="Arial"/>
          <w:b/>
        </w:rPr>
        <w:t>Artículo 501.</w:t>
      </w:r>
      <w:r>
        <w:rPr>
          <w:rFonts w:cs="Arial"/>
        </w:rPr>
        <w:t xml:space="preserve"> El Congreso establecerá normas que aseguren que el ejercicio del gasto se realice conforme a criterios de oportunidad, igualdad sustantiva, enfoque de género, calidad y eficiencia, que permitan cumplir con las condiciones técnicas de los proyectos y que atiendan a las prioridades del desarrollo.</w:t>
      </w:r>
    </w:p>
    <w:p w14:paraId="5493ABB2" w14:textId="77777777" w:rsidR="00D3344B" w:rsidRDefault="00D3344B">
      <w:pPr>
        <w:pStyle w:val="Estilo"/>
        <w:rPr>
          <w:rFonts w:cs="Arial"/>
        </w:rPr>
      </w:pPr>
    </w:p>
    <w:p w14:paraId="402EA461" w14:textId="77777777" w:rsidR="00D3344B" w:rsidRDefault="00143C25">
      <w:pPr>
        <w:pStyle w:val="Estilo"/>
        <w:rPr>
          <w:rFonts w:cs="Arial"/>
        </w:rPr>
      </w:pPr>
      <w:r>
        <w:rPr>
          <w:rFonts w:cs="Arial"/>
          <w:b/>
        </w:rPr>
        <w:t>Artículo 502.</w:t>
      </w:r>
      <w:r>
        <w:rPr>
          <w:rFonts w:cs="Arial"/>
        </w:rPr>
        <w:t xml:space="preserve"> Los fondos creados a favor del Estado y de sus municipios, con cargo a recursos de la federación, se integrarán, distribuirán, administrarán, ejercerán, supervisarán y fiscalizarán de acuerdo con las disposiciones del capítulo V de la Ley de Coordinación Fiscal, de este código y de la legislación estatal y municipal aplicable.</w:t>
      </w:r>
    </w:p>
    <w:p w14:paraId="5864F979" w14:textId="77777777" w:rsidR="00D3344B" w:rsidRDefault="00D3344B">
      <w:pPr>
        <w:pStyle w:val="Estilo"/>
        <w:rPr>
          <w:rFonts w:cs="Arial"/>
        </w:rPr>
      </w:pPr>
    </w:p>
    <w:p w14:paraId="34C387CD" w14:textId="77777777" w:rsidR="00D3344B" w:rsidRDefault="00143C25">
      <w:pPr>
        <w:pStyle w:val="Estilo"/>
        <w:jc w:val="center"/>
        <w:rPr>
          <w:rFonts w:cs="Arial"/>
          <w:b/>
        </w:rPr>
      </w:pPr>
      <w:r>
        <w:rPr>
          <w:rFonts w:cs="Arial"/>
          <w:b/>
        </w:rPr>
        <w:t>Capítulo V</w:t>
      </w:r>
    </w:p>
    <w:p w14:paraId="4C3D8C14" w14:textId="77777777" w:rsidR="00D3344B" w:rsidRDefault="00143C25">
      <w:pPr>
        <w:pStyle w:val="Estilo"/>
        <w:jc w:val="center"/>
        <w:rPr>
          <w:rFonts w:cs="Arial"/>
          <w:b/>
        </w:rPr>
      </w:pPr>
      <w:r>
        <w:rPr>
          <w:rFonts w:cs="Arial"/>
          <w:b/>
        </w:rPr>
        <w:t>De la Distribución de Participaciones a los Municipios</w:t>
      </w:r>
    </w:p>
    <w:p w14:paraId="7033B57A" w14:textId="77777777" w:rsidR="00D3344B" w:rsidRDefault="00D3344B">
      <w:pPr>
        <w:pStyle w:val="Estilo"/>
        <w:rPr>
          <w:rFonts w:cs="Arial"/>
        </w:rPr>
      </w:pPr>
    </w:p>
    <w:p w14:paraId="0AC5FDD6" w14:textId="77777777" w:rsidR="00D3344B" w:rsidRDefault="00143C25">
      <w:pPr>
        <w:pStyle w:val="Estilo"/>
        <w:rPr>
          <w:rFonts w:cs="Arial"/>
        </w:rPr>
      </w:pPr>
      <w:r>
        <w:rPr>
          <w:rFonts w:cs="Arial"/>
          <w:b/>
        </w:rPr>
        <w:t>Artículo 503.</w:t>
      </w:r>
      <w:r>
        <w:rPr>
          <w:rFonts w:cs="Arial"/>
        </w:rPr>
        <w:t xml:space="preserve"> Los ingresos municipales derivados del Sistema Nacional de Coordinación Fiscal e incentivos federales derivados de convenios y del Sistema Estatal de Coordinación Hacendaria serán equivalentes a:</w:t>
      </w:r>
    </w:p>
    <w:p w14:paraId="68A7BF99" w14:textId="77777777" w:rsidR="00D3344B" w:rsidRDefault="00D3344B">
      <w:pPr>
        <w:pStyle w:val="Estilo"/>
        <w:rPr>
          <w:rFonts w:cs="Arial"/>
        </w:rPr>
      </w:pPr>
    </w:p>
    <w:p w14:paraId="066E4E04" w14:textId="77777777" w:rsidR="00D3344B" w:rsidRDefault="00143C25">
      <w:pPr>
        <w:pStyle w:val="Estilo"/>
        <w:ind w:left="567" w:hanging="567"/>
        <w:rPr>
          <w:rFonts w:cs="Arial"/>
        </w:rPr>
      </w:pPr>
      <w:r>
        <w:rPr>
          <w:rFonts w:cs="Arial"/>
        </w:rPr>
        <w:t xml:space="preserve">I. </w:t>
      </w:r>
      <w:r>
        <w:rPr>
          <w:rFonts w:cs="Arial"/>
        </w:rPr>
        <w:tab/>
        <w:t>Ingresos ministrados por el Gobierno Federal:</w:t>
      </w:r>
    </w:p>
    <w:p w14:paraId="50B3A57A" w14:textId="77777777" w:rsidR="00D3344B" w:rsidRDefault="00D3344B">
      <w:pPr>
        <w:pStyle w:val="Estilo"/>
        <w:ind w:left="567" w:hanging="567"/>
        <w:rPr>
          <w:rFonts w:cs="Arial"/>
        </w:rPr>
      </w:pPr>
    </w:p>
    <w:p w14:paraId="16E011BD" w14:textId="77777777" w:rsidR="00D3344B" w:rsidRDefault="00143C25">
      <w:pPr>
        <w:pStyle w:val="Estilo"/>
        <w:ind w:left="1134" w:hanging="567"/>
        <w:rPr>
          <w:rFonts w:cs="Arial"/>
        </w:rPr>
      </w:pPr>
      <w:r>
        <w:rPr>
          <w:rFonts w:cs="Arial"/>
        </w:rPr>
        <w:t xml:space="preserve">a) </w:t>
      </w:r>
      <w:r>
        <w:rPr>
          <w:rFonts w:cs="Arial"/>
        </w:rPr>
        <w:tab/>
        <w:t>El 100% del Fondo de Fomento Municipal;</w:t>
      </w:r>
    </w:p>
    <w:p w14:paraId="2D154006" w14:textId="77777777" w:rsidR="00D3344B" w:rsidRDefault="00D3344B">
      <w:pPr>
        <w:pStyle w:val="Estilo"/>
        <w:ind w:left="1134" w:hanging="567"/>
        <w:rPr>
          <w:rFonts w:cs="Arial"/>
        </w:rPr>
      </w:pPr>
    </w:p>
    <w:p w14:paraId="23460125" w14:textId="77777777" w:rsidR="00D3344B" w:rsidRDefault="00143C25">
      <w:pPr>
        <w:pStyle w:val="Estilo"/>
        <w:ind w:left="1134" w:hanging="567"/>
        <w:rPr>
          <w:rFonts w:cs="Arial"/>
        </w:rPr>
      </w:pPr>
      <w:r>
        <w:rPr>
          <w:rFonts w:cs="Arial"/>
        </w:rPr>
        <w:t xml:space="preserve">b) </w:t>
      </w:r>
      <w:r>
        <w:rPr>
          <w:rFonts w:cs="Arial"/>
        </w:rPr>
        <w:tab/>
        <w:t>El 20% del Fondo General de Participaciones;</w:t>
      </w:r>
    </w:p>
    <w:p w14:paraId="4FA6AF8C" w14:textId="77777777" w:rsidR="00D3344B" w:rsidRDefault="00D3344B">
      <w:pPr>
        <w:pStyle w:val="Estilo"/>
        <w:ind w:left="1134" w:hanging="567"/>
        <w:rPr>
          <w:rFonts w:cs="Arial"/>
        </w:rPr>
      </w:pPr>
    </w:p>
    <w:p w14:paraId="48A97629" w14:textId="77777777" w:rsidR="00D3344B" w:rsidRDefault="00143C25">
      <w:pPr>
        <w:pStyle w:val="Estilo"/>
        <w:ind w:left="1134" w:hanging="567"/>
        <w:rPr>
          <w:rFonts w:cs="Arial"/>
        </w:rPr>
      </w:pPr>
      <w:r>
        <w:rPr>
          <w:rFonts w:cs="Arial"/>
        </w:rPr>
        <w:t xml:space="preserve">c) </w:t>
      </w:r>
      <w:r>
        <w:rPr>
          <w:rFonts w:cs="Arial"/>
        </w:rPr>
        <w:tab/>
      </w:r>
      <w:r>
        <w:rPr>
          <w:rFonts w:cs="Arial"/>
          <w:i/>
          <w:sz w:val="16"/>
        </w:rPr>
        <w:t>(DEROGADO, P.O. 31 DE DICIEMBRE DE 2007)</w:t>
      </w:r>
    </w:p>
    <w:p w14:paraId="2826D6BE" w14:textId="77777777" w:rsidR="00D3344B" w:rsidRDefault="00D3344B">
      <w:pPr>
        <w:pStyle w:val="Estilo"/>
        <w:ind w:left="1134" w:hanging="567"/>
        <w:rPr>
          <w:rFonts w:cs="Arial"/>
        </w:rPr>
      </w:pPr>
    </w:p>
    <w:p w14:paraId="7508F450" w14:textId="77777777" w:rsidR="00D3344B" w:rsidRDefault="00143C25">
      <w:pPr>
        <w:pStyle w:val="Estilo"/>
        <w:ind w:left="1134" w:hanging="567"/>
        <w:rPr>
          <w:rFonts w:cs="Arial"/>
        </w:rPr>
      </w:pPr>
      <w:r>
        <w:rPr>
          <w:rFonts w:cs="Arial"/>
          <w:i/>
          <w:sz w:val="16"/>
        </w:rPr>
        <w:t>(ADICIONADO, P.O. 30 DE DICIEMBRE DE 2005)</w:t>
      </w:r>
    </w:p>
    <w:p w14:paraId="7391913A" w14:textId="77777777" w:rsidR="00D3344B" w:rsidRDefault="00143C25">
      <w:pPr>
        <w:pStyle w:val="Estilo"/>
        <w:ind w:left="1134" w:hanging="567"/>
        <w:rPr>
          <w:rFonts w:cs="Arial"/>
        </w:rPr>
      </w:pPr>
      <w:r>
        <w:rPr>
          <w:rFonts w:cs="Arial"/>
        </w:rPr>
        <w:t xml:space="preserve">d) </w:t>
      </w:r>
      <w:r>
        <w:rPr>
          <w:rFonts w:cs="Arial"/>
        </w:rPr>
        <w:tab/>
        <w:t>El 20% de los ingresos correspondientes a la actualización del 80% de las Bases Especiales de Tributación (BET);</w:t>
      </w:r>
    </w:p>
    <w:p w14:paraId="327D5B20" w14:textId="77777777" w:rsidR="00D3344B" w:rsidRDefault="00D3344B">
      <w:pPr>
        <w:pStyle w:val="Estilo"/>
        <w:ind w:left="1134" w:hanging="567"/>
        <w:rPr>
          <w:rFonts w:cs="Arial"/>
        </w:rPr>
      </w:pPr>
    </w:p>
    <w:p w14:paraId="0E1DBA9D" w14:textId="77777777" w:rsidR="00D3344B" w:rsidRDefault="00143C25">
      <w:pPr>
        <w:pStyle w:val="Estilo"/>
        <w:ind w:left="1134" w:hanging="567"/>
        <w:rPr>
          <w:rFonts w:cs="Arial"/>
          <w:i/>
          <w:sz w:val="16"/>
          <w:szCs w:val="16"/>
        </w:rPr>
      </w:pPr>
      <w:r>
        <w:rPr>
          <w:rFonts w:cs="Arial"/>
          <w:i/>
          <w:sz w:val="16"/>
          <w:szCs w:val="16"/>
        </w:rPr>
        <w:t>(REFORMADO [N. DE E. REPUBLICADO], P.O. 31 DE DICIEMBRE DE 2007)</w:t>
      </w:r>
    </w:p>
    <w:p w14:paraId="258CC04D" w14:textId="77777777" w:rsidR="00D3344B" w:rsidRDefault="00143C25">
      <w:pPr>
        <w:pStyle w:val="Estilo"/>
        <w:ind w:left="1134" w:hanging="567"/>
        <w:rPr>
          <w:rFonts w:cs="Arial"/>
        </w:rPr>
      </w:pPr>
      <w:r>
        <w:rPr>
          <w:rFonts w:cs="Arial"/>
        </w:rPr>
        <w:t xml:space="preserve">e) </w:t>
      </w:r>
      <w:r>
        <w:rPr>
          <w:rFonts w:cs="Arial"/>
        </w:rPr>
        <w:tab/>
        <w:t>El 20% de la recaudación correspondiente al Impuesto Especial Sobre Producción y Servicios;</w:t>
      </w:r>
    </w:p>
    <w:p w14:paraId="23BA0458" w14:textId="77777777" w:rsidR="00D3344B" w:rsidRDefault="00D3344B">
      <w:pPr>
        <w:pStyle w:val="Estilo"/>
        <w:ind w:left="1134" w:hanging="567"/>
        <w:rPr>
          <w:rFonts w:cs="Arial"/>
        </w:rPr>
      </w:pPr>
    </w:p>
    <w:p w14:paraId="32456A8D" w14:textId="77777777" w:rsidR="00D3344B" w:rsidRDefault="00143C25">
      <w:pPr>
        <w:pStyle w:val="Estilo"/>
        <w:ind w:left="1134" w:hanging="567"/>
        <w:rPr>
          <w:rFonts w:cs="Arial"/>
        </w:rPr>
      </w:pPr>
      <w:r>
        <w:rPr>
          <w:rFonts w:cs="Arial"/>
          <w:i/>
          <w:sz w:val="16"/>
        </w:rPr>
        <w:t>(REFORMADO, P.O. 31 DE DICIEMBRE DE 2007)</w:t>
      </w:r>
    </w:p>
    <w:p w14:paraId="2C15811C" w14:textId="77777777" w:rsidR="00D3344B" w:rsidRDefault="00143C25">
      <w:pPr>
        <w:pStyle w:val="Estilo"/>
        <w:ind w:left="1134" w:hanging="567"/>
        <w:rPr>
          <w:rFonts w:cs="Arial"/>
        </w:rPr>
      </w:pPr>
      <w:r>
        <w:rPr>
          <w:rFonts w:cs="Arial"/>
        </w:rPr>
        <w:t xml:space="preserve">f) </w:t>
      </w:r>
      <w:r>
        <w:rPr>
          <w:rFonts w:cs="Arial"/>
        </w:rPr>
        <w:tab/>
        <w:t>El 20% de la recaudación correspondiente al Impuesto Sobre Automóviles Nuevos;</w:t>
      </w:r>
    </w:p>
    <w:p w14:paraId="5006D980" w14:textId="77777777" w:rsidR="00D3344B" w:rsidRDefault="00D3344B">
      <w:pPr>
        <w:pStyle w:val="Estilo"/>
        <w:ind w:left="1134" w:hanging="567"/>
        <w:rPr>
          <w:rFonts w:cs="Arial"/>
        </w:rPr>
      </w:pPr>
    </w:p>
    <w:p w14:paraId="31D2E489" w14:textId="77777777" w:rsidR="00D3344B" w:rsidRDefault="00143C25">
      <w:pPr>
        <w:pStyle w:val="Estilo"/>
        <w:ind w:left="1134" w:hanging="567"/>
        <w:rPr>
          <w:rFonts w:cs="Arial"/>
        </w:rPr>
      </w:pPr>
      <w:r>
        <w:rPr>
          <w:rFonts w:cs="Arial"/>
          <w:i/>
          <w:sz w:val="16"/>
        </w:rPr>
        <w:t>(REFORMADO, P.O. 31 DE DICIEMBRE DE 2007)</w:t>
      </w:r>
    </w:p>
    <w:p w14:paraId="029617DE" w14:textId="77777777" w:rsidR="00D3344B" w:rsidRDefault="00143C25">
      <w:pPr>
        <w:pStyle w:val="Estilo"/>
        <w:ind w:left="1134" w:hanging="567"/>
        <w:rPr>
          <w:rFonts w:cs="Arial"/>
        </w:rPr>
      </w:pPr>
      <w:r>
        <w:rPr>
          <w:rFonts w:cs="Arial"/>
        </w:rPr>
        <w:t xml:space="preserve">g) </w:t>
      </w:r>
      <w:r>
        <w:rPr>
          <w:rFonts w:cs="Arial"/>
        </w:rPr>
        <w:tab/>
        <w:t>El 20% de la recaudación correspondiente al Impuesto Sobre Tenencia o Uso de Vehículos;</w:t>
      </w:r>
    </w:p>
    <w:p w14:paraId="531E46AF" w14:textId="77777777" w:rsidR="00D3344B" w:rsidRDefault="00D3344B">
      <w:pPr>
        <w:pStyle w:val="Estilo"/>
        <w:ind w:left="1134" w:hanging="567"/>
        <w:rPr>
          <w:rFonts w:cs="Arial"/>
        </w:rPr>
      </w:pPr>
    </w:p>
    <w:p w14:paraId="4B8A99C4" w14:textId="77777777" w:rsidR="00D3344B" w:rsidRDefault="00143C25">
      <w:pPr>
        <w:pStyle w:val="Estilo"/>
        <w:ind w:left="567"/>
        <w:rPr>
          <w:rFonts w:cs="Arial"/>
          <w:sz w:val="16"/>
          <w:szCs w:val="16"/>
        </w:rPr>
      </w:pPr>
      <w:r>
        <w:rPr>
          <w:rFonts w:cs="Arial"/>
          <w:sz w:val="16"/>
          <w:szCs w:val="16"/>
        </w:rPr>
        <w:t>N. DE E. EN RELACIÓN CON LA ENTRADA EN VIGOR DEL PRESENTE INCISO, VÉASE ARTÍCULO ÚNICO TRANSITORIO DEL DECRETO QUE MODIFICA EL CÓDIGO.</w:t>
      </w:r>
    </w:p>
    <w:p w14:paraId="1F39DE27" w14:textId="77777777" w:rsidR="00D3344B" w:rsidRDefault="00143C25">
      <w:pPr>
        <w:pStyle w:val="Estilo"/>
        <w:ind w:left="1134" w:hanging="567"/>
        <w:rPr>
          <w:rFonts w:cs="Arial"/>
        </w:rPr>
      </w:pPr>
      <w:r>
        <w:rPr>
          <w:rFonts w:cs="Arial"/>
          <w:i/>
          <w:sz w:val="16"/>
        </w:rPr>
        <w:t>(REFORMADO, P.O. 23 DE DICIEMBRE DE 2008)</w:t>
      </w:r>
    </w:p>
    <w:p w14:paraId="0A0C51DE" w14:textId="77777777" w:rsidR="00D3344B" w:rsidRDefault="00143C25">
      <w:pPr>
        <w:pStyle w:val="Estilo"/>
        <w:ind w:left="1134" w:hanging="567"/>
        <w:rPr>
          <w:rFonts w:cs="Arial"/>
        </w:rPr>
      </w:pPr>
      <w:r>
        <w:rPr>
          <w:rFonts w:cs="Arial"/>
        </w:rPr>
        <w:t xml:space="preserve">h) </w:t>
      </w:r>
      <w:r>
        <w:rPr>
          <w:rFonts w:cs="Arial"/>
        </w:rPr>
        <w:tab/>
        <w:t xml:space="preserve">El 20% del incentivo derivado de la recaudación del impuesto especial sobre producción y servicios a la venta final de gasolinas y </w:t>
      </w:r>
      <w:proofErr w:type="spellStart"/>
      <w:r>
        <w:rPr>
          <w:rFonts w:cs="Arial"/>
        </w:rPr>
        <w:t>diesel</w:t>
      </w:r>
      <w:proofErr w:type="spellEnd"/>
      <w:r>
        <w:rPr>
          <w:rFonts w:cs="Arial"/>
        </w:rPr>
        <w:t>;</w:t>
      </w:r>
    </w:p>
    <w:p w14:paraId="15AD6102" w14:textId="77777777" w:rsidR="00D3344B" w:rsidRDefault="00D3344B">
      <w:pPr>
        <w:pStyle w:val="Estilo"/>
        <w:ind w:left="1134" w:hanging="567"/>
        <w:rPr>
          <w:rFonts w:cs="Arial"/>
        </w:rPr>
      </w:pPr>
    </w:p>
    <w:p w14:paraId="376F3569" w14:textId="77777777" w:rsidR="00D3344B" w:rsidRDefault="00143C25">
      <w:pPr>
        <w:pStyle w:val="Estilo"/>
        <w:ind w:left="1134" w:hanging="567"/>
        <w:rPr>
          <w:rFonts w:cs="Arial"/>
        </w:rPr>
      </w:pPr>
      <w:r>
        <w:rPr>
          <w:rFonts w:cs="Arial"/>
          <w:i/>
          <w:sz w:val="16"/>
        </w:rPr>
        <w:t>(ADICIONADO, P.O. 22 DE DICIEMBRE DE 2021)</w:t>
      </w:r>
    </w:p>
    <w:p w14:paraId="4060D303" w14:textId="77777777" w:rsidR="00D3344B" w:rsidRDefault="00143C25">
      <w:pPr>
        <w:pStyle w:val="Estilo"/>
        <w:ind w:left="1134" w:hanging="567"/>
        <w:rPr>
          <w:rFonts w:cs="Arial"/>
        </w:rPr>
      </w:pPr>
      <w:r>
        <w:rPr>
          <w:rFonts w:cs="Arial"/>
        </w:rPr>
        <w:t xml:space="preserve">i) </w:t>
      </w:r>
      <w:r>
        <w:rPr>
          <w:rFonts w:cs="Arial"/>
        </w:rPr>
        <w:tab/>
        <w:t>El 20% del Fondo de Compensación;</w:t>
      </w:r>
    </w:p>
    <w:p w14:paraId="5D8BFA12" w14:textId="77777777" w:rsidR="00D3344B" w:rsidRDefault="00D3344B">
      <w:pPr>
        <w:pStyle w:val="Estilo"/>
        <w:ind w:left="1134" w:hanging="567"/>
        <w:rPr>
          <w:rFonts w:cs="Arial"/>
        </w:rPr>
      </w:pPr>
    </w:p>
    <w:p w14:paraId="5E057887" w14:textId="77777777" w:rsidR="00D3344B" w:rsidRDefault="00143C25">
      <w:pPr>
        <w:pStyle w:val="Estilo"/>
        <w:ind w:left="1134" w:hanging="567"/>
        <w:rPr>
          <w:rFonts w:cs="Arial"/>
        </w:rPr>
      </w:pPr>
      <w:r>
        <w:rPr>
          <w:rFonts w:cs="Arial"/>
          <w:i/>
          <w:sz w:val="16"/>
        </w:rPr>
        <w:t>(REFORMADO, P.O. 22 DE DICIEMBRE DE 2021)</w:t>
      </w:r>
    </w:p>
    <w:p w14:paraId="12EDB3C7" w14:textId="77777777" w:rsidR="00D3344B" w:rsidRDefault="00143C25">
      <w:pPr>
        <w:pStyle w:val="Estilo"/>
        <w:ind w:left="1134" w:hanging="567"/>
        <w:rPr>
          <w:rFonts w:cs="Arial"/>
        </w:rPr>
      </w:pPr>
      <w:r>
        <w:rPr>
          <w:rFonts w:cs="Arial"/>
        </w:rPr>
        <w:t xml:space="preserve">j) </w:t>
      </w:r>
      <w:r>
        <w:rPr>
          <w:rFonts w:cs="Arial"/>
        </w:rPr>
        <w:tab/>
        <w:t>El 20% del Fondo de Fiscalización y Recaudación, e</w:t>
      </w:r>
    </w:p>
    <w:p w14:paraId="44169FE0" w14:textId="77777777" w:rsidR="00D3344B" w:rsidRDefault="00D3344B">
      <w:pPr>
        <w:pStyle w:val="Estilo"/>
        <w:ind w:left="1134" w:hanging="567"/>
        <w:rPr>
          <w:rFonts w:cs="Arial"/>
        </w:rPr>
      </w:pPr>
    </w:p>
    <w:p w14:paraId="33003243" w14:textId="77777777" w:rsidR="00D3344B" w:rsidRDefault="00143C25">
      <w:pPr>
        <w:pStyle w:val="Estilo"/>
        <w:ind w:left="1134" w:hanging="567"/>
        <w:rPr>
          <w:rFonts w:cs="Arial"/>
        </w:rPr>
      </w:pPr>
      <w:r>
        <w:rPr>
          <w:rFonts w:cs="Arial"/>
          <w:i/>
          <w:sz w:val="16"/>
        </w:rPr>
        <w:t>(ADICIONADO, P.O. 22 DE DICIEMBRE DE 2021)</w:t>
      </w:r>
    </w:p>
    <w:p w14:paraId="2994FEAC" w14:textId="77777777" w:rsidR="00D3344B" w:rsidRDefault="00143C25">
      <w:pPr>
        <w:pStyle w:val="Estilo"/>
        <w:ind w:left="1134" w:hanging="567"/>
        <w:rPr>
          <w:rFonts w:cs="Arial"/>
        </w:rPr>
      </w:pPr>
      <w:r>
        <w:rPr>
          <w:rFonts w:cs="Arial"/>
        </w:rPr>
        <w:t xml:space="preserve">K) </w:t>
      </w:r>
      <w:r>
        <w:rPr>
          <w:rFonts w:cs="Arial"/>
        </w:rPr>
        <w:tab/>
        <w:t>El 20% de la recaudación del Impuesto Sobre la Renta por la enajenación de bienes inmuebles.</w:t>
      </w:r>
    </w:p>
    <w:p w14:paraId="53FAC727" w14:textId="77777777" w:rsidR="00D3344B" w:rsidRDefault="00D3344B">
      <w:pPr>
        <w:pStyle w:val="Estilo"/>
        <w:ind w:firstLine="567"/>
        <w:rPr>
          <w:rFonts w:eastAsia="Calibri" w:cs="Arial"/>
          <w:i/>
          <w:iCs/>
          <w:sz w:val="16"/>
          <w:szCs w:val="16"/>
        </w:rPr>
      </w:pPr>
    </w:p>
    <w:p w14:paraId="56B7059F" w14:textId="77777777" w:rsidR="00D3344B" w:rsidRDefault="00143C25">
      <w:pPr>
        <w:pStyle w:val="Estilo"/>
        <w:ind w:firstLine="567"/>
        <w:rPr>
          <w:rFonts w:eastAsia="Calibri" w:cs="Arial"/>
          <w:i/>
          <w:iCs/>
          <w:sz w:val="16"/>
          <w:szCs w:val="16"/>
        </w:rPr>
      </w:pPr>
      <w:r>
        <w:rPr>
          <w:rFonts w:eastAsia="Calibri" w:cs="Arial"/>
          <w:i/>
          <w:iCs/>
          <w:sz w:val="16"/>
          <w:szCs w:val="16"/>
        </w:rPr>
        <w:t>(ADICIONADO, P.O. 29 DE NOVIEMBRE DE 2023)</w:t>
      </w:r>
    </w:p>
    <w:p w14:paraId="465F9887" w14:textId="77777777" w:rsidR="00D3344B" w:rsidRDefault="00143C25">
      <w:pPr>
        <w:pStyle w:val="Estilo"/>
        <w:ind w:left="1134" w:hanging="567"/>
        <w:rPr>
          <w:rFonts w:cs="Arial"/>
        </w:rPr>
      </w:pPr>
      <w:r>
        <w:rPr>
          <w:rFonts w:cs="Arial"/>
        </w:rPr>
        <w:t>L)</w:t>
      </w:r>
      <w:r>
        <w:rPr>
          <w:rFonts w:cs="Arial"/>
        </w:rPr>
        <w:tab/>
        <w:t>El 20% de la recaudación del Fondo de Compensación del Impuesto Sobre automóviles Nuevos.</w:t>
      </w:r>
    </w:p>
    <w:p w14:paraId="5C6B3EDE" w14:textId="77777777" w:rsidR="00D3344B" w:rsidRDefault="00D3344B">
      <w:pPr>
        <w:pStyle w:val="Estilo"/>
        <w:ind w:left="567" w:hanging="567"/>
        <w:rPr>
          <w:rFonts w:cs="Arial"/>
        </w:rPr>
      </w:pPr>
    </w:p>
    <w:p w14:paraId="1957C3F6" w14:textId="77777777" w:rsidR="00D3344B" w:rsidRDefault="00143C25">
      <w:pPr>
        <w:pStyle w:val="Estilo"/>
        <w:ind w:left="567" w:hanging="567"/>
        <w:rPr>
          <w:rFonts w:cs="Arial"/>
        </w:rPr>
      </w:pPr>
      <w:r>
        <w:rPr>
          <w:rFonts w:cs="Arial"/>
        </w:rPr>
        <w:t xml:space="preserve">II. </w:t>
      </w:r>
      <w:r>
        <w:rPr>
          <w:rFonts w:cs="Arial"/>
        </w:rPr>
        <w:tab/>
        <w:t>Ingresos ministrados por el Gobierno del Estado:</w:t>
      </w:r>
    </w:p>
    <w:p w14:paraId="57056AC4" w14:textId="77777777" w:rsidR="00D3344B" w:rsidRDefault="00D3344B">
      <w:pPr>
        <w:pStyle w:val="Estilo"/>
        <w:ind w:left="567" w:hanging="567"/>
        <w:rPr>
          <w:rFonts w:cs="Arial"/>
        </w:rPr>
      </w:pPr>
    </w:p>
    <w:p w14:paraId="05DDB61A" w14:textId="77777777" w:rsidR="00D3344B" w:rsidRDefault="00143C25">
      <w:pPr>
        <w:pStyle w:val="Estilo"/>
        <w:ind w:left="1134" w:hanging="567"/>
        <w:rPr>
          <w:rFonts w:cs="Arial"/>
        </w:rPr>
      </w:pPr>
      <w:r>
        <w:rPr>
          <w:rFonts w:cs="Arial"/>
        </w:rPr>
        <w:t xml:space="preserve">a) </w:t>
      </w:r>
      <w:r>
        <w:rPr>
          <w:rFonts w:cs="Arial"/>
        </w:rPr>
        <w:tab/>
        <w:t>El 60% de la recaudación correspondiente al Impuesto sobre diversiones y espectáculos públicos;</w:t>
      </w:r>
    </w:p>
    <w:p w14:paraId="259FAF35" w14:textId="77777777" w:rsidR="00D3344B" w:rsidRDefault="00D3344B">
      <w:pPr>
        <w:pStyle w:val="Estilo"/>
        <w:ind w:left="1134" w:hanging="567"/>
        <w:rPr>
          <w:rFonts w:cs="Arial"/>
        </w:rPr>
      </w:pPr>
    </w:p>
    <w:p w14:paraId="7A113AB9" w14:textId="77777777" w:rsidR="00D3344B" w:rsidRDefault="00143C25">
      <w:pPr>
        <w:pStyle w:val="Estilo"/>
        <w:ind w:left="1134" w:hanging="567"/>
        <w:rPr>
          <w:rFonts w:cs="Arial"/>
        </w:rPr>
      </w:pPr>
      <w:r>
        <w:rPr>
          <w:rFonts w:cs="Arial"/>
        </w:rPr>
        <w:t xml:space="preserve">b) </w:t>
      </w:r>
      <w:r>
        <w:rPr>
          <w:rFonts w:cs="Arial"/>
        </w:rPr>
        <w:tab/>
        <w:t>El 50% de la recaudación correspondiente al Impuesto sobre loterías, rifas, sorteos, concursos y juegos con cruce de apuestas;</w:t>
      </w:r>
    </w:p>
    <w:p w14:paraId="0206CD70" w14:textId="77777777" w:rsidR="00D3344B" w:rsidRDefault="00D3344B">
      <w:pPr>
        <w:pStyle w:val="Estilo"/>
        <w:ind w:left="1134" w:hanging="567"/>
        <w:rPr>
          <w:rFonts w:cs="Arial"/>
        </w:rPr>
      </w:pPr>
    </w:p>
    <w:p w14:paraId="5A03E979" w14:textId="77777777" w:rsidR="00D3344B" w:rsidRDefault="00143C25">
      <w:pPr>
        <w:pStyle w:val="Estilo"/>
        <w:ind w:left="1134" w:hanging="567"/>
        <w:rPr>
          <w:rFonts w:cs="Arial"/>
        </w:rPr>
      </w:pPr>
      <w:r>
        <w:rPr>
          <w:rFonts w:cs="Arial"/>
        </w:rPr>
        <w:t xml:space="preserve">c) </w:t>
      </w:r>
      <w:r>
        <w:rPr>
          <w:rFonts w:cs="Arial"/>
        </w:rPr>
        <w:tab/>
        <w:t>El 20% de la recaudación correspondiente al Impuesto sobre servicios de hospedaje;</w:t>
      </w:r>
    </w:p>
    <w:p w14:paraId="6320B21B" w14:textId="77777777" w:rsidR="00D3344B" w:rsidRDefault="00D3344B">
      <w:pPr>
        <w:pStyle w:val="Estilo"/>
        <w:ind w:left="1134" w:hanging="567"/>
        <w:rPr>
          <w:rFonts w:cs="Arial"/>
        </w:rPr>
      </w:pPr>
    </w:p>
    <w:p w14:paraId="785D9CE8" w14:textId="77777777" w:rsidR="00D3344B" w:rsidRDefault="00143C25">
      <w:pPr>
        <w:pStyle w:val="Estilo"/>
        <w:ind w:left="1134" w:hanging="567"/>
        <w:rPr>
          <w:rFonts w:cs="Arial"/>
        </w:rPr>
      </w:pPr>
      <w:r>
        <w:rPr>
          <w:rFonts w:cs="Arial"/>
        </w:rPr>
        <w:t xml:space="preserve">d) </w:t>
      </w:r>
      <w:r>
        <w:rPr>
          <w:rFonts w:cs="Arial"/>
        </w:rPr>
        <w:tab/>
        <w:t>El 10% de la recaudación correspondiente al impuesto sobre nóminas, y</w:t>
      </w:r>
    </w:p>
    <w:p w14:paraId="3A596E16" w14:textId="77777777" w:rsidR="00D3344B" w:rsidRDefault="00D3344B">
      <w:pPr>
        <w:pStyle w:val="Estilo"/>
        <w:ind w:left="1134" w:hanging="567"/>
        <w:rPr>
          <w:rFonts w:cs="Arial"/>
        </w:rPr>
      </w:pPr>
    </w:p>
    <w:p w14:paraId="13E11AEF" w14:textId="77777777" w:rsidR="00D3344B" w:rsidRDefault="00143C25">
      <w:pPr>
        <w:pStyle w:val="Estilo"/>
        <w:ind w:left="1134" w:hanging="567"/>
        <w:rPr>
          <w:rFonts w:cs="Arial"/>
        </w:rPr>
      </w:pPr>
      <w:r>
        <w:rPr>
          <w:rFonts w:cs="Arial"/>
        </w:rPr>
        <w:t xml:space="preserve">e) </w:t>
      </w:r>
      <w:r>
        <w:rPr>
          <w:rFonts w:cs="Arial"/>
        </w:rPr>
        <w:tab/>
        <w:t>El 10% de la recaudación correspondiente al Impuesto sobre Tenencia o Uso de Vehículos.</w:t>
      </w:r>
    </w:p>
    <w:p w14:paraId="3DD30D9A" w14:textId="77777777" w:rsidR="00D3344B" w:rsidRDefault="00D3344B">
      <w:pPr>
        <w:pStyle w:val="Estilo"/>
        <w:rPr>
          <w:rFonts w:cs="Arial"/>
        </w:rPr>
      </w:pPr>
    </w:p>
    <w:p w14:paraId="64BDB16C" w14:textId="77777777" w:rsidR="00D3344B" w:rsidRDefault="00143C25">
      <w:pPr>
        <w:pStyle w:val="Estilo"/>
        <w:rPr>
          <w:rFonts w:cs="Arial"/>
          <w:i/>
          <w:iCs/>
          <w:sz w:val="16"/>
          <w:szCs w:val="16"/>
        </w:rPr>
      </w:pPr>
      <w:r>
        <w:rPr>
          <w:rFonts w:cs="Arial"/>
          <w:b/>
        </w:rPr>
        <w:t>Artículo 503-A.</w:t>
      </w:r>
      <w:r>
        <w:rPr>
          <w:rFonts w:cs="Arial"/>
        </w:rPr>
        <w:t xml:space="preserve"> </w:t>
      </w:r>
      <w:r>
        <w:rPr>
          <w:rFonts w:cs="Arial"/>
          <w:i/>
          <w:iCs/>
          <w:sz w:val="16"/>
          <w:szCs w:val="16"/>
        </w:rPr>
        <w:t>(DEROGADO, P.O. 22 DE DICIEMBRE DE 2021)</w:t>
      </w:r>
    </w:p>
    <w:p w14:paraId="5C4C6C53" w14:textId="77777777" w:rsidR="00D3344B" w:rsidRDefault="00D3344B">
      <w:pPr>
        <w:pStyle w:val="Estilo"/>
        <w:rPr>
          <w:rFonts w:cs="Arial"/>
        </w:rPr>
      </w:pPr>
    </w:p>
    <w:p w14:paraId="7AE4A229" w14:textId="77777777" w:rsidR="00D3344B" w:rsidRDefault="00143C25">
      <w:pPr>
        <w:pStyle w:val="Estilo"/>
        <w:rPr>
          <w:rFonts w:cs="Arial"/>
        </w:rPr>
      </w:pPr>
      <w:r>
        <w:rPr>
          <w:rFonts w:cs="Arial"/>
          <w:i/>
          <w:sz w:val="16"/>
        </w:rPr>
        <w:t>(ADICIONADO, P.O. 23 DE DICIEMBRE DE 2013)</w:t>
      </w:r>
    </w:p>
    <w:p w14:paraId="302E0252" w14:textId="77777777" w:rsidR="00D3344B" w:rsidRDefault="00143C25">
      <w:pPr>
        <w:pStyle w:val="Estilo"/>
        <w:rPr>
          <w:rFonts w:cs="Arial"/>
        </w:rPr>
      </w:pPr>
      <w:r>
        <w:rPr>
          <w:rFonts w:cs="Arial"/>
          <w:b/>
        </w:rPr>
        <w:t>Artículo 503-B.</w:t>
      </w:r>
      <w:r>
        <w:rPr>
          <w:rFonts w:cs="Arial"/>
        </w:rPr>
        <w:t xml:space="preserve"> Se crea el Fondo Estatal Participable del Registro Civil, mismo que se constituirá por:</w:t>
      </w:r>
    </w:p>
    <w:p w14:paraId="701BCE57" w14:textId="77777777" w:rsidR="00D3344B" w:rsidRDefault="00D3344B">
      <w:pPr>
        <w:pStyle w:val="Estilo"/>
        <w:rPr>
          <w:rFonts w:cs="Arial"/>
        </w:rPr>
      </w:pPr>
    </w:p>
    <w:p w14:paraId="75C7D58A" w14:textId="77777777" w:rsidR="00D3344B" w:rsidRDefault="00143C25">
      <w:pPr>
        <w:pStyle w:val="Estilo"/>
        <w:rPr>
          <w:rFonts w:cs="Arial"/>
        </w:rPr>
      </w:pPr>
      <w:r>
        <w:rPr>
          <w:rFonts w:cs="Arial"/>
        </w:rPr>
        <w:t xml:space="preserve">El 100% de los ingresos que los Municipios en sus demarcaciones territoriales recauden a cuenta y nombre del Estado, por los actos y hechos del estado civil de </w:t>
      </w:r>
      <w:r>
        <w:rPr>
          <w:rFonts w:cs="Arial"/>
        </w:rPr>
        <w:lastRenderedPageBreak/>
        <w:t>las personas, observando las disposiciones establecidas en los convenios suscritos por las partes.</w:t>
      </w:r>
    </w:p>
    <w:p w14:paraId="0E580BBE" w14:textId="77777777" w:rsidR="00D3344B" w:rsidRDefault="00D3344B">
      <w:pPr>
        <w:pStyle w:val="Estilo"/>
        <w:rPr>
          <w:rFonts w:cs="Arial"/>
        </w:rPr>
      </w:pPr>
    </w:p>
    <w:p w14:paraId="62C72E32" w14:textId="77777777" w:rsidR="00D3344B" w:rsidRDefault="00143C25">
      <w:pPr>
        <w:pStyle w:val="Estilo"/>
        <w:rPr>
          <w:rFonts w:cs="Arial"/>
        </w:rPr>
      </w:pPr>
      <w:r>
        <w:rPr>
          <w:rFonts w:cs="Arial"/>
        </w:rPr>
        <w:t>La distribución de este fondo, se efectuará de acuerdo con el coeficiente efectivo de aportación, dicho coeficiente será el que resulte de dividir la aportación mensual participable del ente obligado entre el total de aportaciones al fondo, esta se realizará en el mes inmediato posterior al entero de la obligación.</w:t>
      </w:r>
    </w:p>
    <w:p w14:paraId="0E441A85" w14:textId="77777777" w:rsidR="00D3344B" w:rsidRDefault="00D3344B">
      <w:pPr>
        <w:pStyle w:val="Estilo"/>
        <w:rPr>
          <w:rFonts w:cs="Arial"/>
        </w:rPr>
      </w:pPr>
    </w:p>
    <w:p w14:paraId="65BA1870" w14:textId="77777777" w:rsidR="00D3344B" w:rsidRDefault="00143C25">
      <w:pPr>
        <w:pStyle w:val="Estilo"/>
        <w:rPr>
          <w:rFonts w:cs="Arial"/>
        </w:rPr>
      </w:pPr>
      <w:r>
        <w:rPr>
          <w:rFonts w:cs="Arial"/>
        </w:rPr>
        <w:t xml:space="preserve">Los recursos participables se radicarán en las cuentas bancarias productivas, específicas y exclusivas que para tal fin </w:t>
      </w:r>
      <w:proofErr w:type="spellStart"/>
      <w:r>
        <w:rPr>
          <w:rFonts w:cs="Arial"/>
        </w:rPr>
        <w:t>aperture</w:t>
      </w:r>
      <w:proofErr w:type="spellEnd"/>
      <w:r>
        <w:rPr>
          <w:rFonts w:cs="Arial"/>
        </w:rPr>
        <w:t xml:space="preserve"> el ente obligado, dentro de los cinco días hábiles posteriores al mes de que se trate, observando las disposiciones establecidas en el convenio respectivo.</w:t>
      </w:r>
    </w:p>
    <w:p w14:paraId="2F485C67" w14:textId="77777777" w:rsidR="00D3344B" w:rsidRDefault="00D3344B">
      <w:pPr>
        <w:pStyle w:val="Estilo"/>
        <w:rPr>
          <w:rFonts w:cs="Arial"/>
        </w:rPr>
      </w:pPr>
    </w:p>
    <w:p w14:paraId="060D9B7C" w14:textId="77777777" w:rsidR="00D3344B" w:rsidRDefault="00143C25">
      <w:pPr>
        <w:pStyle w:val="Estilo"/>
        <w:rPr>
          <w:rFonts w:cs="Arial"/>
        </w:rPr>
      </w:pPr>
      <w:r>
        <w:rPr>
          <w:rFonts w:cs="Arial"/>
        </w:rPr>
        <w:t>El Estado llevará a cabo un registro y control específico de los recursos que conforman el Fondo Estatal Participable.</w:t>
      </w:r>
    </w:p>
    <w:p w14:paraId="5312A323" w14:textId="77777777" w:rsidR="00D3344B" w:rsidRDefault="00D3344B">
      <w:pPr>
        <w:pStyle w:val="Estilo"/>
        <w:rPr>
          <w:rFonts w:cs="Arial"/>
        </w:rPr>
      </w:pPr>
    </w:p>
    <w:p w14:paraId="0D094D4F" w14:textId="77777777" w:rsidR="00D3344B" w:rsidRDefault="00143C25">
      <w:pPr>
        <w:pStyle w:val="Estilo"/>
        <w:rPr>
          <w:rFonts w:cs="Arial"/>
          <w:i/>
          <w:sz w:val="16"/>
          <w:szCs w:val="16"/>
        </w:rPr>
      </w:pPr>
      <w:r>
        <w:rPr>
          <w:rFonts w:cs="Arial"/>
          <w:i/>
          <w:sz w:val="16"/>
          <w:szCs w:val="16"/>
        </w:rPr>
        <w:t>(REFORMADO PRIMER PÁRRAFO, P.O. 31 DE DICIEMBRE DE 2007)</w:t>
      </w:r>
    </w:p>
    <w:p w14:paraId="38E79023" w14:textId="77777777" w:rsidR="00D3344B" w:rsidRDefault="00143C25">
      <w:pPr>
        <w:pStyle w:val="Estilo"/>
        <w:rPr>
          <w:rFonts w:cs="Arial"/>
        </w:rPr>
      </w:pPr>
      <w:r>
        <w:rPr>
          <w:rFonts w:cs="Arial"/>
          <w:b/>
        </w:rPr>
        <w:t>Artículo 504.</w:t>
      </w:r>
      <w:r>
        <w:rPr>
          <w:rFonts w:cs="Arial"/>
        </w:rPr>
        <w:t xml:space="preserve"> Los ingresos señalados en el artículo anterior, integrarán el Fondo Estatal Participable, el cual se distribuirá entre los municipios del Estado a través de la constitución de los siguientes fondos:</w:t>
      </w:r>
    </w:p>
    <w:p w14:paraId="269170A6" w14:textId="77777777" w:rsidR="00D3344B" w:rsidRDefault="00D3344B">
      <w:pPr>
        <w:pStyle w:val="Estilo"/>
        <w:rPr>
          <w:rFonts w:cs="Arial"/>
        </w:rPr>
      </w:pPr>
    </w:p>
    <w:p w14:paraId="349B534B" w14:textId="77777777" w:rsidR="00D3344B" w:rsidRDefault="00143C25">
      <w:pPr>
        <w:pStyle w:val="Estilo"/>
        <w:ind w:left="567" w:hanging="567"/>
        <w:rPr>
          <w:rFonts w:cs="Arial"/>
        </w:rPr>
      </w:pPr>
      <w:r>
        <w:rPr>
          <w:rFonts w:cs="Arial"/>
          <w:i/>
          <w:sz w:val="16"/>
        </w:rPr>
        <w:t>(REFORMADA, P.O. 24 DE DICIEMBRE DE 2003)</w:t>
      </w:r>
    </w:p>
    <w:p w14:paraId="45D7268F" w14:textId="77777777" w:rsidR="00D3344B" w:rsidRDefault="00143C25">
      <w:pPr>
        <w:pStyle w:val="Estilo"/>
        <w:ind w:left="567" w:hanging="567"/>
        <w:rPr>
          <w:rFonts w:cs="Arial"/>
        </w:rPr>
      </w:pPr>
      <w:r>
        <w:rPr>
          <w:rFonts w:cs="Arial"/>
        </w:rPr>
        <w:t xml:space="preserve">I. </w:t>
      </w:r>
      <w:r>
        <w:rPr>
          <w:rFonts w:cs="Arial"/>
        </w:rPr>
        <w:tab/>
        <w:t>El Fondo de Garantía estará constituido por los ingresos que establece el Artículo anterior, determinados sólo para efectos de referencia, con base en la Ley de Ingresos del Estado, para el Ejercicio Fiscal de que se trate.</w:t>
      </w:r>
    </w:p>
    <w:p w14:paraId="69EF0C45" w14:textId="77777777" w:rsidR="00D3344B" w:rsidRDefault="00D3344B">
      <w:pPr>
        <w:pStyle w:val="Estilo"/>
        <w:ind w:left="567" w:hanging="567"/>
        <w:rPr>
          <w:rFonts w:cs="Arial"/>
        </w:rPr>
      </w:pPr>
    </w:p>
    <w:p w14:paraId="12B6A87B" w14:textId="77777777" w:rsidR="00D3344B" w:rsidRDefault="00143C25">
      <w:pPr>
        <w:pStyle w:val="Estilo"/>
        <w:ind w:left="567"/>
        <w:rPr>
          <w:rFonts w:cs="Arial"/>
        </w:rPr>
      </w:pPr>
      <w:r>
        <w:rPr>
          <w:rFonts w:cs="Arial"/>
        </w:rPr>
        <w:t>La distribución por municipio, se realizará con base en el coeficiente efectivo del ejercicio inmediato anterior.</w:t>
      </w:r>
    </w:p>
    <w:p w14:paraId="046A425D" w14:textId="77777777" w:rsidR="00D3344B" w:rsidRDefault="00D3344B">
      <w:pPr>
        <w:pStyle w:val="Estilo"/>
        <w:ind w:left="567" w:hanging="567"/>
        <w:rPr>
          <w:rFonts w:cs="Arial"/>
        </w:rPr>
      </w:pPr>
    </w:p>
    <w:p w14:paraId="7B80AECA" w14:textId="77777777" w:rsidR="00D3344B" w:rsidRDefault="00143C25">
      <w:pPr>
        <w:pStyle w:val="Estilo"/>
        <w:ind w:left="567"/>
        <w:rPr>
          <w:rFonts w:cs="Arial"/>
        </w:rPr>
      </w:pPr>
      <w:r>
        <w:rPr>
          <w:rFonts w:cs="Arial"/>
        </w:rPr>
        <w:t>El coeficiente efectivo será el resultado de dividir el monto de las participaciones que le haya correspondido al municipio, entre el total de las participaciones entregadas a todos los municipios.</w:t>
      </w:r>
    </w:p>
    <w:p w14:paraId="12BE86C1" w14:textId="77777777" w:rsidR="00D3344B" w:rsidRDefault="00D3344B">
      <w:pPr>
        <w:pStyle w:val="Estilo"/>
        <w:ind w:left="567" w:hanging="567"/>
        <w:rPr>
          <w:rFonts w:cs="Arial"/>
        </w:rPr>
      </w:pPr>
    </w:p>
    <w:p w14:paraId="324447E5" w14:textId="77777777" w:rsidR="00D3344B" w:rsidRDefault="00143C25">
      <w:pPr>
        <w:pStyle w:val="Estilo"/>
        <w:ind w:left="567" w:hanging="567"/>
        <w:rPr>
          <w:rFonts w:cs="Arial"/>
        </w:rPr>
      </w:pPr>
      <w:r>
        <w:rPr>
          <w:rFonts w:cs="Arial"/>
        </w:rPr>
        <w:t>(REFORMADO PRIMER PÁRRAFO, P.O. 31 DE DICIEMBRE DE 2007)</w:t>
      </w:r>
    </w:p>
    <w:p w14:paraId="0086F55C" w14:textId="77777777" w:rsidR="00D3344B" w:rsidRDefault="00143C25">
      <w:pPr>
        <w:pStyle w:val="Estilo"/>
        <w:ind w:left="567" w:hanging="567"/>
        <w:rPr>
          <w:rFonts w:cs="Arial"/>
        </w:rPr>
      </w:pPr>
      <w:r>
        <w:rPr>
          <w:rFonts w:cs="Arial"/>
        </w:rPr>
        <w:t xml:space="preserve">II. </w:t>
      </w:r>
      <w:r>
        <w:rPr>
          <w:rFonts w:cs="Arial"/>
        </w:rPr>
        <w:tab/>
        <w:t>Adicionalmente se asignarán a los municipios, la diferencia que resulte de restar al Fondo Estatal Participable observado, el Fondo de Garantía, de la siguiente forma:</w:t>
      </w:r>
    </w:p>
    <w:p w14:paraId="547F83BE" w14:textId="77777777" w:rsidR="00D3344B" w:rsidRDefault="00D3344B">
      <w:pPr>
        <w:pStyle w:val="Estilo"/>
        <w:ind w:left="567" w:hanging="567"/>
        <w:rPr>
          <w:rFonts w:cs="Arial"/>
        </w:rPr>
      </w:pPr>
    </w:p>
    <w:p w14:paraId="3AEDE824" w14:textId="77777777" w:rsidR="00D3344B" w:rsidRDefault="00143C25">
      <w:pPr>
        <w:pStyle w:val="Estilo"/>
        <w:ind w:left="1134" w:hanging="567"/>
        <w:rPr>
          <w:rFonts w:cs="Arial"/>
        </w:rPr>
      </w:pPr>
      <w:r>
        <w:rPr>
          <w:rFonts w:cs="Arial"/>
          <w:i/>
          <w:sz w:val="16"/>
        </w:rPr>
        <w:t>(REFORMADO, P.O. 31 DE DICIEMBRE DE 2007)</w:t>
      </w:r>
    </w:p>
    <w:p w14:paraId="53EF8365" w14:textId="77777777" w:rsidR="00D3344B" w:rsidRDefault="00143C25">
      <w:pPr>
        <w:pStyle w:val="Estilo"/>
        <w:ind w:left="1134" w:hanging="567"/>
        <w:rPr>
          <w:rFonts w:cs="Arial"/>
        </w:rPr>
      </w:pPr>
      <w:r>
        <w:rPr>
          <w:rFonts w:cs="Arial"/>
        </w:rPr>
        <w:t xml:space="preserve">a) </w:t>
      </w:r>
      <w:r>
        <w:rPr>
          <w:rFonts w:cs="Arial"/>
        </w:rPr>
        <w:tab/>
        <w:t>Fondo Poblacional. El Fondo de Población se constituirá con un monto igual al 20% de la citada diferencia y se distribuirá entre los municipios del Estado con base al número de habitantes, de acuerdo a la última información oficial que hubiera dado a conocer el Instituto de Estadística, Geografía e Informática.</w:t>
      </w:r>
    </w:p>
    <w:p w14:paraId="26909D20" w14:textId="77777777" w:rsidR="00D3344B" w:rsidRDefault="00D3344B">
      <w:pPr>
        <w:pStyle w:val="Estilo"/>
        <w:ind w:left="1134" w:hanging="567"/>
        <w:rPr>
          <w:rFonts w:cs="Arial"/>
        </w:rPr>
      </w:pPr>
    </w:p>
    <w:p w14:paraId="14E88987" w14:textId="77777777" w:rsidR="00D3344B" w:rsidRDefault="00143C25">
      <w:pPr>
        <w:pStyle w:val="Estilo"/>
        <w:ind w:left="1134" w:hanging="567"/>
        <w:rPr>
          <w:rFonts w:cs="Arial"/>
          <w:i/>
          <w:sz w:val="16"/>
          <w:szCs w:val="16"/>
        </w:rPr>
      </w:pPr>
      <w:r>
        <w:rPr>
          <w:rFonts w:cs="Arial"/>
          <w:i/>
          <w:sz w:val="16"/>
          <w:szCs w:val="16"/>
        </w:rPr>
        <w:t>(REFORMADO PRIMER PÁRRAFO, P.O. 31 DE DICIEMBRE DE 2007)</w:t>
      </w:r>
    </w:p>
    <w:p w14:paraId="37F0BCA9" w14:textId="77777777" w:rsidR="00D3344B" w:rsidRDefault="00143C25">
      <w:pPr>
        <w:pStyle w:val="Estilo"/>
        <w:ind w:left="1134" w:hanging="567"/>
        <w:rPr>
          <w:rFonts w:cs="Arial"/>
        </w:rPr>
      </w:pPr>
      <w:r>
        <w:rPr>
          <w:rFonts w:cs="Arial"/>
        </w:rPr>
        <w:lastRenderedPageBreak/>
        <w:t xml:space="preserve">b) </w:t>
      </w:r>
      <w:r>
        <w:rPr>
          <w:rFonts w:cs="Arial"/>
        </w:rPr>
        <w:tab/>
        <w:t>Fondo Recaudatorio Predial. El Fondo Recaudatorio se constituirá con un monto igual al 25% de dicha diferencia y se distribuirá entre los municipios del Estado con base a la dinámica de la recaudación del Impuesto Predial, correspondiente al ejercicio fiscal inmediato anterior al de la entrega del Fondo Estatal Participable.</w:t>
      </w:r>
    </w:p>
    <w:p w14:paraId="29827736" w14:textId="77777777" w:rsidR="00D3344B" w:rsidRDefault="00D3344B">
      <w:pPr>
        <w:pStyle w:val="Estilo"/>
        <w:ind w:left="1134" w:hanging="567"/>
        <w:rPr>
          <w:rFonts w:cs="Arial"/>
        </w:rPr>
      </w:pPr>
    </w:p>
    <w:p w14:paraId="0D2427F7" w14:textId="77777777" w:rsidR="00D3344B" w:rsidRDefault="00143C25">
      <w:pPr>
        <w:pStyle w:val="Estilo"/>
        <w:ind w:left="1134"/>
        <w:rPr>
          <w:rFonts w:cs="Arial"/>
        </w:rPr>
      </w:pPr>
      <w:r>
        <w:rPr>
          <w:rFonts w:cs="Arial"/>
        </w:rPr>
        <w:t>La dinámica de recaudación del Impuesto predial, será el resultado de multiplicar el coeficiente de crecimiento del Impuesto Predial de cada Municipio por el importe a que hace referencia el párrafo anterior.</w:t>
      </w:r>
    </w:p>
    <w:p w14:paraId="3F1DDDF0" w14:textId="77777777" w:rsidR="00D3344B" w:rsidRDefault="00D3344B">
      <w:pPr>
        <w:pStyle w:val="Estilo"/>
        <w:ind w:left="1134" w:hanging="567"/>
        <w:rPr>
          <w:rFonts w:cs="Arial"/>
        </w:rPr>
      </w:pPr>
    </w:p>
    <w:p w14:paraId="77D8044B" w14:textId="77777777" w:rsidR="00D3344B" w:rsidRDefault="00143C25">
      <w:pPr>
        <w:pStyle w:val="Estilo"/>
        <w:ind w:left="1134"/>
        <w:rPr>
          <w:rFonts w:cs="Arial"/>
        </w:rPr>
      </w:pPr>
      <w:r>
        <w:rPr>
          <w:rFonts w:cs="Arial"/>
        </w:rPr>
        <w:t>Para la obtención del crecimiento del Impuesto Predial en primer lugar se dividirá el monto de la recaudación del Impuesto Predial correspondiente al año inmediato anterior al de la entrega del Fondo Estatal Participable sobre el monto recaudado de dicho impuesto correspondiente al ejercicio inmediato anterior de este último.</w:t>
      </w:r>
    </w:p>
    <w:p w14:paraId="3529B5B8" w14:textId="77777777" w:rsidR="00D3344B" w:rsidRDefault="00D3344B">
      <w:pPr>
        <w:pStyle w:val="Estilo"/>
        <w:ind w:left="1134" w:hanging="567"/>
        <w:rPr>
          <w:rFonts w:cs="Arial"/>
        </w:rPr>
      </w:pPr>
    </w:p>
    <w:p w14:paraId="1C2D3315" w14:textId="77777777" w:rsidR="00D3344B" w:rsidRDefault="00143C25">
      <w:pPr>
        <w:pStyle w:val="Estilo"/>
        <w:ind w:left="1134"/>
        <w:rPr>
          <w:rFonts w:cs="Arial"/>
        </w:rPr>
      </w:pPr>
      <w:r>
        <w:rPr>
          <w:rFonts w:cs="Arial"/>
        </w:rPr>
        <w:t>El coeficiente derivado del párrafo anterior, se dividirá entre la sumatoria de coeficientes de todos los municipios determinado con base a dicho párrafo,</w:t>
      </w:r>
    </w:p>
    <w:p w14:paraId="0D0D5AF0" w14:textId="77777777" w:rsidR="00D3344B" w:rsidRDefault="00D3344B">
      <w:pPr>
        <w:pStyle w:val="Estilo"/>
        <w:ind w:left="1134" w:hanging="567"/>
        <w:rPr>
          <w:rFonts w:cs="Arial"/>
        </w:rPr>
      </w:pPr>
    </w:p>
    <w:p w14:paraId="54666667" w14:textId="77777777" w:rsidR="00D3344B" w:rsidRDefault="00143C25">
      <w:pPr>
        <w:pStyle w:val="Estilo"/>
        <w:ind w:left="1134" w:hanging="567"/>
        <w:rPr>
          <w:rFonts w:cs="Arial"/>
          <w:i/>
          <w:sz w:val="16"/>
          <w:szCs w:val="16"/>
        </w:rPr>
      </w:pPr>
      <w:r>
        <w:rPr>
          <w:rFonts w:cs="Arial"/>
          <w:i/>
          <w:sz w:val="16"/>
          <w:szCs w:val="16"/>
        </w:rPr>
        <w:t>(REFORMADO PRIMER PÁRRAFO, P.O. 31 DE DICIEMBRE DE 2007)</w:t>
      </w:r>
    </w:p>
    <w:p w14:paraId="7773669D" w14:textId="77777777" w:rsidR="00D3344B" w:rsidRDefault="00143C25">
      <w:pPr>
        <w:pStyle w:val="Estilo"/>
        <w:ind w:left="1134" w:hanging="567"/>
        <w:rPr>
          <w:rFonts w:cs="Arial"/>
        </w:rPr>
      </w:pPr>
      <w:r>
        <w:rPr>
          <w:rFonts w:cs="Arial"/>
        </w:rPr>
        <w:t xml:space="preserve">c) </w:t>
      </w:r>
      <w:r>
        <w:rPr>
          <w:rFonts w:cs="Arial"/>
        </w:rPr>
        <w:tab/>
        <w:t>Fondo Recaudatorio Derechos de Agua. El Fondo Recaudatorio se constituirá con un monto igual al 25% de dicha diferencia y se distribuirá entre los municipios del Estado con base a la dinámica de la recaudación de los Derechos de Agua, correspondiente al ejercicio fiscal inmediato anterior al de la entrega del Fondo Estatal Participable.</w:t>
      </w:r>
    </w:p>
    <w:p w14:paraId="21349624" w14:textId="77777777" w:rsidR="00D3344B" w:rsidRDefault="00D3344B">
      <w:pPr>
        <w:pStyle w:val="Estilo"/>
        <w:ind w:left="1134" w:hanging="567"/>
        <w:rPr>
          <w:rFonts w:cs="Arial"/>
        </w:rPr>
      </w:pPr>
    </w:p>
    <w:p w14:paraId="7970955A" w14:textId="77777777" w:rsidR="00D3344B" w:rsidRDefault="00143C25">
      <w:pPr>
        <w:pStyle w:val="Estilo"/>
        <w:ind w:left="1134"/>
        <w:rPr>
          <w:rFonts w:cs="Arial"/>
        </w:rPr>
      </w:pPr>
      <w:r>
        <w:rPr>
          <w:rFonts w:cs="Arial"/>
        </w:rPr>
        <w:t>La dinámica de recaudación de los Derechos de Agua, será el resultado de multiplicar el coeficiente de crecimiento de los Derechos de Agua de cada Municipio por el importe a que hace referencia el párrafo anterior.</w:t>
      </w:r>
    </w:p>
    <w:p w14:paraId="6F1E9953" w14:textId="77777777" w:rsidR="00D3344B" w:rsidRDefault="00D3344B">
      <w:pPr>
        <w:pStyle w:val="Estilo"/>
        <w:ind w:left="1134" w:hanging="567"/>
        <w:rPr>
          <w:rFonts w:cs="Arial"/>
        </w:rPr>
      </w:pPr>
    </w:p>
    <w:p w14:paraId="03ECFA45" w14:textId="77777777" w:rsidR="00D3344B" w:rsidRDefault="00143C25">
      <w:pPr>
        <w:pStyle w:val="Estilo"/>
        <w:ind w:left="1134"/>
        <w:rPr>
          <w:rFonts w:cs="Arial"/>
        </w:rPr>
      </w:pPr>
      <w:r>
        <w:rPr>
          <w:rFonts w:cs="Arial"/>
        </w:rPr>
        <w:t>Para la obtención del crecimiento de los derechos de agua en primer lugar se dividirá el monto de la recaudación de los derechos de agua correspondiente al año inmediato anterior al de la entrega del Fondo Estatal Participable sobre el monto recaudado de dicho derecho correspondiente al ejercicio inmediato anterior de este último.</w:t>
      </w:r>
    </w:p>
    <w:p w14:paraId="3549D8F2" w14:textId="77777777" w:rsidR="00D3344B" w:rsidRDefault="00D3344B">
      <w:pPr>
        <w:pStyle w:val="Estilo"/>
        <w:ind w:left="1134" w:hanging="567"/>
        <w:rPr>
          <w:rFonts w:cs="Arial"/>
        </w:rPr>
      </w:pPr>
    </w:p>
    <w:p w14:paraId="6D149860" w14:textId="77777777" w:rsidR="00D3344B" w:rsidRDefault="00143C25">
      <w:pPr>
        <w:pStyle w:val="Estilo"/>
        <w:ind w:left="1134"/>
        <w:rPr>
          <w:rFonts w:cs="Arial"/>
        </w:rPr>
      </w:pPr>
      <w:r>
        <w:rPr>
          <w:rFonts w:cs="Arial"/>
        </w:rPr>
        <w:t>El coeficiente derivado del párrafo anterior, se dividirá entre la sumatoria de coeficientes de todos los municipios determinado con base a dicho párrafo, y</w:t>
      </w:r>
    </w:p>
    <w:p w14:paraId="4A267A42" w14:textId="77777777" w:rsidR="00D3344B" w:rsidRDefault="00D3344B">
      <w:pPr>
        <w:pStyle w:val="Estilo"/>
        <w:ind w:left="1134" w:hanging="567"/>
        <w:rPr>
          <w:rFonts w:cs="Arial"/>
        </w:rPr>
      </w:pPr>
    </w:p>
    <w:p w14:paraId="412D18A8" w14:textId="77777777" w:rsidR="00D3344B" w:rsidRDefault="00143C25">
      <w:pPr>
        <w:pStyle w:val="Estilo"/>
        <w:ind w:left="1134" w:hanging="567"/>
        <w:rPr>
          <w:rFonts w:cs="Arial"/>
        </w:rPr>
      </w:pPr>
      <w:r>
        <w:rPr>
          <w:rFonts w:cs="Arial"/>
        </w:rPr>
        <w:t xml:space="preserve">d) </w:t>
      </w:r>
      <w:r>
        <w:rPr>
          <w:rFonts w:cs="Arial"/>
        </w:rPr>
        <w:tab/>
      </w:r>
      <w:r>
        <w:rPr>
          <w:rFonts w:cs="Arial"/>
          <w:i/>
          <w:sz w:val="16"/>
        </w:rPr>
        <w:t>(DEROGADO, P.O. 31 DE DICIEMBRE DE 2007)</w:t>
      </w:r>
    </w:p>
    <w:p w14:paraId="7A17C755" w14:textId="77777777" w:rsidR="00D3344B" w:rsidRDefault="00D3344B">
      <w:pPr>
        <w:pStyle w:val="Estilo"/>
        <w:ind w:left="1134" w:hanging="567"/>
        <w:rPr>
          <w:rFonts w:cs="Arial"/>
        </w:rPr>
      </w:pPr>
    </w:p>
    <w:p w14:paraId="7D471411" w14:textId="77777777" w:rsidR="00D3344B" w:rsidRDefault="00143C25">
      <w:pPr>
        <w:pStyle w:val="Estilo"/>
        <w:ind w:left="1134" w:hanging="567"/>
        <w:rPr>
          <w:rFonts w:cs="Arial"/>
        </w:rPr>
      </w:pPr>
      <w:r>
        <w:rPr>
          <w:rFonts w:cs="Arial"/>
          <w:i/>
          <w:sz w:val="16"/>
        </w:rPr>
        <w:t>(ADICIONADO, P.O. 31 DE DICIEMBRE DE 2007)</w:t>
      </w:r>
    </w:p>
    <w:p w14:paraId="2AD9CAAF" w14:textId="77777777" w:rsidR="00D3344B" w:rsidRDefault="00143C25">
      <w:pPr>
        <w:pStyle w:val="Estilo"/>
        <w:ind w:left="1134" w:hanging="567"/>
        <w:rPr>
          <w:rFonts w:cs="Arial"/>
        </w:rPr>
      </w:pPr>
      <w:r>
        <w:rPr>
          <w:rFonts w:cs="Arial"/>
        </w:rPr>
        <w:t xml:space="preserve">e) </w:t>
      </w:r>
      <w:r>
        <w:rPr>
          <w:rFonts w:cs="Arial"/>
        </w:rPr>
        <w:tab/>
        <w:t xml:space="preserve">Fondo de Estabilización a la Recaudación del Impuesto Predial. Se integrará con un 10% de la diferencia establecida en la fracción II de este artículo, multiplicada por el coeficiente de recaudación determinado con </w:t>
      </w:r>
      <w:r>
        <w:rPr>
          <w:rFonts w:cs="Arial"/>
        </w:rPr>
        <w:lastRenderedPageBreak/>
        <w:t>base en el esfuerzo recaudatorio de cada municipio correspondiente al ejercicio inmediato anterior al de la entrega del Fondo Estatal Participable.</w:t>
      </w:r>
    </w:p>
    <w:p w14:paraId="004174D1" w14:textId="77777777" w:rsidR="00D3344B" w:rsidRDefault="00D3344B">
      <w:pPr>
        <w:pStyle w:val="Estilo"/>
        <w:ind w:left="1134" w:hanging="567"/>
        <w:rPr>
          <w:rFonts w:cs="Arial"/>
        </w:rPr>
      </w:pPr>
    </w:p>
    <w:p w14:paraId="6A2B3636" w14:textId="77777777" w:rsidR="00D3344B" w:rsidRDefault="00143C25">
      <w:pPr>
        <w:pStyle w:val="Estilo"/>
        <w:ind w:left="1134"/>
        <w:rPr>
          <w:rFonts w:cs="Arial"/>
        </w:rPr>
      </w:pPr>
      <w:r>
        <w:rPr>
          <w:rFonts w:cs="Arial"/>
        </w:rPr>
        <w:t>El coeficiente de cada Municipio se obtendrá dividiendo su recaudación, entre la sumatoria del total de municipios.</w:t>
      </w:r>
    </w:p>
    <w:p w14:paraId="16CBAFFB" w14:textId="77777777" w:rsidR="00D3344B" w:rsidRDefault="00D3344B">
      <w:pPr>
        <w:pStyle w:val="Estilo"/>
        <w:ind w:left="1134" w:hanging="567"/>
        <w:rPr>
          <w:rFonts w:cs="Arial"/>
        </w:rPr>
      </w:pPr>
    </w:p>
    <w:p w14:paraId="1F2AE370" w14:textId="77777777" w:rsidR="00D3344B" w:rsidRDefault="00143C25">
      <w:pPr>
        <w:pStyle w:val="Estilo"/>
        <w:ind w:left="1134"/>
        <w:rPr>
          <w:rFonts w:cs="Arial"/>
        </w:rPr>
      </w:pPr>
      <w:r>
        <w:rPr>
          <w:rFonts w:cs="Arial"/>
        </w:rPr>
        <w:t>Se entiende por esfuerzo recaudatorio las acciones de carácter administrativo o estratégico que permitan elevar el ingreso por concepto del Impuesto Predial, en el ejercicio inmediato anterior al de la entrega del Fondo Estatal Participable.</w:t>
      </w:r>
    </w:p>
    <w:p w14:paraId="4B63FC74" w14:textId="77777777" w:rsidR="00D3344B" w:rsidRDefault="00D3344B">
      <w:pPr>
        <w:pStyle w:val="Estilo"/>
        <w:ind w:left="1134" w:hanging="567"/>
        <w:rPr>
          <w:rFonts w:cs="Arial"/>
        </w:rPr>
      </w:pPr>
    </w:p>
    <w:p w14:paraId="55D8D3E4" w14:textId="77777777" w:rsidR="00D3344B" w:rsidRDefault="00143C25">
      <w:pPr>
        <w:pStyle w:val="Estilo"/>
        <w:ind w:left="1134" w:hanging="567"/>
        <w:rPr>
          <w:rFonts w:cs="Arial"/>
        </w:rPr>
      </w:pPr>
      <w:r>
        <w:rPr>
          <w:rFonts w:cs="Arial"/>
          <w:i/>
          <w:sz w:val="16"/>
        </w:rPr>
        <w:t>(ADICIONADO, P.O. 31 DE DICIEMBRE DE 2007)</w:t>
      </w:r>
    </w:p>
    <w:p w14:paraId="7A45C54A" w14:textId="77777777" w:rsidR="00D3344B" w:rsidRDefault="00143C25">
      <w:pPr>
        <w:pStyle w:val="Estilo"/>
        <w:ind w:left="1134" w:hanging="567"/>
        <w:rPr>
          <w:rFonts w:cs="Arial"/>
        </w:rPr>
      </w:pPr>
      <w:r>
        <w:rPr>
          <w:rFonts w:cs="Arial"/>
        </w:rPr>
        <w:t xml:space="preserve">f) </w:t>
      </w:r>
      <w:r>
        <w:rPr>
          <w:rFonts w:cs="Arial"/>
        </w:rPr>
        <w:tab/>
        <w:t>Fondo de Estabilización a la Recaudación de los Derechos de Agua. Se integrará con un 10% de la diferencia establecida en la fracción II de este artículo, multiplicada por el coeficiente de recaudación determinado con base en el esfuerzo recaudatorio de cada Municipio correspondiente al ejercicio inmediato anterior al de la entrega del Fondo Estatal Participable.</w:t>
      </w:r>
    </w:p>
    <w:p w14:paraId="61AEA490" w14:textId="77777777" w:rsidR="00D3344B" w:rsidRDefault="00D3344B">
      <w:pPr>
        <w:pStyle w:val="Estilo"/>
        <w:ind w:left="1134" w:hanging="567"/>
        <w:rPr>
          <w:rFonts w:cs="Arial"/>
        </w:rPr>
      </w:pPr>
    </w:p>
    <w:p w14:paraId="03EC0BBF" w14:textId="77777777" w:rsidR="00D3344B" w:rsidRDefault="00143C25">
      <w:pPr>
        <w:pStyle w:val="Estilo"/>
        <w:ind w:left="1134"/>
        <w:rPr>
          <w:rFonts w:cs="Arial"/>
        </w:rPr>
      </w:pPr>
      <w:r>
        <w:rPr>
          <w:rFonts w:cs="Arial"/>
        </w:rPr>
        <w:t>El coeficiente de cada Municipio se obtendrá dividiendo su recaudación, entre la sumatoria del total de municipios.</w:t>
      </w:r>
    </w:p>
    <w:p w14:paraId="118B534A" w14:textId="77777777" w:rsidR="00D3344B" w:rsidRDefault="00D3344B">
      <w:pPr>
        <w:pStyle w:val="Estilo"/>
        <w:ind w:left="1134" w:hanging="567"/>
        <w:rPr>
          <w:rFonts w:cs="Arial"/>
        </w:rPr>
      </w:pPr>
    </w:p>
    <w:p w14:paraId="2906FA80" w14:textId="77777777" w:rsidR="00D3344B" w:rsidRDefault="00143C25">
      <w:pPr>
        <w:pStyle w:val="Estilo"/>
        <w:ind w:left="1134"/>
        <w:rPr>
          <w:rFonts w:cs="Arial"/>
        </w:rPr>
      </w:pPr>
      <w:r>
        <w:rPr>
          <w:rFonts w:cs="Arial"/>
        </w:rPr>
        <w:t>Se entiende por esfuerzo recaudatorio las acciones de carácter administrativo o estratégico que permitan elevar el ingreso por concepto de los Derechos de Agua, en el ejercicio inmediato anterior al de la entrega del Fondo Estatal Participable.</w:t>
      </w:r>
    </w:p>
    <w:p w14:paraId="0BC4D852" w14:textId="77777777" w:rsidR="00D3344B" w:rsidRDefault="00D3344B">
      <w:pPr>
        <w:pStyle w:val="Estilo"/>
        <w:ind w:left="1134" w:hanging="567"/>
        <w:rPr>
          <w:rFonts w:cs="Arial"/>
        </w:rPr>
      </w:pPr>
    </w:p>
    <w:p w14:paraId="19AB70C6" w14:textId="77777777" w:rsidR="00D3344B" w:rsidRDefault="00143C25">
      <w:pPr>
        <w:pStyle w:val="Estilo"/>
        <w:ind w:left="1134" w:hanging="567"/>
        <w:rPr>
          <w:rFonts w:cs="Arial"/>
        </w:rPr>
      </w:pPr>
      <w:r>
        <w:rPr>
          <w:rFonts w:cs="Arial"/>
          <w:i/>
          <w:sz w:val="16"/>
        </w:rPr>
        <w:t>(REFORMADO, P.O. 31 DE DICIEMBRE DE 2007)</w:t>
      </w:r>
    </w:p>
    <w:p w14:paraId="61120B22" w14:textId="77777777" w:rsidR="00D3344B" w:rsidRDefault="00143C25">
      <w:pPr>
        <w:pStyle w:val="Estilo"/>
        <w:ind w:left="1134" w:hanging="567"/>
        <w:rPr>
          <w:rFonts w:cs="Arial"/>
        </w:rPr>
      </w:pPr>
      <w:r>
        <w:rPr>
          <w:rFonts w:cs="Arial"/>
        </w:rPr>
        <w:t xml:space="preserve">g) </w:t>
      </w:r>
      <w:r>
        <w:rPr>
          <w:rFonts w:cs="Arial"/>
        </w:rPr>
        <w:tab/>
        <w:t>Fondo de Desarrollo Municipal. El Fondo de Desarrollo Municipal se constituirá con un monto igual al 10% de la misma diferencia y se distribuirá en proporción inversa a las participaciones por habitante que tenga cada Municipio, éstas serán el resultado de la suma de los Fondos a que se refieren las fracciones I y II en sus incisos a), b), c), e) y f) de este artículo en el ejercicio de que se trate.</w:t>
      </w:r>
    </w:p>
    <w:p w14:paraId="0C4201D4" w14:textId="77777777" w:rsidR="00D3344B" w:rsidRDefault="00D3344B">
      <w:pPr>
        <w:pStyle w:val="Estilo"/>
        <w:rPr>
          <w:rFonts w:cs="Arial"/>
        </w:rPr>
      </w:pPr>
    </w:p>
    <w:p w14:paraId="5B4CD9C3" w14:textId="77777777" w:rsidR="00D3344B" w:rsidRDefault="00143C25">
      <w:pPr>
        <w:pStyle w:val="Estilo"/>
        <w:rPr>
          <w:rFonts w:cs="Arial"/>
        </w:rPr>
      </w:pPr>
      <w:r>
        <w:rPr>
          <w:rFonts w:cs="Arial"/>
          <w:i/>
          <w:sz w:val="16"/>
        </w:rPr>
        <w:t>N. DE E. EN RELACIÓN CON LA ENTRADA EN VIGOR DEL PRESENTE ARTÍCULO, VÉASE ARTÍCULO ÚNICO TRANSITORIO DEL DECRETO QUE MODIFICA EL CÓDIGO.</w:t>
      </w:r>
    </w:p>
    <w:p w14:paraId="2E4AED13" w14:textId="77777777" w:rsidR="00D3344B" w:rsidRDefault="00143C25">
      <w:pPr>
        <w:pStyle w:val="Estilo"/>
        <w:rPr>
          <w:rFonts w:cs="Arial"/>
        </w:rPr>
      </w:pPr>
      <w:r>
        <w:rPr>
          <w:rFonts w:cs="Arial"/>
          <w:i/>
          <w:sz w:val="16"/>
        </w:rPr>
        <w:t>(ADICIONADO, P.O. 23 DE DICIEMBRE DE 2008)</w:t>
      </w:r>
    </w:p>
    <w:p w14:paraId="0B75C693" w14:textId="77777777" w:rsidR="00D3344B" w:rsidRDefault="00143C25">
      <w:pPr>
        <w:pStyle w:val="Estilo"/>
        <w:rPr>
          <w:rFonts w:cs="Arial"/>
        </w:rPr>
      </w:pPr>
      <w:r>
        <w:rPr>
          <w:rFonts w:cs="Arial"/>
          <w:b/>
        </w:rPr>
        <w:t xml:space="preserve">Artículo 504 A. </w:t>
      </w:r>
      <w:r>
        <w:rPr>
          <w:rFonts w:cs="Arial"/>
        </w:rPr>
        <w:t xml:space="preserve">Los ingresos municipales establecidos en el artículo 503, fracción I, incisos h) e i), ministrados por el Gobierno Federal al Estado por concepto de incentivo derivado de la recaudación que este último realice por el impuesto especial sobre producción y servicios a la venta final de gasolinas y </w:t>
      </w:r>
      <w:proofErr w:type="spellStart"/>
      <w:r>
        <w:rPr>
          <w:rFonts w:cs="Arial"/>
        </w:rPr>
        <w:t>diesel</w:t>
      </w:r>
      <w:proofErr w:type="spellEnd"/>
      <w:r>
        <w:rPr>
          <w:rFonts w:cs="Arial"/>
        </w:rPr>
        <w:t xml:space="preserve"> (incentivo IEPS), a que refiere el artículo 2-A fracción II de la ley del citado impuesto y por el Fondo de Compensación (FOCO), se distribuirá entre los municipios del Estado a través de la constitución de los siguientes fondos:</w:t>
      </w:r>
    </w:p>
    <w:p w14:paraId="404FB29E" w14:textId="77777777" w:rsidR="00D3344B" w:rsidRDefault="00D3344B">
      <w:pPr>
        <w:pStyle w:val="Estilo"/>
        <w:rPr>
          <w:rFonts w:cs="Arial"/>
        </w:rPr>
      </w:pPr>
    </w:p>
    <w:p w14:paraId="4C844099" w14:textId="77777777" w:rsidR="00D3344B" w:rsidRDefault="00143C25">
      <w:pPr>
        <w:pStyle w:val="Estilo"/>
        <w:ind w:left="567" w:hanging="567"/>
        <w:rPr>
          <w:rFonts w:cs="Arial"/>
        </w:rPr>
      </w:pPr>
      <w:r>
        <w:rPr>
          <w:rFonts w:cs="Arial"/>
        </w:rPr>
        <w:lastRenderedPageBreak/>
        <w:t xml:space="preserve">I. </w:t>
      </w:r>
      <w:r>
        <w:rPr>
          <w:rFonts w:cs="Arial"/>
        </w:rPr>
        <w:tab/>
        <w:t>Determinación con base a la población. Se constituirá con el 70% de los ingresos que por concepto del incentivo IEPS y del FOCO obtenga el Estado, mismos que se distribuirán entre los municipios, multiplicados por el coeficiente de población de cada Municipio.</w:t>
      </w:r>
    </w:p>
    <w:p w14:paraId="08AF0853" w14:textId="77777777" w:rsidR="00D3344B" w:rsidRDefault="00D3344B">
      <w:pPr>
        <w:pStyle w:val="Estilo"/>
        <w:ind w:left="567" w:hanging="567"/>
        <w:rPr>
          <w:rFonts w:cs="Arial"/>
        </w:rPr>
      </w:pPr>
    </w:p>
    <w:p w14:paraId="3DDF0A5B" w14:textId="77777777" w:rsidR="00D3344B" w:rsidRDefault="00143C25">
      <w:pPr>
        <w:pStyle w:val="Estilo"/>
        <w:ind w:left="567"/>
        <w:rPr>
          <w:rFonts w:cs="Arial"/>
        </w:rPr>
      </w:pPr>
      <w:r>
        <w:rPr>
          <w:rFonts w:cs="Arial"/>
        </w:rPr>
        <w:t>El coeficiente de población se obtendrá dividiendo el número de habitantes del Municipio de que se trate entre el total del número de habitantes de los 60 municipios. El número de habitantes se tomará de acuerdo a la última información oficial que hubiera dado a conocer el Instituto Nacional de Estadística, Geografía e Informática.</w:t>
      </w:r>
    </w:p>
    <w:p w14:paraId="309D135C" w14:textId="77777777" w:rsidR="00D3344B" w:rsidRDefault="00D3344B">
      <w:pPr>
        <w:pStyle w:val="Estilo"/>
        <w:ind w:left="567" w:hanging="567"/>
        <w:rPr>
          <w:rFonts w:cs="Arial"/>
        </w:rPr>
      </w:pPr>
    </w:p>
    <w:p w14:paraId="14FC8325" w14:textId="77777777" w:rsidR="00D3344B" w:rsidRDefault="00143C25">
      <w:pPr>
        <w:pStyle w:val="Estilo"/>
        <w:ind w:left="567" w:hanging="567"/>
        <w:rPr>
          <w:rFonts w:cs="Arial"/>
        </w:rPr>
      </w:pPr>
      <w:r>
        <w:rPr>
          <w:rFonts w:cs="Arial"/>
        </w:rPr>
        <w:t xml:space="preserve">II. </w:t>
      </w:r>
      <w:r>
        <w:rPr>
          <w:rFonts w:cs="Arial"/>
        </w:rPr>
        <w:tab/>
        <w:t>Determinación del fondo recaudatorio predial. El fondo recaudatorio se constituirá con el 10% de los ingresos que por concepto del incentivo IEPS y del FOCO obtenga el Estado, que se distribuirá entre los municipios, multiplicados por el coeficiente de crecimiento de la recaudación del impuesto predial.</w:t>
      </w:r>
    </w:p>
    <w:p w14:paraId="363FEA4C" w14:textId="77777777" w:rsidR="00D3344B" w:rsidRDefault="00D3344B">
      <w:pPr>
        <w:pStyle w:val="Estilo"/>
        <w:ind w:left="567" w:hanging="567"/>
        <w:rPr>
          <w:rFonts w:cs="Arial"/>
        </w:rPr>
      </w:pPr>
    </w:p>
    <w:p w14:paraId="4D0C46DE" w14:textId="77777777" w:rsidR="00D3344B" w:rsidRDefault="00143C25">
      <w:pPr>
        <w:pStyle w:val="Estilo"/>
        <w:ind w:left="567"/>
        <w:rPr>
          <w:rFonts w:cs="Arial"/>
        </w:rPr>
      </w:pPr>
      <w:r>
        <w:rPr>
          <w:rFonts w:cs="Arial"/>
        </w:rPr>
        <w:t>El coeficiente de crecimiento de la recaudación del impuesto predial se obtendrá dividiendo el crecimiento de la recaudación del impuesto predial del municipio del año de que se trate, entre el total de crecimiento de la recaudación de impuesto predial de los 60 municipios.</w:t>
      </w:r>
    </w:p>
    <w:p w14:paraId="6B0783A5" w14:textId="77777777" w:rsidR="00D3344B" w:rsidRDefault="00D3344B">
      <w:pPr>
        <w:pStyle w:val="Estilo"/>
        <w:ind w:left="567" w:hanging="567"/>
        <w:rPr>
          <w:rFonts w:cs="Arial"/>
        </w:rPr>
      </w:pPr>
    </w:p>
    <w:p w14:paraId="1A523858" w14:textId="77777777" w:rsidR="00D3344B" w:rsidRDefault="00143C25">
      <w:pPr>
        <w:pStyle w:val="Estilo"/>
        <w:ind w:left="567"/>
        <w:rPr>
          <w:rFonts w:cs="Arial"/>
        </w:rPr>
      </w:pPr>
      <w:r>
        <w:rPr>
          <w:rFonts w:cs="Arial"/>
        </w:rPr>
        <w:t>El crecimiento de la recaudación del impuesto predial se obtendrá dividiendo el monto de la recaudación del impuesto predial del municipio de que se trate del ejercicio inmediato anterior al ejercicio por el que se determina la distribución, entre la recaudación de dicho impuesto del ejercicio inmediato anterior a este último.</w:t>
      </w:r>
    </w:p>
    <w:p w14:paraId="5F4854EB" w14:textId="77777777" w:rsidR="00D3344B" w:rsidRDefault="00D3344B">
      <w:pPr>
        <w:pStyle w:val="Estilo"/>
        <w:ind w:left="567" w:hanging="567"/>
        <w:rPr>
          <w:rFonts w:cs="Arial"/>
        </w:rPr>
      </w:pPr>
    </w:p>
    <w:p w14:paraId="74EEAA1D" w14:textId="77777777" w:rsidR="00D3344B" w:rsidRDefault="00143C25">
      <w:pPr>
        <w:pStyle w:val="Estilo"/>
        <w:ind w:left="567"/>
        <w:rPr>
          <w:rFonts w:cs="Arial"/>
        </w:rPr>
      </w:pPr>
      <w:r>
        <w:rPr>
          <w:rFonts w:cs="Arial"/>
        </w:rPr>
        <w:t>Las cifras de impuesto predial se tomarán de acuerdo a la última información oficial validada por la Secretaría de Hacienda y Crédito Público.</w:t>
      </w:r>
    </w:p>
    <w:p w14:paraId="03010636" w14:textId="77777777" w:rsidR="00D3344B" w:rsidRDefault="00D3344B">
      <w:pPr>
        <w:pStyle w:val="Estilo"/>
        <w:ind w:left="567" w:hanging="567"/>
        <w:rPr>
          <w:rFonts w:cs="Arial"/>
        </w:rPr>
      </w:pPr>
    </w:p>
    <w:p w14:paraId="5957F9D7" w14:textId="77777777" w:rsidR="00D3344B" w:rsidRDefault="00143C25">
      <w:pPr>
        <w:pStyle w:val="Estilo"/>
        <w:ind w:left="567" w:hanging="567"/>
        <w:rPr>
          <w:rFonts w:cs="Arial"/>
        </w:rPr>
      </w:pPr>
      <w:r>
        <w:rPr>
          <w:rFonts w:cs="Arial"/>
        </w:rPr>
        <w:t xml:space="preserve">III. </w:t>
      </w:r>
      <w:r>
        <w:rPr>
          <w:rFonts w:cs="Arial"/>
        </w:rPr>
        <w:tab/>
        <w:t>Determinación del fondo recaudatorio derechos de agua. El fondo recaudatorio se constituirá con el 10% de los ingresos que por concepto del incentivo IEPS y del FOCO obtenga el Estado, que se distribuirá entre los municipios, multiplicados por el coeficiente de crecimiento de la recaudación de los derechos de agua.</w:t>
      </w:r>
    </w:p>
    <w:p w14:paraId="1F189E1A" w14:textId="77777777" w:rsidR="00D3344B" w:rsidRDefault="00D3344B">
      <w:pPr>
        <w:pStyle w:val="Estilo"/>
        <w:ind w:left="567" w:hanging="567"/>
        <w:rPr>
          <w:rFonts w:cs="Arial"/>
        </w:rPr>
      </w:pPr>
    </w:p>
    <w:p w14:paraId="0E7612A1" w14:textId="77777777" w:rsidR="00D3344B" w:rsidRDefault="00143C25">
      <w:pPr>
        <w:pStyle w:val="Estilo"/>
        <w:ind w:left="567"/>
        <w:rPr>
          <w:rFonts w:cs="Arial"/>
        </w:rPr>
      </w:pPr>
      <w:r>
        <w:rPr>
          <w:rFonts w:cs="Arial"/>
        </w:rPr>
        <w:t>El coeficiente de crecimiento de la recaudación de los derechos de agua se obtendrá dividiendo el crecimiento de la recaudación de los derechos de agua del Municipio del año de que se trate, entre el total de crecimiento de la recaudación de los derechos de agua de los 60 municipios.</w:t>
      </w:r>
    </w:p>
    <w:p w14:paraId="62B57364" w14:textId="77777777" w:rsidR="00D3344B" w:rsidRDefault="00D3344B">
      <w:pPr>
        <w:pStyle w:val="Estilo"/>
        <w:ind w:left="567" w:hanging="567"/>
        <w:rPr>
          <w:rFonts w:cs="Arial"/>
        </w:rPr>
      </w:pPr>
    </w:p>
    <w:p w14:paraId="6618B96A" w14:textId="77777777" w:rsidR="00D3344B" w:rsidRDefault="00143C25">
      <w:pPr>
        <w:pStyle w:val="Estilo"/>
        <w:ind w:left="567"/>
        <w:rPr>
          <w:rFonts w:cs="Arial"/>
        </w:rPr>
      </w:pPr>
      <w:r>
        <w:rPr>
          <w:rFonts w:cs="Arial"/>
        </w:rPr>
        <w:t xml:space="preserve">El crecimiento de la recaudación de los derechos de agua se obtendrá dividiendo el monto de la recaudación de los derechos de agua del municipio de que se trate, del ejercicio inmediato anterior al ejercicio por el que se </w:t>
      </w:r>
      <w:r>
        <w:rPr>
          <w:rFonts w:cs="Arial"/>
        </w:rPr>
        <w:lastRenderedPageBreak/>
        <w:t>determina la distribución, entre la recaudación de dicho derecho del ejercicio inmediato anterior a este último.</w:t>
      </w:r>
    </w:p>
    <w:p w14:paraId="5D8DFB89" w14:textId="77777777" w:rsidR="00D3344B" w:rsidRDefault="00D3344B">
      <w:pPr>
        <w:pStyle w:val="Estilo"/>
        <w:ind w:left="567" w:hanging="567"/>
        <w:rPr>
          <w:rFonts w:cs="Arial"/>
        </w:rPr>
      </w:pPr>
    </w:p>
    <w:p w14:paraId="2AF7A36B" w14:textId="77777777" w:rsidR="00D3344B" w:rsidRDefault="00143C25">
      <w:pPr>
        <w:pStyle w:val="Estilo"/>
        <w:ind w:left="567"/>
        <w:rPr>
          <w:rFonts w:cs="Arial"/>
        </w:rPr>
      </w:pPr>
      <w:r>
        <w:rPr>
          <w:rFonts w:cs="Arial"/>
        </w:rPr>
        <w:t>Las cifras de los derechos de agua se tomarán de acuerdo a la última información oficial validada por la Secretaría de Hacienda y Crédito Público.</w:t>
      </w:r>
    </w:p>
    <w:p w14:paraId="794501E1" w14:textId="77777777" w:rsidR="00D3344B" w:rsidRDefault="00D3344B">
      <w:pPr>
        <w:pStyle w:val="Estilo"/>
        <w:ind w:left="567" w:hanging="567"/>
        <w:rPr>
          <w:rFonts w:cs="Arial"/>
        </w:rPr>
      </w:pPr>
    </w:p>
    <w:p w14:paraId="676615EA" w14:textId="77777777" w:rsidR="00D3344B" w:rsidRDefault="00143C25">
      <w:pPr>
        <w:pStyle w:val="Estilo"/>
        <w:ind w:left="567" w:hanging="567"/>
        <w:rPr>
          <w:rFonts w:cs="Arial"/>
        </w:rPr>
      </w:pPr>
      <w:r>
        <w:rPr>
          <w:rFonts w:cs="Arial"/>
        </w:rPr>
        <w:t xml:space="preserve">IV. </w:t>
      </w:r>
      <w:r>
        <w:rPr>
          <w:rFonts w:cs="Arial"/>
        </w:rPr>
        <w:tab/>
        <w:t>Fondo de estabilización a la recaudación del impuesto predial. Se constituirá con un 5% de los ingresos que por concepto del incentivo IEPS y del FOCO obtenga el Estado, que se distribuirá entre los municipios, multiplicados por el coeficiente de recaudación del impuesto predial, tomando en cuenta las cifras más recientes validadas por la Secretaría de Hacienda y Crédito Público.</w:t>
      </w:r>
    </w:p>
    <w:p w14:paraId="5263918A" w14:textId="77777777" w:rsidR="00D3344B" w:rsidRDefault="00D3344B">
      <w:pPr>
        <w:pStyle w:val="Estilo"/>
        <w:ind w:left="567" w:hanging="567"/>
        <w:rPr>
          <w:rFonts w:cs="Arial"/>
        </w:rPr>
      </w:pPr>
    </w:p>
    <w:p w14:paraId="50D34BAD" w14:textId="77777777" w:rsidR="00D3344B" w:rsidRDefault="00143C25">
      <w:pPr>
        <w:pStyle w:val="Estilo"/>
        <w:ind w:left="567"/>
        <w:rPr>
          <w:rFonts w:cs="Arial"/>
        </w:rPr>
      </w:pPr>
      <w:r>
        <w:rPr>
          <w:rFonts w:cs="Arial"/>
        </w:rPr>
        <w:t>El coeficiente de recaudación del impuesto predial se obtendrá dividiendo la recaudación del impuesto predial del Municipio de que se trate, correspondiente al ejercicio inmediato anterior al ejercicio por el que se determina la distribución, entre el total de la recaudación del impuesto predial de los 60 municipios.</w:t>
      </w:r>
    </w:p>
    <w:p w14:paraId="550AFEF1" w14:textId="77777777" w:rsidR="00D3344B" w:rsidRDefault="00D3344B">
      <w:pPr>
        <w:pStyle w:val="Estilo"/>
        <w:ind w:left="567" w:hanging="567"/>
        <w:rPr>
          <w:rFonts w:cs="Arial"/>
        </w:rPr>
      </w:pPr>
    </w:p>
    <w:p w14:paraId="21E34E40" w14:textId="77777777" w:rsidR="00D3344B" w:rsidRDefault="00143C25">
      <w:pPr>
        <w:pStyle w:val="Estilo"/>
        <w:ind w:left="567" w:hanging="567"/>
        <w:rPr>
          <w:rFonts w:cs="Arial"/>
        </w:rPr>
      </w:pPr>
      <w:r>
        <w:rPr>
          <w:rFonts w:cs="Arial"/>
        </w:rPr>
        <w:t xml:space="preserve">V. </w:t>
      </w:r>
      <w:r>
        <w:rPr>
          <w:rFonts w:cs="Arial"/>
        </w:rPr>
        <w:tab/>
        <w:t>Fondo de estabilización a la recaudación de los derechos de agua. Se constituirá con un 5% de los ingresos que por concepto del incentivo IEPS y del FOCO obtenga el Estado, que se distribuirá entre los municipios, multiplicados por el coeficiente de recaudación de los derechos de agua, tomando en cuenta las cifras más recientes validadas por la Secretaría de Hacienda y Crédito Público.</w:t>
      </w:r>
    </w:p>
    <w:p w14:paraId="283DB9E7" w14:textId="77777777" w:rsidR="00D3344B" w:rsidRDefault="00D3344B">
      <w:pPr>
        <w:pStyle w:val="Estilo"/>
        <w:rPr>
          <w:rFonts w:cs="Arial"/>
        </w:rPr>
      </w:pPr>
    </w:p>
    <w:p w14:paraId="6311A5C9" w14:textId="77777777" w:rsidR="00D3344B" w:rsidRDefault="00143C25">
      <w:pPr>
        <w:pStyle w:val="Estilo"/>
        <w:rPr>
          <w:rFonts w:cs="Arial"/>
        </w:rPr>
      </w:pPr>
      <w:r>
        <w:rPr>
          <w:rFonts w:cs="Arial"/>
        </w:rPr>
        <w:t>El coeficiente de recaudación de los derechos de agua, se obtendrá dividiendo la recaudación de los derechos de agua del Municipio de que se trate, correspondiente al ejercicio inmediato anterior al ejercicio por el que se determina la distribución, entre el total de la recaudación de los derechos de agua de los 60 municipios.</w:t>
      </w:r>
    </w:p>
    <w:p w14:paraId="37120C2D" w14:textId="77777777" w:rsidR="00D3344B" w:rsidRDefault="00D3344B">
      <w:pPr>
        <w:pStyle w:val="Estilo"/>
        <w:rPr>
          <w:rFonts w:cs="Arial"/>
        </w:rPr>
      </w:pPr>
    </w:p>
    <w:p w14:paraId="4A69F35D" w14:textId="77777777" w:rsidR="00D3344B" w:rsidRDefault="00143C25">
      <w:pPr>
        <w:pStyle w:val="Estilo"/>
        <w:rPr>
          <w:rFonts w:cs="Arial"/>
          <w:i/>
          <w:iCs/>
          <w:sz w:val="16"/>
          <w:szCs w:val="16"/>
        </w:rPr>
      </w:pPr>
      <w:r>
        <w:rPr>
          <w:rFonts w:cs="Arial"/>
          <w:i/>
          <w:iCs/>
          <w:sz w:val="16"/>
          <w:szCs w:val="16"/>
        </w:rPr>
        <w:t>(REFORMADO, P.O. 22 DE DICIEMBRE DE 2021)</w:t>
      </w:r>
    </w:p>
    <w:p w14:paraId="5DAA0888" w14:textId="77777777" w:rsidR="00D3344B" w:rsidRDefault="00143C25">
      <w:pPr>
        <w:pStyle w:val="Estilo"/>
        <w:rPr>
          <w:rFonts w:cs="Arial"/>
        </w:rPr>
      </w:pPr>
      <w:r>
        <w:rPr>
          <w:rFonts w:cs="Arial"/>
          <w:b/>
        </w:rPr>
        <w:t>Artículo 504 B.</w:t>
      </w:r>
      <w:r>
        <w:rPr>
          <w:rFonts w:cs="Arial"/>
        </w:rPr>
        <w:t xml:space="preserve"> Los ingresos por concepto de incentivo derivado de la recaudación que el Estado realice por el impuesto especial sobre producción y servicios a la venta final de gasolinas y diésel (incentivo IEPS), a que refiere el artículo 2-A fracción II de la ley del citado impuesto y por el fondo de compensación (FOCO) que le transfiera el Gobierno Federal, se determinarán, distribuirán y pagarán a los municipios dentro de los cinco días posteriores al en que el Estado los reciba, respectivamente.</w:t>
      </w:r>
    </w:p>
    <w:p w14:paraId="5F1629C3" w14:textId="77777777" w:rsidR="00D3344B" w:rsidRDefault="00D3344B">
      <w:pPr>
        <w:pStyle w:val="Estilo"/>
        <w:rPr>
          <w:rFonts w:cs="Arial"/>
        </w:rPr>
      </w:pPr>
    </w:p>
    <w:p w14:paraId="704D0E4E" w14:textId="77777777" w:rsidR="00D3344B" w:rsidRDefault="00143C25">
      <w:pPr>
        <w:pStyle w:val="Estilo"/>
        <w:rPr>
          <w:rFonts w:cs="Arial"/>
          <w:i/>
          <w:iCs/>
          <w:sz w:val="16"/>
          <w:szCs w:val="16"/>
        </w:rPr>
      </w:pPr>
      <w:r>
        <w:rPr>
          <w:rFonts w:cs="Arial"/>
          <w:i/>
          <w:iCs/>
          <w:sz w:val="16"/>
          <w:szCs w:val="16"/>
        </w:rPr>
        <w:t>(ADICIONADO, P.O. 22 DE DICIEMBRE DE 2021)</w:t>
      </w:r>
    </w:p>
    <w:p w14:paraId="572AB8D3" w14:textId="77777777" w:rsidR="00D3344B" w:rsidRDefault="00143C25">
      <w:pPr>
        <w:pStyle w:val="Estilo"/>
        <w:rPr>
          <w:rFonts w:cs="Arial"/>
        </w:rPr>
      </w:pPr>
      <w:r>
        <w:rPr>
          <w:rFonts w:cs="Arial"/>
          <w:b/>
          <w:bCs/>
        </w:rPr>
        <w:t>Artículo 504-C.</w:t>
      </w:r>
      <w:r>
        <w:rPr>
          <w:rFonts w:cs="Arial"/>
        </w:rPr>
        <w:t xml:space="preserve"> Los ingresos municipales establecidos en el artículo 503, fracción I, inciso k), que por concepto de incentivo del Impuesto Sobre la Renta por la Enajenación de Bienes Inmuebles a que se refiere el artículo 126 de la Ley del Impuesto Sobre la Renta, obtenga el Estado y que le sean transferidos por el Gobierno Federal, se distribuirán entre los municipios del Estado a través de la constitución de los fondos siguientes:</w:t>
      </w:r>
    </w:p>
    <w:p w14:paraId="1D016579" w14:textId="77777777" w:rsidR="00D3344B" w:rsidRDefault="00D3344B">
      <w:pPr>
        <w:pStyle w:val="Estilo"/>
        <w:rPr>
          <w:rFonts w:cs="Arial"/>
        </w:rPr>
      </w:pPr>
    </w:p>
    <w:p w14:paraId="599E9F3C" w14:textId="77777777" w:rsidR="00D3344B" w:rsidRDefault="00143C25">
      <w:pPr>
        <w:pStyle w:val="Estilo"/>
        <w:ind w:left="426" w:hanging="426"/>
        <w:rPr>
          <w:rFonts w:cs="Arial"/>
        </w:rPr>
      </w:pPr>
      <w:r>
        <w:rPr>
          <w:rFonts w:cs="Arial"/>
        </w:rPr>
        <w:lastRenderedPageBreak/>
        <w:t xml:space="preserve">I. </w:t>
      </w:r>
      <w:r>
        <w:rPr>
          <w:rFonts w:cs="Arial"/>
        </w:rPr>
        <w:tab/>
        <w:t>Fondo Poblacional. Se constituirá con el 20% de los ingresos a que se refiere el artículo 503, fracción I, inciso k), que por concepto de la recaudación del Impuesto Sobre la Renta por la Enajenación de Bienes Inmuebles obtenga el Estado, mismos que se distribuirán entre los municipios, multiplicando por el coeficiente de población de cada Municipio.</w:t>
      </w:r>
    </w:p>
    <w:p w14:paraId="354F9731" w14:textId="77777777" w:rsidR="00D3344B" w:rsidRDefault="00D3344B">
      <w:pPr>
        <w:pStyle w:val="Estilo"/>
        <w:ind w:left="426" w:hanging="426"/>
        <w:rPr>
          <w:rFonts w:cs="Arial"/>
        </w:rPr>
      </w:pPr>
    </w:p>
    <w:p w14:paraId="4967F6D6" w14:textId="77777777" w:rsidR="00D3344B" w:rsidRDefault="00143C25">
      <w:pPr>
        <w:pStyle w:val="Estilo"/>
        <w:ind w:left="426"/>
        <w:rPr>
          <w:rFonts w:cs="Arial"/>
        </w:rPr>
      </w:pPr>
      <w:r>
        <w:rPr>
          <w:rFonts w:cs="Arial"/>
        </w:rPr>
        <w:t>El coeficiente de población se obtendrá dividiendo el número de habitantes del Municipio de que se trate entre el total del número de habitantes de los 60 municipios. El número de habitantes se tomará de acuerdo a la última información oficial que hubiera dado a conocer el Instituto Nacional de Estadística y Geografía.</w:t>
      </w:r>
    </w:p>
    <w:p w14:paraId="347546E3" w14:textId="77777777" w:rsidR="00D3344B" w:rsidRDefault="00D3344B">
      <w:pPr>
        <w:pStyle w:val="Estilo"/>
        <w:ind w:left="426" w:hanging="426"/>
        <w:rPr>
          <w:rFonts w:cs="Arial"/>
        </w:rPr>
      </w:pPr>
    </w:p>
    <w:p w14:paraId="122D2F76" w14:textId="77777777" w:rsidR="00D3344B" w:rsidRDefault="00143C25">
      <w:pPr>
        <w:pStyle w:val="Estilo"/>
        <w:ind w:left="426" w:hanging="426"/>
        <w:rPr>
          <w:rFonts w:cs="Arial"/>
        </w:rPr>
      </w:pPr>
      <w:r>
        <w:rPr>
          <w:rFonts w:cs="Arial"/>
        </w:rPr>
        <w:t xml:space="preserve">II. </w:t>
      </w:r>
      <w:r>
        <w:rPr>
          <w:rFonts w:cs="Arial"/>
        </w:rPr>
        <w:tab/>
        <w:t>Fondo recaudatorio del impuesto predial. Este fondo se constituirá con el 25% de los ingresos a que se refiere el artículo 503, fracción I, inciso k), que por concepto de la recaudación del Impuesto Sobre la Renta por la Enajenación de Bienes Inmuebles obtenga el Estado, que se distribuirá entre los municipios, multiplicando por el coeficiente de crecimiento de la recaudación del impuesto predial.</w:t>
      </w:r>
    </w:p>
    <w:p w14:paraId="6A826FCC" w14:textId="77777777" w:rsidR="00D3344B" w:rsidRDefault="00D3344B">
      <w:pPr>
        <w:pStyle w:val="Estilo"/>
        <w:ind w:left="426" w:hanging="426"/>
        <w:rPr>
          <w:rFonts w:cs="Arial"/>
        </w:rPr>
      </w:pPr>
    </w:p>
    <w:p w14:paraId="2907CC36" w14:textId="77777777" w:rsidR="00D3344B" w:rsidRDefault="00143C25">
      <w:pPr>
        <w:pStyle w:val="Estilo"/>
        <w:ind w:left="426"/>
        <w:rPr>
          <w:rFonts w:cs="Arial"/>
        </w:rPr>
      </w:pPr>
      <w:r>
        <w:rPr>
          <w:rFonts w:cs="Arial"/>
        </w:rPr>
        <w:t>El coeficiente de crecimiento de la recaudación del impuesto predial se obtendrá dividiendo el crecimiento de la recaudación del impuesto predial del municipio del año de que se trate, entre el total de crecimiento de la recaudación de impuesto predial de los 60 municipios.</w:t>
      </w:r>
    </w:p>
    <w:p w14:paraId="2B320B0F" w14:textId="77777777" w:rsidR="00D3344B" w:rsidRDefault="00D3344B">
      <w:pPr>
        <w:pStyle w:val="Estilo"/>
        <w:ind w:left="426" w:hanging="426"/>
        <w:rPr>
          <w:rFonts w:cs="Arial"/>
        </w:rPr>
      </w:pPr>
    </w:p>
    <w:p w14:paraId="39DF1751" w14:textId="77777777" w:rsidR="00D3344B" w:rsidRDefault="00143C25">
      <w:pPr>
        <w:pStyle w:val="Estilo"/>
        <w:ind w:left="426"/>
        <w:rPr>
          <w:rFonts w:cs="Arial"/>
        </w:rPr>
      </w:pPr>
      <w:r>
        <w:rPr>
          <w:rFonts w:cs="Arial"/>
        </w:rPr>
        <w:t>El crecimiento de la recaudación del impuesto predial se obtendrá dividiendo el monto de la recaudación del impuesto predial del municipio de que se trate del ejercicio inmediato anterior al ejercicio por el que se determina la distribución, entre la recaudación de dicho impuesto del ejercicio inmediato anterior a este último.</w:t>
      </w:r>
    </w:p>
    <w:p w14:paraId="3E8E423C" w14:textId="77777777" w:rsidR="00D3344B" w:rsidRDefault="00D3344B">
      <w:pPr>
        <w:pStyle w:val="Estilo"/>
        <w:ind w:left="426" w:hanging="426"/>
        <w:rPr>
          <w:rFonts w:cs="Arial"/>
        </w:rPr>
      </w:pPr>
    </w:p>
    <w:p w14:paraId="728FE065" w14:textId="77777777" w:rsidR="00D3344B" w:rsidRDefault="00143C25">
      <w:pPr>
        <w:pStyle w:val="Estilo"/>
        <w:ind w:left="426"/>
        <w:rPr>
          <w:rFonts w:cs="Arial"/>
        </w:rPr>
      </w:pPr>
      <w:r>
        <w:rPr>
          <w:rFonts w:cs="Arial"/>
        </w:rPr>
        <w:t>Las cifras de impuesto predial se tomarán de acuerdo a la última información oficial validada por la Secretaría de Hacienda y Crédito Público.</w:t>
      </w:r>
    </w:p>
    <w:p w14:paraId="14A0726A" w14:textId="77777777" w:rsidR="00D3344B" w:rsidRDefault="00D3344B">
      <w:pPr>
        <w:pStyle w:val="Estilo"/>
        <w:ind w:left="426" w:hanging="426"/>
        <w:rPr>
          <w:rFonts w:cs="Arial"/>
        </w:rPr>
      </w:pPr>
    </w:p>
    <w:p w14:paraId="6A51F963" w14:textId="77777777" w:rsidR="00D3344B" w:rsidRDefault="00143C25">
      <w:pPr>
        <w:pStyle w:val="Estilo"/>
        <w:ind w:left="426" w:hanging="426"/>
        <w:rPr>
          <w:rFonts w:cs="Arial"/>
        </w:rPr>
      </w:pPr>
      <w:r>
        <w:rPr>
          <w:rFonts w:cs="Arial"/>
        </w:rPr>
        <w:t xml:space="preserve">III. </w:t>
      </w:r>
      <w:r>
        <w:rPr>
          <w:rFonts w:cs="Arial"/>
        </w:rPr>
        <w:tab/>
        <w:t>Fondo recaudatorio de los derechos por suministro de agua potable. Este fondo recaudatorio se constituirá con el 25% de los ingresos a que se refiere el artículo 503, fracción I, inciso k), que por concepto de la recaudación del Impuesto Sobre la Renta por la Enajenación de Bienes Inmuebles obtenga el Estado, y se distribuirá entre los municipios, multiplicando por el coeficiente de crecimiento de la recaudación de los derechos por suministro de agua potable.</w:t>
      </w:r>
    </w:p>
    <w:p w14:paraId="65D94399" w14:textId="77777777" w:rsidR="00D3344B" w:rsidRDefault="00D3344B">
      <w:pPr>
        <w:pStyle w:val="Estilo"/>
        <w:ind w:left="426" w:hanging="426"/>
        <w:rPr>
          <w:rFonts w:cs="Arial"/>
        </w:rPr>
      </w:pPr>
    </w:p>
    <w:p w14:paraId="5B032F5B" w14:textId="77777777" w:rsidR="00D3344B" w:rsidRDefault="00143C25">
      <w:pPr>
        <w:pStyle w:val="Estilo"/>
        <w:ind w:left="426"/>
        <w:rPr>
          <w:rFonts w:cs="Arial"/>
        </w:rPr>
      </w:pPr>
      <w:r>
        <w:rPr>
          <w:rFonts w:cs="Arial"/>
        </w:rPr>
        <w:t>El coeficiente de crecimiento de la recaudación de los derechos por suministro de agua potable se obtendrá dividiendo el crecimiento de la recaudación de los derechos por suministro de agua potable del Municipio del año de que se trate, entre el total de crecimiento de la recaudación de los derechos por suministro de agua potable de los 60 municipios.</w:t>
      </w:r>
    </w:p>
    <w:p w14:paraId="243C89AE" w14:textId="77777777" w:rsidR="00D3344B" w:rsidRDefault="00D3344B">
      <w:pPr>
        <w:pStyle w:val="Estilo"/>
        <w:ind w:left="426" w:hanging="426"/>
        <w:rPr>
          <w:rFonts w:cs="Arial"/>
        </w:rPr>
      </w:pPr>
    </w:p>
    <w:p w14:paraId="417AA6F6" w14:textId="77777777" w:rsidR="00D3344B" w:rsidRDefault="00143C25">
      <w:pPr>
        <w:pStyle w:val="Estilo"/>
        <w:ind w:left="426"/>
        <w:rPr>
          <w:rFonts w:cs="Arial"/>
        </w:rPr>
      </w:pPr>
      <w:r>
        <w:rPr>
          <w:rFonts w:cs="Arial"/>
        </w:rPr>
        <w:lastRenderedPageBreak/>
        <w:t>El crecimiento de la recaudación de los derechos por suministro de agua potable se obtendrá dividiendo el monto de la recaudación de los derechos por suministro de agua potable del municipio de que se trate, del ejercicio inmediato anterior al ejercicio por el que se determina la distribución, entre la recaudación de dicho derecho del ejercicio inmediato anterior a este último.</w:t>
      </w:r>
    </w:p>
    <w:p w14:paraId="1964018A" w14:textId="77777777" w:rsidR="00D3344B" w:rsidRDefault="00D3344B">
      <w:pPr>
        <w:pStyle w:val="Estilo"/>
        <w:ind w:left="426" w:hanging="426"/>
        <w:rPr>
          <w:rFonts w:cs="Arial"/>
        </w:rPr>
      </w:pPr>
    </w:p>
    <w:p w14:paraId="2C9BBA44" w14:textId="77777777" w:rsidR="00D3344B" w:rsidRDefault="00143C25">
      <w:pPr>
        <w:pStyle w:val="Estilo"/>
        <w:ind w:left="426"/>
        <w:rPr>
          <w:rFonts w:cs="Arial"/>
        </w:rPr>
      </w:pPr>
      <w:r>
        <w:rPr>
          <w:rFonts w:cs="Arial"/>
        </w:rPr>
        <w:t>Las cifras de los derechos por suministro de agua potable se tomarán de acuerdo a la última información oficial validada por la Secretaría de Hacienda y Crédito Público.</w:t>
      </w:r>
    </w:p>
    <w:p w14:paraId="6D457FD8" w14:textId="77777777" w:rsidR="00D3344B" w:rsidRDefault="00D3344B">
      <w:pPr>
        <w:pStyle w:val="Estilo"/>
        <w:ind w:left="426" w:hanging="426"/>
        <w:rPr>
          <w:rFonts w:cs="Arial"/>
        </w:rPr>
      </w:pPr>
    </w:p>
    <w:p w14:paraId="1E4663B4" w14:textId="77777777" w:rsidR="00D3344B" w:rsidRDefault="00143C25">
      <w:pPr>
        <w:pStyle w:val="Estilo"/>
        <w:ind w:left="426" w:hanging="426"/>
        <w:rPr>
          <w:rFonts w:cs="Arial"/>
        </w:rPr>
      </w:pPr>
      <w:r>
        <w:rPr>
          <w:rFonts w:cs="Arial"/>
        </w:rPr>
        <w:t xml:space="preserve">IV. </w:t>
      </w:r>
      <w:r>
        <w:rPr>
          <w:rFonts w:cs="Arial"/>
        </w:rPr>
        <w:tab/>
        <w:t>Fondo de estabilización a la recaudación del impuesto predial. Se constituirá con un 10% de los ingresos a que se refiere el artículo 503, fracción I, inciso k), que por concepto de la recaudación del Impuesto Sobre la Renta por la Enajenación de Bienes Inmuebles obtenga el Estado, que se distribuirá entre los municipios, multiplicados por el coeficiente de recaudación del impuesto predial, tomando en cuenta las cifras más recientes validadas por la Secretaría de Hacienda y Crédito Público.</w:t>
      </w:r>
    </w:p>
    <w:p w14:paraId="0D6BA8F7" w14:textId="77777777" w:rsidR="00D3344B" w:rsidRDefault="00D3344B">
      <w:pPr>
        <w:pStyle w:val="Estilo"/>
        <w:ind w:left="426" w:hanging="426"/>
        <w:rPr>
          <w:rFonts w:cs="Arial"/>
        </w:rPr>
      </w:pPr>
    </w:p>
    <w:p w14:paraId="763DC486" w14:textId="77777777" w:rsidR="00D3344B" w:rsidRDefault="00143C25">
      <w:pPr>
        <w:pStyle w:val="Estilo"/>
        <w:ind w:left="426"/>
        <w:rPr>
          <w:rFonts w:cs="Arial"/>
        </w:rPr>
      </w:pPr>
      <w:r>
        <w:rPr>
          <w:rFonts w:cs="Arial"/>
        </w:rPr>
        <w:t>El coeficiente de recaudación del impuesto predial se obtendrá dividiendo la recaudación del impuesto predial del Municipio de que se trate, correspondiente al ejercicio inmediato anterior al ejercicio por el que se determina la distribución, entre el total de la recaudación del impuesto predial de los 60 municipios.</w:t>
      </w:r>
    </w:p>
    <w:p w14:paraId="3AA93CBF" w14:textId="77777777" w:rsidR="00D3344B" w:rsidRDefault="00D3344B">
      <w:pPr>
        <w:pStyle w:val="Estilo"/>
        <w:ind w:left="426" w:hanging="426"/>
        <w:rPr>
          <w:rFonts w:cs="Arial"/>
        </w:rPr>
      </w:pPr>
    </w:p>
    <w:p w14:paraId="098C2CCE" w14:textId="77777777" w:rsidR="00D3344B" w:rsidRDefault="00143C25">
      <w:pPr>
        <w:pStyle w:val="Estilo"/>
        <w:ind w:left="426" w:hanging="426"/>
        <w:rPr>
          <w:rFonts w:cs="Arial"/>
        </w:rPr>
      </w:pPr>
      <w:r>
        <w:rPr>
          <w:rFonts w:cs="Arial"/>
        </w:rPr>
        <w:t xml:space="preserve">V. </w:t>
      </w:r>
      <w:r>
        <w:rPr>
          <w:rFonts w:cs="Arial"/>
        </w:rPr>
        <w:tab/>
        <w:t>Fondo de estabilización a la recaudación de los derechos de agua. Se constituirá con un 10% de los ingresos a que se refiere el artículo 503, fracción I, inciso k), que por concepto de la recaudación del Impuesto Sobre la Renta por la Enajenación de Bienes Inmuebles obtenga el Estado, que se distribuirá entre los municipios, multiplicando por el coeficiente de recaudación de los derechos por suministro de agua potable, tomando en cuenta las cifras más recientes validadas por la Secretaría de Hacienda y Crédito Público.</w:t>
      </w:r>
    </w:p>
    <w:p w14:paraId="619F7DE7" w14:textId="77777777" w:rsidR="00D3344B" w:rsidRDefault="00D3344B">
      <w:pPr>
        <w:pStyle w:val="Estilo"/>
        <w:ind w:left="426" w:hanging="426"/>
        <w:rPr>
          <w:rFonts w:cs="Arial"/>
        </w:rPr>
      </w:pPr>
    </w:p>
    <w:p w14:paraId="3EADE10F" w14:textId="77777777" w:rsidR="00D3344B" w:rsidRDefault="00143C25">
      <w:pPr>
        <w:pStyle w:val="Estilo"/>
        <w:ind w:left="426"/>
        <w:rPr>
          <w:rFonts w:cs="Arial"/>
        </w:rPr>
      </w:pPr>
      <w:r>
        <w:rPr>
          <w:rFonts w:cs="Arial"/>
        </w:rPr>
        <w:t>El coeficiente de recaudación de los derechos de agua, se obtendrá dividiendo la recaudación de los derechos de agua del Municipio de que se trate, correspondiente al ejercicio inmediato anterior al ejercicio por el que se determina la distribución, entre el total de la recaudación de los derechos de agua de los 60 municipios.</w:t>
      </w:r>
    </w:p>
    <w:p w14:paraId="2F9FC3A2" w14:textId="77777777" w:rsidR="00D3344B" w:rsidRDefault="00D3344B">
      <w:pPr>
        <w:pStyle w:val="Estilo"/>
        <w:ind w:left="426" w:hanging="426"/>
        <w:rPr>
          <w:rFonts w:cs="Arial"/>
        </w:rPr>
      </w:pPr>
    </w:p>
    <w:p w14:paraId="1F20E6C2" w14:textId="77777777" w:rsidR="00D3344B" w:rsidRDefault="00143C25">
      <w:pPr>
        <w:pStyle w:val="Estilo"/>
        <w:ind w:left="426" w:hanging="426"/>
        <w:rPr>
          <w:rFonts w:cs="Arial"/>
        </w:rPr>
      </w:pPr>
      <w:r>
        <w:rPr>
          <w:rFonts w:cs="Arial"/>
        </w:rPr>
        <w:t xml:space="preserve">VI. </w:t>
      </w:r>
      <w:r>
        <w:rPr>
          <w:rFonts w:cs="Arial"/>
        </w:rPr>
        <w:tab/>
        <w:t>Fondo de Desarrollo Municipal. El Fondo de Desarrollo Municipal se constituirá con un monto igual al 10% de la misma diferencia y se distribuirá en proporción inversa a las participaciones por habitante que tenga cada Municipio, éstas serán el resultado de la suma de los Fondos a que se refieren las fracciones I a V de este artículo, en el ejercicio de que se trate.</w:t>
      </w:r>
    </w:p>
    <w:p w14:paraId="4C417033" w14:textId="77777777" w:rsidR="00D3344B" w:rsidRDefault="00D3344B">
      <w:pPr>
        <w:pStyle w:val="Estilo"/>
        <w:rPr>
          <w:rFonts w:cs="Arial"/>
        </w:rPr>
      </w:pPr>
    </w:p>
    <w:p w14:paraId="057A388F" w14:textId="77777777" w:rsidR="00D3344B" w:rsidRDefault="00143C25">
      <w:pPr>
        <w:pStyle w:val="Estilo"/>
        <w:rPr>
          <w:rFonts w:cs="Arial"/>
        </w:rPr>
      </w:pPr>
      <w:r>
        <w:rPr>
          <w:rFonts w:cs="Arial"/>
        </w:rPr>
        <w:t xml:space="preserve">Los ingresos por concepto de incentivo del Impuesto Sobre la Renta por la Enajenación de Bienes Inmuebles, a que se refiere el artículo 126 de la Ley del Impuesto Sobre la Renta, que obtenga el Estado y le sean transferidos por el </w:t>
      </w:r>
      <w:r>
        <w:rPr>
          <w:rFonts w:cs="Arial"/>
        </w:rPr>
        <w:lastRenderedPageBreak/>
        <w:t>Gobierno Federal, se determinarán, distribuirán y pagarán a los municipios dentro de los cinco días posteriores al en que el Estado los reciba.</w:t>
      </w:r>
    </w:p>
    <w:p w14:paraId="3CD88C3C" w14:textId="77777777" w:rsidR="00D3344B" w:rsidRDefault="00D3344B">
      <w:pPr>
        <w:pStyle w:val="Estilo"/>
        <w:rPr>
          <w:rFonts w:cs="Arial"/>
        </w:rPr>
      </w:pPr>
    </w:p>
    <w:p w14:paraId="5A889BCF" w14:textId="77777777" w:rsidR="00D3344B" w:rsidRDefault="00143C25">
      <w:pPr>
        <w:pStyle w:val="Estilo"/>
        <w:rPr>
          <w:rFonts w:cs="Arial"/>
          <w:i/>
          <w:iCs/>
          <w:sz w:val="16"/>
          <w:szCs w:val="16"/>
        </w:rPr>
      </w:pPr>
      <w:r>
        <w:rPr>
          <w:rFonts w:cs="Arial"/>
          <w:i/>
          <w:iCs/>
          <w:sz w:val="16"/>
          <w:szCs w:val="16"/>
        </w:rPr>
        <w:t>(ADICIONADO, P.O. 22 DE DICIEMBRE DE 2021)</w:t>
      </w:r>
    </w:p>
    <w:p w14:paraId="45CE2F03" w14:textId="77777777" w:rsidR="00D3344B" w:rsidRDefault="00143C25">
      <w:pPr>
        <w:pStyle w:val="Estilo"/>
        <w:rPr>
          <w:rFonts w:cs="Arial"/>
        </w:rPr>
      </w:pPr>
      <w:r>
        <w:rPr>
          <w:rFonts w:cs="Arial"/>
          <w:b/>
          <w:bCs/>
        </w:rPr>
        <w:t>Artículo 504-D.</w:t>
      </w:r>
      <w:r>
        <w:rPr>
          <w:rFonts w:cs="Arial"/>
        </w:rPr>
        <w:t xml:space="preserve"> Los ingresos municipales establecidos en el artículo 503, fracción I, inciso f), que, por concepto de incentivo del Impuesto Sobre Automóviles Nuevos, obtenga el Estado y que le sean transferidos por el Gobierno Federal, se distribuirán entre los municipios del Estado a través de la constitución de los siguientes fondos:</w:t>
      </w:r>
    </w:p>
    <w:p w14:paraId="11EE65A0" w14:textId="77777777" w:rsidR="00D3344B" w:rsidRDefault="00D3344B">
      <w:pPr>
        <w:pStyle w:val="Estilo"/>
        <w:rPr>
          <w:rFonts w:cs="Arial"/>
        </w:rPr>
      </w:pPr>
    </w:p>
    <w:p w14:paraId="01BD754F" w14:textId="77777777" w:rsidR="00D3344B" w:rsidRDefault="00143C25">
      <w:pPr>
        <w:pStyle w:val="Estilo"/>
        <w:ind w:left="426" w:hanging="426"/>
        <w:rPr>
          <w:rFonts w:cs="Arial"/>
        </w:rPr>
      </w:pPr>
      <w:r>
        <w:rPr>
          <w:rFonts w:cs="Arial"/>
        </w:rPr>
        <w:t xml:space="preserve">I. </w:t>
      </w:r>
      <w:r>
        <w:rPr>
          <w:rFonts w:cs="Arial"/>
        </w:rPr>
        <w:tab/>
        <w:t>Fondo Poblacional. Se constituirá con el 20% de los ingresos a que se refiere el artículo 503, fracción I, inciso f), que por concepto de la recaudación del Impuesto Sobre Automóviles Nuevos obtenga el Estado, mismos que se distribuirán entre los municipios, multiplicando por el coeficiente de población de cada Municipio.</w:t>
      </w:r>
    </w:p>
    <w:p w14:paraId="5C4A046E" w14:textId="77777777" w:rsidR="00D3344B" w:rsidRDefault="00D3344B">
      <w:pPr>
        <w:pStyle w:val="Estilo"/>
        <w:ind w:left="426" w:hanging="426"/>
        <w:rPr>
          <w:rFonts w:cs="Arial"/>
        </w:rPr>
      </w:pPr>
    </w:p>
    <w:p w14:paraId="1E98DAAA" w14:textId="77777777" w:rsidR="00D3344B" w:rsidRDefault="00143C25">
      <w:pPr>
        <w:pStyle w:val="Estilo"/>
        <w:ind w:left="426"/>
        <w:rPr>
          <w:rFonts w:cs="Arial"/>
        </w:rPr>
      </w:pPr>
      <w:r>
        <w:rPr>
          <w:rFonts w:cs="Arial"/>
        </w:rPr>
        <w:t>El coeficiente de población se obtendrá dividiendo el número de habitantes del Municipio de que se trate entre el total del número de habitantes de los 60 municipios. El número de habitantes se tomará de acuerdo a la última información oficial que hubiera dado a conocer el Instituto Nacional de Estadística, Geografía e Informática.</w:t>
      </w:r>
    </w:p>
    <w:p w14:paraId="6909690C" w14:textId="77777777" w:rsidR="00D3344B" w:rsidRDefault="00D3344B">
      <w:pPr>
        <w:pStyle w:val="Estilo"/>
        <w:ind w:left="426" w:hanging="426"/>
        <w:rPr>
          <w:rFonts w:cs="Arial"/>
        </w:rPr>
      </w:pPr>
    </w:p>
    <w:p w14:paraId="290FE187" w14:textId="77777777" w:rsidR="00D3344B" w:rsidRDefault="00143C25">
      <w:pPr>
        <w:pStyle w:val="Estilo"/>
        <w:ind w:left="426" w:hanging="426"/>
        <w:rPr>
          <w:rFonts w:cs="Arial"/>
        </w:rPr>
      </w:pPr>
      <w:r>
        <w:rPr>
          <w:rFonts w:cs="Arial"/>
        </w:rPr>
        <w:t xml:space="preserve">II. </w:t>
      </w:r>
      <w:r>
        <w:rPr>
          <w:rFonts w:cs="Arial"/>
        </w:rPr>
        <w:tab/>
        <w:t>Fondo recaudatorio del impuesto predial. Este fondo se constituirá con el 25% de los ingresos a que se refiere el artículo 503, fracción I, inciso f), que por concepto de la recaudación del Impuesto Sobre Automóviles Nuevos obtenga el Estado, que se distribuirá entre los municipios, multiplicando por el coeficiente de crecimiento de la recaudación del impuesto predial.</w:t>
      </w:r>
    </w:p>
    <w:p w14:paraId="614BCEA9" w14:textId="77777777" w:rsidR="00D3344B" w:rsidRDefault="00D3344B">
      <w:pPr>
        <w:pStyle w:val="Estilo"/>
        <w:ind w:left="426" w:hanging="426"/>
        <w:rPr>
          <w:rFonts w:cs="Arial"/>
        </w:rPr>
      </w:pPr>
    </w:p>
    <w:p w14:paraId="34440256" w14:textId="77777777" w:rsidR="00D3344B" w:rsidRDefault="00143C25">
      <w:pPr>
        <w:pStyle w:val="Estilo"/>
        <w:ind w:left="426"/>
        <w:rPr>
          <w:rFonts w:cs="Arial"/>
        </w:rPr>
      </w:pPr>
      <w:r>
        <w:rPr>
          <w:rFonts w:cs="Arial"/>
        </w:rPr>
        <w:t>El coeficiente de crecimiento de la recaudación del impuesto predial se obtendrá dividiendo el crecimiento de la recaudación del impuesto predial del municipio del año de que se trate, entre el total de crecimiento de la recaudación de impuesto predial de los 60 municipios.</w:t>
      </w:r>
    </w:p>
    <w:p w14:paraId="301A6806" w14:textId="77777777" w:rsidR="00D3344B" w:rsidRDefault="00D3344B">
      <w:pPr>
        <w:pStyle w:val="Estilo"/>
        <w:ind w:left="426" w:hanging="426"/>
        <w:rPr>
          <w:rFonts w:cs="Arial"/>
        </w:rPr>
      </w:pPr>
    </w:p>
    <w:p w14:paraId="00156C4D" w14:textId="77777777" w:rsidR="00D3344B" w:rsidRDefault="00143C25">
      <w:pPr>
        <w:pStyle w:val="Estilo"/>
        <w:ind w:left="426"/>
        <w:rPr>
          <w:rFonts w:cs="Arial"/>
        </w:rPr>
      </w:pPr>
      <w:r>
        <w:rPr>
          <w:rFonts w:cs="Arial"/>
        </w:rPr>
        <w:t xml:space="preserve">El crecimiento de la recaudación del impuesto predial se obtendrá dividiendo el monto de la recaudación del impuesto predial del municipio de que se trate del ejercicio inmediato anterior al ejercicio por el que se determina la distribución, entre la recaudación de dicho impuesto del ejercicio inmediato anterior a este último. </w:t>
      </w:r>
    </w:p>
    <w:p w14:paraId="50E86957" w14:textId="77777777" w:rsidR="00D3344B" w:rsidRDefault="00D3344B">
      <w:pPr>
        <w:pStyle w:val="Estilo"/>
        <w:ind w:left="426" w:hanging="426"/>
        <w:rPr>
          <w:rFonts w:cs="Arial"/>
        </w:rPr>
      </w:pPr>
    </w:p>
    <w:p w14:paraId="7F1DFE41" w14:textId="77777777" w:rsidR="00D3344B" w:rsidRDefault="00143C25">
      <w:pPr>
        <w:pStyle w:val="Estilo"/>
        <w:ind w:left="426"/>
        <w:rPr>
          <w:rFonts w:cs="Arial"/>
        </w:rPr>
      </w:pPr>
      <w:r>
        <w:rPr>
          <w:rFonts w:cs="Arial"/>
        </w:rPr>
        <w:t>Las cifras de impuesto predial se tomarán de acuerdo a la última información oficial validada por la Secretaría de Hacienda y Crédito Público.</w:t>
      </w:r>
    </w:p>
    <w:p w14:paraId="3CAFEE50" w14:textId="77777777" w:rsidR="00D3344B" w:rsidRDefault="00D3344B">
      <w:pPr>
        <w:pStyle w:val="Estilo"/>
        <w:ind w:left="426" w:hanging="426"/>
        <w:rPr>
          <w:rFonts w:cs="Arial"/>
        </w:rPr>
      </w:pPr>
    </w:p>
    <w:p w14:paraId="44563FB7" w14:textId="77777777" w:rsidR="00D3344B" w:rsidRDefault="00143C25">
      <w:pPr>
        <w:pStyle w:val="Estilo"/>
        <w:ind w:left="426" w:hanging="426"/>
        <w:rPr>
          <w:rFonts w:cs="Arial"/>
        </w:rPr>
      </w:pPr>
      <w:r>
        <w:rPr>
          <w:rFonts w:cs="Arial"/>
        </w:rPr>
        <w:t xml:space="preserve">III. </w:t>
      </w:r>
      <w:r>
        <w:rPr>
          <w:rFonts w:cs="Arial"/>
        </w:rPr>
        <w:tab/>
        <w:t xml:space="preserve">Fondo recaudatorio de los derechos por suministro de agua potable. Este fondo recaudatorio se constituirá con el 25% de los ingresos a que se refiere el artículo 503, fracción I, inciso f), que por concepto de la recaudación del Impuesto Sobre Automóviles Nuevos obtenga el Estado, y se distribuirá entre los municipios, </w:t>
      </w:r>
      <w:r>
        <w:rPr>
          <w:rFonts w:cs="Arial"/>
        </w:rPr>
        <w:lastRenderedPageBreak/>
        <w:t xml:space="preserve">multiplicando por el coeficiente de crecimiento de la recaudación de los derechos por suministro de agua potable. </w:t>
      </w:r>
    </w:p>
    <w:p w14:paraId="3BD7225A" w14:textId="77777777" w:rsidR="00D3344B" w:rsidRDefault="00D3344B">
      <w:pPr>
        <w:pStyle w:val="Estilo"/>
        <w:ind w:left="426" w:hanging="426"/>
        <w:rPr>
          <w:rFonts w:cs="Arial"/>
        </w:rPr>
      </w:pPr>
    </w:p>
    <w:p w14:paraId="474DAC7D" w14:textId="77777777" w:rsidR="00D3344B" w:rsidRDefault="00143C25">
      <w:pPr>
        <w:pStyle w:val="Estilo"/>
        <w:ind w:left="426"/>
        <w:rPr>
          <w:rFonts w:cs="Arial"/>
        </w:rPr>
      </w:pPr>
      <w:r>
        <w:rPr>
          <w:rFonts w:cs="Arial"/>
        </w:rPr>
        <w:t>El coeficiente de crecimiento de la recaudación de los derechos por suministro de agua potable se obtendrá dividiendo el crecimiento de la recaudación de los derechos por suministro de agua potable del Municipio del año de que se trate, entre el total de crecimiento de la recaudación de los derechos por suministro de agua potable de los 60 municipios.</w:t>
      </w:r>
    </w:p>
    <w:p w14:paraId="09DF106E" w14:textId="77777777" w:rsidR="00D3344B" w:rsidRDefault="00D3344B">
      <w:pPr>
        <w:pStyle w:val="Estilo"/>
        <w:ind w:left="426" w:hanging="426"/>
        <w:rPr>
          <w:rFonts w:cs="Arial"/>
        </w:rPr>
      </w:pPr>
    </w:p>
    <w:p w14:paraId="4D85F758" w14:textId="77777777" w:rsidR="00D3344B" w:rsidRDefault="00143C25">
      <w:pPr>
        <w:pStyle w:val="Estilo"/>
        <w:ind w:left="426"/>
        <w:rPr>
          <w:rFonts w:cs="Arial"/>
        </w:rPr>
      </w:pPr>
      <w:r>
        <w:rPr>
          <w:rFonts w:cs="Arial"/>
        </w:rPr>
        <w:t>El crecimiento de la recaudación de los derechos por suministro de agua potable se obtendrá dividiendo el monto de la recaudación de los derechos por suministro de agua potable del municipio de que se trate, del ejercicio inmediato anterior al ejercicio por el que se determina la distribución, entre la recaudación de dicho derecho del ejercicio inmediato anterior a este último.</w:t>
      </w:r>
    </w:p>
    <w:p w14:paraId="276ECB54" w14:textId="77777777" w:rsidR="00D3344B" w:rsidRDefault="00D3344B">
      <w:pPr>
        <w:pStyle w:val="Estilo"/>
        <w:ind w:left="426" w:hanging="426"/>
        <w:rPr>
          <w:rFonts w:cs="Arial"/>
        </w:rPr>
      </w:pPr>
    </w:p>
    <w:p w14:paraId="607B1F9E" w14:textId="77777777" w:rsidR="00D3344B" w:rsidRDefault="00143C25">
      <w:pPr>
        <w:pStyle w:val="Estilo"/>
        <w:ind w:left="426"/>
        <w:rPr>
          <w:rFonts w:cs="Arial"/>
        </w:rPr>
      </w:pPr>
      <w:r>
        <w:rPr>
          <w:rFonts w:cs="Arial"/>
        </w:rPr>
        <w:t>Las cifras de los derechos por suministro de agua potable se tomarán de acuerdo a la última información oficial validada por la Secretaría de Hacienda y Crédito Público.</w:t>
      </w:r>
    </w:p>
    <w:p w14:paraId="6E78E2E3" w14:textId="77777777" w:rsidR="00D3344B" w:rsidRDefault="00D3344B">
      <w:pPr>
        <w:pStyle w:val="Estilo"/>
        <w:ind w:left="426" w:hanging="426"/>
        <w:rPr>
          <w:rFonts w:cs="Arial"/>
        </w:rPr>
      </w:pPr>
    </w:p>
    <w:p w14:paraId="2EA50D49" w14:textId="77777777" w:rsidR="00D3344B" w:rsidRDefault="00143C25">
      <w:pPr>
        <w:pStyle w:val="Estilo"/>
        <w:ind w:left="426" w:hanging="426"/>
        <w:rPr>
          <w:rFonts w:cs="Arial"/>
        </w:rPr>
      </w:pPr>
      <w:r>
        <w:rPr>
          <w:rFonts w:cs="Arial"/>
        </w:rPr>
        <w:t xml:space="preserve">IV. </w:t>
      </w:r>
      <w:r>
        <w:rPr>
          <w:rFonts w:cs="Arial"/>
        </w:rPr>
        <w:tab/>
        <w:t>Fondo de estabilización a la recaudación del impuesto predial. Se constituirá con un 10% de los ingresos a que se refiere el artículo 503, fracción I, inciso f), que por concepto de la recaudación del Impuesto Sobre Automóviles Nuevos obtenga el Estado, que se distribuirá entre los municipios, multiplicados por el coeficiente de recaudación del impuesto predial, tomando en cuenta las cifras más recientes validadas por la Secretaría de Hacienda y Crédito Público.</w:t>
      </w:r>
    </w:p>
    <w:p w14:paraId="0CFB75E0" w14:textId="77777777" w:rsidR="00D3344B" w:rsidRDefault="00D3344B">
      <w:pPr>
        <w:pStyle w:val="Estilo"/>
        <w:ind w:left="426" w:hanging="426"/>
        <w:rPr>
          <w:rFonts w:cs="Arial"/>
        </w:rPr>
      </w:pPr>
    </w:p>
    <w:p w14:paraId="25E5C960" w14:textId="77777777" w:rsidR="00D3344B" w:rsidRDefault="00143C25">
      <w:pPr>
        <w:pStyle w:val="Estilo"/>
        <w:ind w:left="426"/>
        <w:rPr>
          <w:rFonts w:cs="Arial"/>
        </w:rPr>
      </w:pPr>
      <w:r>
        <w:rPr>
          <w:rFonts w:cs="Arial"/>
        </w:rPr>
        <w:t>El coeficiente de recaudación del impuesto predial se obtendrá dividiendo la recaudación del impuesto predial del Municipio de que se trate, correspondiente al ejercicio inmediato anterior al ejercicio por el que se determina la distribución, entre el total de la recaudación del impuesto predial de los 60 municipios.</w:t>
      </w:r>
    </w:p>
    <w:p w14:paraId="7B6B27C9" w14:textId="77777777" w:rsidR="00D3344B" w:rsidRDefault="00D3344B">
      <w:pPr>
        <w:pStyle w:val="Estilo"/>
        <w:ind w:left="426" w:hanging="426"/>
        <w:rPr>
          <w:rFonts w:cs="Arial"/>
        </w:rPr>
      </w:pPr>
    </w:p>
    <w:p w14:paraId="58E247E6" w14:textId="77777777" w:rsidR="00D3344B" w:rsidRDefault="00143C25">
      <w:pPr>
        <w:pStyle w:val="Estilo"/>
        <w:ind w:left="426" w:hanging="426"/>
        <w:rPr>
          <w:rFonts w:cs="Arial"/>
        </w:rPr>
      </w:pPr>
      <w:r>
        <w:rPr>
          <w:rFonts w:cs="Arial"/>
        </w:rPr>
        <w:t xml:space="preserve">V. </w:t>
      </w:r>
      <w:r>
        <w:rPr>
          <w:rFonts w:cs="Arial"/>
        </w:rPr>
        <w:tab/>
        <w:t>Fondo de estabilización a la recaudación de los derechos de agua. Se constituirá con un 10% de los ingresos a que se refiere el artículo 503, fracción I, inciso f), que por concepto de la recaudación del Impuesto Sobre Automóviles Nuevos obtenga el Estado, que se distribuirá entre los municipios, multiplicando por el coeficiente de recaudación de los derechos por suministro de agua potable, tomando en cuenta las cifras más recientes validadas por la Secretaría de Hacienda y Crédito Público.</w:t>
      </w:r>
    </w:p>
    <w:p w14:paraId="7BED2262" w14:textId="77777777" w:rsidR="00D3344B" w:rsidRDefault="00D3344B">
      <w:pPr>
        <w:pStyle w:val="Estilo"/>
        <w:ind w:left="426" w:hanging="426"/>
        <w:rPr>
          <w:rFonts w:cs="Arial"/>
        </w:rPr>
      </w:pPr>
    </w:p>
    <w:p w14:paraId="534D1604" w14:textId="77777777" w:rsidR="00D3344B" w:rsidRDefault="00143C25">
      <w:pPr>
        <w:pStyle w:val="Estilo"/>
        <w:ind w:left="426"/>
        <w:rPr>
          <w:rFonts w:cs="Arial"/>
        </w:rPr>
      </w:pPr>
      <w:r>
        <w:rPr>
          <w:rFonts w:cs="Arial"/>
        </w:rPr>
        <w:t>El coeficiente de recaudación de los derechos de agua, se obtendrá dividiendo la recaudación de los derechos de agua del Municipio de que se trate, correspondiente al ejercicio inmediato anterior al ejercicio por el que se determina la distribución, entre el total de la recaudación de los derechos de agua de los 60 municipios.</w:t>
      </w:r>
    </w:p>
    <w:p w14:paraId="4F528094" w14:textId="77777777" w:rsidR="00D3344B" w:rsidRDefault="00D3344B">
      <w:pPr>
        <w:pStyle w:val="Estilo"/>
        <w:ind w:left="426" w:hanging="426"/>
        <w:rPr>
          <w:rFonts w:cs="Arial"/>
        </w:rPr>
      </w:pPr>
    </w:p>
    <w:p w14:paraId="2B1B8189" w14:textId="77777777" w:rsidR="00D3344B" w:rsidRDefault="00143C25">
      <w:pPr>
        <w:pStyle w:val="Estilo"/>
        <w:ind w:left="426" w:hanging="426"/>
        <w:rPr>
          <w:rFonts w:cs="Arial"/>
        </w:rPr>
      </w:pPr>
      <w:r>
        <w:rPr>
          <w:rFonts w:cs="Arial"/>
        </w:rPr>
        <w:lastRenderedPageBreak/>
        <w:t xml:space="preserve">VI. </w:t>
      </w:r>
      <w:r>
        <w:rPr>
          <w:rFonts w:cs="Arial"/>
        </w:rPr>
        <w:tab/>
        <w:t>Fondo de Desarrollo Municipal. El Fondo de Desarrollo Municipal se constituirá con un monto igual al 10% de la misma diferencia y se distribuirá en proporción inversa a las participaciones por habitante que tenga cada Municipio, éstas serán el resultado de la suma de los Fondos a que se refieren las fracciones I a V de este artículo, en el ejercicio de que se trate.</w:t>
      </w:r>
    </w:p>
    <w:p w14:paraId="59454174" w14:textId="77777777" w:rsidR="00D3344B" w:rsidRDefault="00D3344B">
      <w:pPr>
        <w:pStyle w:val="Estilo"/>
        <w:ind w:left="426" w:hanging="426"/>
        <w:rPr>
          <w:rFonts w:cs="Arial"/>
        </w:rPr>
      </w:pPr>
    </w:p>
    <w:p w14:paraId="50ECF36E" w14:textId="77777777" w:rsidR="00D3344B" w:rsidRDefault="00143C25">
      <w:pPr>
        <w:pStyle w:val="Estilo"/>
        <w:rPr>
          <w:rFonts w:cs="Arial"/>
        </w:rPr>
      </w:pPr>
      <w:r>
        <w:rPr>
          <w:rFonts w:cs="Arial"/>
        </w:rPr>
        <w:t>Los ingresos que por concepto de incentivo del Impuesto Sobre Automóviles Nuevos, recaude y cobre el Estado y que le sean otorgados por el Gobierno Federal, se determinarán, distribuirán y pagarán a los municipios una vez que se hayan considerado los montos de los incentivos que le correspondan al Estado en la Cuenta Mensual Comprobada de Ingresos Coordinados, tanto de los que sean recaudados directamente por éste, como los que, previa autorización de la Secretaría pueda autoliquidarse la entidad, dentro de los cinco días posteriores al en que el Estado los obtenga.</w:t>
      </w:r>
    </w:p>
    <w:p w14:paraId="2D439934" w14:textId="77777777" w:rsidR="00D3344B" w:rsidRDefault="00D3344B">
      <w:pPr>
        <w:pStyle w:val="Estilo"/>
        <w:rPr>
          <w:rFonts w:cs="Arial"/>
        </w:rPr>
      </w:pPr>
    </w:p>
    <w:p w14:paraId="15593C5B" w14:textId="77777777" w:rsidR="00D3344B" w:rsidRDefault="00143C25">
      <w:pPr>
        <w:pStyle w:val="Estilo"/>
        <w:rPr>
          <w:rFonts w:cs="Arial"/>
          <w:i/>
          <w:iCs/>
          <w:sz w:val="16"/>
          <w:szCs w:val="16"/>
        </w:rPr>
      </w:pPr>
      <w:r>
        <w:rPr>
          <w:rFonts w:cs="Arial"/>
          <w:i/>
          <w:iCs/>
          <w:sz w:val="16"/>
          <w:szCs w:val="16"/>
        </w:rPr>
        <w:t>(ADICIONADO, P.O. 22 DE DICIEMBRE DE 2021)</w:t>
      </w:r>
    </w:p>
    <w:p w14:paraId="1B6D2815" w14:textId="77777777" w:rsidR="00D3344B" w:rsidRDefault="00143C25">
      <w:pPr>
        <w:pStyle w:val="Estilo"/>
        <w:rPr>
          <w:rFonts w:cs="Arial"/>
        </w:rPr>
      </w:pPr>
      <w:r>
        <w:rPr>
          <w:rFonts w:cs="Arial"/>
          <w:b/>
          <w:bCs/>
        </w:rPr>
        <w:t>Artículo 504-E.</w:t>
      </w:r>
      <w:r>
        <w:rPr>
          <w:rFonts w:cs="Arial"/>
        </w:rPr>
        <w:t xml:space="preserve"> Para efectos de lo establecido en el artículo 3-B de la Ley de Coordinación Fiscal, el Estado participará a los municipios, el 100% de la recaudación del impuesto sobre la renta que les corresponda, con base en el Anexo de Distribución de la Constancia de Participación, correspondiente al personal que preste o desempeñe un servicio personal subordinado en el municipio y se pagará dentro de los cinco días posteriores al en que el Estado los reciba.</w:t>
      </w:r>
    </w:p>
    <w:p w14:paraId="45A769DF" w14:textId="77777777" w:rsidR="00D3344B" w:rsidRDefault="00D3344B">
      <w:pPr>
        <w:pStyle w:val="Estilo"/>
        <w:rPr>
          <w:rFonts w:cs="Arial"/>
        </w:rPr>
      </w:pPr>
    </w:p>
    <w:p w14:paraId="42956B59" w14:textId="77777777" w:rsidR="00D3344B" w:rsidRDefault="00143C25">
      <w:pPr>
        <w:pStyle w:val="Estilo"/>
        <w:rPr>
          <w:rFonts w:cs="Arial"/>
        </w:rPr>
      </w:pPr>
      <w:r>
        <w:rPr>
          <w:rFonts w:cs="Arial"/>
          <w:i/>
          <w:sz w:val="16"/>
        </w:rPr>
        <w:t>(REFORMADO, P.O. 22 DE DICIEMBRE DE 2021)</w:t>
      </w:r>
    </w:p>
    <w:p w14:paraId="79441F47" w14:textId="77777777" w:rsidR="00D3344B" w:rsidRDefault="00143C25">
      <w:pPr>
        <w:pStyle w:val="Estilo"/>
        <w:rPr>
          <w:rFonts w:cs="Arial"/>
        </w:rPr>
      </w:pPr>
      <w:r>
        <w:rPr>
          <w:rFonts w:cs="Arial"/>
          <w:b/>
        </w:rPr>
        <w:t>Artículo 505.</w:t>
      </w:r>
      <w:r>
        <w:rPr>
          <w:rFonts w:cs="Arial"/>
        </w:rPr>
        <w:t xml:space="preserve"> Para efectos de los artículos 504-A, 504-C y 504-D que anteceden, y con el propósito de que la Secretaría pueda determinar el coeficiente de distribución del Fondo Recaudatorio del Impuesto Predial y Derechos de Agua correspondiente a cada municipio, éstos le informarán dentro de los veinte primeros días de cada mes, la cuantía de la recaudación de los ingresos totales correspondientes al mes inmediato anterior.</w:t>
      </w:r>
    </w:p>
    <w:p w14:paraId="4570E0DA" w14:textId="77777777" w:rsidR="00D3344B" w:rsidRDefault="00D3344B">
      <w:pPr>
        <w:pStyle w:val="Estilo"/>
        <w:rPr>
          <w:rFonts w:cs="Arial"/>
        </w:rPr>
      </w:pPr>
    </w:p>
    <w:p w14:paraId="166EE0FE" w14:textId="77777777" w:rsidR="00D3344B" w:rsidRDefault="00143C25">
      <w:pPr>
        <w:pStyle w:val="Estilo"/>
        <w:rPr>
          <w:rFonts w:cs="Arial"/>
        </w:rPr>
      </w:pPr>
      <w:r>
        <w:rPr>
          <w:rFonts w:cs="Arial"/>
        </w:rPr>
        <w:t>En caso de no proporcionarse la información en dicho plazo, la Secretaría practicará la estimación según el último informe que posea. El Órgano de Fiscalización sancionará la estimación.</w:t>
      </w:r>
    </w:p>
    <w:p w14:paraId="36BA22ED" w14:textId="77777777" w:rsidR="00D3344B" w:rsidRDefault="00D3344B">
      <w:pPr>
        <w:pStyle w:val="Estilo"/>
        <w:rPr>
          <w:rFonts w:cs="Arial"/>
        </w:rPr>
      </w:pPr>
    </w:p>
    <w:p w14:paraId="1DDAAFD9" w14:textId="77777777" w:rsidR="00D3344B" w:rsidRDefault="00143C25">
      <w:pPr>
        <w:pStyle w:val="Estilo"/>
        <w:rPr>
          <w:rFonts w:cs="Arial"/>
          <w:i/>
          <w:sz w:val="16"/>
          <w:szCs w:val="16"/>
        </w:rPr>
      </w:pPr>
      <w:r>
        <w:rPr>
          <w:rFonts w:cs="Arial"/>
          <w:i/>
          <w:sz w:val="16"/>
          <w:szCs w:val="16"/>
        </w:rPr>
        <w:t>(REFORMADO PRIMER PÁRRAFO, P.O. 31 DE DICIEMBRE DE 2007)</w:t>
      </w:r>
    </w:p>
    <w:p w14:paraId="6998D1D3" w14:textId="77777777" w:rsidR="00D3344B" w:rsidRDefault="00143C25">
      <w:pPr>
        <w:pStyle w:val="Estilo"/>
        <w:rPr>
          <w:rFonts w:cs="Arial"/>
        </w:rPr>
      </w:pPr>
      <w:r>
        <w:rPr>
          <w:rFonts w:cs="Arial"/>
          <w:b/>
        </w:rPr>
        <w:t>Artículo 506.</w:t>
      </w:r>
      <w:r>
        <w:rPr>
          <w:rFonts w:cs="Arial"/>
        </w:rPr>
        <w:t xml:space="preserve"> El Fondo Estatal Participable se determinará por cada ejercicio fiscal, el cual de manera provisional se entregará mensualmente, dentro de los cinco días siguientes a su autorización por el ente jurídico que corresponda, conforme a la normatividad vigente.</w:t>
      </w:r>
    </w:p>
    <w:p w14:paraId="26B67C1F" w14:textId="77777777" w:rsidR="00D3344B" w:rsidRDefault="00D3344B">
      <w:pPr>
        <w:pStyle w:val="Estilo"/>
        <w:rPr>
          <w:rFonts w:cs="Arial"/>
        </w:rPr>
      </w:pPr>
    </w:p>
    <w:p w14:paraId="41C47D64" w14:textId="77777777" w:rsidR="00D3344B" w:rsidRDefault="00143C25">
      <w:pPr>
        <w:pStyle w:val="Estilo"/>
        <w:rPr>
          <w:rFonts w:cs="Arial"/>
        </w:rPr>
      </w:pPr>
      <w:r>
        <w:rPr>
          <w:rFonts w:cs="Arial"/>
          <w:i/>
          <w:sz w:val="16"/>
        </w:rPr>
        <w:t>(REFORMADO, P.O. 24 DE DICIEMBRE DE 2003)</w:t>
      </w:r>
    </w:p>
    <w:p w14:paraId="2A0B2DC9" w14:textId="77777777" w:rsidR="00D3344B" w:rsidRDefault="00143C25">
      <w:pPr>
        <w:pStyle w:val="Estilo"/>
        <w:rPr>
          <w:rFonts w:cs="Arial"/>
        </w:rPr>
      </w:pPr>
      <w:r>
        <w:rPr>
          <w:rFonts w:cs="Arial"/>
        </w:rPr>
        <w:t>Cada tres meses el Estado realizará un ajuste a los ingresos municipales participables a que se refiere el Artículo 503 de este código, afectando el cálculo originalmente obtenido para ese período. Las diferencias serán liquidadas o descontadas dentro del mes siguiente.</w:t>
      </w:r>
    </w:p>
    <w:p w14:paraId="09E8444D" w14:textId="77777777" w:rsidR="00D3344B" w:rsidRDefault="00D3344B">
      <w:pPr>
        <w:pStyle w:val="Estilo"/>
        <w:rPr>
          <w:rFonts w:cs="Arial"/>
        </w:rPr>
      </w:pPr>
    </w:p>
    <w:p w14:paraId="2E90EE01" w14:textId="77777777" w:rsidR="00D3344B" w:rsidRDefault="00143C25">
      <w:pPr>
        <w:pStyle w:val="Estilo"/>
        <w:rPr>
          <w:rFonts w:cs="Arial"/>
          <w:i/>
          <w:iCs/>
          <w:sz w:val="16"/>
          <w:szCs w:val="16"/>
        </w:rPr>
      </w:pPr>
      <w:r>
        <w:rPr>
          <w:rFonts w:cs="Arial"/>
          <w:i/>
          <w:iCs/>
          <w:sz w:val="16"/>
          <w:szCs w:val="16"/>
        </w:rPr>
        <w:t>(REFORMADO, P.O. 22 DE DICIEMBRE DE 2021)</w:t>
      </w:r>
    </w:p>
    <w:p w14:paraId="09076067" w14:textId="77777777" w:rsidR="00D3344B" w:rsidRDefault="00143C25">
      <w:pPr>
        <w:pStyle w:val="Estilo"/>
        <w:rPr>
          <w:rFonts w:cs="Arial"/>
        </w:rPr>
      </w:pPr>
      <w:r>
        <w:rPr>
          <w:rFonts w:cs="Arial"/>
        </w:rPr>
        <w:lastRenderedPageBreak/>
        <w:t>Los ajustes de participaciones que reciba el Estado de la Federación, habrán de ser considerados como participables a los municipios, en la proporción que les corresponda, en el ejercicio en que se reciban por el Estado, pudiendo éstos resultar a su cargo o a favor.</w:t>
      </w:r>
    </w:p>
    <w:p w14:paraId="7B0A0031" w14:textId="77777777" w:rsidR="00D3344B" w:rsidRDefault="00D3344B">
      <w:pPr>
        <w:pStyle w:val="Estilo"/>
        <w:rPr>
          <w:rFonts w:cs="Arial"/>
        </w:rPr>
      </w:pPr>
    </w:p>
    <w:p w14:paraId="49B66185" w14:textId="77777777" w:rsidR="00D3344B" w:rsidRDefault="00143C25">
      <w:pPr>
        <w:pStyle w:val="Estilo"/>
        <w:rPr>
          <w:rFonts w:cs="Arial"/>
        </w:rPr>
      </w:pPr>
      <w:r>
        <w:rPr>
          <w:rFonts w:cs="Arial"/>
          <w:i/>
          <w:sz w:val="16"/>
        </w:rPr>
        <w:t>(REFORMADO, P.O. 24 DE DICIEMBRE DE 2003)</w:t>
      </w:r>
    </w:p>
    <w:p w14:paraId="74C7FFC2" w14:textId="77777777" w:rsidR="00D3344B" w:rsidRDefault="00143C25">
      <w:pPr>
        <w:pStyle w:val="Estilo"/>
        <w:rPr>
          <w:rFonts w:cs="Arial"/>
        </w:rPr>
      </w:pPr>
      <w:r>
        <w:rPr>
          <w:rFonts w:cs="Arial"/>
        </w:rPr>
        <w:t>Durante los primeros tres meses de cada ejercicio, los ingresos municipales que integran el Fondo Estatal Participable a que se refiere el Artículo 504 de este código, se calcularán provisionalmente con los coeficientes del ejercicio inmediato anterior, en tanto se cuente con la información necesaria para calcular los nuevos coeficientes.</w:t>
      </w:r>
    </w:p>
    <w:p w14:paraId="37ABAA84" w14:textId="77777777" w:rsidR="00D3344B" w:rsidRDefault="00D3344B">
      <w:pPr>
        <w:pStyle w:val="Estilo"/>
        <w:rPr>
          <w:rFonts w:cs="Arial"/>
        </w:rPr>
      </w:pPr>
    </w:p>
    <w:p w14:paraId="4FB9594D" w14:textId="77777777" w:rsidR="00D3344B" w:rsidRDefault="00143C25">
      <w:pPr>
        <w:pStyle w:val="Estilo"/>
        <w:rPr>
          <w:rFonts w:cs="Arial"/>
          <w:i/>
          <w:iCs/>
          <w:sz w:val="16"/>
          <w:szCs w:val="16"/>
        </w:rPr>
      </w:pPr>
      <w:r>
        <w:rPr>
          <w:rFonts w:cs="Arial"/>
          <w:i/>
          <w:iCs/>
          <w:sz w:val="16"/>
          <w:szCs w:val="16"/>
        </w:rPr>
        <w:t>(REFORMADO, P.O. 22 DE DICIEMBRE DE 2021)</w:t>
      </w:r>
    </w:p>
    <w:p w14:paraId="14A3C687" w14:textId="77777777" w:rsidR="00D3344B" w:rsidRDefault="00143C25">
      <w:pPr>
        <w:pStyle w:val="Estilo"/>
        <w:rPr>
          <w:rFonts w:cs="Arial"/>
        </w:rPr>
      </w:pPr>
      <w:r>
        <w:rPr>
          <w:rFonts w:cs="Arial"/>
        </w:rPr>
        <w:t>El Ejecutivo del Estado, a través de la Secretaría, informará en las reuniones que celebre el Consejo Permanente de Coordinación Hacendaria, del cumplimiento de la distribución de las participaciones a los municipios para su validación.</w:t>
      </w:r>
    </w:p>
    <w:p w14:paraId="6A03DD91" w14:textId="77777777" w:rsidR="00D3344B" w:rsidRDefault="00D3344B">
      <w:pPr>
        <w:pStyle w:val="Estilo"/>
        <w:rPr>
          <w:rFonts w:cs="Arial"/>
        </w:rPr>
      </w:pPr>
    </w:p>
    <w:p w14:paraId="3157EA2E" w14:textId="77777777" w:rsidR="00D3344B" w:rsidRDefault="00143C25">
      <w:pPr>
        <w:pStyle w:val="Estilo"/>
        <w:rPr>
          <w:rFonts w:cs="Arial"/>
        </w:rPr>
      </w:pPr>
      <w:r>
        <w:rPr>
          <w:rFonts w:cs="Arial"/>
          <w:i/>
          <w:sz w:val="16"/>
        </w:rPr>
        <w:t>(REFORMADO, P.O. 30 DE DICIEMBRE DE 2005)</w:t>
      </w:r>
    </w:p>
    <w:p w14:paraId="14BFACC6" w14:textId="77777777" w:rsidR="00D3344B" w:rsidRDefault="00143C25">
      <w:pPr>
        <w:pStyle w:val="Estilo"/>
        <w:rPr>
          <w:rFonts w:cs="Arial"/>
        </w:rPr>
      </w:pPr>
      <w:r>
        <w:rPr>
          <w:rFonts w:cs="Arial"/>
          <w:b/>
        </w:rPr>
        <w:t>Artículo 507.</w:t>
      </w:r>
      <w:r>
        <w:rPr>
          <w:rFonts w:cs="Arial"/>
        </w:rPr>
        <w:t xml:space="preserve"> De conformidad a lo dispuesto en el penúltimo párrafo del artículo 7 de la Ley de Coordinación Fiscal, la liquidación definitiva se determinará a más tardar dentro de los 60 días posteriores a que el Ejecutivo Federal presente la cuenta pública del año anterior a la Cámara de Diputados del Honorable Congreso de la Unión para su revisión, el Estado determinará el Fondo Estatal Participable que corresponda a la recaudación obtenida en el ejercicio en los 30 días posteriores, aplicando las cantidades que hubiera afectado provisionalmente al Fondo, de la manera más conveniente al Estado y los Municipios.</w:t>
      </w:r>
    </w:p>
    <w:p w14:paraId="1853D50A" w14:textId="77777777" w:rsidR="00D3344B" w:rsidRDefault="00D3344B">
      <w:pPr>
        <w:pStyle w:val="Estilo"/>
        <w:rPr>
          <w:rFonts w:cs="Arial"/>
        </w:rPr>
      </w:pPr>
    </w:p>
    <w:p w14:paraId="6320A172" w14:textId="77777777" w:rsidR="00D3344B" w:rsidRDefault="00143C25">
      <w:pPr>
        <w:pStyle w:val="Estilo"/>
        <w:rPr>
          <w:rFonts w:cs="Arial"/>
        </w:rPr>
      </w:pPr>
      <w:r>
        <w:rPr>
          <w:rFonts w:cs="Arial"/>
          <w:b/>
        </w:rPr>
        <w:t>Artículo 508.</w:t>
      </w:r>
      <w:r>
        <w:rPr>
          <w:rFonts w:cs="Arial"/>
        </w:rPr>
        <w:t xml:space="preserve"> El Régimen de Participaciones e Incentivos Federales derivados de convenios para los municipios en ingresos federales, previa autorización del Congreso, podrá ser modificado, ajustado o adaptado, en concordancia con las modificaciones, </w:t>
      </w:r>
      <w:proofErr w:type="gramStart"/>
      <w:r>
        <w:rPr>
          <w:rFonts w:cs="Arial"/>
        </w:rPr>
        <w:t>que</w:t>
      </w:r>
      <w:proofErr w:type="gramEnd"/>
      <w:r>
        <w:rPr>
          <w:rFonts w:cs="Arial"/>
        </w:rPr>
        <w:t xml:space="preserve"> en su caso, se establezcan para la fórmula de distribución de participaciones dentro del Sistema Nacional de Coordinación Fiscal.</w:t>
      </w:r>
    </w:p>
    <w:p w14:paraId="75DE70D2" w14:textId="77777777" w:rsidR="00D3344B" w:rsidRDefault="00D3344B">
      <w:pPr>
        <w:pStyle w:val="Estilo"/>
        <w:rPr>
          <w:rFonts w:cs="Arial"/>
        </w:rPr>
      </w:pPr>
    </w:p>
    <w:p w14:paraId="719B2365" w14:textId="77777777" w:rsidR="00D3344B" w:rsidRDefault="00143C25">
      <w:pPr>
        <w:pStyle w:val="Estilo"/>
        <w:rPr>
          <w:rFonts w:cs="Arial"/>
        </w:rPr>
      </w:pPr>
      <w:r>
        <w:rPr>
          <w:rFonts w:cs="Arial"/>
          <w:b/>
        </w:rPr>
        <w:t>Artículo 509.</w:t>
      </w:r>
      <w:r>
        <w:rPr>
          <w:rFonts w:cs="Arial"/>
        </w:rPr>
        <w:t xml:space="preserve"> Las participaciones serán cubiertas en efectivo, no en obra, sin condicionamiento alguno y no podrán ser objeto de deducciones, salvo lo dispuesto en el artículo 9 de la Ley de Coordinación Fiscal. El Ejecutivo publicará cuando menos una vez al año, en el Periódico Oficial y en uno de los periódicos de mayor circulación en el Estado, el monto de las participaciones que correspondan durante un año, a cada uno de los municipios.</w:t>
      </w:r>
    </w:p>
    <w:p w14:paraId="67A9C450" w14:textId="77777777" w:rsidR="00D3344B" w:rsidRDefault="00D3344B">
      <w:pPr>
        <w:pStyle w:val="Estilo"/>
        <w:rPr>
          <w:rFonts w:cs="Arial"/>
        </w:rPr>
      </w:pPr>
    </w:p>
    <w:p w14:paraId="76DD1D2E" w14:textId="77777777" w:rsidR="00D3344B" w:rsidRDefault="00143C25">
      <w:pPr>
        <w:pStyle w:val="Estilo"/>
        <w:rPr>
          <w:rFonts w:cs="Arial"/>
        </w:rPr>
      </w:pPr>
      <w:r>
        <w:rPr>
          <w:rFonts w:cs="Arial"/>
          <w:b/>
        </w:rPr>
        <w:t>Artículo 510.</w:t>
      </w:r>
      <w:r>
        <w:rPr>
          <w:rFonts w:cs="Arial"/>
        </w:rPr>
        <w:t xml:space="preserve"> Las Presidencias de Comunidad coadyuvarán con los ayuntamientos en las funciones que realizan en materia de administración, recaudación, ejecución y supervisión a que se refiere este código, así como aquellas establecidas en la Ley Municipal y demás leyes aplicables.</w:t>
      </w:r>
    </w:p>
    <w:p w14:paraId="1BB57209" w14:textId="77777777" w:rsidR="00D3344B" w:rsidRDefault="00D3344B">
      <w:pPr>
        <w:pStyle w:val="Estilo"/>
        <w:rPr>
          <w:rFonts w:cs="Arial"/>
        </w:rPr>
      </w:pPr>
    </w:p>
    <w:p w14:paraId="1AE494B8" w14:textId="77777777" w:rsidR="00D3344B" w:rsidRDefault="00143C25">
      <w:pPr>
        <w:pStyle w:val="Estilo"/>
        <w:rPr>
          <w:rFonts w:cs="Arial"/>
        </w:rPr>
      </w:pPr>
      <w:r>
        <w:rPr>
          <w:rFonts w:cs="Arial"/>
          <w:i/>
          <w:sz w:val="16"/>
        </w:rPr>
        <w:t>(REFORMADO, P.O. 31 DE DICIEMBRE DE 2007)</w:t>
      </w:r>
    </w:p>
    <w:p w14:paraId="4E2A1B54" w14:textId="77777777" w:rsidR="00D3344B" w:rsidRDefault="00143C25">
      <w:pPr>
        <w:pStyle w:val="Estilo"/>
        <w:rPr>
          <w:rFonts w:cs="Arial"/>
        </w:rPr>
      </w:pPr>
      <w:r>
        <w:rPr>
          <w:rFonts w:cs="Arial"/>
        </w:rPr>
        <w:lastRenderedPageBreak/>
        <w:t>La Secretaría enterará a los municipios, y éstos a su vez a las presidencias de comunidad, las participaciones que les correspondan dentro de los mismos plazos previstos para la ministración de participaciones a los mismos.</w:t>
      </w:r>
    </w:p>
    <w:p w14:paraId="4067401B" w14:textId="77777777" w:rsidR="00D3344B" w:rsidRDefault="00D3344B">
      <w:pPr>
        <w:pStyle w:val="Estilo"/>
        <w:rPr>
          <w:rFonts w:cs="Arial"/>
        </w:rPr>
      </w:pPr>
    </w:p>
    <w:p w14:paraId="54131670" w14:textId="77777777" w:rsidR="00D3344B" w:rsidRDefault="00143C25">
      <w:pPr>
        <w:pStyle w:val="Estilo"/>
        <w:rPr>
          <w:rFonts w:cs="Arial"/>
        </w:rPr>
      </w:pPr>
      <w:r>
        <w:rPr>
          <w:rFonts w:cs="Arial"/>
          <w:i/>
          <w:sz w:val="16"/>
        </w:rPr>
        <w:t>(REFORMADO, P.O. 31 DE DICIEMBRE DE 2007)</w:t>
      </w:r>
    </w:p>
    <w:p w14:paraId="7B509D3A" w14:textId="77777777" w:rsidR="00D3344B" w:rsidRDefault="00143C25">
      <w:pPr>
        <w:pStyle w:val="Estilo"/>
        <w:rPr>
          <w:rFonts w:cs="Arial"/>
        </w:rPr>
      </w:pPr>
      <w:r>
        <w:rPr>
          <w:rFonts w:cs="Arial"/>
        </w:rPr>
        <w:t>Los ayuntamientos deberán distribuir el 10% de las participaciones que reciban de los fondos que integran el Fondo Estatal Participable, entre las presidencias de comunidad de su jurisdicción, considerando como base de cálculo el 50% en lo dispuesto en el inciso a) de la fracción II del artículo 504 y el 50% restante, conforme a lo dispuesto en los incisos b) y c) de la misma fracción y artículo, una vez aprobado por el Cabildo el Presupuesto de Egresos, informando los montos asignados y su ejercicio en la Cuenta Pública Municipal respectiva.</w:t>
      </w:r>
    </w:p>
    <w:p w14:paraId="5EACB267" w14:textId="77777777" w:rsidR="00D3344B" w:rsidRDefault="00D3344B">
      <w:pPr>
        <w:pStyle w:val="Estilo"/>
        <w:rPr>
          <w:rFonts w:cs="Arial"/>
        </w:rPr>
      </w:pPr>
    </w:p>
    <w:p w14:paraId="22450ED5" w14:textId="77777777" w:rsidR="00D3344B" w:rsidRDefault="00143C25">
      <w:pPr>
        <w:pStyle w:val="Estilo"/>
        <w:rPr>
          <w:rFonts w:cs="Arial"/>
        </w:rPr>
      </w:pPr>
      <w:r>
        <w:rPr>
          <w:rFonts w:cs="Arial"/>
          <w:i/>
          <w:sz w:val="16"/>
        </w:rPr>
        <w:t>(ADICIONADO, P.O. 3 DE NOVIEMBRE DE 2017)</w:t>
      </w:r>
    </w:p>
    <w:p w14:paraId="4E56CD0E" w14:textId="77777777" w:rsidR="00D3344B" w:rsidRDefault="00143C25">
      <w:pPr>
        <w:pStyle w:val="Estilo"/>
        <w:rPr>
          <w:rFonts w:cs="Arial"/>
        </w:rPr>
      </w:pPr>
      <w:r>
        <w:rPr>
          <w:rFonts w:cs="Arial"/>
        </w:rPr>
        <w:t>En caso de que el Ayuntamiento incumpla sin causa justificada con las obligaciones establecidas en los párrafos que anteceden, a partir de los tres días hábiles siguientes al vencimiento del plazo para la distribución de los recursos correspondientes a las presidencias de comunidad, los titulares de éstas deberán de informar ante el Órgano de Fiscalización Superior del Congreso del Estado, a efecto de que éste inicie la investigación prevista en la fracción XIII del artículo 14 de la Ley de Fiscalización Superior del Estado de Tlaxcala y sus Municipios, además se fincarán los procedimientos de responsabilidad que correspondan o, en su caso, las denuncias correspondientes por la comisión de los delitos que resulten, siendo los probables responsables del incumplimiento el Presidente Municipal y el Tesorero del Ayuntamiento.</w:t>
      </w:r>
    </w:p>
    <w:p w14:paraId="73057D75" w14:textId="77777777" w:rsidR="00D3344B" w:rsidRDefault="00D3344B">
      <w:pPr>
        <w:pStyle w:val="Estilo"/>
        <w:rPr>
          <w:rFonts w:cs="Arial"/>
        </w:rPr>
      </w:pPr>
    </w:p>
    <w:p w14:paraId="34AAD682" w14:textId="77777777" w:rsidR="00D3344B" w:rsidRDefault="00143C25">
      <w:pPr>
        <w:pStyle w:val="Estilo"/>
        <w:rPr>
          <w:rFonts w:cs="Arial"/>
        </w:rPr>
      </w:pPr>
      <w:r>
        <w:rPr>
          <w:rFonts w:cs="Arial"/>
          <w:i/>
          <w:sz w:val="16"/>
        </w:rPr>
        <w:t>(ADICIONADO, P.O. 3 DE NOVIEMBRE DE 2017)</w:t>
      </w:r>
    </w:p>
    <w:p w14:paraId="18F40D60" w14:textId="77777777" w:rsidR="00D3344B" w:rsidRDefault="00143C25">
      <w:pPr>
        <w:pStyle w:val="Estilo"/>
        <w:rPr>
          <w:rFonts w:cs="Arial"/>
        </w:rPr>
      </w:pPr>
      <w:r>
        <w:rPr>
          <w:rFonts w:cs="Arial"/>
        </w:rPr>
        <w:t>En el caso de que los recursos a los que se refieren el párrafo tercero de este artículo, no sean aplicados como se establece en dicha disposición normativa, deberá ser informado inmediatamente ante el Órgano de Fiscalización Superior.</w:t>
      </w:r>
    </w:p>
    <w:p w14:paraId="65B1CEAD" w14:textId="77777777" w:rsidR="00D3344B" w:rsidRDefault="00D3344B">
      <w:pPr>
        <w:pStyle w:val="Estilo"/>
        <w:rPr>
          <w:rFonts w:cs="Arial"/>
        </w:rPr>
      </w:pPr>
    </w:p>
    <w:p w14:paraId="7152A287" w14:textId="77777777" w:rsidR="00D3344B" w:rsidRDefault="00143C25">
      <w:pPr>
        <w:pStyle w:val="Estilo"/>
        <w:rPr>
          <w:rFonts w:cs="Arial"/>
        </w:rPr>
      </w:pPr>
      <w:r>
        <w:rPr>
          <w:rFonts w:cs="Arial"/>
          <w:i/>
          <w:sz w:val="16"/>
        </w:rPr>
        <w:t>(REFORMADO, P.O. 31 DE DICIEMBRE DE 2007)</w:t>
      </w:r>
    </w:p>
    <w:p w14:paraId="0A321387" w14:textId="77777777" w:rsidR="00D3344B" w:rsidRDefault="00143C25">
      <w:pPr>
        <w:pStyle w:val="Estilo"/>
        <w:rPr>
          <w:rFonts w:cs="Arial"/>
        </w:rPr>
      </w:pPr>
      <w:r>
        <w:rPr>
          <w:rFonts w:cs="Arial"/>
          <w:b/>
        </w:rPr>
        <w:t>Artículo 511.</w:t>
      </w:r>
      <w:r>
        <w:rPr>
          <w:rFonts w:cs="Arial"/>
        </w:rPr>
        <w:t xml:space="preserve"> Los recursos de las participaciones fiscales derivadas de este código, que los ayuntamientos otorguen a sus presidencias de comunidad, se asignarán con criterios de eficiencia y equidad, previo acuerdo de Cabildo.</w:t>
      </w:r>
    </w:p>
    <w:p w14:paraId="3E23C689" w14:textId="77777777" w:rsidR="00D3344B" w:rsidRDefault="00D3344B">
      <w:pPr>
        <w:pStyle w:val="Estilo"/>
        <w:rPr>
          <w:rFonts w:cs="Arial"/>
        </w:rPr>
      </w:pPr>
    </w:p>
    <w:p w14:paraId="7D843ADA" w14:textId="77777777" w:rsidR="00D3344B" w:rsidRDefault="00143C25">
      <w:pPr>
        <w:pStyle w:val="Estilo"/>
        <w:rPr>
          <w:rFonts w:cs="Arial"/>
        </w:rPr>
      </w:pPr>
      <w:r>
        <w:rPr>
          <w:rFonts w:cs="Arial"/>
          <w:b/>
        </w:rPr>
        <w:t>Artículo 512.</w:t>
      </w:r>
      <w:r>
        <w:rPr>
          <w:rFonts w:cs="Arial"/>
        </w:rPr>
        <w:t xml:space="preserve"> Para la interpretación, aplicación, control, vigilancia y fiscalización de sus recursos, las presidencias de comunidad deberán coordinarse con la tesorería y síndico municipal y serán responsables en todo el proceso de su aplicación.</w:t>
      </w:r>
    </w:p>
    <w:p w14:paraId="54D2A92B" w14:textId="77777777" w:rsidR="00D3344B" w:rsidRDefault="00D3344B">
      <w:pPr>
        <w:pStyle w:val="Estilo"/>
        <w:rPr>
          <w:rFonts w:cs="Arial"/>
        </w:rPr>
      </w:pPr>
    </w:p>
    <w:p w14:paraId="30B0A6B8" w14:textId="77777777" w:rsidR="00D3344B" w:rsidRDefault="00143C25">
      <w:pPr>
        <w:pStyle w:val="Estilo"/>
        <w:jc w:val="center"/>
        <w:rPr>
          <w:rFonts w:cs="Arial"/>
          <w:b/>
        </w:rPr>
      </w:pPr>
      <w:r>
        <w:rPr>
          <w:rFonts w:cs="Arial"/>
          <w:b/>
        </w:rPr>
        <w:t>Capítulo VI</w:t>
      </w:r>
    </w:p>
    <w:p w14:paraId="03F8C15B" w14:textId="77777777" w:rsidR="00D3344B" w:rsidRDefault="00143C25">
      <w:pPr>
        <w:pStyle w:val="Estilo"/>
        <w:jc w:val="center"/>
        <w:rPr>
          <w:rFonts w:cs="Arial"/>
          <w:b/>
        </w:rPr>
      </w:pPr>
      <w:r>
        <w:rPr>
          <w:rFonts w:cs="Arial"/>
          <w:b/>
        </w:rPr>
        <w:t>De los Fondos de Aportación Federal</w:t>
      </w:r>
    </w:p>
    <w:p w14:paraId="791E71BC" w14:textId="77777777" w:rsidR="00D3344B" w:rsidRDefault="00D3344B">
      <w:pPr>
        <w:pStyle w:val="Estilo"/>
        <w:rPr>
          <w:rFonts w:cs="Arial"/>
        </w:rPr>
      </w:pPr>
    </w:p>
    <w:p w14:paraId="1FFE238C" w14:textId="77777777" w:rsidR="00D3344B" w:rsidRDefault="00143C25">
      <w:pPr>
        <w:pStyle w:val="Estilo"/>
        <w:rPr>
          <w:rFonts w:cs="Arial"/>
        </w:rPr>
      </w:pPr>
      <w:r>
        <w:rPr>
          <w:rFonts w:cs="Arial"/>
          <w:b/>
        </w:rPr>
        <w:t>Artículo 513.</w:t>
      </w:r>
      <w:r>
        <w:rPr>
          <w:rFonts w:cs="Arial"/>
        </w:rPr>
        <w:t xml:space="preserve"> Son fondos de aportaciones federales:</w:t>
      </w:r>
    </w:p>
    <w:p w14:paraId="73A67B36" w14:textId="77777777" w:rsidR="00D3344B" w:rsidRDefault="00D3344B">
      <w:pPr>
        <w:pStyle w:val="Estilo"/>
        <w:rPr>
          <w:rFonts w:cs="Arial"/>
        </w:rPr>
      </w:pPr>
    </w:p>
    <w:p w14:paraId="54D1C026" w14:textId="77777777" w:rsidR="00D3344B" w:rsidRDefault="00143C25">
      <w:pPr>
        <w:pStyle w:val="Estilo"/>
        <w:ind w:left="567" w:hanging="567"/>
        <w:rPr>
          <w:rFonts w:cs="Arial"/>
        </w:rPr>
      </w:pPr>
      <w:r>
        <w:rPr>
          <w:rFonts w:cs="Arial"/>
        </w:rPr>
        <w:t xml:space="preserve">I. </w:t>
      </w:r>
      <w:r>
        <w:rPr>
          <w:rFonts w:cs="Arial"/>
        </w:rPr>
        <w:tab/>
        <w:t>Fondo de Aportaciones para la Educación Básica y Normal;</w:t>
      </w:r>
    </w:p>
    <w:p w14:paraId="0DC563A0" w14:textId="77777777" w:rsidR="00D3344B" w:rsidRDefault="00D3344B">
      <w:pPr>
        <w:pStyle w:val="Estilo"/>
        <w:ind w:left="567" w:hanging="567"/>
        <w:rPr>
          <w:rFonts w:cs="Arial"/>
        </w:rPr>
      </w:pPr>
    </w:p>
    <w:p w14:paraId="688BA13A" w14:textId="77777777" w:rsidR="00D3344B" w:rsidRDefault="00143C25">
      <w:pPr>
        <w:pStyle w:val="Estilo"/>
        <w:ind w:left="567" w:hanging="567"/>
        <w:rPr>
          <w:rFonts w:cs="Arial"/>
        </w:rPr>
      </w:pPr>
      <w:r>
        <w:rPr>
          <w:rFonts w:cs="Arial"/>
        </w:rPr>
        <w:lastRenderedPageBreak/>
        <w:t xml:space="preserve">II. </w:t>
      </w:r>
      <w:r>
        <w:rPr>
          <w:rFonts w:cs="Arial"/>
        </w:rPr>
        <w:tab/>
        <w:t>Fondo de Aportaciones para los Servicios de Salud;</w:t>
      </w:r>
    </w:p>
    <w:p w14:paraId="4FB51F70" w14:textId="77777777" w:rsidR="00D3344B" w:rsidRDefault="00D3344B">
      <w:pPr>
        <w:pStyle w:val="Estilo"/>
        <w:ind w:left="567" w:hanging="567"/>
        <w:rPr>
          <w:rFonts w:cs="Arial"/>
        </w:rPr>
      </w:pPr>
    </w:p>
    <w:p w14:paraId="7283DEB5" w14:textId="77777777" w:rsidR="00D3344B" w:rsidRDefault="00143C25">
      <w:pPr>
        <w:pStyle w:val="Estilo"/>
        <w:ind w:left="567" w:hanging="567"/>
        <w:rPr>
          <w:rFonts w:cs="Arial"/>
        </w:rPr>
      </w:pPr>
      <w:r>
        <w:rPr>
          <w:rFonts w:cs="Arial"/>
        </w:rPr>
        <w:t xml:space="preserve">III. </w:t>
      </w:r>
      <w:r>
        <w:rPr>
          <w:rFonts w:cs="Arial"/>
        </w:rPr>
        <w:tab/>
        <w:t>Fondo de Aportaciones para la Infraestructura Social;</w:t>
      </w:r>
    </w:p>
    <w:p w14:paraId="4803A97C" w14:textId="77777777" w:rsidR="00D3344B" w:rsidRDefault="00D3344B">
      <w:pPr>
        <w:pStyle w:val="Estilo"/>
        <w:ind w:left="567" w:hanging="567"/>
        <w:rPr>
          <w:rFonts w:cs="Arial"/>
        </w:rPr>
      </w:pPr>
    </w:p>
    <w:p w14:paraId="4F89CAE5" w14:textId="77777777" w:rsidR="00D3344B" w:rsidRDefault="00143C25">
      <w:pPr>
        <w:pStyle w:val="Estilo"/>
        <w:ind w:left="567" w:hanging="567"/>
        <w:rPr>
          <w:rFonts w:cs="Arial"/>
        </w:rPr>
      </w:pPr>
      <w:r>
        <w:rPr>
          <w:rFonts w:cs="Arial"/>
        </w:rPr>
        <w:t xml:space="preserve">IV. </w:t>
      </w:r>
      <w:r>
        <w:rPr>
          <w:rFonts w:cs="Arial"/>
        </w:rPr>
        <w:tab/>
        <w:t>Fondo de Aportaciones para el Fortalecimiento de los municipios y de las Demarcaciones Territoriales del Distrito Federal;</w:t>
      </w:r>
    </w:p>
    <w:p w14:paraId="74398CA7" w14:textId="77777777" w:rsidR="00D3344B" w:rsidRDefault="00D3344B">
      <w:pPr>
        <w:pStyle w:val="Estilo"/>
        <w:ind w:left="567" w:hanging="567"/>
        <w:rPr>
          <w:rFonts w:cs="Arial"/>
        </w:rPr>
      </w:pPr>
    </w:p>
    <w:p w14:paraId="5ED5DE39" w14:textId="77777777" w:rsidR="00D3344B" w:rsidRDefault="00143C25">
      <w:pPr>
        <w:pStyle w:val="Estilo"/>
        <w:ind w:left="567" w:hanging="567"/>
        <w:rPr>
          <w:rFonts w:cs="Arial"/>
        </w:rPr>
      </w:pPr>
      <w:r>
        <w:rPr>
          <w:rFonts w:cs="Arial"/>
        </w:rPr>
        <w:t xml:space="preserve">V. </w:t>
      </w:r>
      <w:r>
        <w:rPr>
          <w:rFonts w:cs="Arial"/>
        </w:rPr>
        <w:tab/>
        <w:t>Fondo de Aportaciones Múltiples;</w:t>
      </w:r>
    </w:p>
    <w:p w14:paraId="4DBB1EC7" w14:textId="77777777" w:rsidR="00D3344B" w:rsidRDefault="00D3344B">
      <w:pPr>
        <w:pStyle w:val="Estilo"/>
        <w:ind w:left="567" w:hanging="567"/>
        <w:rPr>
          <w:rFonts w:cs="Arial"/>
        </w:rPr>
      </w:pPr>
    </w:p>
    <w:p w14:paraId="1E988B9E" w14:textId="77777777" w:rsidR="00D3344B" w:rsidRDefault="00143C25">
      <w:pPr>
        <w:pStyle w:val="Estilo"/>
        <w:ind w:left="567" w:hanging="567"/>
        <w:rPr>
          <w:rFonts w:cs="Arial"/>
        </w:rPr>
      </w:pPr>
      <w:r>
        <w:rPr>
          <w:rFonts w:cs="Arial"/>
          <w:i/>
          <w:sz w:val="16"/>
        </w:rPr>
        <w:t>(REFORMADA, P.O. 31 DE DICIEMBRE DE 2007)</w:t>
      </w:r>
    </w:p>
    <w:p w14:paraId="5D30DF46" w14:textId="77777777" w:rsidR="00D3344B" w:rsidRDefault="00143C25">
      <w:pPr>
        <w:pStyle w:val="Estilo"/>
        <w:ind w:left="567" w:hanging="567"/>
        <w:rPr>
          <w:rFonts w:cs="Arial"/>
        </w:rPr>
      </w:pPr>
      <w:r>
        <w:rPr>
          <w:rFonts w:cs="Arial"/>
        </w:rPr>
        <w:t xml:space="preserve">VI. </w:t>
      </w:r>
      <w:r>
        <w:rPr>
          <w:rFonts w:cs="Arial"/>
        </w:rPr>
        <w:tab/>
        <w:t>Fondo de Aportaciones para la Educación Tecnológica y de Adultos;</w:t>
      </w:r>
    </w:p>
    <w:p w14:paraId="36F26715" w14:textId="77777777" w:rsidR="00D3344B" w:rsidRDefault="00D3344B">
      <w:pPr>
        <w:pStyle w:val="Estilo"/>
        <w:ind w:left="567" w:hanging="567"/>
        <w:rPr>
          <w:rFonts w:cs="Arial"/>
        </w:rPr>
      </w:pPr>
    </w:p>
    <w:p w14:paraId="0C6964A1" w14:textId="77777777" w:rsidR="00D3344B" w:rsidRDefault="00143C25">
      <w:pPr>
        <w:pStyle w:val="Estilo"/>
        <w:ind w:left="567" w:hanging="567"/>
        <w:rPr>
          <w:rFonts w:cs="Arial"/>
        </w:rPr>
      </w:pPr>
      <w:r>
        <w:rPr>
          <w:rFonts w:cs="Arial"/>
          <w:i/>
          <w:sz w:val="16"/>
        </w:rPr>
        <w:t>(REFORMADA, P.O. 31 DE DICIEMBRE DE 2007)</w:t>
      </w:r>
    </w:p>
    <w:p w14:paraId="4246195A" w14:textId="77777777" w:rsidR="00D3344B" w:rsidRDefault="00143C25">
      <w:pPr>
        <w:pStyle w:val="Estilo"/>
        <w:ind w:left="567" w:hanging="567"/>
        <w:rPr>
          <w:rFonts w:cs="Arial"/>
        </w:rPr>
      </w:pPr>
      <w:r>
        <w:rPr>
          <w:rFonts w:cs="Arial"/>
        </w:rPr>
        <w:t xml:space="preserve">VII. </w:t>
      </w:r>
      <w:r>
        <w:rPr>
          <w:rFonts w:cs="Arial"/>
        </w:rPr>
        <w:tab/>
        <w:t>Fondo de Aportaciones para la Seguridad Pública de los Estados y del Distrito Federal, y</w:t>
      </w:r>
    </w:p>
    <w:p w14:paraId="164779A0" w14:textId="77777777" w:rsidR="00D3344B" w:rsidRDefault="00D3344B">
      <w:pPr>
        <w:pStyle w:val="Estilo"/>
        <w:ind w:left="567" w:hanging="567"/>
        <w:rPr>
          <w:rFonts w:cs="Arial"/>
        </w:rPr>
      </w:pPr>
    </w:p>
    <w:p w14:paraId="4F11A021" w14:textId="77777777" w:rsidR="00D3344B" w:rsidRDefault="00143C25">
      <w:pPr>
        <w:pStyle w:val="Estilo"/>
        <w:ind w:left="567" w:hanging="567"/>
        <w:rPr>
          <w:rFonts w:cs="Arial"/>
          <w:i/>
          <w:sz w:val="16"/>
          <w:szCs w:val="16"/>
        </w:rPr>
      </w:pPr>
      <w:r>
        <w:rPr>
          <w:rFonts w:cs="Arial"/>
          <w:i/>
          <w:sz w:val="16"/>
          <w:szCs w:val="16"/>
        </w:rPr>
        <w:t>(ADICIONADA, P.O. 31 DE DICIEMBRE DE 2007)</w:t>
      </w:r>
    </w:p>
    <w:p w14:paraId="7238E3E2" w14:textId="77777777" w:rsidR="00D3344B" w:rsidRDefault="00143C25">
      <w:pPr>
        <w:pStyle w:val="Estilo"/>
        <w:ind w:left="567" w:hanging="567"/>
        <w:rPr>
          <w:rFonts w:cs="Arial"/>
        </w:rPr>
      </w:pPr>
      <w:r>
        <w:rPr>
          <w:rFonts w:cs="Arial"/>
        </w:rPr>
        <w:t xml:space="preserve">VIII. </w:t>
      </w:r>
      <w:r>
        <w:rPr>
          <w:rFonts w:cs="Arial"/>
        </w:rPr>
        <w:tab/>
        <w:t>Fondo de Aportaciones para el Fortalecimiento de las Entidades Federativas.</w:t>
      </w:r>
    </w:p>
    <w:p w14:paraId="0B8B4366" w14:textId="77777777" w:rsidR="00D3344B" w:rsidRDefault="00D3344B">
      <w:pPr>
        <w:pStyle w:val="Estilo"/>
        <w:rPr>
          <w:rFonts w:cs="Arial"/>
        </w:rPr>
      </w:pPr>
    </w:p>
    <w:p w14:paraId="78A561EA" w14:textId="77777777" w:rsidR="00D3344B" w:rsidRDefault="00143C25">
      <w:pPr>
        <w:pStyle w:val="Estilo"/>
        <w:rPr>
          <w:rFonts w:cs="Arial"/>
        </w:rPr>
      </w:pPr>
      <w:r>
        <w:rPr>
          <w:rFonts w:cs="Arial"/>
          <w:i/>
          <w:sz w:val="16"/>
        </w:rPr>
        <w:t>(REFORMADO, P.O. 31 DE DICIEMBRE DE 2007)</w:t>
      </w:r>
    </w:p>
    <w:p w14:paraId="7BAA413F" w14:textId="77777777" w:rsidR="00D3344B" w:rsidRDefault="00143C25">
      <w:pPr>
        <w:pStyle w:val="Estilo"/>
        <w:rPr>
          <w:rFonts w:cs="Arial"/>
        </w:rPr>
      </w:pPr>
      <w:r>
        <w:rPr>
          <w:rFonts w:cs="Arial"/>
          <w:b/>
        </w:rPr>
        <w:t>Artículo 514.</w:t>
      </w:r>
      <w:r>
        <w:rPr>
          <w:rFonts w:cs="Arial"/>
        </w:rPr>
        <w:t xml:space="preserve"> Los Fondos de las fracciones I, II, VI, VII y VIII del artículo anterior, se aplicarán conforme a lo dispuesto por el capítulo V de la Ley de Coordinación Fiscal.</w:t>
      </w:r>
    </w:p>
    <w:p w14:paraId="4D95F5D0" w14:textId="77777777" w:rsidR="00D3344B" w:rsidRDefault="00D3344B">
      <w:pPr>
        <w:pStyle w:val="Estilo"/>
        <w:rPr>
          <w:rFonts w:cs="Arial"/>
        </w:rPr>
      </w:pPr>
    </w:p>
    <w:p w14:paraId="0D040402" w14:textId="77777777" w:rsidR="00D3344B" w:rsidRDefault="00143C25">
      <w:pPr>
        <w:pStyle w:val="Estilo"/>
        <w:rPr>
          <w:rFonts w:cs="Arial"/>
        </w:rPr>
      </w:pPr>
      <w:r>
        <w:rPr>
          <w:rFonts w:cs="Arial"/>
          <w:b/>
        </w:rPr>
        <w:t>Artículo 515.</w:t>
      </w:r>
      <w:r>
        <w:rPr>
          <w:rFonts w:cs="Arial"/>
        </w:rPr>
        <w:t xml:space="preserve"> Los Fondos señalados en las fracciones III, IV y V del artículo 513 serán destinados prioritariamente al financiamiento de obras, acciones sociales básicas y a inversiones que beneficien directamente a sectores de la población que se encuentren en condiciones de rezago social y de pobreza extrema en los términos del Capítulo V de la Ley de Coordinación Fiscal y con el conocimiento de los ayuntamientos.</w:t>
      </w:r>
    </w:p>
    <w:p w14:paraId="6E1A733A" w14:textId="77777777" w:rsidR="00D3344B" w:rsidRDefault="00D3344B">
      <w:pPr>
        <w:pStyle w:val="Estilo"/>
        <w:rPr>
          <w:rFonts w:cs="Arial"/>
        </w:rPr>
      </w:pPr>
    </w:p>
    <w:p w14:paraId="07C3623F" w14:textId="77777777" w:rsidR="00D3344B" w:rsidRDefault="00143C25">
      <w:pPr>
        <w:pStyle w:val="Estilo"/>
        <w:rPr>
          <w:rFonts w:cs="Arial"/>
        </w:rPr>
      </w:pPr>
      <w:r>
        <w:rPr>
          <w:rFonts w:cs="Arial"/>
          <w:b/>
        </w:rPr>
        <w:t>Artículo 516.</w:t>
      </w:r>
      <w:r>
        <w:rPr>
          <w:rFonts w:cs="Arial"/>
        </w:rPr>
        <w:t xml:space="preserve"> Las obras o acciones que se lleven a cabo con los recursos a que se refiere el presente capítulo, serán ejercidas de conformidad a lo dispuesto en la normatividad estatal y supervisadas con la intervención del Vocal de Vigilancia del Consejo de Desarrollo Municipal respectivo.</w:t>
      </w:r>
    </w:p>
    <w:p w14:paraId="6D9CCD32" w14:textId="77777777" w:rsidR="00D3344B" w:rsidRDefault="00D3344B">
      <w:pPr>
        <w:pStyle w:val="Estilo"/>
        <w:rPr>
          <w:rFonts w:cs="Arial"/>
        </w:rPr>
      </w:pPr>
    </w:p>
    <w:p w14:paraId="3378EDDA" w14:textId="77777777" w:rsidR="00D3344B" w:rsidRDefault="00143C25">
      <w:pPr>
        <w:pStyle w:val="Estilo"/>
        <w:rPr>
          <w:rFonts w:cs="Arial"/>
          <w:i/>
          <w:iCs/>
          <w:sz w:val="16"/>
          <w:szCs w:val="16"/>
        </w:rPr>
      </w:pPr>
      <w:r>
        <w:rPr>
          <w:rFonts w:cs="Arial"/>
          <w:i/>
          <w:iCs/>
          <w:sz w:val="16"/>
          <w:szCs w:val="16"/>
        </w:rPr>
        <w:t>(REFORMADO, P.O. 22 DE DICIEMBRE DE 2021)</w:t>
      </w:r>
    </w:p>
    <w:p w14:paraId="4149933F" w14:textId="77777777" w:rsidR="00D3344B" w:rsidRDefault="00143C25">
      <w:pPr>
        <w:pStyle w:val="Estilo"/>
        <w:rPr>
          <w:rFonts w:cs="Arial"/>
        </w:rPr>
      </w:pPr>
      <w:r>
        <w:rPr>
          <w:rFonts w:cs="Arial"/>
          <w:b/>
        </w:rPr>
        <w:t>Artículo 517.</w:t>
      </w:r>
      <w:r>
        <w:rPr>
          <w:rFonts w:cs="Arial"/>
        </w:rPr>
        <w:t xml:space="preserve"> La Secretaría con base en los lineamientos establecidos por la Ley de Coordinación Fiscal, calculará y hará la entrega de las aportaciones federales correspondientes a los municipios, debiendo publicarlas en el Periódico Oficial a más tardar el treinta y uno de enero del ejercicio fiscal aplicable, así como la fórmula y su respectiva metodología, justificando cada elemento y comunicando a cada uno de los ayuntamientos el monto calendarizado mensual y los procedimientos de su entrega. Debiendo informar al Congreso del resultado de los cálculos antes de proceder a su entrega.</w:t>
      </w:r>
    </w:p>
    <w:p w14:paraId="3EA2A391" w14:textId="77777777" w:rsidR="00D3344B" w:rsidRDefault="00D3344B">
      <w:pPr>
        <w:pStyle w:val="Estilo"/>
        <w:rPr>
          <w:rFonts w:cs="Arial"/>
        </w:rPr>
      </w:pPr>
    </w:p>
    <w:p w14:paraId="0069B6B0" w14:textId="77777777" w:rsidR="00D3344B" w:rsidRDefault="00143C25">
      <w:pPr>
        <w:pStyle w:val="Estilo"/>
        <w:rPr>
          <w:rFonts w:cs="Arial"/>
        </w:rPr>
      </w:pPr>
      <w:r>
        <w:rPr>
          <w:rFonts w:cs="Arial"/>
          <w:i/>
          <w:sz w:val="16"/>
        </w:rPr>
        <w:t>(REFORMADO, P.O. 24 DE DICIEMBRE DE 2014)</w:t>
      </w:r>
    </w:p>
    <w:p w14:paraId="72923C93" w14:textId="77777777" w:rsidR="00D3344B" w:rsidRDefault="00143C25">
      <w:pPr>
        <w:pStyle w:val="Estilo"/>
        <w:rPr>
          <w:rFonts w:cs="Arial"/>
        </w:rPr>
      </w:pPr>
      <w:r>
        <w:rPr>
          <w:rFonts w:cs="Arial"/>
          <w:b/>
        </w:rPr>
        <w:t>Artículo 518.</w:t>
      </w:r>
      <w:r>
        <w:rPr>
          <w:rFonts w:cs="Arial"/>
        </w:rPr>
        <w:t xml:space="preserve"> Los ayuntamientos formularán los expedientes técnicos de las obras que financien con recursos de los Fondos de Aportaciones Federales, en términos </w:t>
      </w:r>
      <w:r>
        <w:rPr>
          <w:rFonts w:cs="Arial"/>
        </w:rPr>
        <w:lastRenderedPageBreak/>
        <w:t>de las disposiciones legales aplicables y los mantendrán a disposición del Órgano de Fiscalización Superior, para el ejercicio de las facultades de su competencia.</w:t>
      </w:r>
    </w:p>
    <w:p w14:paraId="6F2ACDE9" w14:textId="77777777" w:rsidR="00D3344B" w:rsidRDefault="00D3344B">
      <w:pPr>
        <w:pStyle w:val="Estilo"/>
        <w:rPr>
          <w:rFonts w:cs="Arial"/>
        </w:rPr>
      </w:pPr>
    </w:p>
    <w:p w14:paraId="582A4B45" w14:textId="77777777" w:rsidR="00D3344B" w:rsidRDefault="00143C25">
      <w:pPr>
        <w:pStyle w:val="Estilo"/>
        <w:rPr>
          <w:rFonts w:cs="Arial"/>
        </w:rPr>
      </w:pPr>
      <w:r>
        <w:rPr>
          <w:rFonts w:cs="Arial"/>
          <w:i/>
          <w:sz w:val="16"/>
        </w:rPr>
        <w:t>(ADICIONADO, P.O. 3 DE NOVIEMBRE DE 2017)</w:t>
      </w:r>
    </w:p>
    <w:p w14:paraId="699677FF" w14:textId="77777777" w:rsidR="00D3344B" w:rsidRDefault="00143C25">
      <w:pPr>
        <w:pStyle w:val="Estilo"/>
        <w:rPr>
          <w:rFonts w:cs="Arial"/>
        </w:rPr>
      </w:pPr>
      <w:r>
        <w:rPr>
          <w:rFonts w:cs="Arial"/>
        </w:rPr>
        <w:t xml:space="preserve">Para los efectos de priorización de obras, los ayuntamientos están obligados a informar oportunamente en sesión de cabildo y de manera directa a cada presidente de comunidad, por escrito, de los montos de los recursos provenientes del gobierno federal, a fin de que estén en aptitud de hacer las propuestas de obras que correspondan, así como aportar elementos que justifiquen el impacto en la comunidad. La falta de información oportuna será causa de probable responsabilidad por parte del </w:t>
      </w:r>
      <w:proofErr w:type="gramStart"/>
      <w:r>
        <w:rPr>
          <w:rFonts w:cs="Arial"/>
        </w:rPr>
        <w:t>Presidente</w:t>
      </w:r>
      <w:proofErr w:type="gramEnd"/>
      <w:r>
        <w:rPr>
          <w:rFonts w:cs="Arial"/>
        </w:rPr>
        <w:t xml:space="preserve"> Municipal y del Director de Obras Municipal.</w:t>
      </w:r>
    </w:p>
    <w:p w14:paraId="4C865AFC" w14:textId="77777777" w:rsidR="00D3344B" w:rsidRDefault="00D3344B">
      <w:pPr>
        <w:pStyle w:val="Estilo"/>
        <w:rPr>
          <w:rFonts w:cs="Arial"/>
        </w:rPr>
      </w:pPr>
    </w:p>
    <w:p w14:paraId="595D5E38" w14:textId="77777777" w:rsidR="00D3344B" w:rsidRDefault="00143C25">
      <w:pPr>
        <w:pStyle w:val="Estilo"/>
        <w:rPr>
          <w:rFonts w:cs="Arial"/>
        </w:rPr>
      </w:pPr>
      <w:r>
        <w:rPr>
          <w:rFonts w:cs="Arial"/>
          <w:b/>
        </w:rPr>
        <w:t>Artículo 519.</w:t>
      </w:r>
      <w:r>
        <w:rPr>
          <w:rFonts w:cs="Arial"/>
        </w:rPr>
        <w:t xml:space="preserve"> Los ayuntamientos deberán hacer del conocimiento de las comunidades beneficiadas las obras y acciones a realizar con los recursos de la Federación a favor del Municipio, el costo de cada una y su ubicación, metas y beneficios así como cualquier otra información de las mismas que le sea requerida por la comunidad y una vez que estén terminadas las obras serán entregadas a los beneficiarios, a través de su Comité de Obra correspondiente y con la intervención del Vocal de Control y Vigilancia, mediante la elaboración de un acta de entrega recepción.</w:t>
      </w:r>
    </w:p>
    <w:p w14:paraId="6DF48107" w14:textId="77777777" w:rsidR="00D3344B" w:rsidRDefault="00D3344B">
      <w:pPr>
        <w:pStyle w:val="Estilo"/>
        <w:rPr>
          <w:rFonts w:cs="Arial"/>
        </w:rPr>
      </w:pPr>
    </w:p>
    <w:p w14:paraId="5806DEF4" w14:textId="77777777" w:rsidR="00D3344B" w:rsidRDefault="00143C25">
      <w:pPr>
        <w:pStyle w:val="Estilo"/>
        <w:rPr>
          <w:rFonts w:cs="Arial"/>
        </w:rPr>
      </w:pPr>
      <w:r>
        <w:rPr>
          <w:rFonts w:cs="Arial"/>
          <w:b/>
        </w:rPr>
        <w:t>Artículo 520.</w:t>
      </w:r>
      <w:r>
        <w:rPr>
          <w:rFonts w:cs="Arial"/>
        </w:rPr>
        <w:t xml:space="preserve"> El monto de la inversión autorizada y ejercida mediante los fondos a que se refiere este capítulo, deberán incorporarse a los Presupuestos de Ingresos y Egresos y a la Cuenta Pública de cada Municipio.</w:t>
      </w:r>
    </w:p>
    <w:p w14:paraId="1AA428C2" w14:textId="77777777" w:rsidR="00D3344B" w:rsidRDefault="00D3344B">
      <w:pPr>
        <w:pStyle w:val="Estilo"/>
        <w:rPr>
          <w:rFonts w:cs="Arial"/>
        </w:rPr>
      </w:pPr>
    </w:p>
    <w:p w14:paraId="26BC6675" w14:textId="77777777" w:rsidR="00D3344B" w:rsidRDefault="00143C25">
      <w:pPr>
        <w:pStyle w:val="Estilo"/>
        <w:rPr>
          <w:rFonts w:cs="Arial"/>
        </w:rPr>
      </w:pPr>
      <w:r>
        <w:rPr>
          <w:rFonts w:cs="Arial"/>
        </w:rPr>
        <w:t>Asimismo, estos fondos deberán ser depositados en cuentas bancarias específicas que deberán reflejar, los intereses generados para ser aplicados a los mismos fondos que se señalan en el artículo 513 de este código.</w:t>
      </w:r>
    </w:p>
    <w:p w14:paraId="24B35106" w14:textId="77777777" w:rsidR="00D3344B" w:rsidRDefault="00D3344B">
      <w:pPr>
        <w:pStyle w:val="Estilo"/>
        <w:rPr>
          <w:rFonts w:cs="Arial"/>
        </w:rPr>
      </w:pPr>
    </w:p>
    <w:p w14:paraId="0E3827B4" w14:textId="77777777" w:rsidR="00D3344B" w:rsidRDefault="00143C25">
      <w:pPr>
        <w:pStyle w:val="Estilo"/>
        <w:rPr>
          <w:rFonts w:cs="Arial"/>
        </w:rPr>
      </w:pPr>
      <w:r>
        <w:rPr>
          <w:rFonts w:cs="Arial"/>
          <w:b/>
        </w:rPr>
        <w:t>Artículo 521.</w:t>
      </w:r>
      <w:r>
        <w:rPr>
          <w:rFonts w:cs="Arial"/>
        </w:rPr>
        <w:t xml:space="preserve"> El Ejecutivo y los ayuntamientos, en el ámbito de sus respectivas competencias, serán responsables de la correcta orientación, destino y aplicación de los apoyos federales que se otorguen.</w:t>
      </w:r>
    </w:p>
    <w:p w14:paraId="1B57D3AC" w14:textId="77777777" w:rsidR="00D3344B" w:rsidRDefault="00D3344B">
      <w:pPr>
        <w:pStyle w:val="Estilo"/>
        <w:rPr>
          <w:rFonts w:cs="Arial"/>
        </w:rPr>
      </w:pPr>
    </w:p>
    <w:p w14:paraId="13603891" w14:textId="77777777" w:rsidR="00D3344B" w:rsidRDefault="00143C25">
      <w:pPr>
        <w:pStyle w:val="Estilo"/>
        <w:rPr>
          <w:rFonts w:cs="Arial"/>
          <w:i/>
          <w:iCs/>
          <w:sz w:val="16"/>
          <w:szCs w:val="16"/>
        </w:rPr>
      </w:pPr>
      <w:r>
        <w:rPr>
          <w:rFonts w:cs="Arial"/>
          <w:i/>
          <w:iCs/>
          <w:sz w:val="16"/>
          <w:szCs w:val="16"/>
        </w:rPr>
        <w:t>(REFORMADO, P.O. 22 DE DICIEMBRE DE 2021)</w:t>
      </w:r>
    </w:p>
    <w:p w14:paraId="6D66C64D" w14:textId="77777777" w:rsidR="00D3344B" w:rsidRDefault="00143C25">
      <w:pPr>
        <w:pStyle w:val="Estilo"/>
        <w:rPr>
          <w:rFonts w:cs="Arial"/>
        </w:rPr>
      </w:pPr>
      <w:r>
        <w:rPr>
          <w:rFonts w:cs="Arial"/>
          <w:b/>
        </w:rPr>
        <w:t>Artículo 522.</w:t>
      </w:r>
      <w:r>
        <w:rPr>
          <w:rFonts w:cs="Arial"/>
        </w:rPr>
        <w:t xml:space="preserve"> El Gobierno del Estado, a través de la dependencia respectiva, proporcionará a las instancias competentes del Ejecutivo Federal, la información financiera y operativa que le sea requerida para el adecuado cumplimiento de las atribuciones que, en materia de planeación, programación y presupuestación de los recursos correspondientes a estos fondos le correspondan. Los ayuntamientos lo harán por conducto de la Secretaría.</w:t>
      </w:r>
    </w:p>
    <w:p w14:paraId="1AD25795" w14:textId="77777777" w:rsidR="00D3344B" w:rsidRDefault="00D3344B">
      <w:pPr>
        <w:pStyle w:val="Estilo"/>
        <w:rPr>
          <w:rFonts w:cs="Arial"/>
        </w:rPr>
      </w:pPr>
    </w:p>
    <w:p w14:paraId="1276C048" w14:textId="77777777" w:rsidR="00D3344B" w:rsidRDefault="00143C25">
      <w:pPr>
        <w:pStyle w:val="Estilo"/>
        <w:rPr>
          <w:rFonts w:cs="Arial"/>
        </w:rPr>
      </w:pPr>
      <w:r>
        <w:rPr>
          <w:rFonts w:cs="Arial"/>
          <w:b/>
        </w:rPr>
        <w:t>Artículo 523.</w:t>
      </w:r>
      <w:r>
        <w:rPr>
          <w:rFonts w:cs="Arial"/>
        </w:rPr>
        <w:t xml:space="preserve"> Las aportaciones federales y sus accesorios, no serán embargables, ni podrán bajo ninguna circunstancia gravarse, afectarse en garantía, ni destinarse a fines distintos a lo expresamente previsto tanto en el Presupuesto de Egresos de la Federación como en la Ley de Coordinación Fiscal.</w:t>
      </w:r>
    </w:p>
    <w:p w14:paraId="70BB32C4" w14:textId="77777777" w:rsidR="00D3344B" w:rsidRDefault="00D3344B">
      <w:pPr>
        <w:pStyle w:val="Estilo"/>
        <w:rPr>
          <w:rFonts w:cs="Arial"/>
        </w:rPr>
      </w:pPr>
    </w:p>
    <w:p w14:paraId="58977446" w14:textId="77777777" w:rsidR="00D3344B" w:rsidRDefault="00143C25">
      <w:pPr>
        <w:pStyle w:val="Estilo"/>
        <w:rPr>
          <w:rFonts w:cs="Arial"/>
          <w:i/>
          <w:sz w:val="16"/>
          <w:szCs w:val="16"/>
        </w:rPr>
      </w:pPr>
      <w:r>
        <w:rPr>
          <w:rFonts w:cs="Arial"/>
          <w:i/>
          <w:sz w:val="16"/>
          <w:szCs w:val="16"/>
        </w:rPr>
        <w:lastRenderedPageBreak/>
        <w:t>(REFORMADO, P.O. 23 DE ABRIL DE 2014)</w:t>
      </w:r>
    </w:p>
    <w:p w14:paraId="455490FF" w14:textId="77777777" w:rsidR="00D3344B" w:rsidRDefault="00143C25">
      <w:pPr>
        <w:pStyle w:val="Estilo"/>
        <w:rPr>
          <w:rFonts w:cs="Arial"/>
        </w:rPr>
      </w:pPr>
      <w:r>
        <w:rPr>
          <w:rFonts w:cs="Arial"/>
          <w:b/>
        </w:rPr>
        <w:t>Artículo 523-A.</w:t>
      </w:r>
      <w:r>
        <w:rPr>
          <w:rFonts w:cs="Arial"/>
        </w:rPr>
        <w:t xml:space="preserve"> Las aportaciones del Fondo de Aportaciones para el Fortalecimiento de los Municipios y de las Demarcaciones Territoriales del Distrito Federal, podrán afectarse como garantía del cumplimiento de sus obligaciones de pago de derechos y aprovechamientos por concepto de agua y descargas de aguas residuales, de conformidad con lo previsto en el artículo 51 de la Ley de Coordinación Fiscal.</w:t>
      </w:r>
    </w:p>
    <w:p w14:paraId="584B723C" w14:textId="77777777" w:rsidR="00D3344B" w:rsidRDefault="00D3344B">
      <w:pPr>
        <w:pStyle w:val="Estilo"/>
        <w:rPr>
          <w:rFonts w:cs="Arial"/>
        </w:rPr>
      </w:pPr>
    </w:p>
    <w:p w14:paraId="616A3B57" w14:textId="77777777" w:rsidR="00D3344B" w:rsidRDefault="00143C25">
      <w:pPr>
        <w:pStyle w:val="Estilo"/>
        <w:rPr>
          <w:rFonts w:cs="Arial"/>
        </w:rPr>
      </w:pPr>
      <w:r>
        <w:rPr>
          <w:rFonts w:cs="Arial"/>
        </w:rPr>
        <w:t>La Comisión Nacional del Agua podrá solicitar por escrito al Gobierno del Estado, a través de la Secretaría, la retención de la cantidad que cubra el pago incumplido, con cargo a los recursos del Fondo de Aportaciones para el Fortalecimiento de los Municipios y Demarcaciones Territoriales del Distrito Federal, que correspondan al municipio de que se trate, previa acreditación del incumplimiento del pago de los derechos y aprovechamientos por concepto de agua y descargas de aguas residuales y tenga éste una antigüedad mayor a 90 días naturales.</w:t>
      </w:r>
    </w:p>
    <w:p w14:paraId="437366C0" w14:textId="77777777" w:rsidR="00D3344B" w:rsidRDefault="00D3344B">
      <w:pPr>
        <w:pStyle w:val="Estilo"/>
        <w:rPr>
          <w:rFonts w:cs="Arial"/>
        </w:rPr>
      </w:pPr>
    </w:p>
    <w:p w14:paraId="3D39AE0A" w14:textId="77777777" w:rsidR="00D3344B" w:rsidRDefault="00143C25">
      <w:pPr>
        <w:pStyle w:val="Estilo"/>
        <w:rPr>
          <w:rFonts w:cs="Arial"/>
        </w:rPr>
      </w:pPr>
      <w:r>
        <w:rPr>
          <w:rFonts w:cs="Arial"/>
        </w:rPr>
        <w:t>Para acreditar el incumplimiento, la Comisión Nacional del Agua informará al municipio dentro del plazo citado en el párrafo anterior, que no se ha cubierto la totalidad del pago del trimestre o periodo de que se trate, que corresponda al municipio y en su caso, a su organismo operador de agua, a efecto de que en un plazo de cuando menos diez días hábiles, presente los comprobantes de pago o las aclaraciones a que haya lugar. En caso de que no se acredite el pago total, la Comisión Nacional del Agua deberá informar al municipio que procederá en términos del artículo 51 de la Ley de Coordinación Fiscal.</w:t>
      </w:r>
    </w:p>
    <w:p w14:paraId="68D68AC0" w14:textId="77777777" w:rsidR="00D3344B" w:rsidRDefault="00D3344B">
      <w:pPr>
        <w:pStyle w:val="Estilo"/>
        <w:rPr>
          <w:rFonts w:cs="Arial"/>
        </w:rPr>
      </w:pPr>
    </w:p>
    <w:p w14:paraId="0995CEC8" w14:textId="77777777" w:rsidR="00D3344B" w:rsidRDefault="00143C25">
      <w:pPr>
        <w:pStyle w:val="Estilo"/>
        <w:rPr>
          <w:rFonts w:cs="Arial"/>
        </w:rPr>
      </w:pPr>
      <w:r>
        <w:rPr>
          <w:rFonts w:cs="Arial"/>
        </w:rPr>
        <w:t>Vencido el plazo a que hace referencia el párrafo segundo del presente artículo, la Comisión Nacional del Agua solicitará por escrito al Gobierno del Estado, por conducto de la Secretaría, la retención correspondiente. Para tales efectos enviará la relación de adeudos de cada una de las obligaciones incumplidas.</w:t>
      </w:r>
    </w:p>
    <w:p w14:paraId="532A78C4" w14:textId="77777777" w:rsidR="00D3344B" w:rsidRDefault="00D3344B">
      <w:pPr>
        <w:pStyle w:val="Estilo"/>
        <w:rPr>
          <w:rFonts w:cs="Arial"/>
        </w:rPr>
      </w:pPr>
    </w:p>
    <w:p w14:paraId="1F67D431" w14:textId="77777777" w:rsidR="00D3344B" w:rsidRDefault="00143C25">
      <w:pPr>
        <w:pStyle w:val="Estilo"/>
        <w:rPr>
          <w:rFonts w:cs="Arial"/>
        </w:rPr>
      </w:pPr>
      <w:r>
        <w:rPr>
          <w:rFonts w:cs="Arial"/>
        </w:rPr>
        <w:t>El Gobierno del Estado en su carácter de retenedor, por conducto de la Secretaría, en un término de cinco días hábiles contados a partir de la fecha de recepción de las ministraciones del Fondo de Aportaciones para el Fortalecimiento de los Municipios y Demarcaciones Territoriales del Distrito Federal y previo escrito de solicitud de la Comisión Nacional del Agua, realizará la retención correspondiente y efectuará el pago a dicha Comisión.</w:t>
      </w:r>
    </w:p>
    <w:p w14:paraId="6D441F3C" w14:textId="77777777" w:rsidR="00D3344B" w:rsidRDefault="00D3344B">
      <w:pPr>
        <w:pStyle w:val="Estilo"/>
        <w:rPr>
          <w:rFonts w:cs="Arial"/>
        </w:rPr>
      </w:pPr>
    </w:p>
    <w:p w14:paraId="696F2CEB" w14:textId="77777777" w:rsidR="00D3344B" w:rsidRDefault="00143C25">
      <w:pPr>
        <w:pStyle w:val="Estilo"/>
        <w:rPr>
          <w:rFonts w:cs="Arial"/>
        </w:rPr>
      </w:pPr>
      <w:r>
        <w:rPr>
          <w:rFonts w:cs="Arial"/>
        </w:rPr>
        <w:t xml:space="preserve">En caso de que los recursos del Fondo de Aportaciones para el Fortalecimiento de los Municipios y Demarcaciones Territoriales del Distrito Federal no sean suficientes para cubrir las obligaciones de pago de los derechos y aprovechamientos por concepto de aguas y descargas de aguas residuales, la Comisión Nacional del Agua solicitará al Gobierno del Estado </w:t>
      </w:r>
      <w:proofErr w:type="gramStart"/>
      <w:r>
        <w:rPr>
          <w:rFonts w:cs="Arial"/>
        </w:rPr>
        <w:t>que</w:t>
      </w:r>
      <w:proofErr w:type="gramEnd"/>
      <w:r>
        <w:rPr>
          <w:rFonts w:cs="Arial"/>
        </w:rPr>
        <w:t xml:space="preserve"> a través de la Secretaría, efectúe la retención y pago hasta donde alcancen los recursos de dicho Fondo. Sin perjuicio de lo anterior, los saldos pendientes deberán cubrirse conforme se reciban las aportaciones futuras de dicho Fondo.</w:t>
      </w:r>
    </w:p>
    <w:p w14:paraId="691B1167" w14:textId="77777777" w:rsidR="00D3344B" w:rsidRDefault="00D3344B">
      <w:pPr>
        <w:pStyle w:val="Estilo"/>
        <w:rPr>
          <w:rFonts w:cs="Arial"/>
        </w:rPr>
      </w:pPr>
    </w:p>
    <w:p w14:paraId="4E779B0C" w14:textId="77777777" w:rsidR="00D3344B" w:rsidRDefault="00143C25">
      <w:pPr>
        <w:pStyle w:val="Estilo"/>
        <w:rPr>
          <w:rFonts w:cs="Arial"/>
          <w:i/>
          <w:sz w:val="16"/>
          <w:szCs w:val="16"/>
        </w:rPr>
      </w:pPr>
      <w:r>
        <w:rPr>
          <w:rFonts w:cs="Arial"/>
          <w:i/>
          <w:sz w:val="16"/>
          <w:szCs w:val="16"/>
        </w:rPr>
        <w:t>(REFORMADO, P.O. 23 DE ABRIL DE 2014)</w:t>
      </w:r>
    </w:p>
    <w:p w14:paraId="5D83F426" w14:textId="77777777" w:rsidR="00D3344B" w:rsidRDefault="00143C25">
      <w:pPr>
        <w:pStyle w:val="Estilo"/>
        <w:rPr>
          <w:rFonts w:cs="Arial"/>
        </w:rPr>
      </w:pPr>
      <w:r>
        <w:rPr>
          <w:rFonts w:cs="Arial"/>
          <w:b/>
        </w:rPr>
        <w:lastRenderedPageBreak/>
        <w:t>Artículo 523-B.</w:t>
      </w:r>
      <w:r>
        <w:rPr>
          <w:rFonts w:cs="Arial"/>
        </w:rPr>
        <w:t xml:space="preserve"> Las retenciones y pagos que se realicen con cargo a los recursos del Fondo de Aportaciones para el Fortalecimiento de los Municipios y Demarcaciones Territoriales del Distrito Federal por adeudos que correspondan al Municipio, de conformidad con lo establecido en el artículo 523-A, sólo podrán solicitarse a la Secretaría por incumplimiento de los pagos generados a partir del 1 de enero de 2014 y efectuarse de manera gradual, considerando el 100% de la facturación o causación de los derechos y aprovechamientos por concepto de aguas y descargas de aguas residuales, con base en, al menos, los porcentajes establecidos en el artículo séptimo transitorio del "DECRETO por el que se reforman y adicionan diversas disposiciones de la Ley de Coordinación Fiscal y de la Ley General de Contabilidad Gubernamental", publicado en el Diario Oficial de la Federación con fecha nueve de diciembre del año dos mil trece.</w:t>
      </w:r>
    </w:p>
    <w:p w14:paraId="2A3A3903" w14:textId="77777777" w:rsidR="00D3344B" w:rsidRDefault="00D3344B">
      <w:pPr>
        <w:pStyle w:val="Estilo"/>
        <w:rPr>
          <w:rFonts w:cs="Arial"/>
        </w:rPr>
      </w:pPr>
    </w:p>
    <w:p w14:paraId="16A9EE73" w14:textId="77777777" w:rsidR="00D3344B" w:rsidRDefault="00143C25">
      <w:pPr>
        <w:pStyle w:val="Estilo"/>
        <w:rPr>
          <w:rFonts w:cs="Arial"/>
          <w:i/>
          <w:sz w:val="16"/>
          <w:szCs w:val="16"/>
        </w:rPr>
      </w:pPr>
      <w:r>
        <w:rPr>
          <w:rFonts w:cs="Arial"/>
          <w:i/>
          <w:sz w:val="16"/>
          <w:szCs w:val="16"/>
        </w:rPr>
        <w:t>(REFORMADO, P.O. 23 DE ABRIL DE 2014)</w:t>
      </w:r>
    </w:p>
    <w:p w14:paraId="102D7AC3" w14:textId="77777777" w:rsidR="00D3344B" w:rsidRDefault="00143C25">
      <w:pPr>
        <w:pStyle w:val="Estilo"/>
        <w:rPr>
          <w:rFonts w:cs="Arial"/>
        </w:rPr>
      </w:pPr>
      <w:r>
        <w:rPr>
          <w:rFonts w:cs="Arial"/>
          <w:b/>
        </w:rPr>
        <w:t>Artículo 523-C.</w:t>
      </w:r>
      <w:r>
        <w:rPr>
          <w:rFonts w:cs="Arial"/>
        </w:rPr>
        <w:t xml:space="preserve"> Los ingresos que, por la recaudación de derechos por la explotación, uso o aprovechamiento de aguas y descargas de aguas residuales, reciba la Comisión Nacional del Agua, derivados de los pagos que por dicho concepto realicen los municipios, formarán parte de la devolución de derechos a que se refiere el artículo 231-A de la Ley Federal de Derechos, a efecto de que estos recursos sean destinados al mejoramiento de eficiencia y de infraestructura de agua potable, alcantarillado y tratamiento de aguas residuales, en la circunscripción territorial de cada municipio.</w:t>
      </w:r>
    </w:p>
    <w:p w14:paraId="3BCB3B2B" w14:textId="77777777" w:rsidR="00D3344B" w:rsidRDefault="00D3344B">
      <w:pPr>
        <w:pStyle w:val="Estilo"/>
        <w:rPr>
          <w:rFonts w:cs="Arial"/>
        </w:rPr>
      </w:pPr>
    </w:p>
    <w:p w14:paraId="7EA9C087" w14:textId="77777777" w:rsidR="00D3344B" w:rsidRDefault="00143C25">
      <w:pPr>
        <w:pStyle w:val="Estilo"/>
        <w:jc w:val="center"/>
        <w:rPr>
          <w:rFonts w:cs="Arial"/>
          <w:b/>
        </w:rPr>
      </w:pPr>
      <w:r>
        <w:rPr>
          <w:rFonts w:cs="Arial"/>
          <w:b/>
        </w:rPr>
        <w:t>Capítulo VII</w:t>
      </w:r>
    </w:p>
    <w:p w14:paraId="514BE810" w14:textId="77777777" w:rsidR="00D3344B" w:rsidRDefault="00143C25">
      <w:pPr>
        <w:pStyle w:val="Estilo"/>
        <w:jc w:val="center"/>
        <w:rPr>
          <w:rFonts w:cs="Arial"/>
          <w:b/>
        </w:rPr>
      </w:pPr>
      <w:r>
        <w:rPr>
          <w:rFonts w:cs="Arial"/>
          <w:b/>
        </w:rPr>
        <w:t>De los Organismos de Coordinación Hacendaria</w:t>
      </w:r>
    </w:p>
    <w:p w14:paraId="681292BD" w14:textId="77777777" w:rsidR="00D3344B" w:rsidRDefault="00D3344B">
      <w:pPr>
        <w:pStyle w:val="Estilo"/>
        <w:rPr>
          <w:rFonts w:cs="Arial"/>
        </w:rPr>
      </w:pPr>
    </w:p>
    <w:p w14:paraId="2B945033" w14:textId="77777777" w:rsidR="00D3344B" w:rsidRDefault="00143C25">
      <w:pPr>
        <w:pStyle w:val="Estilo"/>
        <w:rPr>
          <w:rFonts w:cs="Arial"/>
          <w:i/>
          <w:sz w:val="16"/>
          <w:szCs w:val="16"/>
        </w:rPr>
      </w:pPr>
      <w:r>
        <w:rPr>
          <w:rFonts w:cs="Arial"/>
          <w:i/>
          <w:sz w:val="16"/>
          <w:szCs w:val="16"/>
        </w:rPr>
        <w:t>(REFORMADO PRIMER PÁRRAFO, P.O. 31 DE DICIEMBRE DE 2007)</w:t>
      </w:r>
    </w:p>
    <w:p w14:paraId="73D591CF" w14:textId="77777777" w:rsidR="00D3344B" w:rsidRDefault="00143C25">
      <w:pPr>
        <w:pStyle w:val="Estilo"/>
        <w:rPr>
          <w:rFonts w:cs="Arial"/>
        </w:rPr>
      </w:pPr>
      <w:r>
        <w:rPr>
          <w:rFonts w:cs="Arial"/>
          <w:b/>
        </w:rPr>
        <w:t>Artículo 524.</w:t>
      </w:r>
      <w:r>
        <w:rPr>
          <w:rFonts w:cs="Arial"/>
        </w:rPr>
        <w:t xml:space="preserve"> El Ejecutivo por conducto de la Secretaría, el Congreso a través del Órgano de Fiscalización y los ayuntamientos participarán en el desarrollo, vigilancia y mejoramiento del Sistema Estatal de Coordinación Hacendaria, para estos efectos se crean:</w:t>
      </w:r>
    </w:p>
    <w:p w14:paraId="6347B7DF" w14:textId="77777777" w:rsidR="00D3344B" w:rsidRDefault="00D3344B">
      <w:pPr>
        <w:pStyle w:val="Estilo"/>
        <w:rPr>
          <w:rFonts w:cs="Arial"/>
        </w:rPr>
      </w:pPr>
    </w:p>
    <w:p w14:paraId="5165C1A6" w14:textId="77777777" w:rsidR="00D3344B" w:rsidRDefault="00143C25">
      <w:pPr>
        <w:pStyle w:val="Estilo"/>
        <w:ind w:left="567" w:hanging="567"/>
        <w:rPr>
          <w:rFonts w:cs="Arial"/>
        </w:rPr>
      </w:pPr>
      <w:r>
        <w:rPr>
          <w:rFonts w:cs="Arial"/>
        </w:rPr>
        <w:t xml:space="preserve">I. </w:t>
      </w:r>
      <w:r>
        <w:rPr>
          <w:rFonts w:cs="Arial"/>
        </w:rPr>
        <w:tab/>
        <w:t>La Reunión Estatal de Servidores Públicos Hacendarios;</w:t>
      </w:r>
    </w:p>
    <w:p w14:paraId="47C2DCC3" w14:textId="77777777" w:rsidR="00D3344B" w:rsidRDefault="00D3344B">
      <w:pPr>
        <w:pStyle w:val="Estilo"/>
        <w:ind w:left="567" w:hanging="567"/>
        <w:rPr>
          <w:rFonts w:cs="Arial"/>
        </w:rPr>
      </w:pPr>
    </w:p>
    <w:p w14:paraId="199C0E6B" w14:textId="77777777" w:rsidR="00D3344B" w:rsidRDefault="00143C25">
      <w:pPr>
        <w:pStyle w:val="Estilo"/>
        <w:ind w:left="567" w:hanging="567"/>
        <w:rPr>
          <w:rFonts w:cs="Arial"/>
        </w:rPr>
      </w:pPr>
      <w:r>
        <w:rPr>
          <w:rFonts w:cs="Arial"/>
        </w:rPr>
        <w:t xml:space="preserve">II. </w:t>
      </w:r>
      <w:r>
        <w:rPr>
          <w:rFonts w:cs="Arial"/>
        </w:rPr>
        <w:tab/>
        <w:t>El Consejo Permanente de Coordinación Hacendaria;</w:t>
      </w:r>
    </w:p>
    <w:p w14:paraId="12E1CFBA" w14:textId="77777777" w:rsidR="00D3344B" w:rsidRDefault="00D3344B">
      <w:pPr>
        <w:pStyle w:val="Estilo"/>
        <w:ind w:left="567" w:hanging="567"/>
        <w:rPr>
          <w:rFonts w:cs="Arial"/>
        </w:rPr>
      </w:pPr>
    </w:p>
    <w:p w14:paraId="7BEAD687" w14:textId="77777777" w:rsidR="00D3344B" w:rsidRDefault="00143C25">
      <w:pPr>
        <w:pStyle w:val="Estilo"/>
        <w:ind w:left="567" w:hanging="567"/>
        <w:rPr>
          <w:rFonts w:cs="Arial"/>
        </w:rPr>
      </w:pPr>
      <w:r>
        <w:rPr>
          <w:rFonts w:cs="Arial"/>
        </w:rPr>
        <w:t xml:space="preserve">III. </w:t>
      </w:r>
      <w:r>
        <w:rPr>
          <w:rFonts w:cs="Arial"/>
        </w:rPr>
        <w:tab/>
        <w:t>El Instituto de Capacitación Hacendaria del Estado de Tlaxcala;</w:t>
      </w:r>
    </w:p>
    <w:p w14:paraId="7B34EF94" w14:textId="77777777" w:rsidR="00D3344B" w:rsidRDefault="00D3344B">
      <w:pPr>
        <w:pStyle w:val="Estilo"/>
        <w:ind w:left="567" w:hanging="567"/>
        <w:rPr>
          <w:rFonts w:cs="Arial"/>
        </w:rPr>
      </w:pPr>
    </w:p>
    <w:p w14:paraId="38D7E864" w14:textId="77777777" w:rsidR="00D3344B" w:rsidRDefault="00143C25">
      <w:pPr>
        <w:pStyle w:val="Estilo"/>
        <w:ind w:left="567" w:hanging="567"/>
        <w:rPr>
          <w:rFonts w:cs="Arial"/>
        </w:rPr>
      </w:pPr>
      <w:r>
        <w:rPr>
          <w:rFonts w:cs="Arial"/>
        </w:rPr>
        <w:t xml:space="preserve">IV. </w:t>
      </w:r>
      <w:r>
        <w:rPr>
          <w:rFonts w:cs="Arial"/>
        </w:rPr>
        <w:tab/>
        <w:t>El Instituto de Catastro, y</w:t>
      </w:r>
    </w:p>
    <w:p w14:paraId="4DFB2642" w14:textId="77777777" w:rsidR="00D3344B" w:rsidRDefault="00D3344B">
      <w:pPr>
        <w:pStyle w:val="Estilo"/>
        <w:ind w:left="567" w:hanging="567"/>
        <w:rPr>
          <w:rFonts w:cs="Arial"/>
        </w:rPr>
      </w:pPr>
    </w:p>
    <w:p w14:paraId="36F79B54" w14:textId="77777777" w:rsidR="00D3344B" w:rsidRDefault="00143C25">
      <w:pPr>
        <w:pStyle w:val="Estilo"/>
        <w:ind w:left="567" w:hanging="567"/>
        <w:rPr>
          <w:rFonts w:cs="Arial"/>
        </w:rPr>
      </w:pPr>
      <w:r>
        <w:rPr>
          <w:rFonts w:cs="Arial"/>
        </w:rPr>
        <w:t xml:space="preserve">V. </w:t>
      </w:r>
      <w:r>
        <w:rPr>
          <w:rFonts w:cs="Arial"/>
        </w:rPr>
        <w:tab/>
        <w:t>Las demás instancias que se decida crear para Fortalecer la Coordinación Hacendaria.</w:t>
      </w:r>
    </w:p>
    <w:p w14:paraId="540EA7D4" w14:textId="77777777" w:rsidR="00D3344B" w:rsidRDefault="00D3344B">
      <w:pPr>
        <w:pStyle w:val="Estilo"/>
        <w:rPr>
          <w:rFonts w:cs="Arial"/>
        </w:rPr>
      </w:pPr>
    </w:p>
    <w:p w14:paraId="51494057" w14:textId="77777777" w:rsidR="00D3344B" w:rsidRDefault="00143C25">
      <w:pPr>
        <w:pStyle w:val="Estilo"/>
        <w:rPr>
          <w:rFonts w:cs="Arial"/>
        </w:rPr>
      </w:pPr>
      <w:r>
        <w:rPr>
          <w:rFonts w:cs="Arial"/>
          <w:i/>
          <w:sz w:val="16"/>
        </w:rPr>
        <w:t>(REFORMADO, P.O. 31 DE DICIEMBRE DE 2007)</w:t>
      </w:r>
    </w:p>
    <w:p w14:paraId="023618A9" w14:textId="77777777" w:rsidR="00D3344B" w:rsidRDefault="00143C25">
      <w:pPr>
        <w:pStyle w:val="Estilo"/>
        <w:rPr>
          <w:rFonts w:cs="Arial"/>
        </w:rPr>
      </w:pPr>
      <w:r>
        <w:rPr>
          <w:rFonts w:cs="Arial"/>
          <w:b/>
        </w:rPr>
        <w:t>Artículo 525.</w:t>
      </w:r>
      <w:r>
        <w:rPr>
          <w:rFonts w:cs="Arial"/>
        </w:rPr>
        <w:t xml:space="preserve"> La Reunión Estatal de Servidores Públicos Hacendarios se llevará a cabo cuando menos una vez al año y se integrará por presidentes municipales e integrantes de los Poderes Ejecutivo y Legislativo. La presidencia corresponderá al </w:t>
      </w:r>
      <w:r>
        <w:rPr>
          <w:rFonts w:cs="Arial"/>
        </w:rPr>
        <w:lastRenderedPageBreak/>
        <w:t>Gobernador del Estado, quien la ejercerá directamente o por conducto del titular de la Secretaría.</w:t>
      </w:r>
    </w:p>
    <w:p w14:paraId="705CB0B5" w14:textId="77777777" w:rsidR="00D3344B" w:rsidRDefault="00D3344B">
      <w:pPr>
        <w:pStyle w:val="Estilo"/>
        <w:rPr>
          <w:rFonts w:cs="Arial"/>
        </w:rPr>
      </w:pPr>
    </w:p>
    <w:p w14:paraId="2EF3FB21" w14:textId="77777777" w:rsidR="00D3344B" w:rsidRDefault="00143C25">
      <w:pPr>
        <w:pStyle w:val="Estilo"/>
        <w:rPr>
          <w:rFonts w:cs="Arial"/>
        </w:rPr>
      </w:pPr>
      <w:r>
        <w:rPr>
          <w:rFonts w:cs="Arial"/>
          <w:b/>
        </w:rPr>
        <w:t>Artículo 526.</w:t>
      </w:r>
      <w:r>
        <w:rPr>
          <w:rFonts w:cs="Arial"/>
        </w:rPr>
        <w:t xml:space="preserve"> En la Reunión se conocerá, por lo menos de los siguientes asuntos:</w:t>
      </w:r>
    </w:p>
    <w:p w14:paraId="60F5F6A1" w14:textId="77777777" w:rsidR="00D3344B" w:rsidRDefault="00D3344B">
      <w:pPr>
        <w:pStyle w:val="Estilo"/>
        <w:rPr>
          <w:rFonts w:cs="Arial"/>
        </w:rPr>
      </w:pPr>
    </w:p>
    <w:p w14:paraId="57036FEE" w14:textId="77777777" w:rsidR="00D3344B" w:rsidRDefault="00143C25">
      <w:pPr>
        <w:pStyle w:val="Estilo"/>
        <w:ind w:left="567" w:hanging="567"/>
        <w:rPr>
          <w:rFonts w:cs="Arial"/>
        </w:rPr>
      </w:pPr>
      <w:r>
        <w:rPr>
          <w:rFonts w:cs="Arial"/>
        </w:rPr>
        <w:t xml:space="preserve">I. </w:t>
      </w:r>
      <w:r>
        <w:rPr>
          <w:rFonts w:cs="Arial"/>
        </w:rPr>
        <w:tab/>
        <w:t>Presentación de los proyectos de Ley de Ingresos de los municipios;</w:t>
      </w:r>
    </w:p>
    <w:p w14:paraId="39E9D773" w14:textId="77777777" w:rsidR="00D3344B" w:rsidRDefault="00D3344B">
      <w:pPr>
        <w:pStyle w:val="Estilo"/>
        <w:ind w:left="567" w:hanging="567"/>
        <w:rPr>
          <w:rFonts w:cs="Arial"/>
        </w:rPr>
      </w:pPr>
    </w:p>
    <w:p w14:paraId="5AFB3662" w14:textId="77777777" w:rsidR="00D3344B" w:rsidRDefault="00143C25">
      <w:pPr>
        <w:pStyle w:val="Estilo"/>
        <w:ind w:left="567" w:hanging="567"/>
        <w:rPr>
          <w:rFonts w:cs="Arial"/>
        </w:rPr>
      </w:pPr>
      <w:r>
        <w:rPr>
          <w:rFonts w:cs="Arial"/>
        </w:rPr>
        <w:t xml:space="preserve">II. </w:t>
      </w:r>
      <w:r>
        <w:rPr>
          <w:rFonts w:cs="Arial"/>
        </w:rPr>
        <w:tab/>
        <w:t>Pronóstico de los Ingresos que reciba el Estado para el próximo año y análisis de su recaudación;</w:t>
      </w:r>
    </w:p>
    <w:p w14:paraId="7262451C" w14:textId="77777777" w:rsidR="00D3344B" w:rsidRDefault="00D3344B">
      <w:pPr>
        <w:pStyle w:val="Estilo"/>
        <w:ind w:left="567" w:hanging="567"/>
        <w:rPr>
          <w:rFonts w:cs="Arial"/>
        </w:rPr>
      </w:pPr>
    </w:p>
    <w:p w14:paraId="3F023883" w14:textId="77777777" w:rsidR="00D3344B" w:rsidRDefault="00143C25">
      <w:pPr>
        <w:pStyle w:val="Estilo"/>
        <w:ind w:left="567" w:hanging="567"/>
        <w:rPr>
          <w:rFonts w:cs="Arial"/>
        </w:rPr>
      </w:pPr>
      <w:r>
        <w:rPr>
          <w:rFonts w:cs="Arial"/>
        </w:rPr>
        <w:t xml:space="preserve">III. </w:t>
      </w:r>
      <w:r>
        <w:rPr>
          <w:rFonts w:cs="Arial"/>
        </w:rPr>
        <w:tab/>
        <w:t>Presentación de los avances del Presupuesto de Egresos y alcances con los Planes de Desarrollo Estatal y Municipal;</w:t>
      </w:r>
    </w:p>
    <w:p w14:paraId="533EBE73" w14:textId="77777777" w:rsidR="00D3344B" w:rsidRDefault="00D3344B">
      <w:pPr>
        <w:pStyle w:val="Estilo"/>
        <w:ind w:left="567" w:hanging="567"/>
        <w:rPr>
          <w:rFonts w:cs="Arial"/>
        </w:rPr>
      </w:pPr>
    </w:p>
    <w:p w14:paraId="291D18D9" w14:textId="77777777" w:rsidR="00D3344B" w:rsidRDefault="00143C25">
      <w:pPr>
        <w:pStyle w:val="Estilo"/>
        <w:ind w:left="567" w:hanging="567"/>
        <w:rPr>
          <w:rFonts w:cs="Arial"/>
        </w:rPr>
      </w:pPr>
      <w:r>
        <w:rPr>
          <w:rFonts w:cs="Arial"/>
        </w:rPr>
        <w:t xml:space="preserve">IV. </w:t>
      </w:r>
      <w:r>
        <w:rPr>
          <w:rFonts w:cs="Arial"/>
        </w:rPr>
        <w:tab/>
        <w:t>Presentación y comentarios de proyectos de reformas, adiciones o derogaciones de disposiciones sobre ingresos, egresos, financiamiento y patrimonio de los municipios; por los ayuntamientos, por el Titular del Poder Ejecutivo o por el Poder Legislativo;</w:t>
      </w:r>
    </w:p>
    <w:p w14:paraId="5C4EF2DB" w14:textId="77777777" w:rsidR="00D3344B" w:rsidRDefault="00D3344B">
      <w:pPr>
        <w:pStyle w:val="Estilo"/>
        <w:ind w:left="567" w:hanging="567"/>
        <w:rPr>
          <w:rFonts w:cs="Arial"/>
        </w:rPr>
      </w:pPr>
    </w:p>
    <w:p w14:paraId="5BC793F9" w14:textId="77777777" w:rsidR="00D3344B" w:rsidRDefault="00143C25">
      <w:pPr>
        <w:pStyle w:val="Estilo"/>
        <w:ind w:left="567" w:hanging="567"/>
        <w:rPr>
          <w:rFonts w:cs="Arial"/>
        </w:rPr>
      </w:pPr>
      <w:r>
        <w:rPr>
          <w:rFonts w:cs="Arial"/>
          <w:i/>
          <w:sz w:val="16"/>
        </w:rPr>
        <w:t>(REFORMADA, P.O. 31 DE DICIEMBRE DE 2007)</w:t>
      </w:r>
    </w:p>
    <w:p w14:paraId="12849E30" w14:textId="77777777" w:rsidR="00D3344B" w:rsidRDefault="00143C25">
      <w:pPr>
        <w:pStyle w:val="Estilo"/>
        <w:ind w:left="567" w:hanging="567"/>
        <w:rPr>
          <w:rFonts w:cs="Arial"/>
        </w:rPr>
      </w:pPr>
      <w:r>
        <w:rPr>
          <w:rFonts w:cs="Arial"/>
        </w:rPr>
        <w:t xml:space="preserve">V. </w:t>
      </w:r>
      <w:r>
        <w:rPr>
          <w:rFonts w:cs="Arial"/>
        </w:rPr>
        <w:tab/>
        <w:t>Elección de los presidentes municipales que integrarán el Consejo Permanente de Coordinación Hacendaria, excepto cuando se trate del último año del período constitucional;</w:t>
      </w:r>
    </w:p>
    <w:p w14:paraId="04B54C0B" w14:textId="77777777" w:rsidR="00D3344B" w:rsidRDefault="00D3344B">
      <w:pPr>
        <w:pStyle w:val="Estilo"/>
        <w:ind w:left="567" w:hanging="567"/>
        <w:rPr>
          <w:rFonts w:cs="Arial"/>
        </w:rPr>
      </w:pPr>
    </w:p>
    <w:p w14:paraId="3A32E2BE" w14:textId="77777777" w:rsidR="00D3344B" w:rsidRDefault="00143C25">
      <w:pPr>
        <w:pStyle w:val="Estilo"/>
        <w:ind w:left="567" w:hanging="567"/>
        <w:rPr>
          <w:rFonts w:cs="Arial"/>
        </w:rPr>
      </w:pPr>
      <w:r>
        <w:rPr>
          <w:rFonts w:cs="Arial"/>
        </w:rPr>
        <w:t xml:space="preserve">VI. </w:t>
      </w:r>
      <w:r>
        <w:rPr>
          <w:rFonts w:cs="Arial"/>
        </w:rPr>
        <w:tab/>
        <w:t xml:space="preserve">Nombrar al </w:t>
      </w:r>
      <w:proofErr w:type="gramStart"/>
      <w:r>
        <w:rPr>
          <w:rFonts w:cs="Arial"/>
        </w:rPr>
        <w:t>Director</w:t>
      </w:r>
      <w:proofErr w:type="gramEnd"/>
      <w:r>
        <w:rPr>
          <w:rFonts w:cs="Arial"/>
        </w:rPr>
        <w:t xml:space="preserve"> del Instituto de Capacitación Hacendaria del Estado de Tlaxcala, y</w:t>
      </w:r>
    </w:p>
    <w:p w14:paraId="4D3154F6" w14:textId="77777777" w:rsidR="00D3344B" w:rsidRDefault="00D3344B">
      <w:pPr>
        <w:pStyle w:val="Estilo"/>
        <w:ind w:left="567" w:hanging="567"/>
        <w:rPr>
          <w:rFonts w:cs="Arial"/>
        </w:rPr>
      </w:pPr>
    </w:p>
    <w:p w14:paraId="78953535" w14:textId="77777777" w:rsidR="00D3344B" w:rsidRDefault="00143C25">
      <w:pPr>
        <w:pStyle w:val="Estilo"/>
        <w:ind w:left="567" w:hanging="567"/>
        <w:rPr>
          <w:rFonts w:cs="Arial"/>
        </w:rPr>
      </w:pPr>
      <w:r>
        <w:rPr>
          <w:rFonts w:cs="Arial"/>
        </w:rPr>
        <w:t xml:space="preserve">VII. </w:t>
      </w:r>
      <w:r>
        <w:rPr>
          <w:rFonts w:cs="Arial"/>
        </w:rPr>
        <w:tab/>
        <w:t>Las demás que se incluyan en la convocatoria respectiva.</w:t>
      </w:r>
    </w:p>
    <w:p w14:paraId="0F273C46" w14:textId="77777777" w:rsidR="00D3344B" w:rsidRDefault="00D3344B">
      <w:pPr>
        <w:pStyle w:val="Estilo"/>
        <w:rPr>
          <w:rFonts w:cs="Arial"/>
        </w:rPr>
      </w:pPr>
    </w:p>
    <w:p w14:paraId="6F401362" w14:textId="77777777" w:rsidR="00D3344B" w:rsidRDefault="00143C25">
      <w:pPr>
        <w:pStyle w:val="Estilo"/>
        <w:rPr>
          <w:rFonts w:cs="Arial"/>
        </w:rPr>
      </w:pPr>
      <w:r>
        <w:rPr>
          <w:rFonts w:cs="Arial"/>
          <w:b/>
        </w:rPr>
        <w:t>Artículo 527.</w:t>
      </w:r>
      <w:r>
        <w:rPr>
          <w:rFonts w:cs="Arial"/>
        </w:rPr>
        <w:t xml:space="preserve"> El Consejo Permanente de Coordinación Hacendaria es un órgano de consulta, análisis, promoción y evaluación y tendrá a su cargo:</w:t>
      </w:r>
    </w:p>
    <w:p w14:paraId="08347B29" w14:textId="77777777" w:rsidR="00D3344B" w:rsidRDefault="00D3344B">
      <w:pPr>
        <w:pStyle w:val="Estilo"/>
        <w:rPr>
          <w:rFonts w:cs="Arial"/>
        </w:rPr>
      </w:pPr>
    </w:p>
    <w:p w14:paraId="60657E61" w14:textId="77777777" w:rsidR="00D3344B" w:rsidRDefault="00143C25">
      <w:pPr>
        <w:pStyle w:val="Estilo"/>
        <w:ind w:left="567" w:hanging="567"/>
        <w:rPr>
          <w:rFonts w:cs="Arial"/>
        </w:rPr>
      </w:pPr>
      <w:r>
        <w:rPr>
          <w:rFonts w:cs="Arial"/>
        </w:rPr>
        <w:t xml:space="preserve">I. </w:t>
      </w:r>
      <w:r>
        <w:rPr>
          <w:rFonts w:cs="Arial"/>
        </w:rPr>
        <w:tab/>
        <w:t>Proponer las medidas que estime convenientes para mejorar o actualizar este código;</w:t>
      </w:r>
    </w:p>
    <w:p w14:paraId="30AE28B4" w14:textId="77777777" w:rsidR="00D3344B" w:rsidRDefault="00D3344B">
      <w:pPr>
        <w:pStyle w:val="Estilo"/>
        <w:ind w:left="567" w:hanging="567"/>
        <w:rPr>
          <w:rFonts w:cs="Arial"/>
        </w:rPr>
      </w:pPr>
    </w:p>
    <w:p w14:paraId="245C5696" w14:textId="77777777" w:rsidR="00D3344B" w:rsidRDefault="00143C25">
      <w:pPr>
        <w:pStyle w:val="Estilo"/>
        <w:ind w:left="567" w:hanging="567"/>
        <w:rPr>
          <w:rFonts w:cs="Arial"/>
        </w:rPr>
      </w:pPr>
      <w:r>
        <w:rPr>
          <w:rFonts w:cs="Arial"/>
        </w:rPr>
        <w:t xml:space="preserve">II. </w:t>
      </w:r>
      <w:r>
        <w:rPr>
          <w:rFonts w:cs="Arial"/>
        </w:rPr>
        <w:tab/>
        <w:t>Analizar y emitir un dictamen sobre la distribución y liquidación de los pagos provisionales y de diferencia con cargo a los Fondos e Ingresos Federales;</w:t>
      </w:r>
    </w:p>
    <w:p w14:paraId="05728021" w14:textId="77777777" w:rsidR="00D3344B" w:rsidRDefault="00D3344B">
      <w:pPr>
        <w:pStyle w:val="Estilo"/>
        <w:ind w:left="567" w:hanging="567"/>
        <w:rPr>
          <w:rFonts w:cs="Arial"/>
        </w:rPr>
      </w:pPr>
    </w:p>
    <w:p w14:paraId="14AA17FB" w14:textId="77777777" w:rsidR="00D3344B" w:rsidRDefault="00143C25">
      <w:pPr>
        <w:pStyle w:val="Estilo"/>
        <w:ind w:left="567" w:hanging="567"/>
        <w:rPr>
          <w:rFonts w:cs="Arial"/>
        </w:rPr>
      </w:pPr>
      <w:r>
        <w:rPr>
          <w:rFonts w:cs="Arial"/>
        </w:rPr>
        <w:t xml:space="preserve">III. </w:t>
      </w:r>
      <w:r>
        <w:rPr>
          <w:rFonts w:cs="Arial"/>
        </w:rPr>
        <w:tab/>
        <w:t xml:space="preserve">Proponer una terna de especialistas en la materia para </w:t>
      </w:r>
      <w:proofErr w:type="gramStart"/>
      <w:r>
        <w:rPr>
          <w:rFonts w:cs="Arial"/>
        </w:rPr>
        <w:t>que</w:t>
      </w:r>
      <w:proofErr w:type="gramEnd"/>
      <w:r>
        <w:rPr>
          <w:rFonts w:cs="Arial"/>
        </w:rPr>
        <w:t xml:space="preserve"> en la Reunión Estatal de Servidores Públicos Hacendarios, se designe al director del Instituto, así como autorizar sus reglamentos;</w:t>
      </w:r>
    </w:p>
    <w:p w14:paraId="5C66AF2E" w14:textId="77777777" w:rsidR="00D3344B" w:rsidRDefault="00D3344B">
      <w:pPr>
        <w:pStyle w:val="Estilo"/>
        <w:ind w:left="567" w:hanging="567"/>
        <w:rPr>
          <w:rFonts w:cs="Arial"/>
        </w:rPr>
      </w:pPr>
    </w:p>
    <w:p w14:paraId="6A5B5DFC" w14:textId="77777777" w:rsidR="00D3344B" w:rsidRDefault="00143C25">
      <w:pPr>
        <w:pStyle w:val="Estilo"/>
        <w:ind w:left="567" w:hanging="567"/>
        <w:rPr>
          <w:rFonts w:cs="Arial"/>
        </w:rPr>
      </w:pPr>
      <w:r>
        <w:rPr>
          <w:rFonts w:cs="Arial"/>
        </w:rPr>
        <w:t xml:space="preserve">IV. </w:t>
      </w:r>
      <w:r>
        <w:rPr>
          <w:rFonts w:cs="Arial"/>
        </w:rPr>
        <w:tab/>
        <w:t>Efectuar en forma permanente estudios y emitir criterios interpretativos para facilitar la aplicación de las disposiciones fiscales de carácter municipal y estatal, y</w:t>
      </w:r>
    </w:p>
    <w:p w14:paraId="4E318A6D" w14:textId="77777777" w:rsidR="00D3344B" w:rsidRDefault="00D3344B">
      <w:pPr>
        <w:pStyle w:val="Estilo"/>
        <w:ind w:left="567" w:hanging="567"/>
        <w:rPr>
          <w:rFonts w:cs="Arial"/>
        </w:rPr>
      </w:pPr>
    </w:p>
    <w:p w14:paraId="5D98576E" w14:textId="77777777" w:rsidR="00D3344B" w:rsidRDefault="00143C25">
      <w:pPr>
        <w:pStyle w:val="Estilo"/>
        <w:ind w:left="567" w:hanging="567"/>
        <w:rPr>
          <w:rFonts w:cs="Arial"/>
        </w:rPr>
      </w:pPr>
      <w:r>
        <w:rPr>
          <w:rFonts w:cs="Arial"/>
        </w:rPr>
        <w:t xml:space="preserve">V. </w:t>
      </w:r>
      <w:r>
        <w:rPr>
          <w:rFonts w:cs="Arial"/>
        </w:rPr>
        <w:tab/>
        <w:t>Hacer estudios y propuestas para mejorar la recaudación de los municipios.</w:t>
      </w:r>
    </w:p>
    <w:p w14:paraId="385EFD04" w14:textId="77777777" w:rsidR="00D3344B" w:rsidRDefault="00D3344B">
      <w:pPr>
        <w:pStyle w:val="Estilo"/>
        <w:rPr>
          <w:rFonts w:cs="Arial"/>
        </w:rPr>
      </w:pPr>
    </w:p>
    <w:p w14:paraId="2F1D4511" w14:textId="77777777" w:rsidR="00D3344B" w:rsidRDefault="00143C25">
      <w:pPr>
        <w:pStyle w:val="Estilo"/>
        <w:rPr>
          <w:rFonts w:cs="Arial"/>
        </w:rPr>
      </w:pPr>
      <w:r>
        <w:rPr>
          <w:rFonts w:cs="Arial"/>
          <w:i/>
          <w:sz w:val="16"/>
        </w:rPr>
        <w:t>N. DE E. EN RELACIÓN CON LA ENTRADA EN VIGOR DEL PRESENTE PÁRRAFO, VÉASE ARTÍCULO ÚNICO TRANSITORIO DEL DECRETO QUE MODIFICA EL CÓDIGO.</w:t>
      </w:r>
    </w:p>
    <w:p w14:paraId="10EF6303" w14:textId="77777777" w:rsidR="00D3344B" w:rsidRDefault="00143C25">
      <w:pPr>
        <w:pStyle w:val="Estilo"/>
        <w:rPr>
          <w:rFonts w:cs="Arial"/>
        </w:rPr>
      </w:pPr>
      <w:r>
        <w:rPr>
          <w:rFonts w:cs="Arial"/>
          <w:i/>
          <w:sz w:val="16"/>
        </w:rPr>
        <w:t>(REFORMADO PRIMER PÁRRAFO, P.O. 23 DE DICIEMBRE DE 2008)</w:t>
      </w:r>
    </w:p>
    <w:p w14:paraId="4AB628A8" w14:textId="77777777" w:rsidR="00D3344B" w:rsidRDefault="00143C25">
      <w:pPr>
        <w:pStyle w:val="Estilo"/>
        <w:rPr>
          <w:rFonts w:cs="Arial"/>
        </w:rPr>
      </w:pPr>
      <w:r>
        <w:rPr>
          <w:rFonts w:cs="Arial"/>
          <w:b/>
        </w:rPr>
        <w:t>Artículo 528.</w:t>
      </w:r>
      <w:r>
        <w:rPr>
          <w:rFonts w:cs="Arial"/>
        </w:rPr>
        <w:t xml:space="preserve"> El Consejo Permanente de Coordinación Hacendaria se integrará de la siguiente manera: un representante del Poder Ejecutivo, un representante del Poder Legislativo que será un Diputado integrante de la Comisión de Finanzas y Fiscalización del H. Congreso del Estado, el Secretario de Finanzas, el titular del Órgano de Fiscalización y por nueve presidentes municipales, que podrán ser representados por sus tesoreros, elegidos por insaculación en la Reunión Estatal de Servidores Públicos Hacendarios, tomando como base las tres circunscripciones electorales federales, a fin de que se nombren tres presidentes por cada una, sin que puedan ser reelectos los insaculados, de conformidad con los siguientes grupos:</w:t>
      </w:r>
    </w:p>
    <w:p w14:paraId="49428235" w14:textId="77777777" w:rsidR="00D3344B" w:rsidRDefault="00D3344B">
      <w:pPr>
        <w:pStyle w:val="Estilo"/>
        <w:rPr>
          <w:rFonts w:cs="Arial"/>
        </w:rPr>
      </w:pPr>
    </w:p>
    <w:p w14:paraId="178A088B" w14:textId="77777777" w:rsidR="00D3344B" w:rsidRDefault="00143C25">
      <w:pPr>
        <w:pStyle w:val="Estilo"/>
        <w:rPr>
          <w:rFonts w:cs="Arial"/>
          <w:b/>
        </w:rPr>
      </w:pPr>
      <w:r>
        <w:rPr>
          <w:rFonts w:cs="Arial"/>
          <w:b/>
        </w:rPr>
        <w:t>DISTRITO FEDERAL ELECTORAL I</w:t>
      </w:r>
    </w:p>
    <w:p w14:paraId="25767572" w14:textId="77777777" w:rsidR="00D3344B" w:rsidRDefault="00D3344B">
      <w:pPr>
        <w:pStyle w:val="Estilo"/>
        <w:rPr>
          <w:rFonts w:cs="Arial"/>
        </w:rPr>
      </w:pPr>
    </w:p>
    <w:tbl>
      <w:tblPr>
        <w:tblW w:w="8630" w:type="dxa"/>
        <w:tblInd w:w="-5" w:type="dxa"/>
        <w:tblLayout w:type="fixed"/>
        <w:tblLook w:val="0000" w:firstRow="0" w:lastRow="0" w:firstColumn="0" w:lastColumn="0" w:noHBand="0" w:noVBand="0"/>
      </w:tblPr>
      <w:tblGrid>
        <w:gridCol w:w="2861"/>
        <w:gridCol w:w="2865"/>
        <w:gridCol w:w="2904"/>
      </w:tblGrid>
      <w:tr w:rsidR="00D3344B" w14:paraId="149051EC" w14:textId="77777777">
        <w:trPr>
          <w:trHeight w:val="454"/>
        </w:trPr>
        <w:tc>
          <w:tcPr>
            <w:tcW w:w="2861" w:type="dxa"/>
            <w:vAlign w:val="center"/>
          </w:tcPr>
          <w:p w14:paraId="4C844BB0" w14:textId="77777777" w:rsidR="00D3344B" w:rsidRDefault="00143C25">
            <w:pPr>
              <w:widowControl w:val="0"/>
              <w:snapToGrid w:val="0"/>
              <w:spacing w:after="0"/>
              <w:ind w:left="72" w:right="72"/>
              <w:jc w:val="center"/>
              <w:rPr>
                <w:rFonts w:ascii="Arial" w:hAnsi="Arial" w:cs="Arial"/>
                <w:b/>
                <w:bCs/>
              </w:rPr>
            </w:pPr>
            <w:r>
              <w:rPr>
                <w:rFonts w:ascii="Arial" w:hAnsi="Arial" w:cs="Arial"/>
                <w:b/>
                <w:bCs/>
              </w:rPr>
              <w:t>GRUPO 1:</w:t>
            </w:r>
          </w:p>
        </w:tc>
        <w:tc>
          <w:tcPr>
            <w:tcW w:w="2865" w:type="dxa"/>
            <w:vAlign w:val="center"/>
          </w:tcPr>
          <w:p w14:paraId="0A587E66" w14:textId="77777777" w:rsidR="00D3344B" w:rsidRDefault="00143C25">
            <w:pPr>
              <w:widowControl w:val="0"/>
              <w:snapToGrid w:val="0"/>
              <w:spacing w:after="0"/>
              <w:ind w:left="72" w:right="72"/>
              <w:jc w:val="center"/>
              <w:rPr>
                <w:rFonts w:ascii="Arial" w:hAnsi="Arial" w:cs="Arial"/>
                <w:b/>
                <w:bCs/>
              </w:rPr>
            </w:pPr>
            <w:r>
              <w:rPr>
                <w:rFonts w:ascii="Arial" w:hAnsi="Arial" w:cs="Arial"/>
                <w:b/>
                <w:bCs/>
              </w:rPr>
              <w:t>GRUPO 2:</w:t>
            </w:r>
          </w:p>
        </w:tc>
        <w:tc>
          <w:tcPr>
            <w:tcW w:w="2904" w:type="dxa"/>
            <w:vAlign w:val="center"/>
          </w:tcPr>
          <w:p w14:paraId="7FF5D243" w14:textId="77777777" w:rsidR="00D3344B" w:rsidRDefault="00143C25">
            <w:pPr>
              <w:widowControl w:val="0"/>
              <w:snapToGrid w:val="0"/>
              <w:spacing w:after="0"/>
              <w:ind w:left="72" w:right="72"/>
              <w:jc w:val="center"/>
              <w:rPr>
                <w:rFonts w:ascii="Arial" w:hAnsi="Arial" w:cs="Arial"/>
                <w:b/>
                <w:bCs/>
              </w:rPr>
            </w:pPr>
            <w:r>
              <w:rPr>
                <w:rFonts w:ascii="Arial" w:hAnsi="Arial" w:cs="Arial"/>
                <w:b/>
                <w:bCs/>
              </w:rPr>
              <w:t>GRUPO 3:</w:t>
            </w:r>
          </w:p>
        </w:tc>
      </w:tr>
      <w:tr w:rsidR="00D3344B" w14:paraId="73158F01" w14:textId="77777777">
        <w:trPr>
          <w:trHeight w:val="454"/>
        </w:trPr>
        <w:tc>
          <w:tcPr>
            <w:tcW w:w="2861" w:type="dxa"/>
            <w:vAlign w:val="center"/>
          </w:tcPr>
          <w:p w14:paraId="7FA38EB1" w14:textId="77777777" w:rsidR="00D3344B" w:rsidRDefault="00143C25">
            <w:pPr>
              <w:widowControl w:val="0"/>
              <w:snapToGrid w:val="0"/>
              <w:spacing w:after="0"/>
              <w:ind w:left="72" w:right="72"/>
              <w:jc w:val="center"/>
              <w:rPr>
                <w:rFonts w:ascii="Arial" w:hAnsi="Arial" w:cs="Arial"/>
              </w:rPr>
            </w:pPr>
            <w:r>
              <w:rPr>
                <w:rFonts w:ascii="Arial" w:hAnsi="Arial" w:cs="Arial"/>
              </w:rPr>
              <w:t>ATLTZAYANCA</w:t>
            </w:r>
          </w:p>
        </w:tc>
        <w:tc>
          <w:tcPr>
            <w:tcW w:w="2865" w:type="dxa"/>
            <w:vAlign w:val="center"/>
          </w:tcPr>
          <w:p w14:paraId="40A612D6" w14:textId="77777777" w:rsidR="00D3344B" w:rsidRDefault="00143C25">
            <w:pPr>
              <w:widowControl w:val="0"/>
              <w:snapToGrid w:val="0"/>
              <w:spacing w:after="0"/>
              <w:ind w:left="72" w:right="72"/>
              <w:jc w:val="center"/>
              <w:rPr>
                <w:rFonts w:ascii="Arial" w:hAnsi="Arial" w:cs="Arial"/>
              </w:rPr>
            </w:pPr>
            <w:r>
              <w:rPr>
                <w:rFonts w:ascii="Arial" w:hAnsi="Arial" w:cs="Arial"/>
              </w:rPr>
              <w:t>APIZACO</w:t>
            </w:r>
          </w:p>
        </w:tc>
        <w:tc>
          <w:tcPr>
            <w:tcW w:w="2904" w:type="dxa"/>
            <w:vAlign w:val="center"/>
          </w:tcPr>
          <w:p w14:paraId="3E2D835E" w14:textId="77777777" w:rsidR="00D3344B" w:rsidRDefault="00143C25">
            <w:pPr>
              <w:widowControl w:val="0"/>
              <w:snapToGrid w:val="0"/>
              <w:spacing w:after="0"/>
              <w:ind w:left="72" w:right="72"/>
              <w:jc w:val="center"/>
              <w:rPr>
                <w:rFonts w:ascii="Arial" w:hAnsi="Arial" w:cs="Arial"/>
              </w:rPr>
            </w:pPr>
            <w:r>
              <w:rPr>
                <w:rFonts w:ascii="Arial" w:hAnsi="Arial" w:cs="Arial"/>
              </w:rPr>
              <w:t>CUAXOMULCO</w:t>
            </w:r>
          </w:p>
        </w:tc>
      </w:tr>
      <w:tr w:rsidR="00D3344B" w14:paraId="07D7BCA0" w14:textId="77777777">
        <w:trPr>
          <w:trHeight w:val="454"/>
        </w:trPr>
        <w:tc>
          <w:tcPr>
            <w:tcW w:w="2861" w:type="dxa"/>
            <w:vAlign w:val="center"/>
          </w:tcPr>
          <w:p w14:paraId="1D1BFBBF" w14:textId="77777777" w:rsidR="00D3344B" w:rsidRDefault="00143C25">
            <w:pPr>
              <w:widowControl w:val="0"/>
              <w:snapToGrid w:val="0"/>
              <w:spacing w:after="0"/>
              <w:ind w:left="72" w:right="72"/>
              <w:jc w:val="center"/>
              <w:rPr>
                <w:rFonts w:ascii="Arial" w:hAnsi="Arial" w:cs="Arial"/>
              </w:rPr>
            </w:pPr>
            <w:r>
              <w:rPr>
                <w:rFonts w:ascii="Arial" w:hAnsi="Arial" w:cs="Arial"/>
              </w:rPr>
              <w:t>CUAPIAXTLA</w:t>
            </w:r>
          </w:p>
        </w:tc>
        <w:tc>
          <w:tcPr>
            <w:tcW w:w="2865" w:type="dxa"/>
            <w:vAlign w:val="center"/>
          </w:tcPr>
          <w:p w14:paraId="559594E5" w14:textId="77777777" w:rsidR="00D3344B" w:rsidRDefault="00143C25">
            <w:pPr>
              <w:pStyle w:val="Piedepgina"/>
              <w:widowControl w:val="0"/>
              <w:snapToGrid w:val="0"/>
              <w:ind w:left="72" w:right="72"/>
              <w:jc w:val="center"/>
              <w:rPr>
                <w:rFonts w:ascii="Arial" w:hAnsi="Arial" w:cs="Arial"/>
              </w:rPr>
            </w:pPr>
            <w:r>
              <w:rPr>
                <w:rFonts w:ascii="Arial" w:hAnsi="Arial" w:cs="Arial"/>
              </w:rPr>
              <w:t>ATLANGATEPEC</w:t>
            </w:r>
          </w:p>
        </w:tc>
        <w:tc>
          <w:tcPr>
            <w:tcW w:w="2904" w:type="dxa"/>
            <w:vAlign w:val="center"/>
          </w:tcPr>
          <w:p w14:paraId="667DEC1B" w14:textId="77777777" w:rsidR="00D3344B" w:rsidRDefault="00143C25">
            <w:pPr>
              <w:widowControl w:val="0"/>
              <w:snapToGrid w:val="0"/>
              <w:spacing w:after="0"/>
              <w:ind w:left="72" w:right="72"/>
              <w:jc w:val="center"/>
              <w:rPr>
                <w:rFonts w:ascii="Arial" w:hAnsi="Arial" w:cs="Arial"/>
              </w:rPr>
            </w:pPr>
            <w:r>
              <w:rPr>
                <w:rFonts w:ascii="Arial" w:hAnsi="Arial" w:cs="Arial"/>
              </w:rPr>
              <w:t>SAN JOSÉ TEACALCO</w:t>
            </w:r>
          </w:p>
        </w:tc>
      </w:tr>
      <w:tr w:rsidR="00D3344B" w14:paraId="335ACDEE" w14:textId="77777777">
        <w:trPr>
          <w:trHeight w:val="454"/>
        </w:trPr>
        <w:tc>
          <w:tcPr>
            <w:tcW w:w="2861" w:type="dxa"/>
            <w:vAlign w:val="center"/>
          </w:tcPr>
          <w:p w14:paraId="7A6C006A" w14:textId="77777777" w:rsidR="00D3344B" w:rsidRDefault="00143C25">
            <w:pPr>
              <w:pStyle w:val="Textodeglobo"/>
              <w:widowControl w:val="0"/>
              <w:snapToGrid w:val="0"/>
              <w:ind w:left="72" w:right="72"/>
              <w:jc w:val="center"/>
              <w:rPr>
                <w:rFonts w:ascii="Arial" w:hAnsi="Arial" w:cs="Arial"/>
                <w:sz w:val="22"/>
                <w:szCs w:val="22"/>
              </w:rPr>
            </w:pPr>
            <w:r>
              <w:rPr>
                <w:rFonts w:ascii="Arial" w:hAnsi="Arial" w:cs="Arial"/>
                <w:sz w:val="22"/>
                <w:szCs w:val="22"/>
              </w:rPr>
              <w:t>EL CARMEN TEQUEXQUITLA</w:t>
            </w:r>
          </w:p>
        </w:tc>
        <w:tc>
          <w:tcPr>
            <w:tcW w:w="2865" w:type="dxa"/>
            <w:vAlign w:val="center"/>
          </w:tcPr>
          <w:p w14:paraId="1C58EEDA" w14:textId="77777777" w:rsidR="00D3344B" w:rsidRDefault="00143C25">
            <w:pPr>
              <w:widowControl w:val="0"/>
              <w:snapToGrid w:val="0"/>
              <w:spacing w:after="0"/>
              <w:ind w:left="72" w:right="72"/>
              <w:jc w:val="center"/>
              <w:rPr>
                <w:rFonts w:ascii="Arial" w:hAnsi="Arial" w:cs="Arial"/>
              </w:rPr>
            </w:pPr>
            <w:r>
              <w:rPr>
                <w:rFonts w:ascii="Arial" w:hAnsi="Arial" w:cs="Arial"/>
              </w:rPr>
              <w:t>EMILIANO ZAPATA</w:t>
            </w:r>
          </w:p>
        </w:tc>
        <w:tc>
          <w:tcPr>
            <w:tcW w:w="2904" w:type="dxa"/>
            <w:vAlign w:val="center"/>
          </w:tcPr>
          <w:p w14:paraId="1ACFDCEA" w14:textId="77777777" w:rsidR="00D3344B" w:rsidRDefault="00143C25">
            <w:pPr>
              <w:widowControl w:val="0"/>
              <w:snapToGrid w:val="0"/>
              <w:spacing w:after="0"/>
              <w:ind w:left="72" w:right="72"/>
              <w:jc w:val="center"/>
              <w:rPr>
                <w:rFonts w:ascii="Arial" w:hAnsi="Arial" w:cs="Arial"/>
              </w:rPr>
            </w:pPr>
            <w:r>
              <w:rPr>
                <w:rFonts w:ascii="Arial" w:hAnsi="Arial" w:cs="Arial"/>
              </w:rPr>
              <w:t>TERRENATE</w:t>
            </w:r>
          </w:p>
        </w:tc>
      </w:tr>
      <w:tr w:rsidR="00D3344B" w14:paraId="24CAE806" w14:textId="77777777">
        <w:trPr>
          <w:trHeight w:val="454"/>
        </w:trPr>
        <w:tc>
          <w:tcPr>
            <w:tcW w:w="2861" w:type="dxa"/>
            <w:vAlign w:val="center"/>
          </w:tcPr>
          <w:p w14:paraId="3D9B03E5" w14:textId="77777777" w:rsidR="00D3344B" w:rsidRDefault="00143C25">
            <w:pPr>
              <w:widowControl w:val="0"/>
              <w:snapToGrid w:val="0"/>
              <w:spacing w:after="0"/>
              <w:ind w:left="72" w:right="72"/>
              <w:jc w:val="center"/>
              <w:rPr>
                <w:rFonts w:ascii="Arial" w:hAnsi="Arial" w:cs="Arial"/>
              </w:rPr>
            </w:pPr>
            <w:r>
              <w:rPr>
                <w:rFonts w:ascii="Arial" w:hAnsi="Arial" w:cs="Arial"/>
              </w:rPr>
              <w:t>HUAMANTLA</w:t>
            </w:r>
          </w:p>
        </w:tc>
        <w:tc>
          <w:tcPr>
            <w:tcW w:w="2865" w:type="dxa"/>
            <w:vAlign w:val="center"/>
          </w:tcPr>
          <w:p w14:paraId="7EF13943" w14:textId="77777777" w:rsidR="00D3344B" w:rsidRDefault="00143C25">
            <w:pPr>
              <w:pStyle w:val="Piedepgina"/>
              <w:widowControl w:val="0"/>
              <w:snapToGrid w:val="0"/>
              <w:ind w:left="72" w:right="72"/>
              <w:jc w:val="center"/>
              <w:rPr>
                <w:rFonts w:ascii="Arial" w:hAnsi="Arial" w:cs="Arial"/>
              </w:rPr>
            </w:pPr>
            <w:r>
              <w:rPr>
                <w:rFonts w:ascii="Arial" w:hAnsi="Arial" w:cs="Arial"/>
              </w:rPr>
              <w:t>LÁZARO CÁRDENAS</w:t>
            </w:r>
          </w:p>
        </w:tc>
        <w:tc>
          <w:tcPr>
            <w:tcW w:w="2904" w:type="dxa"/>
            <w:vAlign w:val="center"/>
          </w:tcPr>
          <w:p w14:paraId="072EADB7" w14:textId="77777777" w:rsidR="00D3344B" w:rsidRDefault="00143C25">
            <w:pPr>
              <w:widowControl w:val="0"/>
              <w:snapToGrid w:val="0"/>
              <w:spacing w:after="0"/>
              <w:ind w:left="72" w:right="72"/>
              <w:jc w:val="center"/>
              <w:rPr>
                <w:rFonts w:ascii="Arial" w:hAnsi="Arial" w:cs="Arial"/>
              </w:rPr>
            </w:pPr>
            <w:r>
              <w:rPr>
                <w:rFonts w:ascii="Arial" w:hAnsi="Arial" w:cs="Arial"/>
              </w:rPr>
              <w:t>TOCATLÁN</w:t>
            </w:r>
          </w:p>
        </w:tc>
      </w:tr>
      <w:tr w:rsidR="00D3344B" w14:paraId="0B560054" w14:textId="77777777">
        <w:trPr>
          <w:trHeight w:val="454"/>
        </w:trPr>
        <w:tc>
          <w:tcPr>
            <w:tcW w:w="2861" w:type="dxa"/>
            <w:vAlign w:val="center"/>
          </w:tcPr>
          <w:p w14:paraId="1733FDE8" w14:textId="77777777" w:rsidR="00D3344B" w:rsidRDefault="00143C25">
            <w:pPr>
              <w:widowControl w:val="0"/>
              <w:snapToGrid w:val="0"/>
              <w:spacing w:after="0"/>
              <w:ind w:left="72" w:right="72"/>
              <w:jc w:val="center"/>
              <w:rPr>
                <w:rFonts w:ascii="Arial" w:hAnsi="Arial" w:cs="Arial"/>
              </w:rPr>
            </w:pPr>
            <w:r>
              <w:rPr>
                <w:rFonts w:ascii="Arial" w:hAnsi="Arial" w:cs="Arial"/>
              </w:rPr>
              <w:t>IXTENCO</w:t>
            </w:r>
          </w:p>
        </w:tc>
        <w:tc>
          <w:tcPr>
            <w:tcW w:w="2865" w:type="dxa"/>
            <w:vAlign w:val="center"/>
          </w:tcPr>
          <w:p w14:paraId="40A06AF3" w14:textId="77777777" w:rsidR="00D3344B" w:rsidRDefault="00143C25">
            <w:pPr>
              <w:widowControl w:val="0"/>
              <w:snapToGrid w:val="0"/>
              <w:spacing w:after="0"/>
              <w:ind w:left="72" w:right="72"/>
              <w:jc w:val="center"/>
              <w:rPr>
                <w:rFonts w:ascii="Arial" w:hAnsi="Arial" w:cs="Arial"/>
              </w:rPr>
            </w:pPr>
            <w:r>
              <w:rPr>
                <w:rFonts w:ascii="Arial" w:hAnsi="Arial" w:cs="Arial"/>
              </w:rPr>
              <w:t>MUÑOZ DE DOMINGO ARENAS</w:t>
            </w:r>
          </w:p>
        </w:tc>
        <w:tc>
          <w:tcPr>
            <w:tcW w:w="2904" w:type="dxa"/>
            <w:vAlign w:val="center"/>
          </w:tcPr>
          <w:p w14:paraId="6533B28F" w14:textId="77777777" w:rsidR="00D3344B" w:rsidRDefault="00143C25">
            <w:pPr>
              <w:widowControl w:val="0"/>
              <w:snapToGrid w:val="0"/>
              <w:spacing w:after="0"/>
              <w:ind w:left="72" w:right="72"/>
              <w:jc w:val="center"/>
              <w:rPr>
                <w:rFonts w:ascii="Arial" w:hAnsi="Arial" w:cs="Arial"/>
              </w:rPr>
            </w:pPr>
            <w:r>
              <w:rPr>
                <w:rFonts w:ascii="Arial" w:hAnsi="Arial" w:cs="Arial"/>
              </w:rPr>
              <w:t>TZOMPANTEPEC</w:t>
            </w:r>
          </w:p>
        </w:tc>
      </w:tr>
      <w:tr w:rsidR="00D3344B" w14:paraId="09ED1012" w14:textId="77777777">
        <w:trPr>
          <w:trHeight w:val="454"/>
        </w:trPr>
        <w:tc>
          <w:tcPr>
            <w:tcW w:w="2861" w:type="dxa"/>
            <w:vAlign w:val="center"/>
          </w:tcPr>
          <w:p w14:paraId="7D574AF6" w14:textId="77777777" w:rsidR="00D3344B" w:rsidRDefault="00143C25">
            <w:pPr>
              <w:widowControl w:val="0"/>
              <w:snapToGrid w:val="0"/>
              <w:spacing w:after="0"/>
              <w:ind w:left="72" w:right="72"/>
              <w:jc w:val="center"/>
              <w:rPr>
                <w:rFonts w:ascii="Arial" w:hAnsi="Arial" w:cs="Arial"/>
              </w:rPr>
            </w:pPr>
            <w:r>
              <w:rPr>
                <w:rFonts w:ascii="Arial" w:hAnsi="Arial" w:cs="Arial"/>
              </w:rPr>
              <w:t>ZITLALTÉPEC DE TRINIDAD SÁNCHEZ SANTOS</w:t>
            </w:r>
          </w:p>
        </w:tc>
        <w:tc>
          <w:tcPr>
            <w:tcW w:w="2865" w:type="dxa"/>
            <w:vAlign w:val="center"/>
          </w:tcPr>
          <w:p w14:paraId="18E3C544" w14:textId="77777777" w:rsidR="00D3344B" w:rsidRDefault="00143C25">
            <w:pPr>
              <w:pStyle w:val="Piedepgina"/>
              <w:widowControl w:val="0"/>
              <w:snapToGrid w:val="0"/>
              <w:ind w:left="72" w:right="72"/>
              <w:jc w:val="center"/>
              <w:rPr>
                <w:rFonts w:ascii="Arial" w:hAnsi="Arial" w:cs="Arial"/>
              </w:rPr>
            </w:pPr>
            <w:r>
              <w:rPr>
                <w:rFonts w:ascii="Arial" w:hAnsi="Arial" w:cs="Arial"/>
              </w:rPr>
              <w:t>TETLA DE LA SOLIDARIDAD</w:t>
            </w:r>
          </w:p>
        </w:tc>
        <w:tc>
          <w:tcPr>
            <w:tcW w:w="2904" w:type="dxa"/>
            <w:vAlign w:val="center"/>
          </w:tcPr>
          <w:p w14:paraId="75138BF4" w14:textId="77777777" w:rsidR="00D3344B" w:rsidRDefault="00143C25">
            <w:pPr>
              <w:widowControl w:val="0"/>
              <w:snapToGrid w:val="0"/>
              <w:spacing w:after="0"/>
              <w:ind w:left="72" w:right="72"/>
              <w:jc w:val="center"/>
              <w:rPr>
                <w:rFonts w:ascii="Arial" w:hAnsi="Arial" w:cs="Arial"/>
              </w:rPr>
            </w:pPr>
            <w:r>
              <w:rPr>
                <w:rFonts w:ascii="Arial" w:hAnsi="Arial" w:cs="Arial"/>
              </w:rPr>
              <w:t>XALOZTOC</w:t>
            </w:r>
          </w:p>
        </w:tc>
      </w:tr>
      <w:tr w:rsidR="00D3344B" w14:paraId="5DB94CA1" w14:textId="77777777">
        <w:trPr>
          <w:trHeight w:val="454"/>
        </w:trPr>
        <w:tc>
          <w:tcPr>
            <w:tcW w:w="2861" w:type="dxa"/>
            <w:vAlign w:val="center"/>
          </w:tcPr>
          <w:p w14:paraId="668E42E7" w14:textId="77777777" w:rsidR="00D3344B" w:rsidRDefault="00D3344B">
            <w:pPr>
              <w:widowControl w:val="0"/>
              <w:snapToGrid w:val="0"/>
              <w:spacing w:after="0"/>
              <w:ind w:left="72" w:right="72"/>
              <w:jc w:val="center"/>
              <w:rPr>
                <w:rFonts w:ascii="Arial" w:hAnsi="Arial" w:cs="Arial"/>
              </w:rPr>
            </w:pPr>
          </w:p>
        </w:tc>
        <w:tc>
          <w:tcPr>
            <w:tcW w:w="2865" w:type="dxa"/>
            <w:vAlign w:val="center"/>
          </w:tcPr>
          <w:p w14:paraId="7AA972E1" w14:textId="77777777" w:rsidR="00D3344B" w:rsidRDefault="00143C25">
            <w:pPr>
              <w:pStyle w:val="Piedepgina"/>
              <w:widowControl w:val="0"/>
              <w:snapToGrid w:val="0"/>
              <w:ind w:left="72" w:right="72"/>
              <w:jc w:val="center"/>
              <w:rPr>
                <w:rFonts w:ascii="Arial" w:hAnsi="Arial" w:cs="Arial"/>
              </w:rPr>
            </w:pPr>
            <w:r>
              <w:rPr>
                <w:rFonts w:ascii="Arial" w:hAnsi="Arial" w:cs="Arial"/>
              </w:rPr>
              <w:t>TLAXCO</w:t>
            </w:r>
          </w:p>
        </w:tc>
        <w:tc>
          <w:tcPr>
            <w:tcW w:w="2904" w:type="dxa"/>
            <w:vAlign w:val="center"/>
          </w:tcPr>
          <w:p w14:paraId="51A90F35" w14:textId="77777777" w:rsidR="00D3344B" w:rsidRDefault="00D3344B">
            <w:pPr>
              <w:widowControl w:val="0"/>
              <w:snapToGrid w:val="0"/>
              <w:spacing w:after="0"/>
              <w:ind w:left="72" w:right="72"/>
              <w:jc w:val="center"/>
              <w:rPr>
                <w:rFonts w:ascii="Arial" w:hAnsi="Arial" w:cs="Arial"/>
              </w:rPr>
            </w:pPr>
          </w:p>
        </w:tc>
      </w:tr>
      <w:tr w:rsidR="00D3344B" w14:paraId="416EDDE1" w14:textId="77777777">
        <w:trPr>
          <w:trHeight w:val="454"/>
        </w:trPr>
        <w:tc>
          <w:tcPr>
            <w:tcW w:w="2861" w:type="dxa"/>
            <w:vAlign w:val="center"/>
          </w:tcPr>
          <w:p w14:paraId="28BD974E" w14:textId="77777777" w:rsidR="00D3344B" w:rsidRDefault="00D3344B">
            <w:pPr>
              <w:widowControl w:val="0"/>
              <w:snapToGrid w:val="0"/>
              <w:spacing w:after="0"/>
              <w:ind w:left="72" w:right="72"/>
              <w:jc w:val="center"/>
              <w:rPr>
                <w:rFonts w:ascii="Arial" w:hAnsi="Arial" w:cs="Arial"/>
              </w:rPr>
            </w:pPr>
          </w:p>
        </w:tc>
        <w:tc>
          <w:tcPr>
            <w:tcW w:w="2865" w:type="dxa"/>
            <w:vAlign w:val="center"/>
          </w:tcPr>
          <w:p w14:paraId="0C624482" w14:textId="77777777" w:rsidR="00D3344B" w:rsidRDefault="00143C25">
            <w:pPr>
              <w:widowControl w:val="0"/>
              <w:snapToGrid w:val="0"/>
              <w:spacing w:after="0"/>
              <w:ind w:left="72" w:right="72"/>
              <w:jc w:val="center"/>
              <w:rPr>
                <w:rFonts w:ascii="Arial" w:hAnsi="Arial" w:cs="Arial"/>
              </w:rPr>
            </w:pPr>
            <w:r>
              <w:rPr>
                <w:rFonts w:ascii="Arial" w:hAnsi="Arial" w:cs="Arial"/>
              </w:rPr>
              <w:t>YAUHQUEMEHCAN</w:t>
            </w:r>
          </w:p>
        </w:tc>
        <w:tc>
          <w:tcPr>
            <w:tcW w:w="2904" w:type="dxa"/>
            <w:vAlign w:val="center"/>
          </w:tcPr>
          <w:p w14:paraId="30EAF968" w14:textId="77777777" w:rsidR="00D3344B" w:rsidRDefault="00D3344B">
            <w:pPr>
              <w:widowControl w:val="0"/>
              <w:snapToGrid w:val="0"/>
              <w:spacing w:after="0"/>
              <w:ind w:left="72" w:right="72"/>
              <w:jc w:val="center"/>
              <w:rPr>
                <w:rFonts w:ascii="Arial" w:hAnsi="Arial" w:cs="Arial"/>
              </w:rPr>
            </w:pPr>
          </w:p>
        </w:tc>
      </w:tr>
    </w:tbl>
    <w:p w14:paraId="5542C512" w14:textId="77777777" w:rsidR="00D3344B" w:rsidRDefault="00D3344B">
      <w:pPr>
        <w:pStyle w:val="Estilo"/>
        <w:rPr>
          <w:rFonts w:cs="Arial"/>
        </w:rPr>
      </w:pPr>
    </w:p>
    <w:p w14:paraId="7D8F368D" w14:textId="77777777" w:rsidR="00D3344B" w:rsidRDefault="00D3344B">
      <w:pPr>
        <w:pStyle w:val="Estilo"/>
        <w:rPr>
          <w:rFonts w:cs="Arial"/>
        </w:rPr>
      </w:pPr>
    </w:p>
    <w:p w14:paraId="7A2CB874" w14:textId="77777777" w:rsidR="00D3344B" w:rsidRDefault="00143C25">
      <w:pPr>
        <w:pStyle w:val="Estilo"/>
        <w:rPr>
          <w:rFonts w:cs="Arial"/>
          <w:b/>
        </w:rPr>
      </w:pPr>
      <w:r>
        <w:rPr>
          <w:rFonts w:cs="Arial"/>
          <w:b/>
        </w:rPr>
        <w:t>DISTRITO FEDERAL ELECTORAL II</w:t>
      </w:r>
    </w:p>
    <w:p w14:paraId="20AD3673" w14:textId="77777777" w:rsidR="00D3344B" w:rsidRDefault="00D3344B">
      <w:pPr>
        <w:pStyle w:val="Estilo"/>
        <w:rPr>
          <w:rFonts w:cs="Arial"/>
        </w:rPr>
      </w:pPr>
    </w:p>
    <w:tbl>
      <w:tblPr>
        <w:tblW w:w="8656" w:type="dxa"/>
        <w:tblInd w:w="-5" w:type="dxa"/>
        <w:tblLayout w:type="fixed"/>
        <w:tblLook w:val="0000" w:firstRow="0" w:lastRow="0" w:firstColumn="0" w:lastColumn="0" w:noHBand="0" w:noVBand="0"/>
      </w:tblPr>
      <w:tblGrid>
        <w:gridCol w:w="2872"/>
        <w:gridCol w:w="2872"/>
        <w:gridCol w:w="2912"/>
      </w:tblGrid>
      <w:tr w:rsidR="00D3344B" w14:paraId="61DAE98E" w14:textId="77777777">
        <w:trPr>
          <w:trHeight w:val="454"/>
        </w:trPr>
        <w:tc>
          <w:tcPr>
            <w:tcW w:w="2872" w:type="dxa"/>
            <w:vAlign w:val="center"/>
          </w:tcPr>
          <w:p w14:paraId="300E9A71" w14:textId="77777777" w:rsidR="00D3344B" w:rsidRDefault="00143C25">
            <w:pPr>
              <w:widowControl w:val="0"/>
              <w:snapToGrid w:val="0"/>
              <w:spacing w:after="0"/>
              <w:ind w:left="72"/>
              <w:jc w:val="center"/>
              <w:rPr>
                <w:rFonts w:ascii="Arial" w:hAnsi="Arial" w:cs="Arial"/>
                <w:b/>
                <w:bCs/>
              </w:rPr>
            </w:pPr>
            <w:r>
              <w:rPr>
                <w:rFonts w:ascii="Arial" w:hAnsi="Arial" w:cs="Arial"/>
                <w:b/>
                <w:bCs/>
              </w:rPr>
              <w:t>GRUPO 4:</w:t>
            </w:r>
          </w:p>
        </w:tc>
        <w:tc>
          <w:tcPr>
            <w:tcW w:w="2872" w:type="dxa"/>
            <w:vAlign w:val="center"/>
          </w:tcPr>
          <w:p w14:paraId="3B47B186" w14:textId="77777777" w:rsidR="00D3344B" w:rsidRDefault="00143C25">
            <w:pPr>
              <w:widowControl w:val="0"/>
              <w:snapToGrid w:val="0"/>
              <w:spacing w:after="0"/>
              <w:ind w:left="72"/>
              <w:jc w:val="center"/>
              <w:rPr>
                <w:rFonts w:ascii="Arial" w:hAnsi="Arial" w:cs="Arial"/>
                <w:b/>
                <w:bCs/>
              </w:rPr>
            </w:pPr>
            <w:r>
              <w:rPr>
                <w:rFonts w:ascii="Arial" w:hAnsi="Arial" w:cs="Arial"/>
                <w:b/>
                <w:bCs/>
              </w:rPr>
              <w:t>GRUPO 5:</w:t>
            </w:r>
          </w:p>
        </w:tc>
        <w:tc>
          <w:tcPr>
            <w:tcW w:w="2912" w:type="dxa"/>
            <w:vAlign w:val="center"/>
          </w:tcPr>
          <w:p w14:paraId="48723EAA" w14:textId="77777777" w:rsidR="00D3344B" w:rsidRDefault="00143C25">
            <w:pPr>
              <w:widowControl w:val="0"/>
              <w:snapToGrid w:val="0"/>
              <w:spacing w:after="0"/>
              <w:ind w:left="72"/>
              <w:jc w:val="center"/>
              <w:rPr>
                <w:rFonts w:ascii="Arial" w:hAnsi="Arial" w:cs="Arial"/>
                <w:b/>
                <w:bCs/>
              </w:rPr>
            </w:pPr>
            <w:r>
              <w:rPr>
                <w:rFonts w:ascii="Arial" w:hAnsi="Arial" w:cs="Arial"/>
                <w:b/>
                <w:bCs/>
              </w:rPr>
              <w:t>GRUPO 6:</w:t>
            </w:r>
          </w:p>
        </w:tc>
      </w:tr>
      <w:tr w:rsidR="00D3344B" w14:paraId="6CFFB534" w14:textId="77777777">
        <w:trPr>
          <w:trHeight w:val="454"/>
        </w:trPr>
        <w:tc>
          <w:tcPr>
            <w:tcW w:w="2872" w:type="dxa"/>
            <w:vAlign w:val="center"/>
          </w:tcPr>
          <w:p w14:paraId="263ED8B6" w14:textId="77777777" w:rsidR="00D3344B" w:rsidRDefault="00143C25">
            <w:pPr>
              <w:widowControl w:val="0"/>
              <w:snapToGrid w:val="0"/>
              <w:spacing w:after="0"/>
              <w:ind w:left="72"/>
              <w:jc w:val="center"/>
              <w:rPr>
                <w:rFonts w:ascii="Arial" w:hAnsi="Arial" w:cs="Arial"/>
              </w:rPr>
            </w:pPr>
            <w:r>
              <w:rPr>
                <w:rFonts w:ascii="Arial" w:hAnsi="Arial" w:cs="Arial"/>
              </w:rPr>
              <w:t>CHIAUTEMPAN</w:t>
            </w:r>
          </w:p>
        </w:tc>
        <w:tc>
          <w:tcPr>
            <w:tcW w:w="2872" w:type="dxa"/>
            <w:vAlign w:val="center"/>
          </w:tcPr>
          <w:p w14:paraId="540C75B7" w14:textId="77777777" w:rsidR="00D3344B" w:rsidRDefault="00143C25">
            <w:pPr>
              <w:widowControl w:val="0"/>
              <w:snapToGrid w:val="0"/>
              <w:spacing w:after="0"/>
              <w:ind w:left="72"/>
              <w:jc w:val="center"/>
              <w:rPr>
                <w:rFonts w:ascii="Arial" w:hAnsi="Arial" w:cs="Arial"/>
              </w:rPr>
            </w:pPr>
            <w:r>
              <w:rPr>
                <w:rFonts w:ascii="Arial" w:hAnsi="Arial" w:cs="Arial"/>
              </w:rPr>
              <w:t>ACUAMANALA DE MIGUEL HIDALGO</w:t>
            </w:r>
          </w:p>
        </w:tc>
        <w:tc>
          <w:tcPr>
            <w:tcW w:w="2912" w:type="dxa"/>
            <w:vAlign w:val="center"/>
          </w:tcPr>
          <w:p w14:paraId="7D0CBEC6" w14:textId="77777777" w:rsidR="00D3344B" w:rsidRDefault="00143C25">
            <w:pPr>
              <w:widowControl w:val="0"/>
              <w:snapToGrid w:val="0"/>
              <w:spacing w:after="0"/>
              <w:ind w:left="72"/>
              <w:jc w:val="center"/>
              <w:rPr>
                <w:rFonts w:ascii="Arial" w:hAnsi="Arial" w:cs="Arial"/>
              </w:rPr>
            </w:pPr>
            <w:r>
              <w:rPr>
                <w:rFonts w:ascii="Arial" w:hAnsi="Arial" w:cs="Arial"/>
              </w:rPr>
              <w:t>AMAXAC DE GUERRERO</w:t>
            </w:r>
          </w:p>
        </w:tc>
      </w:tr>
      <w:tr w:rsidR="00D3344B" w14:paraId="010952A1" w14:textId="77777777">
        <w:trPr>
          <w:trHeight w:val="454"/>
        </w:trPr>
        <w:tc>
          <w:tcPr>
            <w:tcW w:w="2872" w:type="dxa"/>
            <w:vAlign w:val="center"/>
          </w:tcPr>
          <w:p w14:paraId="28D76EB9" w14:textId="77777777" w:rsidR="00D3344B" w:rsidRDefault="00143C25">
            <w:pPr>
              <w:widowControl w:val="0"/>
              <w:snapToGrid w:val="0"/>
              <w:spacing w:after="0"/>
              <w:ind w:left="72"/>
              <w:jc w:val="center"/>
              <w:rPr>
                <w:rFonts w:ascii="Arial" w:hAnsi="Arial" w:cs="Arial"/>
              </w:rPr>
            </w:pPr>
            <w:r>
              <w:rPr>
                <w:rFonts w:ascii="Arial" w:hAnsi="Arial" w:cs="Arial"/>
              </w:rPr>
              <w:t>LA MAGDALENA TLALTELULCO</w:t>
            </w:r>
          </w:p>
        </w:tc>
        <w:tc>
          <w:tcPr>
            <w:tcW w:w="2872" w:type="dxa"/>
            <w:vAlign w:val="center"/>
          </w:tcPr>
          <w:p w14:paraId="6BBF7929" w14:textId="77777777" w:rsidR="00D3344B" w:rsidRDefault="00143C25">
            <w:pPr>
              <w:widowControl w:val="0"/>
              <w:snapToGrid w:val="0"/>
              <w:spacing w:after="0"/>
              <w:ind w:left="72"/>
              <w:jc w:val="center"/>
              <w:rPr>
                <w:rFonts w:ascii="Arial" w:hAnsi="Arial" w:cs="Arial"/>
              </w:rPr>
            </w:pPr>
            <w:r>
              <w:rPr>
                <w:rFonts w:ascii="Arial" w:hAnsi="Arial" w:cs="Arial"/>
              </w:rPr>
              <w:t>SAN PABLO DEL MONTE</w:t>
            </w:r>
          </w:p>
        </w:tc>
        <w:tc>
          <w:tcPr>
            <w:tcW w:w="2912" w:type="dxa"/>
            <w:vAlign w:val="center"/>
          </w:tcPr>
          <w:p w14:paraId="2B97FE73" w14:textId="77777777" w:rsidR="00D3344B" w:rsidRDefault="00143C25">
            <w:pPr>
              <w:widowControl w:val="0"/>
              <w:snapToGrid w:val="0"/>
              <w:spacing w:after="0"/>
              <w:ind w:left="72"/>
              <w:jc w:val="center"/>
              <w:rPr>
                <w:rFonts w:ascii="Arial" w:hAnsi="Arial" w:cs="Arial"/>
              </w:rPr>
            </w:pPr>
            <w:r>
              <w:rPr>
                <w:rFonts w:ascii="Arial" w:hAnsi="Arial" w:cs="Arial"/>
              </w:rPr>
              <w:t>APETATITLÁN DE ANTONIO CARVAJAL</w:t>
            </w:r>
          </w:p>
        </w:tc>
      </w:tr>
      <w:tr w:rsidR="00D3344B" w14:paraId="35E784A0" w14:textId="77777777">
        <w:trPr>
          <w:trHeight w:val="454"/>
        </w:trPr>
        <w:tc>
          <w:tcPr>
            <w:tcW w:w="2872" w:type="dxa"/>
            <w:vAlign w:val="center"/>
          </w:tcPr>
          <w:p w14:paraId="5DB39D97" w14:textId="77777777" w:rsidR="00D3344B" w:rsidRDefault="00143C25">
            <w:pPr>
              <w:widowControl w:val="0"/>
              <w:snapToGrid w:val="0"/>
              <w:spacing w:after="0"/>
              <w:ind w:left="72"/>
              <w:jc w:val="center"/>
              <w:rPr>
                <w:rFonts w:ascii="Arial" w:hAnsi="Arial" w:cs="Arial"/>
              </w:rPr>
            </w:pPr>
            <w:r>
              <w:rPr>
                <w:rFonts w:ascii="Arial" w:hAnsi="Arial" w:cs="Arial"/>
              </w:rPr>
              <w:t>SAN FRANCISCO TETLANOHCAN</w:t>
            </w:r>
          </w:p>
        </w:tc>
        <w:tc>
          <w:tcPr>
            <w:tcW w:w="2872" w:type="dxa"/>
            <w:vAlign w:val="center"/>
          </w:tcPr>
          <w:p w14:paraId="4EB17F0D" w14:textId="77777777" w:rsidR="00D3344B" w:rsidRDefault="00143C25">
            <w:pPr>
              <w:pStyle w:val="Piedepgina"/>
              <w:widowControl w:val="0"/>
              <w:snapToGrid w:val="0"/>
              <w:ind w:left="72"/>
              <w:jc w:val="center"/>
              <w:rPr>
                <w:rFonts w:ascii="Arial" w:hAnsi="Arial" w:cs="Arial"/>
              </w:rPr>
            </w:pPr>
            <w:r>
              <w:rPr>
                <w:rFonts w:ascii="Arial" w:hAnsi="Arial" w:cs="Arial"/>
              </w:rPr>
              <w:t>SANTA ISABEL XILOXOXTLA</w:t>
            </w:r>
          </w:p>
        </w:tc>
        <w:tc>
          <w:tcPr>
            <w:tcW w:w="2912" w:type="dxa"/>
            <w:vAlign w:val="center"/>
          </w:tcPr>
          <w:p w14:paraId="0A63E8D2" w14:textId="77777777" w:rsidR="00D3344B" w:rsidRDefault="00143C25">
            <w:pPr>
              <w:widowControl w:val="0"/>
              <w:snapToGrid w:val="0"/>
              <w:spacing w:after="0"/>
              <w:ind w:left="72"/>
              <w:jc w:val="center"/>
              <w:rPr>
                <w:rFonts w:ascii="Arial" w:hAnsi="Arial" w:cs="Arial"/>
              </w:rPr>
            </w:pPr>
            <w:r>
              <w:rPr>
                <w:rFonts w:ascii="Arial" w:hAnsi="Arial" w:cs="Arial"/>
              </w:rPr>
              <w:t>CONTLA DE JUAN CUAMATZI</w:t>
            </w:r>
          </w:p>
        </w:tc>
      </w:tr>
      <w:tr w:rsidR="00D3344B" w14:paraId="4FBAF7BD" w14:textId="77777777">
        <w:trPr>
          <w:trHeight w:val="454"/>
        </w:trPr>
        <w:tc>
          <w:tcPr>
            <w:tcW w:w="2872" w:type="dxa"/>
            <w:vAlign w:val="center"/>
          </w:tcPr>
          <w:p w14:paraId="0DD7BAC8" w14:textId="77777777" w:rsidR="00D3344B" w:rsidRDefault="00143C25">
            <w:pPr>
              <w:widowControl w:val="0"/>
              <w:snapToGrid w:val="0"/>
              <w:spacing w:after="0"/>
              <w:ind w:left="72"/>
              <w:jc w:val="center"/>
              <w:rPr>
                <w:rFonts w:ascii="Arial" w:hAnsi="Arial" w:cs="Arial"/>
              </w:rPr>
            </w:pPr>
            <w:r>
              <w:rPr>
                <w:rFonts w:ascii="Arial" w:hAnsi="Arial" w:cs="Arial"/>
              </w:rPr>
              <w:t>TLAXCALA</w:t>
            </w:r>
          </w:p>
        </w:tc>
        <w:tc>
          <w:tcPr>
            <w:tcW w:w="2872" w:type="dxa"/>
            <w:vAlign w:val="center"/>
          </w:tcPr>
          <w:p w14:paraId="2825372A" w14:textId="77777777" w:rsidR="00D3344B" w:rsidRDefault="00143C25">
            <w:pPr>
              <w:widowControl w:val="0"/>
              <w:snapToGrid w:val="0"/>
              <w:spacing w:after="0"/>
              <w:ind w:left="72"/>
              <w:jc w:val="center"/>
              <w:rPr>
                <w:rFonts w:ascii="Arial" w:hAnsi="Arial" w:cs="Arial"/>
              </w:rPr>
            </w:pPr>
            <w:r>
              <w:rPr>
                <w:rFonts w:ascii="Arial" w:hAnsi="Arial" w:cs="Arial"/>
              </w:rPr>
              <w:t>TEOLOCHOLCO</w:t>
            </w:r>
          </w:p>
        </w:tc>
        <w:tc>
          <w:tcPr>
            <w:tcW w:w="2912" w:type="dxa"/>
            <w:vAlign w:val="center"/>
          </w:tcPr>
          <w:p w14:paraId="36C21C0D" w14:textId="77777777" w:rsidR="00D3344B" w:rsidRDefault="00143C25">
            <w:pPr>
              <w:widowControl w:val="0"/>
              <w:snapToGrid w:val="0"/>
              <w:spacing w:after="0"/>
              <w:ind w:left="72"/>
              <w:jc w:val="center"/>
              <w:rPr>
                <w:rFonts w:ascii="Arial" w:hAnsi="Arial" w:cs="Arial"/>
              </w:rPr>
            </w:pPr>
            <w:r>
              <w:rPr>
                <w:rFonts w:ascii="Arial" w:hAnsi="Arial" w:cs="Arial"/>
              </w:rPr>
              <w:t>SANTA CRUZ TLAXCALA</w:t>
            </w:r>
          </w:p>
        </w:tc>
      </w:tr>
      <w:tr w:rsidR="00D3344B" w14:paraId="617BD24A" w14:textId="77777777">
        <w:trPr>
          <w:trHeight w:val="454"/>
        </w:trPr>
        <w:tc>
          <w:tcPr>
            <w:tcW w:w="2872" w:type="dxa"/>
            <w:vAlign w:val="center"/>
          </w:tcPr>
          <w:p w14:paraId="52BEDF68" w14:textId="77777777" w:rsidR="00D3344B" w:rsidRDefault="00143C25">
            <w:pPr>
              <w:widowControl w:val="0"/>
              <w:snapToGrid w:val="0"/>
              <w:spacing w:after="0"/>
              <w:ind w:left="72"/>
              <w:jc w:val="center"/>
              <w:rPr>
                <w:rFonts w:ascii="Arial" w:hAnsi="Arial" w:cs="Arial"/>
              </w:rPr>
            </w:pPr>
            <w:r>
              <w:rPr>
                <w:rFonts w:ascii="Arial" w:hAnsi="Arial" w:cs="Arial"/>
              </w:rPr>
              <w:lastRenderedPageBreak/>
              <w:t>TOTOLAC</w:t>
            </w:r>
          </w:p>
        </w:tc>
        <w:tc>
          <w:tcPr>
            <w:tcW w:w="2872" w:type="dxa"/>
            <w:vAlign w:val="center"/>
          </w:tcPr>
          <w:p w14:paraId="7F8D7923" w14:textId="77777777" w:rsidR="00D3344B" w:rsidRDefault="00143C25">
            <w:pPr>
              <w:widowControl w:val="0"/>
              <w:snapToGrid w:val="0"/>
              <w:spacing w:after="0"/>
              <w:ind w:left="72"/>
              <w:jc w:val="center"/>
              <w:rPr>
                <w:rFonts w:ascii="Arial" w:hAnsi="Arial" w:cs="Arial"/>
              </w:rPr>
            </w:pPr>
            <w:r>
              <w:rPr>
                <w:rFonts w:ascii="Arial" w:hAnsi="Arial" w:cs="Arial"/>
              </w:rPr>
              <w:t>TEPEYANCO</w:t>
            </w:r>
          </w:p>
        </w:tc>
        <w:tc>
          <w:tcPr>
            <w:tcW w:w="2912" w:type="dxa"/>
            <w:vAlign w:val="center"/>
          </w:tcPr>
          <w:p w14:paraId="716D242E" w14:textId="77777777" w:rsidR="00D3344B" w:rsidRDefault="00D3344B">
            <w:pPr>
              <w:widowControl w:val="0"/>
              <w:snapToGrid w:val="0"/>
              <w:spacing w:after="0"/>
              <w:ind w:left="72"/>
              <w:jc w:val="center"/>
              <w:rPr>
                <w:rFonts w:ascii="Arial" w:hAnsi="Arial" w:cs="Arial"/>
              </w:rPr>
            </w:pPr>
          </w:p>
          <w:p w14:paraId="0311EB48" w14:textId="77777777" w:rsidR="00D3344B" w:rsidRDefault="00D3344B">
            <w:pPr>
              <w:widowControl w:val="0"/>
              <w:spacing w:after="0"/>
              <w:ind w:left="72"/>
              <w:jc w:val="center"/>
              <w:rPr>
                <w:rFonts w:ascii="Arial" w:hAnsi="Arial" w:cs="Arial"/>
              </w:rPr>
            </w:pPr>
          </w:p>
        </w:tc>
      </w:tr>
    </w:tbl>
    <w:p w14:paraId="663F565F" w14:textId="77777777" w:rsidR="00D3344B" w:rsidRDefault="00D3344B">
      <w:pPr>
        <w:pStyle w:val="Estilo"/>
        <w:rPr>
          <w:rFonts w:cs="Arial"/>
        </w:rPr>
      </w:pPr>
    </w:p>
    <w:p w14:paraId="26E1642A" w14:textId="77777777" w:rsidR="00D3344B" w:rsidRDefault="00143C25">
      <w:pPr>
        <w:pStyle w:val="Estilo"/>
        <w:rPr>
          <w:rFonts w:cs="Arial"/>
          <w:b/>
        </w:rPr>
      </w:pPr>
      <w:r>
        <w:rPr>
          <w:rFonts w:cs="Arial"/>
          <w:b/>
        </w:rPr>
        <w:t>DISTRITO FEDERAL ELECTORAL III</w:t>
      </w:r>
    </w:p>
    <w:p w14:paraId="2FCC5715" w14:textId="77777777" w:rsidR="00D3344B" w:rsidRDefault="00D3344B">
      <w:pPr>
        <w:pStyle w:val="Estilo"/>
        <w:rPr>
          <w:rFonts w:cs="Arial"/>
        </w:rPr>
      </w:pPr>
    </w:p>
    <w:tbl>
      <w:tblPr>
        <w:tblW w:w="8680" w:type="dxa"/>
        <w:tblInd w:w="-5" w:type="dxa"/>
        <w:tblLayout w:type="fixed"/>
        <w:tblLook w:val="0000" w:firstRow="0" w:lastRow="0" w:firstColumn="0" w:lastColumn="0" w:noHBand="0" w:noVBand="0"/>
      </w:tblPr>
      <w:tblGrid>
        <w:gridCol w:w="2880"/>
        <w:gridCol w:w="2880"/>
        <w:gridCol w:w="2920"/>
      </w:tblGrid>
      <w:tr w:rsidR="00D3344B" w14:paraId="315E4996" w14:textId="77777777">
        <w:trPr>
          <w:trHeight w:val="454"/>
        </w:trPr>
        <w:tc>
          <w:tcPr>
            <w:tcW w:w="2880" w:type="dxa"/>
            <w:vAlign w:val="center"/>
          </w:tcPr>
          <w:p w14:paraId="4D358078" w14:textId="77777777" w:rsidR="00D3344B" w:rsidRDefault="00143C25">
            <w:pPr>
              <w:widowControl w:val="0"/>
              <w:snapToGrid w:val="0"/>
              <w:ind w:left="72"/>
              <w:jc w:val="center"/>
              <w:rPr>
                <w:rFonts w:ascii="Arial" w:hAnsi="Arial" w:cs="Arial"/>
                <w:b/>
                <w:bCs/>
              </w:rPr>
            </w:pPr>
            <w:r>
              <w:rPr>
                <w:rFonts w:ascii="Arial" w:hAnsi="Arial" w:cs="Arial"/>
                <w:b/>
                <w:bCs/>
              </w:rPr>
              <w:t>GRUPO 7:</w:t>
            </w:r>
          </w:p>
        </w:tc>
        <w:tc>
          <w:tcPr>
            <w:tcW w:w="2880" w:type="dxa"/>
            <w:vAlign w:val="center"/>
          </w:tcPr>
          <w:p w14:paraId="188E4C25" w14:textId="77777777" w:rsidR="00D3344B" w:rsidRDefault="00143C25">
            <w:pPr>
              <w:widowControl w:val="0"/>
              <w:snapToGrid w:val="0"/>
              <w:ind w:left="72"/>
              <w:jc w:val="center"/>
              <w:rPr>
                <w:rFonts w:ascii="Arial" w:hAnsi="Arial" w:cs="Arial"/>
                <w:b/>
                <w:bCs/>
              </w:rPr>
            </w:pPr>
            <w:r>
              <w:rPr>
                <w:rFonts w:ascii="Arial" w:hAnsi="Arial" w:cs="Arial"/>
                <w:b/>
                <w:bCs/>
              </w:rPr>
              <w:t>GRUPO 8:</w:t>
            </w:r>
          </w:p>
        </w:tc>
        <w:tc>
          <w:tcPr>
            <w:tcW w:w="2920" w:type="dxa"/>
            <w:vAlign w:val="center"/>
          </w:tcPr>
          <w:p w14:paraId="260BE509" w14:textId="77777777" w:rsidR="00D3344B" w:rsidRDefault="00143C25">
            <w:pPr>
              <w:widowControl w:val="0"/>
              <w:snapToGrid w:val="0"/>
              <w:ind w:left="72"/>
              <w:jc w:val="center"/>
              <w:rPr>
                <w:rFonts w:ascii="Arial" w:hAnsi="Arial" w:cs="Arial"/>
                <w:b/>
                <w:bCs/>
              </w:rPr>
            </w:pPr>
            <w:r>
              <w:rPr>
                <w:rFonts w:ascii="Arial" w:hAnsi="Arial" w:cs="Arial"/>
                <w:b/>
                <w:bCs/>
              </w:rPr>
              <w:t>GRUPO 9:</w:t>
            </w:r>
          </w:p>
        </w:tc>
      </w:tr>
      <w:tr w:rsidR="00D3344B" w14:paraId="6FC17CEE" w14:textId="77777777">
        <w:trPr>
          <w:trHeight w:val="454"/>
        </w:trPr>
        <w:tc>
          <w:tcPr>
            <w:tcW w:w="2880" w:type="dxa"/>
            <w:vAlign w:val="center"/>
          </w:tcPr>
          <w:p w14:paraId="0939C5A1" w14:textId="77777777" w:rsidR="00D3344B" w:rsidRDefault="00143C25">
            <w:pPr>
              <w:widowControl w:val="0"/>
              <w:snapToGrid w:val="0"/>
              <w:ind w:left="72"/>
              <w:jc w:val="center"/>
              <w:rPr>
                <w:rFonts w:ascii="Arial" w:hAnsi="Arial" w:cs="Arial"/>
              </w:rPr>
            </w:pPr>
            <w:r>
              <w:rPr>
                <w:rFonts w:ascii="Arial" w:hAnsi="Arial" w:cs="Arial"/>
              </w:rPr>
              <w:t>BENITO JUÁREZ</w:t>
            </w:r>
          </w:p>
        </w:tc>
        <w:tc>
          <w:tcPr>
            <w:tcW w:w="2880" w:type="dxa"/>
            <w:vAlign w:val="center"/>
          </w:tcPr>
          <w:p w14:paraId="085F6591" w14:textId="77777777" w:rsidR="00D3344B" w:rsidRDefault="00143C25">
            <w:pPr>
              <w:widowControl w:val="0"/>
              <w:snapToGrid w:val="0"/>
              <w:ind w:left="72"/>
              <w:jc w:val="center"/>
              <w:rPr>
                <w:rFonts w:ascii="Arial" w:hAnsi="Arial" w:cs="Arial"/>
              </w:rPr>
            </w:pPr>
            <w:r>
              <w:rPr>
                <w:rFonts w:ascii="Arial" w:hAnsi="Arial" w:cs="Arial"/>
              </w:rPr>
              <w:t>IXTACUIXTLA DE MARIANO MATAMOROS</w:t>
            </w:r>
          </w:p>
        </w:tc>
        <w:tc>
          <w:tcPr>
            <w:tcW w:w="2920" w:type="dxa"/>
            <w:vAlign w:val="center"/>
          </w:tcPr>
          <w:p w14:paraId="4EC8285E" w14:textId="77777777" w:rsidR="00D3344B" w:rsidRDefault="00143C25">
            <w:pPr>
              <w:pStyle w:val="Piedepgina"/>
              <w:widowControl w:val="0"/>
              <w:snapToGrid w:val="0"/>
              <w:ind w:left="72"/>
              <w:jc w:val="center"/>
              <w:rPr>
                <w:rFonts w:ascii="Arial" w:hAnsi="Arial" w:cs="Arial"/>
              </w:rPr>
            </w:pPr>
            <w:r>
              <w:rPr>
                <w:rFonts w:ascii="Arial" w:hAnsi="Arial" w:cs="Arial"/>
              </w:rPr>
              <w:t>MAZATECOCHCO DE JOSÉ MARÍA MORELOS</w:t>
            </w:r>
          </w:p>
        </w:tc>
      </w:tr>
      <w:tr w:rsidR="00D3344B" w14:paraId="2028757A" w14:textId="77777777">
        <w:trPr>
          <w:trHeight w:val="454"/>
        </w:trPr>
        <w:tc>
          <w:tcPr>
            <w:tcW w:w="2880" w:type="dxa"/>
            <w:vAlign w:val="center"/>
          </w:tcPr>
          <w:p w14:paraId="6CE2AE0B" w14:textId="77777777" w:rsidR="00D3344B" w:rsidRDefault="00143C25">
            <w:pPr>
              <w:widowControl w:val="0"/>
              <w:snapToGrid w:val="0"/>
              <w:ind w:left="72"/>
              <w:jc w:val="center"/>
              <w:rPr>
                <w:rFonts w:ascii="Arial" w:hAnsi="Arial" w:cs="Arial"/>
              </w:rPr>
            </w:pPr>
            <w:r>
              <w:rPr>
                <w:rFonts w:ascii="Arial" w:hAnsi="Arial" w:cs="Arial"/>
              </w:rPr>
              <w:t>CALPULALPAN</w:t>
            </w:r>
          </w:p>
        </w:tc>
        <w:tc>
          <w:tcPr>
            <w:tcW w:w="2880" w:type="dxa"/>
            <w:vAlign w:val="center"/>
          </w:tcPr>
          <w:p w14:paraId="4F3BD84D" w14:textId="77777777" w:rsidR="00D3344B" w:rsidRDefault="00143C25">
            <w:pPr>
              <w:widowControl w:val="0"/>
              <w:snapToGrid w:val="0"/>
              <w:ind w:left="72"/>
              <w:jc w:val="center"/>
              <w:rPr>
                <w:rFonts w:ascii="Arial" w:hAnsi="Arial" w:cs="Arial"/>
              </w:rPr>
            </w:pPr>
            <w:r>
              <w:rPr>
                <w:rFonts w:ascii="Arial" w:hAnsi="Arial" w:cs="Arial"/>
              </w:rPr>
              <w:t>NATIVITAS</w:t>
            </w:r>
          </w:p>
        </w:tc>
        <w:tc>
          <w:tcPr>
            <w:tcW w:w="2920" w:type="dxa"/>
            <w:vAlign w:val="center"/>
          </w:tcPr>
          <w:p w14:paraId="45E5E900" w14:textId="77777777" w:rsidR="00D3344B" w:rsidRDefault="00143C25">
            <w:pPr>
              <w:widowControl w:val="0"/>
              <w:snapToGrid w:val="0"/>
              <w:ind w:left="72"/>
              <w:jc w:val="center"/>
              <w:rPr>
                <w:rFonts w:ascii="Arial" w:hAnsi="Arial" w:cs="Arial"/>
              </w:rPr>
            </w:pPr>
            <w:r>
              <w:rPr>
                <w:rFonts w:ascii="Arial" w:hAnsi="Arial" w:cs="Arial"/>
              </w:rPr>
              <w:t>PAPALOTLA DE XICOHTÉNCATL</w:t>
            </w:r>
          </w:p>
        </w:tc>
      </w:tr>
      <w:tr w:rsidR="00D3344B" w14:paraId="5E43342D" w14:textId="77777777">
        <w:trPr>
          <w:trHeight w:val="454"/>
        </w:trPr>
        <w:tc>
          <w:tcPr>
            <w:tcW w:w="2880" w:type="dxa"/>
            <w:vAlign w:val="center"/>
          </w:tcPr>
          <w:p w14:paraId="4B2F7FF1" w14:textId="77777777" w:rsidR="00D3344B" w:rsidRDefault="00143C25">
            <w:pPr>
              <w:widowControl w:val="0"/>
              <w:snapToGrid w:val="0"/>
              <w:ind w:left="72"/>
              <w:jc w:val="center"/>
              <w:rPr>
                <w:rFonts w:ascii="Arial" w:hAnsi="Arial" w:cs="Arial"/>
              </w:rPr>
            </w:pPr>
            <w:r>
              <w:rPr>
                <w:rFonts w:ascii="Arial" w:hAnsi="Arial" w:cs="Arial"/>
              </w:rPr>
              <w:t>ESPAÑITA</w:t>
            </w:r>
          </w:p>
        </w:tc>
        <w:tc>
          <w:tcPr>
            <w:tcW w:w="2880" w:type="dxa"/>
            <w:vAlign w:val="center"/>
          </w:tcPr>
          <w:p w14:paraId="784C2A59" w14:textId="77777777" w:rsidR="00D3344B" w:rsidRDefault="00143C25">
            <w:pPr>
              <w:widowControl w:val="0"/>
              <w:snapToGrid w:val="0"/>
              <w:ind w:left="72"/>
              <w:jc w:val="center"/>
              <w:rPr>
                <w:rFonts w:ascii="Arial" w:hAnsi="Arial" w:cs="Arial"/>
              </w:rPr>
            </w:pPr>
            <w:r>
              <w:rPr>
                <w:rFonts w:ascii="Arial" w:hAnsi="Arial" w:cs="Arial"/>
              </w:rPr>
              <w:t>PANOTLA</w:t>
            </w:r>
          </w:p>
        </w:tc>
        <w:tc>
          <w:tcPr>
            <w:tcW w:w="2920" w:type="dxa"/>
            <w:vAlign w:val="center"/>
          </w:tcPr>
          <w:p w14:paraId="1D018475" w14:textId="77777777" w:rsidR="00D3344B" w:rsidRDefault="00143C25">
            <w:pPr>
              <w:widowControl w:val="0"/>
              <w:snapToGrid w:val="0"/>
              <w:ind w:left="72"/>
              <w:jc w:val="center"/>
              <w:rPr>
                <w:rFonts w:ascii="Arial" w:hAnsi="Arial" w:cs="Arial"/>
              </w:rPr>
            </w:pPr>
            <w:r>
              <w:rPr>
                <w:rFonts w:ascii="Arial" w:hAnsi="Arial" w:cs="Arial"/>
              </w:rPr>
              <w:t>SAN LORENZO AXOCOMANITLA</w:t>
            </w:r>
          </w:p>
        </w:tc>
      </w:tr>
      <w:tr w:rsidR="00D3344B" w14:paraId="158B9448" w14:textId="77777777">
        <w:trPr>
          <w:trHeight w:val="454"/>
        </w:trPr>
        <w:tc>
          <w:tcPr>
            <w:tcW w:w="2880" w:type="dxa"/>
            <w:vAlign w:val="center"/>
          </w:tcPr>
          <w:p w14:paraId="53357A9D" w14:textId="77777777" w:rsidR="00D3344B" w:rsidRDefault="00143C25">
            <w:pPr>
              <w:widowControl w:val="0"/>
              <w:snapToGrid w:val="0"/>
              <w:ind w:left="72"/>
              <w:jc w:val="center"/>
              <w:rPr>
                <w:rFonts w:ascii="Arial" w:hAnsi="Arial" w:cs="Arial"/>
              </w:rPr>
            </w:pPr>
            <w:r>
              <w:rPr>
                <w:rFonts w:ascii="Arial" w:hAnsi="Arial" w:cs="Arial"/>
              </w:rPr>
              <w:t>HUEYOTLIPAN</w:t>
            </w:r>
          </w:p>
        </w:tc>
        <w:tc>
          <w:tcPr>
            <w:tcW w:w="2880" w:type="dxa"/>
            <w:vAlign w:val="center"/>
          </w:tcPr>
          <w:p w14:paraId="45ADB1D3" w14:textId="77777777" w:rsidR="00D3344B" w:rsidRDefault="00143C25">
            <w:pPr>
              <w:pStyle w:val="Piedepgina"/>
              <w:widowControl w:val="0"/>
              <w:snapToGrid w:val="0"/>
              <w:ind w:left="72"/>
              <w:jc w:val="center"/>
              <w:rPr>
                <w:rFonts w:ascii="Arial" w:hAnsi="Arial" w:cs="Arial"/>
              </w:rPr>
            </w:pPr>
            <w:r>
              <w:rPr>
                <w:rFonts w:ascii="Arial" w:hAnsi="Arial" w:cs="Arial"/>
              </w:rPr>
              <w:t>SAN DAMIÁN TEXÓLOC</w:t>
            </w:r>
          </w:p>
        </w:tc>
        <w:tc>
          <w:tcPr>
            <w:tcW w:w="2920" w:type="dxa"/>
            <w:vAlign w:val="center"/>
          </w:tcPr>
          <w:p w14:paraId="338BCEDC" w14:textId="77777777" w:rsidR="00D3344B" w:rsidRDefault="00143C25">
            <w:pPr>
              <w:widowControl w:val="0"/>
              <w:snapToGrid w:val="0"/>
              <w:ind w:left="72"/>
              <w:jc w:val="center"/>
              <w:rPr>
                <w:rFonts w:ascii="Arial" w:hAnsi="Arial" w:cs="Arial"/>
              </w:rPr>
            </w:pPr>
            <w:r>
              <w:rPr>
                <w:rFonts w:ascii="Arial" w:hAnsi="Arial" w:cs="Arial"/>
              </w:rPr>
              <w:t>SANTA CATARINA AYOMETLA</w:t>
            </w:r>
          </w:p>
        </w:tc>
      </w:tr>
      <w:tr w:rsidR="00D3344B" w14:paraId="4E5CFDF5" w14:textId="77777777">
        <w:trPr>
          <w:trHeight w:val="454"/>
        </w:trPr>
        <w:tc>
          <w:tcPr>
            <w:tcW w:w="2880" w:type="dxa"/>
            <w:vAlign w:val="center"/>
          </w:tcPr>
          <w:p w14:paraId="26C45723" w14:textId="77777777" w:rsidR="00D3344B" w:rsidRDefault="00143C25">
            <w:pPr>
              <w:widowControl w:val="0"/>
              <w:snapToGrid w:val="0"/>
              <w:ind w:left="72"/>
              <w:jc w:val="center"/>
              <w:rPr>
                <w:rFonts w:ascii="Arial" w:hAnsi="Arial" w:cs="Arial"/>
              </w:rPr>
            </w:pPr>
            <w:r>
              <w:rPr>
                <w:rFonts w:ascii="Arial" w:hAnsi="Arial" w:cs="Arial"/>
              </w:rPr>
              <w:t>NANACAMILPA DE MARIANO ARISTA</w:t>
            </w:r>
          </w:p>
        </w:tc>
        <w:tc>
          <w:tcPr>
            <w:tcW w:w="2880" w:type="dxa"/>
            <w:vAlign w:val="center"/>
          </w:tcPr>
          <w:p w14:paraId="554FB068" w14:textId="77777777" w:rsidR="00D3344B" w:rsidRDefault="00143C25">
            <w:pPr>
              <w:widowControl w:val="0"/>
              <w:snapToGrid w:val="0"/>
              <w:ind w:left="72"/>
              <w:jc w:val="center"/>
              <w:rPr>
                <w:rFonts w:ascii="Arial" w:hAnsi="Arial" w:cs="Arial"/>
              </w:rPr>
            </w:pPr>
            <w:r>
              <w:rPr>
                <w:rFonts w:ascii="Arial" w:hAnsi="Arial" w:cs="Arial"/>
              </w:rPr>
              <w:t>SAN JERÓNIMO ZACUALPAN</w:t>
            </w:r>
          </w:p>
        </w:tc>
        <w:tc>
          <w:tcPr>
            <w:tcW w:w="2920" w:type="dxa"/>
            <w:vAlign w:val="center"/>
          </w:tcPr>
          <w:p w14:paraId="6D2F65B0" w14:textId="77777777" w:rsidR="00D3344B" w:rsidRDefault="00143C25">
            <w:pPr>
              <w:widowControl w:val="0"/>
              <w:snapToGrid w:val="0"/>
              <w:ind w:left="72"/>
              <w:jc w:val="center"/>
              <w:rPr>
                <w:rFonts w:ascii="Arial" w:hAnsi="Arial" w:cs="Arial"/>
              </w:rPr>
            </w:pPr>
            <w:r>
              <w:rPr>
                <w:rFonts w:ascii="Arial" w:hAnsi="Arial" w:cs="Arial"/>
              </w:rPr>
              <w:t>SANTA CRUZ QUILEHTLA</w:t>
            </w:r>
          </w:p>
        </w:tc>
      </w:tr>
      <w:tr w:rsidR="00D3344B" w14:paraId="0529BAD5" w14:textId="77777777">
        <w:trPr>
          <w:trHeight w:val="454"/>
        </w:trPr>
        <w:tc>
          <w:tcPr>
            <w:tcW w:w="2880" w:type="dxa"/>
            <w:vAlign w:val="center"/>
          </w:tcPr>
          <w:p w14:paraId="608784EE" w14:textId="77777777" w:rsidR="00D3344B" w:rsidRDefault="00143C25">
            <w:pPr>
              <w:widowControl w:val="0"/>
              <w:snapToGrid w:val="0"/>
              <w:ind w:left="72"/>
              <w:jc w:val="center"/>
              <w:rPr>
                <w:rFonts w:ascii="Arial" w:hAnsi="Arial" w:cs="Arial"/>
              </w:rPr>
            </w:pPr>
            <w:r>
              <w:rPr>
                <w:rFonts w:ascii="Arial" w:hAnsi="Arial" w:cs="Arial"/>
              </w:rPr>
              <w:t>SANCTÓRUM DE LÁZARO CÁRDENAS</w:t>
            </w:r>
          </w:p>
        </w:tc>
        <w:tc>
          <w:tcPr>
            <w:tcW w:w="2880" w:type="dxa"/>
            <w:vAlign w:val="center"/>
          </w:tcPr>
          <w:p w14:paraId="4A039200" w14:textId="77777777" w:rsidR="00D3344B" w:rsidRDefault="00143C25">
            <w:pPr>
              <w:pStyle w:val="Piedepgina"/>
              <w:widowControl w:val="0"/>
              <w:snapToGrid w:val="0"/>
              <w:ind w:left="72"/>
              <w:jc w:val="center"/>
              <w:rPr>
                <w:rFonts w:ascii="Arial" w:hAnsi="Arial" w:cs="Arial"/>
              </w:rPr>
            </w:pPr>
            <w:r>
              <w:rPr>
                <w:rFonts w:ascii="Arial" w:hAnsi="Arial" w:cs="Arial"/>
              </w:rPr>
              <w:t>SAN JUAN HUACTZINCO</w:t>
            </w:r>
          </w:p>
        </w:tc>
        <w:tc>
          <w:tcPr>
            <w:tcW w:w="2920" w:type="dxa"/>
            <w:vAlign w:val="center"/>
          </w:tcPr>
          <w:p w14:paraId="0604E74A" w14:textId="77777777" w:rsidR="00D3344B" w:rsidRDefault="00143C25">
            <w:pPr>
              <w:widowControl w:val="0"/>
              <w:snapToGrid w:val="0"/>
              <w:ind w:left="72"/>
              <w:jc w:val="center"/>
              <w:rPr>
                <w:rFonts w:ascii="Arial" w:hAnsi="Arial" w:cs="Arial"/>
              </w:rPr>
            </w:pPr>
            <w:r>
              <w:rPr>
                <w:rFonts w:ascii="Arial" w:hAnsi="Arial" w:cs="Arial"/>
              </w:rPr>
              <w:t>TENANCINGO</w:t>
            </w:r>
          </w:p>
        </w:tc>
      </w:tr>
      <w:tr w:rsidR="00D3344B" w14:paraId="7CB6CCBE" w14:textId="77777777">
        <w:trPr>
          <w:trHeight w:val="454"/>
        </w:trPr>
        <w:tc>
          <w:tcPr>
            <w:tcW w:w="2880" w:type="dxa"/>
            <w:vAlign w:val="center"/>
          </w:tcPr>
          <w:p w14:paraId="2CF132A8" w14:textId="77777777" w:rsidR="00D3344B" w:rsidRDefault="00143C25">
            <w:pPr>
              <w:widowControl w:val="0"/>
              <w:snapToGrid w:val="0"/>
              <w:ind w:left="72"/>
              <w:jc w:val="center"/>
              <w:rPr>
                <w:rFonts w:ascii="Arial" w:hAnsi="Arial" w:cs="Arial"/>
              </w:rPr>
            </w:pPr>
            <w:r>
              <w:rPr>
                <w:rFonts w:ascii="Arial" w:hAnsi="Arial" w:cs="Arial"/>
              </w:rPr>
              <w:t>SAN LUCAS TECOPILCO</w:t>
            </w:r>
          </w:p>
        </w:tc>
        <w:tc>
          <w:tcPr>
            <w:tcW w:w="2880" w:type="dxa"/>
            <w:vAlign w:val="center"/>
          </w:tcPr>
          <w:p w14:paraId="3C311021" w14:textId="77777777" w:rsidR="00D3344B" w:rsidRDefault="00143C25">
            <w:pPr>
              <w:widowControl w:val="0"/>
              <w:snapToGrid w:val="0"/>
              <w:ind w:left="72"/>
              <w:jc w:val="center"/>
              <w:rPr>
                <w:rFonts w:ascii="Arial" w:hAnsi="Arial" w:cs="Arial"/>
              </w:rPr>
            </w:pPr>
            <w:r>
              <w:rPr>
                <w:rFonts w:ascii="Arial" w:hAnsi="Arial" w:cs="Arial"/>
              </w:rPr>
              <w:t>SANTA ANA NOPALUCAN</w:t>
            </w:r>
          </w:p>
        </w:tc>
        <w:tc>
          <w:tcPr>
            <w:tcW w:w="2920" w:type="dxa"/>
            <w:vAlign w:val="center"/>
          </w:tcPr>
          <w:p w14:paraId="41448533" w14:textId="77777777" w:rsidR="00D3344B" w:rsidRDefault="00143C25">
            <w:pPr>
              <w:widowControl w:val="0"/>
              <w:snapToGrid w:val="0"/>
              <w:ind w:left="72"/>
              <w:jc w:val="center"/>
              <w:rPr>
                <w:rFonts w:ascii="Arial" w:hAnsi="Arial" w:cs="Arial"/>
              </w:rPr>
            </w:pPr>
            <w:r>
              <w:rPr>
                <w:rFonts w:ascii="Arial" w:hAnsi="Arial" w:cs="Arial"/>
              </w:rPr>
              <w:t>XICOHTZINCO</w:t>
            </w:r>
          </w:p>
        </w:tc>
      </w:tr>
      <w:tr w:rsidR="00D3344B" w14:paraId="700B646A" w14:textId="77777777">
        <w:trPr>
          <w:trHeight w:val="454"/>
        </w:trPr>
        <w:tc>
          <w:tcPr>
            <w:tcW w:w="2880" w:type="dxa"/>
            <w:vAlign w:val="center"/>
          </w:tcPr>
          <w:p w14:paraId="0BD97F5A" w14:textId="77777777" w:rsidR="00D3344B" w:rsidRDefault="00143C25">
            <w:pPr>
              <w:widowControl w:val="0"/>
              <w:snapToGrid w:val="0"/>
              <w:ind w:left="72"/>
              <w:jc w:val="center"/>
              <w:rPr>
                <w:rFonts w:ascii="Arial" w:hAnsi="Arial" w:cs="Arial"/>
              </w:rPr>
            </w:pPr>
            <w:r>
              <w:rPr>
                <w:rFonts w:ascii="Arial" w:hAnsi="Arial" w:cs="Arial"/>
              </w:rPr>
              <w:t>XALTOCAN</w:t>
            </w:r>
          </w:p>
        </w:tc>
        <w:tc>
          <w:tcPr>
            <w:tcW w:w="2880" w:type="dxa"/>
            <w:vAlign w:val="center"/>
          </w:tcPr>
          <w:p w14:paraId="31F74995" w14:textId="77777777" w:rsidR="00D3344B" w:rsidRDefault="00143C25">
            <w:pPr>
              <w:widowControl w:val="0"/>
              <w:snapToGrid w:val="0"/>
              <w:ind w:left="72"/>
              <w:jc w:val="center"/>
              <w:rPr>
                <w:rFonts w:ascii="Arial" w:hAnsi="Arial" w:cs="Arial"/>
              </w:rPr>
            </w:pPr>
            <w:r>
              <w:rPr>
                <w:rFonts w:ascii="Arial" w:hAnsi="Arial" w:cs="Arial"/>
              </w:rPr>
              <w:t>SANTA APOLONIA TEACALCO</w:t>
            </w:r>
          </w:p>
        </w:tc>
        <w:tc>
          <w:tcPr>
            <w:tcW w:w="2920" w:type="dxa"/>
            <w:vAlign w:val="center"/>
          </w:tcPr>
          <w:p w14:paraId="76CEA135" w14:textId="77777777" w:rsidR="00D3344B" w:rsidRDefault="00143C25">
            <w:pPr>
              <w:widowControl w:val="0"/>
              <w:snapToGrid w:val="0"/>
              <w:ind w:left="72"/>
              <w:jc w:val="center"/>
              <w:rPr>
                <w:rFonts w:ascii="Arial" w:hAnsi="Arial" w:cs="Arial"/>
              </w:rPr>
            </w:pPr>
            <w:r>
              <w:rPr>
                <w:rFonts w:ascii="Arial" w:hAnsi="Arial" w:cs="Arial"/>
              </w:rPr>
              <w:t>ZACATELCO</w:t>
            </w:r>
          </w:p>
        </w:tc>
      </w:tr>
      <w:tr w:rsidR="00D3344B" w14:paraId="2D9C9B81" w14:textId="77777777">
        <w:trPr>
          <w:trHeight w:val="454"/>
        </w:trPr>
        <w:tc>
          <w:tcPr>
            <w:tcW w:w="2880" w:type="dxa"/>
            <w:vAlign w:val="center"/>
          </w:tcPr>
          <w:p w14:paraId="00182196" w14:textId="77777777" w:rsidR="00D3344B" w:rsidRDefault="00D3344B">
            <w:pPr>
              <w:widowControl w:val="0"/>
              <w:snapToGrid w:val="0"/>
              <w:ind w:left="72"/>
              <w:jc w:val="center"/>
              <w:rPr>
                <w:rFonts w:ascii="Arial" w:hAnsi="Arial" w:cs="Arial"/>
              </w:rPr>
            </w:pPr>
          </w:p>
        </w:tc>
        <w:tc>
          <w:tcPr>
            <w:tcW w:w="2880" w:type="dxa"/>
            <w:vAlign w:val="center"/>
          </w:tcPr>
          <w:p w14:paraId="38CD1A56" w14:textId="77777777" w:rsidR="00D3344B" w:rsidRDefault="00143C25">
            <w:pPr>
              <w:pStyle w:val="Piedepgina"/>
              <w:widowControl w:val="0"/>
              <w:snapToGrid w:val="0"/>
              <w:ind w:left="72"/>
              <w:jc w:val="center"/>
              <w:rPr>
                <w:rFonts w:ascii="Arial" w:hAnsi="Arial" w:cs="Arial"/>
              </w:rPr>
            </w:pPr>
            <w:r>
              <w:rPr>
                <w:rFonts w:ascii="Arial" w:hAnsi="Arial" w:cs="Arial"/>
              </w:rPr>
              <w:t>TEPETITLA DE LARDIZÁBAL</w:t>
            </w:r>
          </w:p>
        </w:tc>
        <w:tc>
          <w:tcPr>
            <w:tcW w:w="2920" w:type="dxa"/>
            <w:vAlign w:val="center"/>
          </w:tcPr>
          <w:p w14:paraId="2F781A7B" w14:textId="77777777" w:rsidR="00D3344B" w:rsidRDefault="00D3344B">
            <w:pPr>
              <w:widowControl w:val="0"/>
              <w:snapToGrid w:val="0"/>
              <w:ind w:left="72"/>
              <w:jc w:val="center"/>
              <w:rPr>
                <w:rFonts w:ascii="Arial" w:hAnsi="Arial" w:cs="Arial"/>
              </w:rPr>
            </w:pPr>
          </w:p>
        </w:tc>
      </w:tr>
      <w:tr w:rsidR="00D3344B" w14:paraId="57FB1534" w14:textId="77777777">
        <w:trPr>
          <w:trHeight w:val="454"/>
        </w:trPr>
        <w:tc>
          <w:tcPr>
            <w:tcW w:w="2880" w:type="dxa"/>
            <w:vAlign w:val="center"/>
          </w:tcPr>
          <w:p w14:paraId="6C066DE4" w14:textId="77777777" w:rsidR="00D3344B" w:rsidRDefault="00D3344B">
            <w:pPr>
              <w:widowControl w:val="0"/>
              <w:snapToGrid w:val="0"/>
              <w:ind w:left="72"/>
              <w:jc w:val="center"/>
              <w:rPr>
                <w:rFonts w:ascii="Arial" w:hAnsi="Arial" w:cs="Arial"/>
              </w:rPr>
            </w:pPr>
          </w:p>
        </w:tc>
        <w:tc>
          <w:tcPr>
            <w:tcW w:w="2880" w:type="dxa"/>
            <w:vAlign w:val="center"/>
          </w:tcPr>
          <w:p w14:paraId="4DB2AF5A" w14:textId="77777777" w:rsidR="00D3344B" w:rsidRDefault="00143C25">
            <w:pPr>
              <w:widowControl w:val="0"/>
              <w:snapToGrid w:val="0"/>
              <w:ind w:left="72"/>
              <w:jc w:val="center"/>
              <w:rPr>
                <w:rFonts w:ascii="Arial" w:hAnsi="Arial" w:cs="Arial"/>
              </w:rPr>
            </w:pPr>
            <w:r>
              <w:rPr>
                <w:rFonts w:ascii="Arial" w:hAnsi="Arial" w:cs="Arial"/>
              </w:rPr>
              <w:t>TETLATLAHUCA</w:t>
            </w:r>
          </w:p>
        </w:tc>
        <w:tc>
          <w:tcPr>
            <w:tcW w:w="2920" w:type="dxa"/>
            <w:vAlign w:val="center"/>
          </w:tcPr>
          <w:p w14:paraId="5AFDDC58" w14:textId="77777777" w:rsidR="00D3344B" w:rsidRDefault="00D3344B">
            <w:pPr>
              <w:widowControl w:val="0"/>
              <w:snapToGrid w:val="0"/>
              <w:ind w:left="72"/>
              <w:jc w:val="center"/>
              <w:rPr>
                <w:rFonts w:ascii="Arial" w:hAnsi="Arial" w:cs="Arial"/>
              </w:rPr>
            </w:pPr>
          </w:p>
        </w:tc>
      </w:tr>
    </w:tbl>
    <w:p w14:paraId="566941AF" w14:textId="77777777" w:rsidR="00D3344B" w:rsidRDefault="00D3344B">
      <w:pPr>
        <w:pStyle w:val="Estilo"/>
        <w:rPr>
          <w:rFonts w:cs="Arial"/>
        </w:rPr>
      </w:pPr>
    </w:p>
    <w:p w14:paraId="1F09AF97" w14:textId="77777777" w:rsidR="00D3344B" w:rsidRDefault="00143C25">
      <w:pPr>
        <w:pStyle w:val="Estilo"/>
        <w:rPr>
          <w:rFonts w:cs="Arial"/>
        </w:rPr>
      </w:pPr>
      <w:r>
        <w:rPr>
          <w:rFonts w:cs="Arial"/>
        </w:rPr>
        <w:t>Adicionalmente el Consejo Permanente de Coordinación Hacendaria podrá integrar temporalmente comisiones auxiliares de trabajo para la investigación de casos concretos, para lo cual podrá convocar a diversas organizaciones a integrarse a dichas comisiones.</w:t>
      </w:r>
    </w:p>
    <w:p w14:paraId="51A2059A" w14:textId="77777777" w:rsidR="00D3344B" w:rsidRDefault="00D3344B">
      <w:pPr>
        <w:pStyle w:val="Estilo"/>
        <w:rPr>
          <w:rFonts w:cs="Arial"/>
        </w:rPr>
      </w:pPr>
    </w:p>
    <w:p w14:paraId="4FBDC54D" w14:textId="77777777" w:rsidR="00D3344B" w:rsidRDefault="00143C25">
      <w:pPr>
        <w:pStyle w:val="Estilo"/>
        <w:rPr>
          <w:rFonts w:cs="Arial"/>
          <w:i/>
          <w:sz w:val="16"/>
          <w:szCs w:val="16"/>
        </w:rPr>
      </w:pPr>
      <w:r>
        <w:rPr>
          <w:rFonts w:cs="Arial"/>
          <w:i/>
          <w:sz w:val="16"/>
          <w:szCs w:val="16"/>
        </w:rPr>
        <w:t>(REFORMADO PRIMER PÁRRAFO, P.O. 31 DE DICIEMBRE DE 2007)</w:t>
      </w:r>
    </w:p>
    <w:p w14:paraId="3E470B71" w14:textId="77777777" w:rsidR="00D3344B" w:rsidRDefault="00143C25">
      <w:pPr>
        <w:pStyle w:val="Estilo"/>
        <w:rPr>
          <w:rFonts w:cs="Arial"/>
        </w:rPr>
      </w:pPr>
      <w:r>
        <w:rPr>
          <w:rFonts w:cs="Arial"/>
          <w:b/>
        </w:rPr>
        <w:t>Artículo 529.</w:t>
      </w:r>
      <w:r>
        <w:rPr>
          <w:rFonts w:cs="Arial"/>
        </w:rPr>
        <w:t xml:space="preserve"> El Consejo Permanente de Coordinación Hacendaria será presidido por el titular de la Secretaría, quien convocará a las sesiones, y se desarrollarán de conformidad con el orden del día, que éste mismo apruebe.</w:t>
      </w:r>
    </w:p>
    <w:p w14:paraId="468EBA2E" w14:textId="77777777" w:rsidR="00D3344B" w:rsidRDefault="00D3344B">
      <w:pPr>
        <w:pStyle w:val="Estilo"/>
        <w:rPr>
          <w:rFonts w:cs="Arial"/>
        </w:rPr>
      </w:pPr>
    </w:p>
    <w:p w14:paraId="6C893F2A" w14:textId="77777777" w:rsidR="00D3344B" w:rsidRDefault="00143C25">
      <w:pPr>
        <w:pStyle w:val="Estilo"/>
        <w:rPr>
          <w:rFonts w:cs="Arial"/>
        </w:rPr>
      </w:pPr>
      <w:r>
        <w:rPr>
          <w:rFonts w:cs="Arial"/>
        </w:rPr>
        <w:lastRenderedPageBreak/>
        <w:t>Para el análisis de asuntos específicos el Consejo Permanente de Coordinación Hacendaria podrá establecer grupos de trabajo para cada caso, asignándoles las funciones que considere necesarias.</w:t>
      </w:r>
    </w:p>
    <w:p w14:paraId="684920E5" w14:textId="77777777" w:rsidR="00D3344B" w:rsidRDefault="00D3344B">
      <w:pPr>
        <w:pStyle w:val="Estilo"/>
        <w:rPr>
          <w:rFonts w:cs="Arial"/>
        </w:rPr>
      </w:pPr>
    </w:p>
    <w:p w14:paraId="587FEE18" w14:textId="77777777" w:rsidR="00D3344B" w:rsidRDefault="00143C25">
      <w:pPr>
        <w:pStyle w:val="Estilo"/>
        <w:rPr>
          <w:rFonts w:cs="Arial"/>
        </w:rPr>
      </w:pPr>
      <w:r>
        <w:rPr>
          <w:rFonts w:cs="Arial"/>
          <w:b/>
        </w:rPr>
        <w:t>Artículo 530.</w:t>
      </w:r>
      <w:r>
        <w:rPr>
          <w:rFonts w:cs="Arial"/>
        </w:rPr>
        <w:t xml:space="preserve"> El Instituto de Capacitación Hacendaria del Estado de Tlaxcala tiene encomendadas las siguientes funciones:</w:t>
      </w:r>
    </w:p>
    <w:p w14:paraId="3EDE070E" w14:textId="77777777" w:rsidR="00D3344B" w:rsidRDefault="00D3344B">
      <w:pPr>
        <w:pStyle w:val="Estilo"/>
        <w:rPr>
          <w:rFonts w:cs="Arial"/>
        </w:rPr>
      </w:pPr>
    </w:p>
    <w:p w14:paraId="66C172FC" w14:textId="77777777" w:rsidR="00D3344B" w:rsidRDefault="00143C25">
      <w:pPr>
        <w:pStyle w:val="Estilo"/>
        <w:ind w:left="567" w:hanging="567"/>
        <w:rPr>
          <w:rFonts w:cs="Arial"/>
        </w:rPr>
      </w:pPr>
      <w:r>
        <w:rPr>
          <w:rFonts w:cs="Arial"/>
        </w:rPr>
        <w:t xml:space="preserve">I. </w:t>
      </w:r>
      <w:r>
        <w:rPr>
          <w:rFonts w:cs="Arial"/>
        </w:rPr>
        <w:tab/>
        <w:t>Actuar como consultor de las tesorerías Municipales y promover su desarrollo administrativo;</w:t>
      </w:r>
    </w:p>
    <w:p w14:paraId="266511A7" w14:textId="77777777" w:rsidR="00D3344B" w:rsidRDefault="00D3344B">
      <w:pPr>
        <w:pStyle w:val="Estilo"/>
        <w:ind w:left="567" w:hanging="567"/>
        <w:rPr>
          <w:rFonts w:cs="Arial"/>
        </w:rPr>
      </w:pPr>
    </w:p>
    <w:p w14:paraId="0E6300EC" w14:textId="77777777" w:rsidR="00D3344B" w:rsidRDefault="00143C25">
      <w:pPr>
        <w:pStyle w:val="Estilo"/>
        <w:ind w:left="567" w:hanging="567"/>
        <w:rPr>
          <w:rFonts w:cs="Arial"/>
        </w:rPr>
      </w:pPr>
      <w:r>
        <w:rPr>
          <w:rFonts w:cs="Arial"/>
        </w:rPr>
        <w:t xml:space="preserve">II. </w:t>
      </w:r>
      <w:r>
        <w:rPr>
          <w:rFonts w:cs="Arial"/>
        </w:rPr>
        <w:tab/>
        <w:t>Capacitar a servidores públicos fiscales;</w:t>
      </w:r>
    </w:p>
    <w:p w14:paraId="07271BA1" w14:textId="77777777" w:rsidR="00D3344B" w:rsidRDefault="00D3344B">
      <w:pPr>
        <w:pStyle w:val="Estilo"/>
        <w:ind w:left="567" w:hanging="567"/>
        <w:rPr>
          <w:rFonts w:cs="Arial"/>
        </w:rPr>
      </w:pPr>
    </w:p>
    <w:p w14:paraId="025BA451" w14:textId="77777777" w:rsidR="00D3344B" w:rsidRDefault="00143C25">
      <w:pPr>
        <w:pStyle w:val="Estilo"/>
        <w:ind w:left="567" w:hanging="567"/>
        <w:rPr>
          <w:rFonts w:cs="Arial"/>
        </w:rPr>
      </w:pPr>
      <w:r>
        <w:rPr>
          <w:rFonts w:cs="Arial"/>
        </w:rPr>
        <w:t xml:space="preserve">III. </w:t>
      </w:r>
      <w:r>
        <w:rPr>
          <w:rFonts w:cs="Arial"/>
        </w:rPr>
        <w:tab/>
        <w:t>Formular un programa de integración y control patrimonial municipal;</w:t>
      </w:r>
    </w:p>
    <w:p w14:paraId="10BB6D14" w14:textId="77777777" w:rsidR="00D3344B" w:rsidRDefault="00D3344B">
      <w:pPr>
        <w:pStyle w:val="Estilo"/>
        <w:ind w:left="567" w:hanging="567"/>
        <w:rPr>
          <w:rFonts w:cs="Arial"/>
        </w:rPr>
      </w:pPr>
    </w:p>
    <w:p w14:paraId="01544DD9" w14:textId="77777777" w:rsidR="00D3344B" w:rsidRDefault="00143C25">
      <w:pPr>
        <w:pStyle w:val="Estilo"/>
        <w:ind w:left="567" w:hanging="567"/>
        <w:rPr>
          <w:rFonts w:cs="Arial"/>
        </w:rPr>
      </w:pPr>
      <w:r>
        <w:rPr>
          <w:rFonts w:cs="Arial"/>
        </w:rPr>
        <w:t xml:space="preserve">IV. </w:t>
      </w:r>
      <w:r>
        <w:rPr>
          <w:rFonts w:cs="Arial"/>
        </w:rPr>
        <w:tab/>
        <w:t xml:space="preserve">Actuar como </w:t>
      </w:r>
      <w:proofErr w:type="gramStart"/>
      <w:r>
        <w:rPr>
          <w:rFonts w:cs="Arial"/>
        </w:rPr>
        <w:t>Secretario Técnico</w:t>
      </w:r>
      <w:proofErr w:type="gramEnd"/>
      <w:r>
        <w:rPr>
          <w:rFonts w:cs="Arial"/>
        </w:rPr>
        <w:t xml:space="preserve"> de la Reunión Estatal de Servidores Públicos Hacendarios y del Consejo Permanente de Coordinación Hacendaria, a través de su director, y</w:t>
      </w:r>
    </w:p>
    <w:p w14:paraId="1A3B1D14" w14:textId="77777777" w:rsidR="00D3344B" w:rsidRDefault="00D3344B">
      <w:pPr>
        <w:pStyle w:val="Estilo"/>
        <w:ind w:left="567" w:hanging="567"/>
        <w:rPr>
          <w:rFonts w:cs="Arial"/>
        </w:rPr>
      </w:pPr>
    </w:p>
    <w:p w14:paraId="68D7584A" w14:textId="77777777" w:rsidR="00D3344B" w:rsidRDefault="00143C25">
      <w:pPr>
        <w:pStyle w:val="Estilo"/>
        <w:ind w:left="567" w:hanging="567"/>
        <w:rPr>
          <w:rFonts w:cs="Arial"/>
        </w:rPr>
      </w:pPr>
      <w:r>
        <w:rPr>
          <w:rFonts w:cs="Arial"/>
        </w:rPr>
        <w:t xml:space="preserve">V. </w:t>
      </w:r>
      <w:r>
        <w:rPr>
          <w:rFonts w:cs="Arial"/>
        </w:rPr>
        <w:tab/>
        <w:t>Elaborar estadísticas y demás información que sirva de sustento para estudios y dictámenes a los Organismos de Coordinación Hacendaria que lo soliciten.</w:t>
      </w:r>
    </w:p>
    <w:p w14:paraId="2862F3ED" w14:textId="77777777" w:rsidR="00D3344B" w:rsidRDefault="00D3344B">
      <w:pPr>
        <w:pStyle w:val="Estilo"/>
        <w:rPr>
          <w:rFonts w:cs="Arial"/>
        </w:rPr>
      </w:pPr>
    </w:p>
    <w:p w14:paraId="77348F94" w14:textId="77777777" w:rsidR="00D3344B" w:rsidRDefault="00143C25">
      <w:pPr>
        <w:pStyle w:val="Estilo"/>
        <w:rPr>
          <w:rFonts w:cs="Arial"/>
        </w:rPr>
      </w:pPr>
      <w:r>
        <w:rPr>
          <w:rFonts w:cs="Arial"/>
          <w:b/>
        </w:rPr>
        <w:t>Artículo 531.</w:t>
      </w:r>
      <w:r>
        <w:rPr>
          <w:rFonts w:cs="Arial"/>
        </w:rPr>
        <w:t xml:space="preserve"> El Instituto de Capacitación Hacendaria del Estado de Tlaxcala tendrá un </w:t>
      </w:r>
      <w:proofErr w:type="gramStart"/>
      <w:r>
        <w:rPr>
          <w:rFonts w:cs="Arial"/>
        </w:rPr>
        <w:t>Director</w:t>
      </w:r>
      <w:proofErr w:type="gramEnd"/>
      <w:r>
        <w:rPr>
          <w:rFonts w:cs="Arial"/>
        </w:rPr>
        <w:t xml:space="preserve"> y contará para el desempeño de sus funciones con el personal especializado que requiera, en base a un programa que realizará de acuerdo al presupuesto que anualmente apruebe el Consejo Permanente de Coordinación Hacendaria.</w:t>
      </w:r>
    </w:p>
    <w:p w14:paraId="367521B8" w14:textId="77777777" w:rsidR="00D3344B" w:rsidRDefault="00D3344B">
      <w:pPr>
        <w:pStyle w:val="Estilo"/>
        <w:rPr>
          <w:rFonts w:cs="Arial"/>
        </w:rPr>
      </w:pPr>
    </w:p>
    <w:p w14:paraId="469B5A8C" w14:textId="77777777" w:rsidR="00D3344B" w:rsidRDefault="00143C25">
      <w:pPr>
        <w:pStyle w:val="Estilo"/>
        <w:rPr>
          <w:rFonts w:cs="Arial"/>
        </w:rPr>
      </w:pPr>
      <w:r>
        <w:rPr>
          <w:rFonts w:cs="Arial"/>
        </w:rPr>
        <w:t>Los recursos necesarios para el funcionamiento del Instituto, serán aportados en partes iguales por los ayuntamientos y el Ejecutivo y autorizados por la Reunión Estatal de Servidores Públicos Hacendarios.</w:t>
      </w:r>
    </w:p>
    <w:p w14:paraId="50ED8A5F" w14:textId="77777777" w:rsidR="00D3344B" w:rsidRDefault="00D3344B">
      <w:pPr>
        <w:pStyle w:val="Estilo"/>
        <w:rPr>
          <w:rFonts w:cs="Arial"/>
        </w:rPr>
      </w:pPr>
    </w:p>
    <w:p w14:paraId="43E22C5D" w14:textId="77777777" w:rsidR="00D3344B" w:rsidRDefault="00143C25">
      <w:pPr>
        <w:pStyle w:val="Estilo"/>
        <w:rPr>
          <w:rFonts w:cs="Arial"/>
        </w:rPr>
      </w:pPr>
      <w:r>
        <w:rPr>
          <w:rFonts w:cs="Arial"/>
          <w:b/>
        </w:rPr>
        <w:t>Artículo 532.</w:t>
      </w:r>
      <w:r>
        <w:rPr>
          <w:rFonts w:cs="Arial"/>
        </w:rPr>
        <w:t xml:space="preserve"> Las reuniones, la integración y los mecanismos de trabajo de los órganos de coordinación a que se refiere este capítulo, serán normados conforme a los lineamientos que se aprueben en la Reunión Estatal de Servidores Públicos Hacendarios.</w:t>
      </w:r>
    </w:p>
    <w:p w14:paraId="56CCBB0F" w14:textId="77777777" w:rsidR="00D3344B" w:rsidRDefault="00D3344B">
      <w:pPr>
        <w:pStyle w:val="Estilo"/>
        <w:rPr>
          <w:rFonts w:cs="Arial"/>
        </w:rPr>
      </w:pPr>
    </w:p>
    <w:p w14:paraId="07310F09" w14:textId="77777777" w:rsidR="00D3344B" w:rsidRDefault="00143C25">
      <w:pPr>
        <w:pStyle w:val="Estilo"/>
        <w:rPr>
          <w:rFonts w:cs="Arial"/>
        </w:rPr>
      </w:pPr>
      <w:r>
        <w:rPr>
          <w:rFonts w:cs="Arial"/>
          <w:b/>
        </w:rPr>
        <w:t>Artículo 533.</w:t>
      </w:r>
      <w:r>
        <w:rPr>
          <w:rFonts w:cs="Arial"/>
        </w:rPr>
        <w:t xml:space="preserve"> Los Órganos de Coordinación Hacendaria promoverán que el Estado y los municipios celebren convenios en materia de información, mediante los cuales se fijarán los sistemas que permitan evaluar la situación de las finanzas públicas, tanto de las dependencias como de sus respectivos organismos descentralizados.</w:t>
      </w:r>
    </w:p>
    <w:p w14:paraId="001A84EB" w14:textId="77777777" w:rsidR="00D3344B" w:rsidRDefault="00D3344B">
      <w:pPr>
        <w:pStyle w:val="Estilo"/>
        <w:rPr>
          <w:rFonts w:cs="Arial"/>
        </w:rPr>
      </w:pPr>
    </w:p>
    <w:p w14:paraId="1469EB23" w14:textId="77777777" w:rsidR="00D3344B" w:rsidRDefault="00143C25">
      <w:pPr>
        <w:pStyle w:val="Estilo"/>
        <w:rPr>
          <w:rFonts w:cs="Arial"/>
          <w:i/>
          <w:iCs/>
          <w:sz w:val="16"/>
          <w:szCs w:val="16"/>
        </w:rPr>
      </w:pPr>
      <w:r>
        <w:rPr>
          <w:rFonts w:cs="Arial"/>
          <w:i/>
          <w:iCs/>
          <w:sz w:val="16"/>
          <w:szCs w:val="16"/>
        </w:rPr>
        <w:t>(ADICIONADO, P.O. 22 DE DICIEMBRE DE 2021)</w:t>
      </w:r>
    </w:p>
    <w:p w14:paraId="3E6E674C" w14:textId="77777777" w:rsidR="00D3344B" w:rsidRDefault="00143C25">
      <w:pPr>
        <w:pStyle w:val="Estilo"/>
        <w:rPr>
          <w:rFonts w:cs="Arial"/>
        </w:rPr>
      </w:pPr>
      <w:r>
        <w:rPr>
          <w:rFonts w:cs="Arial"/>
        </w:rPr>
        <w:t>Las autoridades fiscales deberán cuidar el exacto cumplimiento de las disposiciones fiscales y los conceptos de cobro a que se encuentran obligados a recaudar los entes públicos, con base en la legislación aplicable.</w:t>
      </w:r>
    </w:p>
    <w:p w14:paraId="2C7D9EB1" w14:textId="77777777" w:rsidR="00D3344B" w:rsidRDefault="00D3344B">
      <w:pPr>
        <w:pStyle w:val="Estilo"/>
        <w:rPr>
          <w:rFonts w:cs="Arial"/>
        </w:rPr>
      </w:pPr>
    </w:p>
    <w:p w14:paraId="6A3DAE4F" w14:textId="77777777" w:rsidR="00D3344B" w:rsidRDefault="00143C25">
      <w:pPr>
        <w:pStyle w:val="Estilo"/>
        <w:jc w:val="center"/>
        <w:rPr>
          <w:rFonts w:cs="Arial"/>
          <w:b/>
        </w:rPr>
      </w:pPr>
      <w:r>
        <w:rPr>
          <w:rFonts w:cs="Arial"/>
          <w:b/>
        </w:rPr>
        <w:lastRenderedPageBreak/>
        <w:t>Capítulo VIII</w:t>
      </w:r>
    </w:p>
    <w:p w14:paraId="5B550DE0" w14:textId="77777777" w:rsidR="00D3344B" w:rsidRDefault="00143C25">
      <w:pPr>
        <w:pStyle w:val="Estilo"/>
        <w:jc w:val="center"/>
        <w:rPr>
          <w:rFonts w:cs="Arial"/>
          <w:b/>
        </w:rPr>
      </w:pPr>
      <w:r>
        <w:rPr>
          <w:rFonts w:cs="Arial"/>
          <w:b/>
        </w:rPr>
        <w:t>Del Control, Supervisión y Fiscalización de los Recursos</w:t>
      </w:r>
    </w:p>
    <w:p w14:paraId="690229E8" w14:textId="77777777" w:rsidR="00D3344B" w:rsidRDefault="00D3344B">
      <w:pPr>
        <w:pStyle w:val="Estilo"/>
        <w:rPr>
          <w:rFonts w:cs="Arial"/>
        </w:rPr>
      </w:pPr>
    </w:p>
    <w:p w14:paraId="130E99D4" w14:textId="77777777" w:rsidR="00D3344B" w:rsidRDefault="00143C25">
      <w:pPr>
        <w:pStyle w:val="Estilo"/>
        <w:rPr>
          <w:rFonts w:cs="Arial"/>
        </w:rPr>
      </w:pPr>
      <w:r>
        <w:rPr>
          <w:rFonts w:cs="Arial"/>
          <w:b/>
        </w:rPr>
        <w:t>Artículo 534.</w:t>
      </w:r>
      <w:r>
        <w:rPr>
          <w:rFonts w:cs="Arial"/>
        </w:rPr>
        <w:t xml:space="preserve"> El control, vigilancia y supervisión en la aplicación de los recursos quedará a cargo de las siguientes autoridades en las etapas que se indican:</w:t>
      </w:r>
    </w:p>
    <w:p w14:paraId="323006C0" w14:textId="77777777" w:rsidR="00D3344B" w:rsidRDefault="00143C25">
      <w:pPr>
        <w:pStyle w:val="Estilo"/>
        <w:rPr>
          <w:rFonts w:cs="Arial"/>
        </w:rPr>
      </w:pPr>
      <w:r>
        <w:rPr>
          <w:rFonts w:cs="Arial"/>
          <w:i/>
          <w:sz w:val="16"/>
        </w:rPr>
        <w:t>.</w:t>
      </w:r>
    </w:p>
    <w:p w14:paraId="777FB815" w14:textId="77777777" w:rsidR="00D3344B" w:rsidRDefault="00143C25">
      <w:pPr>
        <w:pStyle w:val="Estilo"/>
        <w:ind w:left="567" w:hanging="567"/>
        <w:rPr>
          <w:rFonts w:cs="Arial"/>
        </w:rPr>
      </w:pPr>
      <w:r>
        <w:rPr>
          <w:rFonts w:cs="Arial"/>
          <w:i/>
          <w:sz w:val="16"/>
        </w:rPr>
        <w:t>(REFORMADA, P.O. 22 DE DICIEMBRE DE 2021)</w:t>
      </w:r>
    </w:p>
    <w:p w14:paraId="79C5F0A4" w14:textId="77777777" w:rsidR="00D3344B" w:rsidRDefault="00143C25">
      <w:pPr>
        <w:pStyle w:val="Estilo"/>
        <w:ind w:left="567" w:hanging="567"/>
        <w:rPr>
          <w:rFonts w:cs="Arial"/>
        </w:rPr>
      </w:pPr>
      <w:r>
        <w:rPr>
          <w:rFonts w:cs="Arial"/>
        </w:rPr>
        <w:t xml:space="preserve">I. </w:t>
      </w:r>
      <w:r>
        <w:rPr>
          <w:rFonts w:cs="Arial"/>
        </w:rPr>
        <w:tab/>
        <w:t>Recibidos los recursos destinados al Gobierno del Estado, el control y supervisión, corresponderá a la Secretaría de la Función Pública; respecto de los recursos asignados a los municipios corresponderá a su órgano de control, cuando no exista este último quedará bajo la responsabilidad del Órgano de Fiscalización, y</w:t>
      </w:r>
    </w:p>
    <w:p w14:paraId="39ADBCE3" w14:textId="77777777" w:rsidR="00D3344B" w:rsidRDefault="00D3344B">
      <w:pPr>
        <w:pStyle w:val="Estilo"/>
        <w:ind w:left="567" w:hanging="567"/>
        <w:rPr>
          <w:rFonts w:cs="Arial"/>
        </w:rPr>
      </w:pPr>
    </w:p>
    <w:p w14:paraId="59342D4D" w14:textId="77777777" w:rsidR="00D3344B" w:rsidRDefault="00143C25">
      <w:pPr>
        <w:pStyle w:val="Estilo"/>
        <w:ind w:left="567" w:hanging="567"/>
        <w:rPr>
          <w:rFonts w:cs="Arial"/>
        </w:rPr>
      </w:pPr>
      <w:r>
        <w:rPr>
          <w:rFonts w:cs="Arial"/>
        </w:rPr>
        <w:t xml:space="preserve">II. </w:t>
      </w:r>
      <w:r>
        <w:rPr>
          <w:rFonts w:cs="Arial"/>
        </w:rPr>
        <w:tab/>
        <w:t>La fiscalización de cuentas públicas del Estado y los municipios será efectuada por el Órgano de Fiscalización.</w:t>
      </w:r>
    </w:p>
    <w:p w14:paraId="41BABED6" w14:textId="77777777" w:rsidR="00D3344B" w:rsidRDefault="00D3344B">
      <w:pPr>
        <w:pStyle w:val="Estilo"/>
        <w:ind w:left="567" w:hanging="567"/>
        <w:rPr>
          <w:rFonts w:cs="Arial"/>
        </w:rPr>
      </w:pPr>
    </w:p>
    <w:p w14:paraId="3437E5BE" w14:textId="77777777" w:rsidR="00D3344B" w:rsidRDefault="00143C25">
      <w:pPr>
        <w:pStyle w:val="Estilo"/>
        <w:ind w:left="567" w:hanging="567"/>
        <w:rPr>
          <w:rFonts w:cs="Arial"/>
        </w:rPr>
      </w:pPr>
      <w:r>
        <w:rPr>
          <w:rFonts w:cs="Arial"/>
          <w:i/>
          <w:sz w:val="16"/>
        </w:rPr>
        <w:t>(REFORMADO, P.O. 22 DE DICIEMBRE DE 2021)</w:t>
      </w:r>
    </w:p>
    <w:p w14:paraId="5F75873C" w14:textId="77777777" w:rsidR="00D3344B" w:rsidRDefault="00143C25">
      <w:pPr>
        <w:pStyle w:val="Estilo"/>
        <w:ind w:left="567"/>
        <w:rPr>
          <w:rFonts w:cs="Arial"/>
        </w:rPr>
      </w:pPr>
      <w:r>
        <w:rPr>
          <w:rFonts w:cs="Arial"/>
        </w:rPr>
        <w:t>Las irregularidades que los órganos de control detecten en el ingreso y gasto públicos, deberán reportarlas de inmediato a las instancias siguientes:</w:t>
      </w:r>
    </w:p>
    <w:p w14:paraId="3AD1E123" w14:textId="77777777" w:rsidR="00D3344B" w:rsidRDefault="00D3344B">
      <w:pPr>
        <w:pStyle w:val="Estilo"/>
        <w:rPr>
          <w:rFonts w:cs="Arial"/>
        </w:rPr>
      </w:pPr>
    </w:p>
    <w:p w14:paraId="20B6DB7A" w14:textId="77777777" w:rsidR="00D3344B" w:rsidRDefault="00143C25">
      <w:pPr>
        <w:pStyle w:val="Estilo"/>
        <w:ind w:left="1134" w:hanging="567"/>
        <w:rPr>
          <w:rFonts w:cs="Arial"/>
        </w:rPr>
      </w:pPr>
      <w:r>
        <w:rPr>
          <w:rFonts w:cs="Arial"/>
        </w:rPr>
        <w:t xml:space="preserve">a) </w:t>
      </w:r>
      <w:r>
        <w:rPr>
          <w:rFonts w:cs="Arial"/>
        </w:rPr>
        <w:tab/>
        <w:t>Al Congreso del Estado a través del Órgano de Fiscalización Superior del Estado, si corresponde a recursos propios y participaciones.</w:t>
      </w:r>
    </w:p>
    <w:p w14:paraId="220E900B" w14:textId="77777777" w:rsidR="00D3344B" w:rsidRDefault="00D3344B">
      <w:pPr>
        <w:pStyle w:val="Estilo"/>
        <w:ind w:left="1134" w:hanging="567"/>
        <w:rPr>
          <w:rFonts w:cs="Arial"/>
        </w:rPr>
      </w:pPr>
    </w:p>
    <w:p w14:paraId="23B8BCBB" w14:textId="77777777" w:rsidR="00D3344B" w:rsidRDefault="00143C25">
      <w:pPr>
        <w:pStyle w:val="Estilo"/>
        <w:ind w:left="1134" w:hanging="567"/>
        <w:rPr>
          <w:rFonts w:cs="Arial"/>
        </w:rPr>
      </w:pPr>
      <w:r>
        <w:rPr>
          <w:rFonts w:cs="Arial"/>
          <w:i/>
          <w:sz w:val="16"/>
        </w:rPr>
        <w:t>N. DE E. EN RELACIÓN CON LA ENTRADA EN VIGOR DEL PRESENTE INCISO, VÉASE TRANSITORIO ÚNICO DEL DECRETO QUE MODIFICA EL CÓDIGO.</w:t>
      </w:r>
    </w:p>
    <w:p w14:paraId="012D1765" w14:textId="77777777" w:rsidR="00D3344B" w:rsidRDefault="00143C25">
      <w:pPr>
        <w:pStyle w:val="Estilo"/>
        <w:ind w:left="1134" w:hanging="567"/>
        <w:rPr>
          <w:rFonts w:cs="Arial"/>
        </w:rPr>
      </w:pPr>
      <w:r>
        <w:rPr>
          <w:rFonts w:cs="Arial"/>
          <w:i/>
          <w:sz w:val="16"/>
        </w:rPr>
        <w:t>(REFORMADO, P.O. 7 DE DICIEMBRE DE 2009)</w:t>
      </w:r>
    </w:p>
    <w:p w14:paraId="39E73FC7" w14:textId="77777777" w:rsidR="00D3344B" w:rsidRDefault="00143C25">
      <w:pPr>
        <w:pStyle w:val="Estilo"/>
        <w:ind w:left="1134" w:hanging="567"/>
        <w:rPr>
          <w:rFonts w:cs="Arial"/>
        </w:rPr>
      </w:pPr>
      <w:r>
        <w:rPr>
          <w:rFonts w:cs="Arial"/>
        </w:rPr>
        <w:t xml:space="preserve">b) </w:t>
      </w:r>
      <w:r>
        <w:rPr>
          <w:rFonts w:cs="Arial"/>
        </w:rPr>
        <w:tab/>
        <w:t>A la Secretaría de la Función Pública del Gobierno Federal, en caso de los recursos que correspondan al Ramo XXXIII.</w:t>
      </w:r>
    </w:p>
    <w:p w14:paraId="77869713" w14:textId="77777777" w:rsidR="00D3344B" w:rsidRDefault="00D3344B">
      <w:pPr>
        <w:pStyle w:val="Estilo"/>
        <w:rPr>
          <w:rFonts w:cs="Arial"/>
        </w:rPr>
      </w:pPr>
    </w:p>
    <w:p w14:paraId="015E9AC8" w14:textId="77777777" w:rsidR="00D3344B" w:rsidRDefault="00143C25">
      <w:pPr>
        <w:pStyle w:val="Estilo"/>
        <w:rPr>
          <w:rFonts w:cs="Arial"/>
        </w:rPr>
      </w:pPr>
      <w:r>
        <w:rPr>
          <w:rFonts w:cs="Arial"/>
          <w:b/>
        </w:rPr>
        <w:t>Artículo 535.</w:t>
      </w:r>
      <w:r>
        <w:rPr>
          <w:rFonts w:cs="Arial"/>
        </w:rPr>
        <w:t xml:space="preserve"> El Órgano de Fiscalización Superior del Estado de Tlaxcala, al tener conocimiento de irregularidades en el control de los ingresos y de las erogaciones de recursos federales del ramo 33 lo hará del conocimiento de la Auditoria Superior de la Federación de la Cámara de Diputados del Honorable Congreso de la Unión, excepto de coordinación firmados entre órganos y su similar de la federación.</w:t>
      </w:r>
    </w:p>
    <w:p w14:paraId="2564AD45" w14:textId="77777777" w:rsidR="00D3344B" w:rsidRDefault="00D3344B">
      <w:pPr>
        <w:pStyle w:val="Estilo"/>
        <w:rPr>
          <w:rFonts w:cs="Arial"/>
        </w:rPr>
      </w:pPr>
    </w:p>
    <w:p w14:paraId="2257F5E7" w14:textId="77777777" w:rsidR="00D3344B" w:rsidRDefault="00143C25">
      <w:pPr>
        <w:pStyle w:val="Estilo"/>
        <w:rPr>
          <w:rFonts w:cs="Arial"/>
        </w:rPr>
      </w:pPr>
      <w:r>
        <w:rPr>
          <w:rFonts w:cs="Arial"/>
          <w:b/>
        </w:rPr>
        <w:t>Artículo 536.</w:t>
      </w:r>
      <w:r>
        <w:rPr>
          <w:rFonts w:cs="Arial"/>
        </w:rPr>
        <w:t xml:space="preserve"> Las responsabilidades administrativas, civiles y penales, que se deriven del control del ingreso y gasto públicos y de la fiscalización serán sancionadas y aplicadas por las autoridades correspondientes, según la naturaleza del recurso de que se trate.</w:t>
      </w:r>
    </w:p>
    <w:p w14:paraId="238168FD" w14:textId="77777777" w:rsidR="00D3344B" w:rsidRDefault="00D3344B">
      <w:pPr>
        <w:pStyle w:val="Estilo"/>
        <w:rPr>
          <w:rFonts w:cs="Arial"/>
        </w:rPr>
      </w:pPr>
    </w:p>
    <w:p w14:paraId="36A5675F" w14:textId="77777777" w:rsidR="00D3344B" w:rsidRDefault="00D3344B">
      <w:pPr>
        <w:pStyle w:val="Estilo"/>
        <w:rPr>
          <w:rFonts w:cs="Arial"/>
        </w:rPr>
      </w:pPr>
    </w:p>
    <w:p w14:paraId="027B8537" w14:textId="77777777" w:rsidR="00D3344B" w:rsidRDefault="00143C25">
      <w:pPr>
        <w:pStyle w:val="Estilo"/>
        <w:jc w:val="center"/>
        <w:rPr>
          <w:rFonts w:cs="Arial"/>
          <w:b/>
        </w:rPr>
      </w:pPr>
      <w:r>
        <w:rPr>
          <w:rFonts w:cs="Arial"/>
          <w:b/>
        </w:rPr>
        <w:t>TRANSITORIOS</w:t>
      </w:r>
    </w:p>
    <w:p w14:paraId="57B234BE" w14:textId="77777777" w:rsidR="00D3344B" w:rsidRDefault="00D3344B">
      <w:pPr>
        <w:pStyle w:val="Estilo"/>
        <w:rPr>
          <w:rFonts w:cs="Arial"/>
        </w:rPr>
      </w:pPr>
    </w:p>
    <w:p w14:paraId="6A9E4BD8" w14:textId="77777777" w:rsidR="00D3344B" w:rsidRDefault="00143C25">
      <w:pPr>
        <w:pStyle w:val="Estilo"/>
        <w:rPr>
          <w:rFonts w:cs="Arial"/>
        </w:rPr>
      </w:pPr>
      <w:r>
        <w:rPr>
          <w:rFonts w:cs="Arial"/>
          <w:b/>
        </w:rPr>
        <w:t>ARTÍCULO PRIMERO</w:t>
      </w:r>
      <w:r>
        <w:rPr>
          <w:rFonts w:cs="Arial"/>
        </w:rPr>
        <w:t>. El presente código entrará en vigor a partir del día siguiente al de su publicación.</w:t>
      </w:r>
    </w:p>
    <w:p w14:paraId="55D080BF" w14:textId="77777777" w:rsidR="00D3344B" w:rsidRDefault="00D3344B">
      <w:pPr>
        <w:pStyle w:val="Estilo"/>
        <w:rPr>
          <w:rFonts w:cs="Arial"/>
        </w:rPr>
      </w:pPr>
    </w:p>
    <w:p w14:paraId="3AE81314" w14:textId="77777777" w:rsidR="00D3344B" w:rsidRDefault="00143C25">
      <w:pPr>
        <w:pStyle w:val="Estilo"/>
        <w:rPr>
          <w:rFonts w:cs="Arial"/>
          <w:i/>
          <w:sz w:val="16"/>
          <w:szCs w:val="16"/>
        </w:rPr>
      </w:pPr>
      <w:r>
        <w:rPr>
          <w:rFonts w:cs="Arial"/>
          <w:i/>
          <w:sz w:val="16"/>
          <w:szCs w:val="16"/>
        </w:rPr>
        <w:t>(F. DE E., P.O. 13 DE ABRIL DE 2011)</w:t>
      </w:r>
    </w:p>
    <w:p w14:paraId="7430AB1F" w14:textId="77777777" w:rsidR="00D3344B" w:rsidRDefault="00143C25">
      <w:pPr>
        <w:pStyle w:val="Estilo"/>
        <w:rPr>
          <w:rFonts w:cs="Arial"/>
        </w:rPr>
      </w:pPr>
      <w:r>
        <w:rPr>
          <w:rFonts w:cs="Arial"/>
          <w:b/>
        </w:rPr>
        <w:lastRenderedPageBreak/>
        <w:t>ARTÍCULO SEGUNDO</w:t>
      </w:r>
      <w:r>
        <w:rPr>
          <w:rFonts w:cs="Arial"/>
        </w:rPr>
        <w:t>. Se abrogan en forma específica el Código Fiscal del Estado, publicado en el Periódico Oficial de fecha 31 de diciembre de 1981; la Ley de Hacienda del Estado de Tlaxcala, publicada en el Periódico Oficial de fecha 9 de diciembre de 1996; la Ley de Planeación del Estado de Tlaxcala, publicada en el Periódico Oficial de fecha 4 de abril de 1984; la Ley de la Hacienda Pública del Estado de Tlaxcala, publicada en el Periódico Oficial de fecha 7 de abril de 1998; Ley de Hacienda para los Municipios del Estado, publicada en el Periódico Oficial de fecha 28 de diciembre de 1983; Ley Municipal del Impuesto Predial, publicada en el Periódico Oficial de fecha 30 de diciembre de 1983; Ley de Catastro del Estado de Tlaxcala, publicada en el Periódico Oficial de fecha 28 de diciembre de 1983; Ley de Coordinación Hacendaria para el Estado de Tlaxcala y sus Municipios, publicada en el Periódico Oficial de fecha 19 de noviembre de 1999, así como las reformas y adiciones efectuadas a las mismas.</w:t>
      </w:r>
    </w:p>
    <w:p w14:paraId="0A21C1B2" w14:textId="77777777" w:rsidR="00D3344B" w:rsidRDefault="00D3344B">
      <w:pPr>
        <w:pStyle w:val="Estilo"/>
        <w:rPr>
          <w:rFonts w:cs="Arial"/>
        </w:rPr>
      </w:pPr>
    </w:p>
    <w:p w14:paraId="4C107FD6" w14:textId="77777777" w:rsidR="00D3344B" w:rsidRDefault="00143C25">
      <w:pPr>
        <w:pStyle w:val="Estilo"/>
        <w:rPr>
          <w:rFonts w:cs="Arial"/>
        </w:rPr>
      </w:pPr>
      <w:r>
        <w:rPr>
          <w:rFonts w:cs="Arial"/>
          <w:b/>
        </w:rPr>
        <w:t>ARTÍCULO TERCERO</w:t>
      </w:r>
      <w:r>
        <w:rPr>
          <w:rFonts w:cs="Arial"/>
        </w:rPr>
        <w:t>. Se derogan todas aquellas disposiciones que contravengan opongan (sic) lo que establece este código.</w:t>
      </w:r>
    </w:p>
    <w:p w14:paraId="30051B18" w14:textId="77777777" w:rsidR="00D3344B" w:rsidRDefault="00D3344B">
      <w:pPr>
        <w:pStyle w:val="Estilo"/>
        <w:rPr>
          <w:rFonts w:cs="Arial"/>
        </w:rPr>
      </w:pPr>
    </w:p>
    <w:p w14:paraId="4EED4634" w14:textId="77777777" w:rsidR="00D3344B" w:rsidRDefault="00143C25">
      <w:pPr>
        <w:pStyle w:val="Estilo"/>
        <w:rPr>
          <w:rFonts w:cs="Arial"/>
        </w:rPr>
      </w:pPr>
      <w:r>
        <w:rPr>
          <w:rFonts w:cs="Arial"/>
          <w:b/>
        </w:rPr>
        <w:t>ARTÍCULO CUARTO</w:t>
      </w:r>
      <w:r>
        <w:rPr>
          <w:rFonts w:cs="Arial"/>
        </w:rPr>
        <w:t>. El contenido de los artículos 98 A y 98 B de la Ley de Hacienda del Estado de Tlaxcala continuarán aplicándose hasta en tanto se expida el Reglamento de Tránsito del Estado de Tlaxcala.</w:t>
      </w:r>
    </w:p>
    <w:p w14:paraId="7FAB1499" w14:textId="77777777" w:rsidR="00D3344B" w:rsidRDefault="00D3344B">
      <w:pPr>
        <w:pStyle w:val="Estilo"/>
        <w:rPr>
          <w:rFonts w:cs="Arial"/>
        </w:rPr>
      </w:pPr>
    </w:p>
    <w:p w14:paraId="61423E5F" w14:textId="77777777" w:rsidR="00D3344B" w:rsidRDefault="00143C25">
      <w:pPr>
        <w:pStyle w:val="Estilo"/>
        <w:rPr>
          <w:rFonts w:cs="Arial"/>
        </w:rPr>
      </w:pPr>
      <w:r>
        <w:rPr>
          <w:rFonts w:cs="Arial"/>
          <w:b/>
        </w:rPr>
        <w:t>ARTÍCULO QUINTO</w:t>
      </w:r>
      <w:r>
        <w:rPr>
          <w:rFonts w:cs="Arial"/>
        </w:rPr>
        <w:t>. Los procedimientos que actualmente se encuentran en trámite, continuarán bajo las leyes por las cuales se iniciaron.</w:t>
      </w:r>
    </w:p>
    <w:p w14:paraId="455FA80A" w14:textId="77777777" w:rsidR="00D3344B" w:rsidRDefault="00D3344B">
      <w:pPr>
        <w:pStyle w:val="Estilo"/>
        <w:rPr>
          <w:rFonts w:cs="Arial"/>
        </w:rPr>
      </w:pPr>
    </w:p>
    <w:p w14:paraId="01BE6632" w14:textId="77777777" w:rsidR="00D3344B" w:rsidRDefault="00143C25">
      <w:pPr>
        <w:pStyle w:val="Estilo"/>
        <w:rPr>
          <w:rFonts w:cs="Arial"/>
        </w:rPr>
      </w:pPr>
      <w:r>
        <w:rPr>
          <w:rFonts w:cs="Arial"/>
          <w:b/>
        </w:rPr>
        <w:t>ARTÍCULO SEXTO</w:t>
      </w:r>
      <w:r>
        <w:rPr>
          <w:rFonts w:cs="Arial"/>
        </w:rPr>
        <w:t>. El Instituto de Catastro deberá ser creado dentro de los treinta días siguientes a la publicación del presente código financiero, el cual gozará de autonomía técnica y de organización de sus funciones.</w:t>
      </w:r>
    </w:p>
    <w:p w14:paraId="0063487C" w14:textId="77777777" w:rsidR="00D3344B" w:rsidRDefault="00D3344B">
      <w:pPr>
        <w:pStyle w:val="Estilo"/>
        <w:rPr>
          <w:rFonts w:cs="Arial"/>
        </w:rPr>
      </w:pPr>
    </w:p>
    <w:p w14:paraId="7BE078FD" w14:textId="77777777" w:rsidR="00D3344B" w:rsidRDefault="00143C25">
      <w:pPr>
        <w:pStyle w:val="Estilo"/>
        <w:rPr>
          <w:rFonts w:cs="Arial"/>
        </w:rPr>
      </w:pPr>
      <w:r>
        <w:rPr>
          <w:rFonts w:cs="Arial"/>
          <w:b/>
        </w:rPr>
        <w:t>ARTÍCULO SÉPTIMO</w:t>
      </w:r>
      <w:r>
        <w:rPr>
          <w:rFonts w:cs="Arial"/>
        </w:rPr>
        <w:t>. El Instituto de Catastro a que se refiere el título noveno de este código pasará a ser organismo público descentralizado con personalidad jurídica y patrimonio propio en el lapso de dos años a partir de la entrada en vigor de este código.</w:t>
      </w:r>
    </w:p>
    <w:p w14:paraId="6D8E7EBC" w14:textId="77777777" w:rsidR="00D3344B" w:rsidRDefault="00D3344B">
      <w:pPr>
        <w:pStyle w:val="Estilo"/>
        <w:rPr>
          <w:rFonts w:cs="Arial"/>
        </w:rPr>
      </w:pPr>
    </w:p>
    <w:p w14:paraId="0EA0D37B" w14:textId="77777777" w:rsidR="00D3344B" w:rsidRDefault="00143C25">
      <w:pPr>
        <w:pStyle w:val="Estilo"/>
        <w:rPr>
          <w:rFonts w:cs="Arial"/>
        </w:rPr>
      </w:pPr>
      <w:r>
        <w:rPr>
          <w:rFonts w:cs="Arial"/>
          <w:b/>
        </w:rPr>
        <w:t>ARTÍCULO OCTAVO</w:t>
      </w:r>
      <w:r>
        <w:rPr>
          <w:rFonts w:cs="Arial"/>
        </w:rPr>
        <w:t>. Los delitos y sanciones a que hace referencia el título décimo segundo en su capítulo tercero deberán incorporarse al Código Penal del Estado de Tlaxcala en un plazo no mayor de tres años.</w:t>
      </w:r>
    </w:p>
    <w:p w14:paraId="4ADDDFCA" w14:textId="77777777" w:rsidR="00D3344B" w:rsidRDefault="00D3344B">
      <w:pPr>
        <w:pStyle w:val="Estilo"/>
        <w:rPr>
          <w:rFonts w:cs="Arial"/>
        </w:rPr>
      </w:pPr>
    </w:p>
    <w:p w14:paraId="3CDF1483" w14:textId="77777777" w:rsidR="00D3344B" w:rsidRDefault="00143C25">
      <w:pPr>
        <w:pStyle w:val="Estilo"/>
        <w:rPr>
          <w:rFonts w:cs="Arial"/>
        </w:rPr>
      </w:pPr>
      <w:r>
        <w:rPr>
          <w:rFonts w:cs="Arial"/>
          <w:b/>
        </w:rPr>
        <w:t>ARTÍCULO NOVENO</w:t>
      </w:r>
      <w:r>
        <w:rPr>
          <w:rFonts w:cs="Arial"/>
        </w:rPr>
        <w:t>. En el caso que el porcentaje del fondo general de participaciones federales sea incrementado en la Ley de Coordinación Fiscal de la Federación, en esa misma proporción se incrementarán las participaciones a los municipios de lo que corresponda del mencionado fondo.</w:t>
      </w:r>
    </w:p>
    <w:p w14:paraId="5522AE0B" w14:textId="77777777" w:rsidR="00D3344B" w:rsidRDefault="00D3344B">
      <w:pPr>
        <w:pStyle w:val="Estilo"/>
        <w:rPr>
          <w:rFonts w:cs="Arial"/>
        </w:rPr>
      </w:pPr>
    </w:p>
    <w:p w14:paraId="2E7BCEA3" w14:textId="77777777" w:rsidR="00D3344B" w:rsidRDefault="00143C25">
      <w:pPr>
        <w:pStyle w:val="Estilo"/>
        <w:rPr>
          <w:rFonts w:cs="Arial"/>
        </w:rPr>
      </w:pPr>
      <w:r>
        <w:rPr>
          <w:rFonts w:cs="Arial"/>
          <w:b/>
        </w:rPr>
        <w:t>ARTÍCULO DÉCIMO</w:t>
      </w:r>
      <w:r>
        <w:rPr>
          <w:rFonts w:cs="Arial"/>
        </w:rPr>
        <w:t>. Las disposiciones contenidas en el título décimo cuarto de este código entrarán en vigor una vez realizadas las reformas en la materia a la Constitución Política del Estado Libre y Soberano de Tlaxcala y la Ley Orgánica del Poder Judicial del Estado.</w:t>
      </w:r>
    </w:p>
    <w:p w14:paraId="5EB3199B" w14:textId="77777777" w:rsidR="00D3344B" w:rsidRDefault="00D3344B">
      <w:pPr>
        <w:pStyle w:val="Estilo"/>
        <w:rPr>
          <w:rFonts w:cs="Arial"/>
        </w:rPr>
      </w:pPr>
    </w:p>
    <w:p w14:paraId="17EA39B6" w14:textId="77777777" w:rsidR="00D3344B" w:rsidRDefault="00143C25">
      <w:pPr>
        <w:pStyle w:val="Estilo"/>
        <w:rPr>
          <w:rFonts w:cs="Arial"/>
        </w:rPr>
      </w:pPr>
      <w:r>
        <w:rPr>
          <w:rFonts w:cs="Arial"/>
          <w:b/>
        </w:rPr>
        <w:t>ARTÍCULO DÉCIMO PRIMERO</w:t>
      </w:r>
      <w:r>
        <w:rPr>
          <w:rFonts w:cs="Arial"/>
        </w:rPr>
        <w:t>. Se instruye al H. Congreso del Estado inicie las reformas necesarias a la Ley de Asistencia Jurídica Social del Estado de Tlaxcala, a efecto de que se faculte a la Institución de Asistencia Jurídica Social del Estado conozca sobre las controversias en materia fiscal.</w:t>
      </w:r>
    </w:p>
    <w:p w14:paraId="0FB4ABE6" w14:textId="77777777" w:rsidR="00D3344B" w:rsidRDefault="00D3344B">
      <w:pPr>
        <w:pStyle w:val="Estilo"/>
        <w:rPr>
          <w:rFonts w:cs="Arial"/>
        </w:rPr>
      </w:pPr>
    </w:p>
    <w:p w14:paraId="2133538C" w14:textId="77777777" w:rsidR="00D3344B" w:rsidRDefault="00143C25">
      <w:pPr>
        <w:pStyle w:val="Estilo"/>
        <w:rPr>
          <w:rFonts w:cs="Arial"/>
        </w:rPr>
      </w:pPr>
      <w:r>
        <w:rPr>
          <w:rFonts w:cs="Arial"/>
          <w:b/>
        </w:rPr>
        <w:t>ARTÍCULO DÉCIMO SEGUNDO</w:t>
      </w:r>
      <w:r>
        <w:rPr>
          <w:rFonts w:cs="Arial"/>
        </w:rPr>
        <w:t>. Para la adecuación expedita del código financiero, los poderes Ejecutivo y Legislativo dentro del ámbito de su competencia publicarán las reglas de operación e interpretación.</w:t>
      </w:r>
    </w:p>
    <w:p w14:paraId="4918F627" w14:textId="77777777" w:rsidR="00D3344B" w:rsidRDefault="00D3344B">
      <w:pPr>
        <w:pStyle w:val="Estilo"/>
        <w:rPr>
          <w:rFonts w:cs="Arial"/>
        </w:rPr>
      </w:pPr>
    </w:p>
    <w:p w14:paraId="5DA81D45" w14:textId="77777777" w:rsidR="00D3344B" w:rsidRDefault="00143C25">
      <w:pPr>
        <w:pStyle w:val="Estilo"/>
        <w:jc w:val="center"/>
        <w:rPr>
          <w:rFonts w:cs="Arial"/>
          <w:b/>
        </w:rPr>
      </w:pPr>
      <w:r>
        <w:rPr>
          <w:rFonts w:cs="Arial"/>
          <w:b/>
        </w:rPr>
        <w:t>AL EJECUTIVO PARA QUE LO SANCIONE Y MANDE PUBLICAR</w:t>
      </w:r>
    </w:p>
    <w:p w14:paraId="1577B783" w14:textId="77777777" w:rsidR="00D3344B" w:rsidRDefault="00D3344B">
      <w:pPr>
        <w:pStyle w:val="Estilo"/>
        <w:rPr>
          <w:rFonts w:cs="Arial"/>
        </w:rPr>
      </w:pPr>
    </w:p>
    <w:p w14:paraId="2CC7CF18" w14:textId="77777777" w:rsidR="00D3344B" w:rsidRDefault="00143C25">
      <w:pPr>
        <w:pStyle w:val="Estilo"/>
        <w:rPr>
          <w:rFonts w:cs="Arial"/>
        </w:rPr>
      </w:pPr>
      <w:r>
        <w:rPr>
          <w:rFonts w:cs="Arial"/>
        </w:rPr>
        <w:t>Dado en la Sala de Sesiones del Palacio Juárez, Recinto Oficial del Poder Legislativo del Estado Libre y Soberano de Tlaxcala, en la Ciudad de Tlaxcala de Xicohténcatl, a los veinte días del mes de diciembre del año dos mil dos.</w:t>
      </w:r>
    </w:p>
    <w:p w14:paraId="08608F88" w14:textId="77777777" w:rsidR="00D3344B" w:rsidRDefault="00D3344B">
      <w:pPr>
        <w:pStyle w:val="Estilo"/>
        <w:rPr>
          <w:rFonts w:cs="Arial"/>
        </w:rPr>
      </w:pPr>
    </w:p>
    <w:p w14:paraId="7B6F16A4" w14:textId="77777777" w:rsidR="00D3344B" w:rsidRDefault="00143C25">
      <w:pPr>
        <w:pStyle w:val="Estilo"/>
        <w:rPr>
          <w:rFonts w:cs="Arial"/>
          <w:b/>
        </w:rPr>
      </w:pPr>
      <w:r>
        <w:rPr>
          <w:rFonts w:cs="Arial"/>
          <w:b/>
        </w:rPr>
        <w:t xml:space="preserve">C. MELQUIADES PEREZ </w:t>
      </w:r>
      <w:proofErr w:type="gramStart"/>
      <w:r>
        <w:rPr>
          <w:rFonts w:cs="Arial"/>
          <w:b/>
        </w:rPr>
        <w:t>GONZALEZ.-</w:t>
      </w:r>
      <w:proofErr w:type="gramEnd"/>
      <w:r>
        <w:rPr>
          <w:rFonts w:cs="Arial"/>
          <w:b/>
        </w:rPr>
        <w:t xml:space="preserve"> DIP. </w:t>
      </w:r>
      <w:proofErr w:type="gramStart"/>
      <w:r>
        <w:rPr>
          <w:rFonts w:cs="Arial"/>
          <w:b/>
        </w:rPr>
        <w:t>PRESIDENTE.-</w:t>
      </w:r>
      <w:proofErr w:type="gramEnd"/>
      <w:r>
        <w:rPr>
          <w:rFonts w:cs="Arial"/>
          <w:b/>
        </w:rPr>
        <w:t xml:space="preserve"> C. JUAN BAEZ TERCERO.- DIP. </w:t>
      </w:r>
      <w:proofErr w:type="gramStart"/>
      <w:r>
        <w:rPr>
          <w:rFonts w:cs="Arial"/>
          <w:b/>
        </w:rPr>
        <w:t>SECRETARIO.-</w:t>
      </w:r>
      <w:proofErr w:type="gramEnd"/>
      <w:r>
        <w:rPr>
          <w:rFonts w:cs="Arial"/>
          <w:b/>
        </w:rPr>
        <w:t xml:space="preserve"> C. JOSE JAVIER VAZQUEZ SÁNCHEZ.- DIP. </w:t>
      </w:r>
      <w:proofErr w:type="gramStart"/>
      <w:r>
        <w:rPr>
          <w:rFonts w:cs="Arial"/>
          <w:b/>
        </w:rPr>
        <w:t>SECRETARIO.-</w:t>
      </w:r>
      <w:proofErr w:type="gramEnd"/>
      <w:r>
        <w:rPr>
          <w:rFonts w:cs="Arial"/>
          <w:b/>
        </w:rPr>
        <w:t xml:space="preserve"> Rúbricas.</w:t>
      </w:r>
    </w:p>
    <w:p w14:paraId="6FC4814B" w14:textId="77777777" w:rsidR="00D3344B" w:rsidRDefault="00D3344B">
      <w:pPr>
        <w:pStyle w:val="Estilo"/>
        <w:rPr>
          <w:rFonts w:cs="Arial"/>
        </w:rPr>
      </w:pPr>
    </w:p>
    <w:p w14:paraId="60A113DA" w14:textId="77777777" w:rsidR="00D3344B" w:rsidRDefault="00143C25">
      <w:pPr>
        <w:pStyle w:val="Estilo"/>
        <w:rPr>
          <w:rFonts w:cs="Arial"/>
        </w:rPr>
      </w:pPr>
      <w:r>
        <w:rPr>
          <w:rFonts w:cs="Arial"/>
        </w:rPr>
        <w:t xml:space="preserve">Por lo </w:t>
      </w:r>
      <w:proofErr w:type="gramStart"/>
      <w:r>
        <w:rPr>
          <w:rFonts w:cs="Arial"/>
        </w:rPr>
        <w:t>tanto</w:t>
      </w:r>
      <w:proofErr w:type="gramEnd"/>
      <w:r>
        <w:rPr>
          <w:rFonts w:cs="Arial"/>
        </w:rPr>
        <w:t xml:space="preserve"> mando se imprima, publique, circule y se le dé el debido cumplimiento.</w:t>
      </w:r>
    </w:p>
    <w:p w14:paraId="1E838AE8" w14:textId="77777777" w:rsidR="00D3344B" w:rsidRDefault="00D3344B">
      <w:pPr>
        <w:pStyle w:val="Estilo"/>
        <w:rPr>
          <w:rFonts w:cs="Arial"/>
        </w:rPr>
      </w:pPr>
    </w:p>
    <w:p w14:paraId="3774B1A9" w14:textId="77777777" w:rsidR="00D3344B" w:rsidRDefault="00143C25">
      <w:pPr>
        <w:pStyle w:val="Estilo"/>
        <w:rPr>
          <w:rFonts w:cs="Arial"/>
        </w:rPr>
      </w:pPr>
      <w:r>
        <w:rPr>
          <w:rFonts w:cs="Arial"/>
        </w:rPr>
        <w:t>Dado en el Palacio del Poder Ejecutivo del Estado, en la Ciudad de Tlaxcala de Xicohténcatl a treinta y uno de diciembre del dos mil dos.</w:t>
      </w:r>
    </w:p>
    <w:p w14:paraId="12D06FE6" w14:textId="77777777" w:rsidR="00D3344B" w:rsidRDefault="00D3344B">
      <w:pPr>
        <w:pStyle w:val="Estilo"/>
        <w:rPr>
          <w:rFonts w:cs="Arial"/>
        </w:rPr>
      </w:pPr>
    </w:p>
    <w:p w14:paraId="61617350" w14:textId="77777777" w:rsidR="00D3344B" w:rsidRDefault="00143C25">
      <w:pPr>
        <w:pStyle w:val="Estilo"/>
        <w:jc w:val="center"/>
        <w:rPr>
          <w:rFonts w:cs="Arial"/>
          <w:b/>
        </w:rPr>
      </w:pPr>
      <w:r>
        <w:rPr>
          <w:rFonts w:cs="Arial"/>
          <w:b/>
        </w:rPr>
        <w:t>EL GOBERNADOR DEL ESTADO</w:t>
      </w:r>
    </w:p>
    <w:p w14:paraId="7291BD12" w14:textId="77777777" w:rsidR="00D3344B" w:rsidRDefault="00143C25">
      <w:pPr>
        <w:pStyle w:val="Estilo"/>
        <w:jc w:val="center"/>
        <w:rPr>
          <w:rFonts w:cs="Arial"/>
          <w:b/>
        </w:rPr>
      </w:pPr>
      <w:r>
        <w:rPr>
          <w:rFonts w:cs="Arial"/>
          <w:b/>
        </w:rPr>
        <w:t>ALFONSO ABRAHAM SANCHEZ ANAYA</w:t>
      </w:r>
    </w:p>
    <w:p w14:paraId="5C0F42CA" w14:textId="77777777" w:rsidR="00D3344B" w:rsidRDefault="00143C25">
      <w:pPr>
        <w:pStyle w:val="Estilo"/>
        <w:jc w:val="center"/>
        <w:rPr>
          <w:rFonts w:cs="Arial"/>
          <w:b/>
        </w:rPr>
      </w:pPr>
      <w:r>
        <w:rPr>
          <w:rFonts w:cs="Arial"/>
          <w:b/>
        </w:rPr>
        <w:t>Rúbrica.</w:t>
      </w:r>
    </w:p>
    <w:p w14:paraId="508224E9" w14:textId="77777777" w:rsidR="00D3344B" w:rsidRDefault="00D3344B">
      <w:pPr>
        <w:pStyle w:val="Estilo"/>
        <w:jc w:val="center"/>
        <w:rPr>
          <w:rFonts w:cs="Arial"/>
          <w:b/>
        </w:rPr>
      </w:pPr>
    </w:p>
    <w:p w14:paraId="2BCEDD35" w14:textId="77777777" w:rsidR="00D3344B" w:rsidRDefault="00143C25">
      <w:pPr>
        <w:pStyle w:val="Estilo"/>
        <w:jc w:val="center"/>
        <w:rPr>
          <w:rFonts w:cs="Arial"/>
          <w:b/>
        </w:rPr>
      </w:pPr>
      <w:r>
        <w:rPr>
          <w:rFonts w:cs="Arial"/>
          <w:b/>
        </w:rPr>
        <w:t>EL SECRETARIO DE GOBIERNO</w:t>
      </w:r>
    </w:p>
    <w:p w14:paraId="3A08F692" w14:textId="77777777" w:rsidR="00D3344B" w:rsidRDefault="00143C25">
      <w:pPr>
        <w:pStyle w:val="Estilo"/>
        <w:jc w:val="center"/>
        <w:rPr>
          <w:rFonts w:cs="Arial"/>
          <w:b/>
        </w:rPr>
      </w:pPr>
      <w:r>
        <w:rPr>
          <w:rFonts w:cs="Arial"/>
          <w:b/>
        </w:rPr>
        <w:t>GELACIO MONTIEL FUENTES</w:t>
      </w:r>
    </w:p>
    <w:p w14:paraId="04E82159" w14:textId="77777777" w:rsidR="00D3344B" w:rsidRDefault="00143C25">
      <w:pPr>
        <w:pStyle w:val="Estilo"/>
        <w:jc w:val="center"/>
        <w:rPr>
          <w:rFonts w:cs="Arial"/>
          <w:b/>
        </w:rPr>
      </w:pPr>
      <w:r>
        <w:rPr>
          <w:rFonts w:cs="Arial"/>
          <w:b/>
        </w:rPr>
        <w:t>Rúbrica.</w:t>
      </w:r>
    </w:p>
    <w:p w14:paraId="585412CC" w14:textId="77777777" w:rsidR="00D3344B" w:rsidRDefault="00D3344B">
      <w:pPr>
        <w:pStyle w:val="Estilo"/>
        <w:rPr>
          <w:rFonts w:cs="Arial"/>
        </w:rPr>
      </w:pPr>
    </w:p>
    <w:p w14:paraId="2C61F02E" w14:textId="77777777" w:rsidR="00D3344B" w:rsidRDefault="00D3344B">
      <w:pPr>
        <w:pStyle w:val="Estilo"/>
        <w:rPr>
          <w:rFonts w:cs="Arial"/>
        </w:rPr>
      </w:pPr>
    </w:p>
    <w:p w14:paraId="4447E6E8" w14:textId="77777777" w:rsidR="00D3344B" w:rsidRDefault="00D3344B">
      <w:pPr>
        <w:pStyle w:val="Estilo"/>
        <w:rPr>
          <w:rFonts w:cs="Arial"/>
        </w:rPr>
      </w:pPr>
    </w:p>
    <w:p w14:paraId="15723617" w14:textId="77777777" w:rsidR="00D3344B" w:rsidRDefault="00D3344B">
      <w:pPr>
        <w:pStyle w:val="Estilo"/>
        <w:rPr>
          <w:rFonts w:cs="Arial"/>
        </w:rPr>
      </w:pPr>
    </w:p>
    <w:p w14:paraId="5991C1BB" w14:textId="77777777" w:rsidR="00D3344B" w:rsidRDefault="00D3344B">
      <w:pPr>
        <w:pStyle w:val="Estilo"/>
        <w:rPr>
          <w:rFonts w:cs="Arial"/>
        </w:rPr>
      </w:pPr>
    </w:p>
    <w:p w14:paraId="47C217AC" w14:textId="77777777" w:rsidR="00D3344B" w:rsidRDefault="00D3344B">
      <w:pPr>
        <w:pStyle w:val="Estilo"/>
        <w:rPr>
          <w:rFonts w:cs="Arial"/>
        </w:rPr>
      </w:pPr>
    </w:p>
    <w:p w14:paraId="7C12FB2C" w14:textId="77777777" w:rsidR="00D3344B" w:rsidRDefault="00D3344B">
      <w:pPr>
        <w:pStyle w:val="Estilo"/>
        <w:rPr>
          <w:rFonts w:cs="Arial"/>
        </w:rPr>
      </w:pPr>
    </w:p>
    <w:p w14:paraId="7F3AB114" w14:textId="77777777" w:rsidR="00D3344B" w:rsidRDefault="00D3344B">
      <w:pPr>
        <w:pStyle w:val="Estilo"/>
        <w:rPr>
          <w:rFonts w:cs="Arial"/>
        </w:rPr>
      </w:pPr>
    </w:p>
    <w:p w14:paraId="09A85444" w14:textId="77777777" w:rsidR="00D3344B" w:rsidRDefault="00D3344B">
      <w:pPr>
        <w:pStyle w:val="Estilo"/>
        <w:rPr>
          <w:rFonts w:cs="Arial"/>
        </w:rPr>
      </w:pPr>
    </w:p>
    <w:p w14:paraId="19B55BE5" w14:textId="77777777" w:rsidR="00D3344B" w:rsidRDefault="00D3344B">
      <w:pPr>
        <w:pStyle w:val="Estilo"/>
        <w:rPr>
          <w:rFonts w:cs="Arial"/>
        </w:rPr>
      </w:pPr>
    </w:p>
    <w:p w14:paraId="5D931397" w14:textId="77777777" w:rsidR="00D3344B" w:rsidRDefault="00D3344B">
      <w:pPr>
        <w:pStyle w:val="Estilo"/>
        <w:rPr>
          <w:rFonts w:cs="Arial"/>
        </w:rPr>
      </w:pPr>
    </w:p>
    <w:p w14:paraId="6E6378EB" w14:textId="77777777" w:rsidR="00D3344B" w:rsidRDefault="00D3344B">
      <w:pPr>
        <w:pStyle w:val="Estilo"/>
        <w:rPr>
          <w:rFonts w:cs="Arial"/>
        </w:rPr>
      </w:pPr>
    </w:p>
    <w:p w14:paraId="7922D33E" w14:textId="77777777" w:rsidR="00D3344B" w:rsidRDefault="00D3344B">
      <w:pPr>
        <w:pStyle w:val="Estilo"/>
        <w:rPr>
          <w:rFonts w:cs="Arial"/>
        </w:rPr>
      </w:pPr>
    </w:p>
    <w:p w14:paraId="480EE5BD" w14:textId="77777777" w:rsidR="00D3344B" w:rsidRDefault="00D3344B">
      <w:pPr>
        <w:pStyle w:val="Estilo"/>
        <w:rPr>
          <w:rFonts w:cs="Arial"/>
        </w:rPr>
      </w:pPr>
    </w:p>
    <w:p w14:paraId="7E905301" w14:textId="77777777" w:rsidR="00D3344B" w:rsidRDefault="00D3344B">
      <w:pPr>
        <w:pStyle w:val="Estilo"/>
        <w:rPr>
          <w:rFonts w:cs="Arial"/>
        </w:rPr>
      </w:pPr>
    </w:p>
    <w:p w14:paraId="01CD5B48" w14:textId="77777777" w:rsidR="00D3344B" w:rsidRDefault="00D3344B">
      <w:pPr>
        <w:pStyle w:val="Estilo"/>
        <w:rPr>
          <w:rFonts w:cs="Arial"/>
        </w:rPr>
      </w:pPr>
    </w:p>
    <w:p w14:paraId="3E338DD5" w14:textId="77777777" w:rsidR="00D3344B" w:rsidRDefault="00D3344B">
      <w:pPr>
        <w:pStyle w:val="Estilo"/>
        <w:rPr>
          <w:rFonts w:cs="Arial"/>
        </w:rPr>
      </w:pPr>
    </w:p>
    <w:p w14:paraId="5AD4F275" w14:textId="77777777" w:rsidR="00D3344B" w:rsidRDefault="00D3344B">
      <w:pPr>
        <w:pStyle w:val="Estilo"/>
        <w:rPr>
          <w:rFonts w:cs="Arial"/>
        </w:rPr>
      </w:pPr>
    </w:p>
    <w:p w14:paraId="36664753" w14:textId="77777777" w:rsidR="00D3344B" w:rsidRDefault="00D3344B">
      <w:pPr>
        <w:pStyle w:val="Estilo"/>
        <w:rPr>
          <w:rFonts w:cs="Arial"/>
        </w:rPr>
      </w:pPr>
    </w:p>
    <w:p w14:paraId="0CCB064F" w14:textId="77777777" w:rsidR="00D3344B" w:rsidRDefault="00D3344B">
      <w:pPr>
        <w:pStyle w:val="Estilo"/>
        <w:rPr>
          <w:rFonts w:cs="Arial"/>
        </w:rPr>
      </w:pPr>
    </w:p>
    <w:p w14:paraId="63BDBF4B" w14:textId="77777777" w:rsidR="00D3344B" w:rsidRDefault="00D3344B">
      <w:pPr>
        <w:pStyle w:val="Estilo"/>
        <w:rPr>
          <w:rFonts w:cs="Arial"/>
        </w:rPr>
      </w:pPr>
    </w:p>
    <w:p w14:paraId="01607BBD" w14:textId="77777777" w:rsidR="00D3344B" w:rsidRDefault="00D3344B">
      <w:pPr>
        <w:pStyle w:val="Estilo"/>
        <w:rPr>
          <w:rFonts w:cs="Arial"/>
        </w:rPr>
      </w:pPr>
    </w:p>
    <w:p w14:paraId="6D77ACD1" w14:textId="77777777" w:rsidR="00D3344B" w:rsidRDefault="00D3344B">
      <w:pPr>
        <w:pStyle w:val="Estilo"/>
        <w:rPr>
          <w:rFonts w:cs="Arial"/>
        </w:rPr>
      </w:pPr>
    </w:p>
    <w:p w14:paraId="232DBFBF" w14:textId="77777777" w:rsidR="00D3344B" w:rsidRDefault="00D3344B">
      <w:pPr>
        <w:pStyle w:val="Estilo"/>
        <w:rPr>
          <w:rFonts w:cs="Arial"/>
        </w:rPr>
      </w:pPr>
    </w:p>
    <w:p w14:paraId="2D21BE1B" w14:textId="77777777" w:rsidR="00D3344B" w:rsidRDefault="00143C25">
      <w:pPr>
        <w:pStyle w:val="Estilo"/>
        <w:rPr>
          <w:rFonts w:cs="Arial"/>
          <w:b/>
        </w:rPr>
      </w:pPr>
      <w:r>
        <w:rPr>
          <w:rFonts w:cs="Arial"/>
          <w:b/>
        </w:rPr>
        <w:t xml:space="preserve">N. DE E. A </w:t>
      </w:r>
      <w:proofErr w:type="gramStart"/>
      <w:r>
        <w:rPr>
          <w:rFonts w:cs="Arial"/>
          <w:b/>
        </w:rPr>
        <w:t>CONTINUACIÓN</w:t>
      </w:r>
      <w:proofErr w:type="gramEnd"/>
      <w:r>
        <w:rPr>
          <w:rFonts w:cs="Arial"/>
          <w:b/>
        </w:rPr>
        <w:t xml:space="preserve"> SE TRANSCRIBEN LOS ARTÍCULOS TRANSITORIOS DE LOS DECRETOS DE REFORMAS A LA PRESENTE LEY:</w:t>
      </w:r>
    </w:p>
    <w:p w14:paraId="0286E2BC" w14:textId="77777777" w:rsidR="00D3344B" w:rsidRDefault="00D3344B">
      <w:pPr>
        <w:pStyle w:val="Estilo"/>
        <w:rPr>
          <w:rFonts w:cs="Arial"/>
          <w:b/>
        </w:rPr>
      </w:pPr>
    </w:p>
    <w:p w14:paraId="0BB5005F" w14:textId="77777777" w:rsidR="00D3344B" w:rsidRDefault="00143C25">
      <w:pPr>
        <w:pStyle w:val="Estilo"/>
        <w:rPr>
          <w:rFonts w:cs="Arial"/>
        </w:rPr>
      </w:pPr>
      <w:r>
        <w:rPr>
          <w:rFonts w:cs="Arial"/>
          <w:b/>
        </w:rPr>
        <w:t>P.O. 26 DE MAYO DE 2003.</w:t>
      </w:r>
    </w:p>
    <w:p w14:paraId="39DBE739" w14:textId="77777777" w:rsidR="00D3344B" w:rsidRDefault="00D3344B">
      <w:pPr>
        <w:pStyle w:val="Estilo"/>
        <w:rPr>
          <w:rFonts w:cs="Arial"/>
        </w:rPr>
      </w:pPr>
    </w:p>
    <w:p w14:paraId="444254B5" w14:textId="77777777" w:rsidR="00D3344B" w:rsidRDefault="00143C25">
      <w:pPr>
        <w:pStyle w:val="Estilo"/>
        <w:rPr>
          <w:rFonts w:cs="Arial"/>
        </w:rPr>
      </w:pPr>
      <w:r>
        <w:rPr>
          <w:rFonts w:cs="Arial"/>
        </w:rPr>
        <w:t>ARTÍCULO PRIMERO. Se abroga la Ley de la Asistencia Jurídica Social del Estado de Tlaxcala expedida por el Honorable Congreso del Estado, mediante Decreto número 100 de fecha siete de diciembre de mil novecientos ochenta y dos, publicada en el Periódico Oficial del Gobierno del Estado el quince del mismo mes y año, en el tomo LXXVI, número 53.</w:t>
      </w:r>
    </w:p>
    <w:p w14:paraId="3FB87A99" w14:textId="77777777" w:rsidR="00D3344B" w:rsidRDefault="00D3344B">
      <w:pPr>
        <w:pStyle w:val="Estilo"/>
        <w:rPr>
          <w:rFonts w:cs="Arial"/>
        </w:rPr>
      </w:pPr>
    </w:p>
    <w:p w14:paraId="23440711" w14:textId="77777777" w:rsidR="00D3344B" w:rsidRDefault="00143C25">
      <w:pPr>
        <w:pStyle w:val="Estilo"/>
        <w:rPr>
          <w:rFonts w:cs="Arial"/>
        </w:rPr>
      </w:pPr>
      <w:r>
        <w:rPr>
          <w:rFonts w:cs="Arial"/>
        </w:rPr>
        <w:t xml:space="preserve">ARTÍCULO SEGUNDO. Los servidores públicos que se encuentren laborando en la Institución de Asistencia Jurídico Social del Estado, permanecerán en la misma, en los términos y condiciones en que fueron contratados, sin </w:t>
      </w:r>
      <w:proofErr w:type="gramStart"/>
      <w:r>
        <w:rPr>
          <w:rFonts w:cs="Arial"/>
        </w:rPr>
        <w:t>embargo</w:t>
      </w:r>
      <w:proofErr w:type="gramEnd"/>
      <w:r>
        <w:rPr>
          <w:rFonts w:cs="Arial"/>
        </w:rPr>
        <w:t xml:space="preserve"> quedan obligados a la presentación de los exámenes de permanencia que en su oportunidad se establezcan.</w:t>
      </w:r>
    </w:p>
    <w:p w14:paraId="03CFD598" w14:textId="77777777" w:rsidR="00D3344B" w:rsidRDefault="00D3344B">
      <w:pPr>
        <w:pStyle w:val="Estilo"/>
        <w:rPr>
          <w:rFonts w:cs="Arial"/>
        </w:rPr>
      </w:pPr>
    </w:p>
    <w:p w14:paraId="5741E775" w14:textId="77777777" w:rsidR="00D3344B" w:rsidRDefault="00143C25">
      <w:pPr>
        <w:pStyle w:val="Estilo"/>
        <w:rPr>
          <w:rFonts w:cs="Arial"/>
        </w:rPr>
      </w:pPr>
      <w:r>
        <w:rPr>
          <w:rFonts w:cs="Arial"/>
        </w:rPr>
        <w:t>ARTÍCULO TERCERO. El Titular del Poder Ejecutivo en un término no mayor de noventa días posteriores a la publicación del presente Decreto, expedirá el Reglamento Interior de la Institución de Asistencia Jurídico Social del Estado de Tlaxcala.</w:t>
      </w:r>
    </w:p>
    <w:p w14:paraId="16595909" w14:textId="77777777" w:rsidR="00D3344B" w:rsidRDefault="00D3344B">
      <w:pPr>
        <w:pStyle w:val="Estilo"/>
        <w:rPr>
          <w:rFonts w:cs="Arial"/>
        </w:rPr>
      </w:pPr>
    </w:p>
    <w:p w14:paraId="7CB96676" w14:textId="77777777" w:rsidR="00D3344B" w:rsidRDefault="00143C25">
      <w:pPr>
        <w:pStyle w:val="Estilo"/>
        <w:rPr>
          <w:rFonts w:cs="Arial"/>
        </w:rPr>
      </w:pPr>
      <w:r>
        <w:rPr>
          <w:rFonts w:cs="Arial"/>
        </w:rPr>
        <w:t>ARTÍCULO CUARTO. Se deroga el Artículo décimo primero de los transitorios del Código Financiero para el Estado de Tlaxcala y sus Municipios.</w:t>
      </w:r>
    </w:p>
    <w:p w14:paraId="6F9CC5E9" w14:textId="77777777" w:rsidR="00D3344B" w:rsidRDefault="00D3344B">
      <w:pPr>
        <w:pStyle w:val="Estilo"/>
        <w:rPr>
          <w:rFonts w:cs="Arial"/>
        </w:rPr>
      </w:pPr>
    </w:p>
    <w:p w14:paraId="6C615E06" w14:textId="77777777" w:rsidR="00D3344B" w:rsidRDefault="00D3344B">
      <w:pPr>
        <w:pStyle w:val="Estilo"/>
        <w:rPr>
          <w:rFonts w:cs="Arial"/>
        </w:rPr>
      </w:pPr>
    </w:p>
    <w:p w14:paraId="6E60F90C" w14:textId="77777777" w:rsidR="00D3344B" w:rsidRDefault="00143C25">
      <w:pPr>
        <w:pStyle w:val="Estilo"/>
        <w:rPr>
          <w:rFonts w:cs="Arial"/>
          <w:b/>
        </w:rPr>
      </w:pPr>
      <w:r>
        <w:rPr>
          <w:rFonts w:cs="Arial"/>
          <w:b/>
        </w:rPr>
        <w:t>P.O. 24 DE DICIEMBRE DE 2003.</w:t>
      </w:r>
    </w:p>
    <w:p w14:paraId="193F3EB8" w14:textId="77777777" w:rsidR="00D3344B" w:rsidRDefault="00D3344B">
      <w:pPr>
        <w:pStyle w:val="Estilo"/>
        <w:rPr>
          <w:rFonts w:cs="Arial"/>
        </w:rPr>
      </w:pPr>
    </w:p>
    <w:p w14:paraId="2A55C7FA" w14:textId="77777777" w:rsidR="00D3344B" w:rsidRDefault="00143C25">
      <w:pPr>
        <w:pStyle w:val="Estilo"/>
        <w:rPr>
          <w:rFonts w:cs="Arial"/>
        </w:rPr>
      </w:pPr>
      <w:r>
        <w:rPr>
          <w:rFonts w:cs="Arial"/>
        </w:rPr>
        <w:t>ARTÍCULO PRIMERO. El presente Decreto entrará en vigor el día 1 de enero del año 2004.</w:t>
      </w:r>
    </w:p>
    <w:p w14:paraId="37E57EF6" w14:textId="77777777" w:rsidR="00D3344B" w:rsidRDefault="00D3344B">
      <w:pPr>
        <w:pStyle w:val="Estilo"/>
        <w:rPr>
          <w:rFonts w:cs="Arial"/>
        </w:rPr>
      </w:pPr>
    </w:p>
    <w:p w14:paraId="7A448598" w14:textId="77777777" w:rsidR="00D3344B" w:rsidRDefault="00143C25">
      <w:pPr>
        <w:pStyle w:val="Estilo"/>
        <w:rPr>
          <w:rFonts w:cs="Arial"/>
        </w:rPr>
      </w:pPr>
      <w:r>
        <w:rPr>
          <w:rFonts w:cs="Arial"/>
        </w:rPr>
        <w:t>ARTÍCULO SEGUNDO. Publíquese el presente Decreto en el Periódico Oficial del Gobierno del Estado.</w:t>
      </w:r>
    </w:p>
    <w:p w14:paraId="31C61D71" w14:textId="77777777" w:rsidR="00D3344B" w:rsidRDefault="00D3344B">
      <w:pPr>
        <w:pStyle w:val="Estilo"/>
        <w:rPr>
          <w:rFonts w:cs="Arial"/>
        </w:rPr>
      </w:pPr>
    </w:p>
    <w:p w14:paraId="18645065" w14:textId="77777777" w:rsidR="00D3344B" w:rsidRDefault="00D3344B">
      <w:pPr>
        <w:pStyle w:val="Estilo"/>
        <w:rPr>
          <w:rFonts w:cs="Arial"/>
        </w:rPr>
      </w:pPr>
    </w:p>
    <w:p w14:paraId="5B6CEC16" w14:textId="77777777" w:rsidR="00D3344B" w:rsidRDefault="00143C25">
      <w:pPr>
        <w:pStyle w:val="Estilo"/>
        <w:rPr>
          <w:rFonts w:cs="Arial"/>
          <w:b/>
        </w:rPr>
      </w:pPr>
      <w:r>
        <w:rPr>
          <w:rFonts w:cs="Arial"/>
          <w:b/>
        </w:rPr>
        <w:t>P.O. 6 DE OCTUBRE DE 2004.</w:t>
      </w:r>
    </w:p>
    <w:p w14:paraId="7CA9E713" w14:textId="77777777" w:rsidR="00D3344B" w:rsidRDefault="00D3344B">
      <w:pPr>
        <w:pStyle w:val="Estilo"/>
        <w:rPr>
          <w:rFonts w:cs="Arial"/>
        </w:rPr>
      </w:pPr>
    </w:p>
    <w:p w14:paraId="1D12B100" w14:textId="77777777" w:rsidR="00D3344B" w:rsidRDefault="00143C25">
      <w:pPr>
        <w:pStyle w:val="Estilo"/>
        <w:rPr>
          <w:rFonts w:cs="Arial"/>
        </w:rPr>
      </w:pPr>
      <w:r>
        <w:rPr>
          <w:rFonts w:cs="Arial"/>
        </w:rPr>
        <w:t>ARTÍCULO PRIMERO. Estas reformas entrarán en vigor el siguiente al de su publicación en el Periódico Oficial del Gobierno del Estado.</w:t>
      </w:r>
    </w:p>
    <w:p w14:paraId="711D1275" w14:textId="77777777" w:rsidR="00D3344B" w:rsidRDefault="00D3344B">
      <w:pPr>
        <w:pStyle w:val="Estilo"/>
        <w:rPr>
          <w:rFonts w:cs="Arial"/>
        </w:rPr>
      </w:pPr>
    </w:p>
    <w:p w14:paraId="0359FAF5" w14:textId="77777777" w:rsidR="00D3344B" w:rsidRDefault="00143C25">
      <w:pPr>
        <w:pStyle w:val="Estilo"/>
        <w:rPr>
          <w:rFonts w:cs="Arial"/>
        </w:rPr>
      </w:pPr>
      <w:r>
        <w:rPr>
          <w:rFonts w:cs="Arial"/>
        </w:rPr>
        <w:t>ARTÍCULO SEGUNDO. Se derogan todas las disposiciones que se opongan a este Decreto de reforma.</w:t>
      </w:r>
    </w:p>
    <w:p w14:paraId="2DFD4493" w14:textId="77777777" w:rsidR="00D3344B" w:rsidRDefault="00D3344B">
      <w:pPr>
        <w:pStyle w:val="Estilo"/>
        <w:rPr>
          <w:rFonts w:cs="Arial"/>
        </w:rPr>
      </w:pPr>
    </w:p>
    <w:p w14:paraId="683C7E63" w14:textId="77777777" w:rsidR="00D3344B" w:rsidRDefault="00D3344B">
      <w:pPr>
        <w:pStyle w:val="Estilo"/>
        <w:rPr>
          <w:rFonts w:cs="Arial"/>
        </w:rPr>
      </w:pPr>
    </w:p>
    <w:p w14:paraId="73C984A3" w14:textId="77777777" w:rsidR="00D3344B" w:rsidRDefault="00143C25">
      <w:pPr>
        <w:pStyle w:val="Estilo"/>
        <w:rPr>
          <w:rFonts w:cs="Arial"/>
          <w:b/>
        </w:rPr>
      </w:pPr>
      <w:r>
        <w:rPr>
          <w:rFonts w:cs="Arial"/>
          <w:b/>
        </w:rPr>
        <w:t>P.O. 30 DE DICIEMBRE DE 2005.</w:t>
      </w:r>
    </w:p>
    <w:p w14:paraId="14F257E7" w14:textId="77777777" w:rsidR="00D3344B" w:rsidRDefault="00D3344B">
      <w:pPr>
        <w:pStyle w:val="Estilo"/>
        <w:rPr>
          <w:rFonts w:cs="Arial"/>
        </w:rPr>
      </w:pPr>
    </w:p>
    <w:p w14:paraId="302307F8" w14:textId="77777777" w:rsidR="00D3344B" w:rsidRDefault="00143C25">
      <w:pPr>
        <w:pStyle w:val="Estilo"/>
        <w:rPr>
          <w:rFonts w:cs="Arial"/>
        </w:rPr>
      </w:pPr>
      <w:r>
        <w:rPr>
          <w:rFonts w:cs="Arial"/>
        </w:rPr>
        <w:t>ARTÍCULO ÚNICO. El presente Decreto entrará en vigor al día hábil siguiente al de su publicación en el Periódico Oficial del Gobierno del Estado.</w:t>
      </w:r>
    </w:p>
    <w:p w14:paraId="4AF580C5" w14:textId="77777777" w:rsidR="00D3344B" w:rsidRDefault="00D3344B">
      <w:pPr>
        <w:pStyle w:val="Estilo"/>
        <w:rPr>
          <w:rFonts w:cs="Arial"/>
        </w:rPr>
      </w:pPr>
    </w:p>
    <w:p w14:paraId="4759F0F0" w14:textId="77777777" w:rsidR="00D3344B" w:rsidRDefault="00D3344B">
      <w:pPr>
        <w:pStyle w:val="Estilo"/>
        <w:rPr>
          <w:rFonts w:cs="Arial"/>
        </w:rPr>
      </w:pPr>
    </w:p>
    <w:p w14:paraId="607D0C30" w14:textId="77777777" w:rsidR="00D3344B" w:rsidRDefault="00143C25">
      <w:pPr>
        <w:pStyle w:val="Estilo"/>
        <w:rPr>
          <w:rFonts w:cs="Arial"/>
          <w:b/>
        </w:rPr>
      </w:pPr>
      <w:r>
        <w:rPr>
          <w:rFonts w:cs="Arial"/>
          <w:b/>
        </w:rPr>
        <w:t>P.O. 25 DE MAYO DE 2006.</w:t>
      </w:r>
    </w:p>
    <w:p w14:paraId="384987F2" w14:textId="77777777" w:rsidR="00D3344B" w:rsidRDefault="00D3344B">
      <w:pPr>
        <w:pStyle w:val="Estilo"/>
        <w:rPr>
          <w:rFonts w:cs="Arial"/>
        </w:rPr>
      </w:pPr>
    </w:p>
    <w:p w14:paraId="77F12813" w14:textId="77777777" w:rsidR="00D3344B" w:rsidRDefault="00143C25">
      <w:pPr>
        <w:pStyle w:val="Estilo"/>
        <w:rPr>
          <w:rFonts w:cs="Arial"/>
        </w:rPr>
      </w:pPr>
      <w:r>
        <w:rPr>
          <w:rFonts w:cs="Arial"/>
        </w:rPr>
        <w:t xml:space="preserve">ARTÍCULO </w:t>
      </w:r>
      <w:proofErr w:type="gramStart"/>
      <w:r>
        <w:rPr>
          <w:rFonts w:cs="Arial"/>
        </w:rPr>
        <w:t>PRIMERO.-</w:t>
      </w:r>
      <w:proofErr w:type="gramEnd"/>
      <w:r>
        <w:rPr>
          <w:rFonts w:cs="Arial"/>
        </w:rPr>
        <w:t xml:space="preserve"> Este Decreto de adiciones y reformas entrarán en vigor al día siguiente al de su publicación en el Periódico Oficial del Gobierno del Estado.</w:t>
      </w:r>
    </w:p>
    <w:p w14:paraId="799B66F2" w14:textId="77777777" w:rsidR="00D3344B" w:rsidRDefault="00D3344B">
      <w:pPr>
        <w:pStyle w:val="Estilo"/>
        <w:rPr>
          <w:rFonts w:cs="Arial"/>
        </w:rPr>
      </w:pPr>
    </w:p>
    <w:p w14:paraId="59C95077" w14:textId="77777777" w:rsidR="00D3344B" w:rsidRDefault="00143C25">
      <w:pPr>
        <w:pStyle w:val="Estilo"/>
        <w:rPr>
          <w:rFonts w:cs="Arial"/>
        </w:rPr>
      </w:pPr>
      <w:r>
        <w:rPr>
          <w:rFonts w:cs="Arial"/>
        </w:rPr>
        <w:t xml:space="preserve">ARTÍCULO </w:t>
      </w:r>
      <w:proofErr w:type="gramStart"/>
      <w:r>
        <w:rPr>
          <w:rFonts w:cs="Arial"/>
        </w:rPr>
        <w:t>SEGUNDO.-</w:t>
      </w:r>
      <w:proofErr w:type="gramEnd"/>
      <w:r>
        <w:rPr>
          <w:rFonts w:cs="Arial"/>
        </w:rPr>
        <w:t xml:space="preserve"> Se derogan todas aquellas disposiciones que se contrapongan al contenido de este Decreto.</w:t>
      </w:r>
    </w:p>
    <w:p w14:paraId="1B20DD7E" w14:textId="77777777" w:rsidR="00D3344B" w:rsidRDefault="00D3344B">
      <w:pPr>
        <w:pStyle w:val="Estilo"/>
        <w:rPr>
          <w:rFonts w:cs="Arial"/>
        </w:rPr>
      </w:pPr>
    </w:p>
    <w:p w14:paraId="56DDF2B4" w14:textId="77777777" w:rsidR="00D3344B" w:rsidRDefault="00143C25">
      <w:pPr>
        <w:pStyle w:val="Estilo"/>
        <w:rPr>
          <w:rFonts w:cs="Arial"/>
        </w:rPr>
      </w:pPr>
      <w:r>
        <w:rPr>
          <w:rFonts w:cs="Arial"/>
        </w:rPr>
        <w:t xml:space="preserve">ARTÍCULO </w:t>
      </w:r>
      <w:proofErr w:type="gramStart"/>
      <w:r>
        <w:rPr>
          <w:rFonts w:cs="Arial"/>
        </w:rPr>
        <w:t>TERCERO.-</w:t>
      </w:r>
      <w:proofErr w:type="gramEnd"/>
      <w:r>
        <w:rPr>
          <w:rFonts w:cs="Arial"/>
        </w:rPr>
        <w:t xml:space="preserve"> Una vez aprobado y publicado este Decreto envíese, a través de la Secretaría Parlamentaria, a los ayuntamientos del Estado para su debido cumplimiento.</w:t>
      </w:r>
    </w:p>
    <w:p w14:paraId="1BB4CB9E" w14:textId="77777777" w:rsidR="00D3344B" w:rsidRDefault="00D3344B">
      <w:pPr>
        <w:pStyle w:val="Estilo"/>
        <w:rPr>
          <w:rFonts w:cs="Arial"/>
        </w:rPr>
      </w:pPr>
    </w:p>
    <w:p w14:paraId="01F43947" w14:textId="77777777" w:rsidR="00D3344B" w:rsidRDefault="00D3344B">
      <w:pPr>
        <w:pStyle w:val="Estilo"/>
        <w:rPr>
          <w:rFonts w:cs="Arial"/>
        </w:rPr>
      </w:pPr>
    </w:p>
    <w:p w14:paraId="11461A35" w14:textId="77777777" w:rsidR="00D3344B" w:rsidRDefault="00143C25">
      <w:pPr>
        <w:pStyle w:val="Estilo"/>
        <w:rPr>
          <w:rFonts w:cs="Arial"/>
          <w:b/>
        </w:rPr>
      </w:pPr>
      <w:r>
        <w:rPr>
          <w:rFonts w:cs="Arial"/>
          <w:b/>
        </w:rPr>
        <w:t>P.O. 30 DE DICIEMBRE DE 2006.</w:t>
      </w:r>
    </w:p>
    <w:p w14:paraId="49682CB0" w14:textId="77777777" w:rsidR="00D3344B" w:rsidRDefault="00D3344B">
      <w:pPr>
        <w:pStyle w:val="Estilo"/>
        <w:rPr>
          <w:rFonts w:cs="Arial"/>
        </w:rPr>
      </w:pPr>
    </w:p>
    <w:p w14:paraId="3C8726B7" w14:textId="77777777" w:rsidR="00D3344B" w:rsidRDefault="00143C25">
      <w:pPr>
        <w:pStyle w:val="Estilo"/>
        <w:rPr>
          <w:rFonts w:cs="Arial"/>
        </w:rPr>
      </w:pPr>
      <w:r>
        <w:rPr>
          <w:rFonts w:cs="Arial"/>
        </w:rPr>
        <w:t xml:space="preserve">ARTÍCULO </w:t>
      </w:r>
      <w:proofErr w:type="gramStart"/>
      <w:r>
        <w:rPr>
          <w:rFonts w:cs="Arial"/>
        </w:rPr>
        <w:t>ÚNICO.-</w:t>
      </w:r>
      <w:proofErr w:type="gramEnd"/>
      <w:r>
        <w:rPr>
          <w:rFonts w:cs="Arial"/>
        </w:rPr>
        <w:t xml:space="preserve"> El presente Decreto entrará en vigor al día siguiente al de su publicación en el Periódico Oficial del Gobierno del Estado.</w:t>
      </w:r>
    </w:p>
    <w:p w14:paraId="27E51EF6" w14:textId="77777777" w:rsidR="00D3344B" w:rsidRDefault="00D3344B">
      <w:pPr>
        <w:pStyle w:val="Estilo"/>
        <w:rPr>
          <w:rFonts w:cs="Arial"/>
        </w:rPr>
      </w:pPr>
    </w:p>
    <w:p w14:paraId="1BE18D19" w14:textId="77777777" w:rsidR="00D3344B" w:rsidRDefault="00D3344B">
      <w:pPr>
        <w:pStyle w:val="Estilo"/>
        <w:rPr>
          <w:rFonts w:cs="Arial"/>
        </w:rPr>
      </w:pPr>
    </w:p>
    <w:p w14:paraId="36EEC7BB" w14:textId="77777777" w:rsidR="00D3344B" w:rsidRDefault="00143C25">
      <w:pPr>
        <w:pStyle w:val="Estilo"/>
        <w:rPr>
          <w:rFonts w:cs="Arial"/>
          <w:b/>
        </w:rPr>
      </w:pPr>
      <w:r>
        <w:rPr>
          <w:rFonts w:cs="Arial"/>
          <w:b/>
        </w:rPr>
        <w:t>P.O. 31 DE DICIEMBRE DE 2007.</w:t>
      </w:r>
    </w:p>
    <w:p w14:paraId="01712E00" w14:textId="77777777" w:rsidR="00D3344B" w:rsidRDefault="00D3344B">
      <w:pPr>
        <w:pStyle w:val="Estilo"/>
        <w:rPr>
          <w:rFonts w:cs="Arial"/>
        </w:rPr>
      </w:pPr>
    </w:p>
    <w:p w14:paraId="6DFE5A0A" w14:textId="77777777" w:rsidR="00D3344B" w:rsidRDefault="00143C25">
      <w:pPr>
        <w:pStyle w:val="Estilo"/>
        <w:rPr>
          <w:rFonts w:cs="Arial"/>
        </w:rPr>
      </w:pPr>
      <w:r>
        <w:rPr>
          <w:rFonts w:cs="Arial"/>
        </w:rPr>
        <w:t>ARTÍCULO PRIMERO. El presente Decreto entrará en vigor el 1 de enero de 2008, previa publicación en el Periódico Oficial, órgano de difusión del Gobierno del Estado.</w:t>
      </w:r>
    </w:p>
    <w:p w14:paraId="51D119A2" w14:textId="77777777" w:rsidR="00D3344B" w:rsidRDefault="00D3344B">
      <w:pPr>
        <w:pStyle w:val="Estilo"/>
        <w:rPr>
          <w:rFonts w:cs="Arial"/>
        </w:rPr>
      </w:pPr>
    </w:p>
    <w:p w14:paraId="5DD145B9" w14:textId="77777777" w:rsidR="00D3344B" w:rsidRDefault="00143C25">
      <w:pPr>
        <w:pStyle w:val="Estilo"/>
        <w:rPr>
          <w:rFonts w:cs="Arial"/>
        </w:rPr>
      </w:pPr>
      <w:r>
        <w:rPr>
          <w:rFonts w:cs="Arial"/>
        </w:rPr>
        <w:t>ARTÍCULO SEGUNDO. Se derogan todas aquellas disposiciones que contravengan u opongan lo que establece este código.</w:t>
      </w:r>
    </w:p>
    <w:p w14:paraId="406CBD4C" w14:textId="77777777" w:rsidR="00D3344B" w:rsidRDefault="00D3344B">
      <w:pPr>
        <w:pStyle w:val="Estilo"/>
        <w:rPr>
          <w:rFonts w:cs="Arial"/>
        </w:rPr>
      </w:pPr>
    </w:p>
    <w:p w14:paraId="26A6E673" w14:textId="77777777" w:rsidR="00D3344B" w:rsidRDefault="00143C25">
      <w:pPr>
        <w:pStyle w:val="Estilo"/>
        <w:rPr>
          <w:rFonts w:cs="Arial"/>
        </w:rPr>
      </w:pPr>
      <w:r>
        <w:rPr>
          <w:rFonts w:cs="Arial"/>
        </w:rPr>
        <w:t xml:space="preserve">ARTÍCULO TERCERO. Los incisos h), i) y j) de la fracción I del artículo 503 de este código entrarán en vigor de conformidad con lo que al respecto establece el Decreto por el que se reforman, adicionan, derogan y abrogan diversas disposiciones de la Ley de Coordinación Fiscal, de la Ley del Impuesto Sobre Tenencia o Uso de </w:t>
      </w:r>
      <w:r>
        <w:rPr>
          <w:rFonts w:cs="Arial"/>
        </w:rPr>
        <w:lastRenderedPageBreak/>
        <w:t>Vehículos y de la Ley del Impuesto Especial Sobre Producción y Servicios, una vez que sea publicado en el Diario Oficial de la Federación.</w:t>
      </w:r>
    </w:p>
    <w:p w14:paraId="6BE39B72" w14:textId="77777777" w:rsidR="00D3344B" w:rsidRDefault="00D3344B">
      <w:pPr>
        <w:pStyle w:val="Estilo"/>
        <w:rPr>
          <w:rFonts w:cs="Arial"/>
        </w:rPr>
      </w:pPr>
    </w:p>
    <w:p w14:paraId="15CF642B" w14:textId="77777777" w:rsidR="00D3344B" w:rsidRDefault="00143C25">
      <w:pPr>
        <w:pStyle w:val="Estilo"/>
        <w:rPr>
          <w:rFonts w:cs="Arial"/>
        </w:rPr>
      </w:pPr>
      <w:r>
        <w:rPr>
          <w:rFonts w:cs="Arial"/>
        </w:rPr>
        <w:t>Para efectos de aplicar los recursos a que hace referencia el párrafo anterior se estará a lo siguiente:</w:t>
      </w:r>
    </w:p>
    <w:p w14:paraId="504293EC" w14:textId="77777777" w:rsidR="00D3344B" w:rsidRDefault="00D3344B">
      <w:pPr>
        <w:pStyle w:val="Estilo"/>
        <w:rPr>
          <w:rFonts w:cs="Arial"/>
        </w:rPr>
      </w:pPr>
    </w:p>
    <w:p w14:paraId="25319775" w14:textId="77777777" w:rsidR="00D3344B" w:rsidRDefault="00143C25">
      <w:pPr>
        <w:pStyle w:val="Estilo"/>
        <w:rPr>
          <w:rFonts w:cs="Arial"/>
        </w:rPr>
      </w:pPr>
      <w:r>
        <w:rPr>
          <w:rFonts w:cs="Arial"/>
        </w:rPr>
        <w:t xml:space="preserve">I. Los ingresos derivados de la venta final de gasolinas y </w:t>
      </w:r>
      <w:proofErr w:type="spellStart"/>
      <w:r>
        <w:rPr>
          <w:rFonts w:cs="Arial"/>
        </w:rPr>
        <w:t>diesel</w:t>
      </w:r>
      <w:proofErr w:type="spellEnd"/>
      <w:r>
        <w:rPr>
          <w:rFonts w:cs="Arial"/>
        </w:rPr>
        <w:t xml:space="preserve"> se ajustarán en su importe, y destino con base en los convenios de colaboración que se celebren con la Secretaría de Hacienda y Crédito Público, de conformidad con el artículo 4-A fracción I de la Ley de Coordinación Fiscal;</w:t>
      </w:r>
    </w:p>
    <w:p w14:paraId="7A8C2B5B" w14:textId="77777777" w:rsidR="00D3344B" w:rsidRDefault="00D3344B">
      <w:pPr>
        <w:pStyle w:val="Estilo"/>
        <w:rPr>
          <w:rFonts w:cs="Arial"/>
        </w:rPr>
      </w:pPr>
    </w:p>
    <w:p w14:paraId="6E6849AD" w14:textId="77777777" w:rsidR="00D3344B" w:rsidRDefault="00143C25">
      <w:pPr>
        <w:pStyle w:val="Estilo"/>
        <w:rPr>
          <w:rFonts w:cs="Arial"/>
        </w:rPr>
      </w:pPr>
      <w:r>
        <w:rPr>
          <w:rFonts w:cs="Arial"/>
        </w:rPr>
        <w:t>II. El Fondo de Compensación se sujetará a lo establecido en el artículo 4-A fracción II de la Ley mencionada en la fracción anterior, y</w:t>
      </w:r>
    </w:p>
    <w:p w14:paraId="31DF695C" w14:textId="77777777" w:rsidR="00D3344B" w:rsidRDefault="00D3344B">
      <w:pPr>
        <w:pStyle w:val="Estilo"/>
        <w:rPr>
          <w:rFonts w:cs="Arial"/>
        </w:rPr>
      </w:pPr>
    </w:p>
    <w:p w14:paraId="62D9BD78" w14:textId="77777777" w:rsidR="00D3344B" w:rsidRDefault="00143C25">
      <w:pPr>
        <w:pStyle w:val="Estilo"/>
        <w:rPr>
          <w:rFonts w:cs="Arial"/>
        </w:rPr>
      </w:pPr>
      <w:r>
        <w:rPr>
          <w:rFonts w:cs="Arial"/>
        </w:rPr>
        <w:t>III. El Fondo de Fiscalización, se ajustará a lo que establezcan las Reglas de Operación que publique la Secretaría de Hacienda y Crédito Público.</w:t>
      </w:r>
    </w:p>
    <w:p w14:paraId="564696A2" w14:textId="77777777" w:rsidR="00D3344B" w:rsidRDefault="00D3344B">
      <w:pPr>
        <w:pStyle w:val="Estilo"/>
        <w:rPr>
          <w:rFonts w:cs="Arial"/>
        </w:rPr>
      </w:pPr>
    </w:p>
    <w:p w14:paraId="6D0DB039" w14:textId="77777777" w:rsidR="00D3344B" w:rsidRDefault="00D3344B">
      <w:pPr>
        <w:pStyle w:val="Estilo"/>
        <w:rPr>
          <w:rFonts w:cs="Arial"/>
        </w:rPr>
      </w:pPr>
    </w:p>
    <w:p w14:paraId="412E5FB6" w14:textId="77777777" w:rsidR="00D3344B" w:rsidRDefault="00143C25">
      <w:pPr>
        <w:pStyle w:val="Estilo"/>
        <w:rPr>
          <w:rFonts w:cs="Arial"/>
          <w:b/>
        </w:rPr>
      </w:pPr>
      <w:r>
        <w:rPr>
          <w:rFonts w:cs="Arial"/>
          <w:b/>
        </w:rPr>
        <w:t>P.O. 23 DE DICIEMBRE DE 2008.</w:t>
      </w:r>
    </w:p>
    <w:p w14:paraId="2B1A9D43" w14:textId="77777777" w:rsidR="00D3344B" w:rsidRDefault="00D3344B">
      <w:pPr>
        <w:pStyle w:val="Estilo"/>
        <w:rPr>
          <w:rFonts w:cs="Arial"/>
        </w:rPr>
      </w:pPr>
    </w:p>
    <w:p w14:paraId="370FEC81" w14:textId="77777777" w:rsidR="00D3344B" w:rsidRDefault="00143C25">
      <w:pPr>
        <w:pStyle w:val="Estilo"/>
        <w:rPr>
          <w:rFonts w:cs="Arial"/>
        </w:rPr>
      </w:pPr>
      <w:r>
        <w:rPr>
          <w:rFonts w:cs="Arial"/>
        </w:rPr>
        <w:t>ARTÍCULO ÚNICO. Previa publicación en el Periódico Oficial del Gobierno del Estado, el presente Decreto entrará en vigor el primero de enero del año dos mil nueve.</w:t>
      </w:r>
    </w:p>
    <w:p w14:paraId="78F0F08B" w14:textId="77777777" w:rsidR="00D3344B" w:rsidRDefault="00D3344B">
      <w:pPr>
        <w:pStyle w:val="Estilo"/>
        <w:rPr>
          <w:rFonts w:cs="Arial"/>
        </w:rPr>
      </w:pPr>
    </w:p>
    <w:p w14:paraId="4E4902F9" w14:textId="77777777" w:rsidR="00D3344B" w:rsidRDefault="00D3344B">
      <w:pPr>
        <w:pStyle w:val="Estilo"/>
        <w:rPr>
          <w:rFonts w:cs="Arial"/>
        </w:rPr>
      </w:pPr>
    </w:p>
    <w:p w14:paraId="6203FBAC" w14:textId="77777777" w:rsidR="00D3344B" w:rsidRDefault="00143C25">
      <w:pPr>
        <w:pStyle w:val="Estilo"/>
        <w:rPr>
          <w:rFonts w:cs="Arial"/>
          <w:b/>
        </w:rPr>
      </w:pPr>
      <w:r>
        <w:rPr>
          <w:rFonts w:cs="Arial"/>
          <w:b/>
        </w:rPr>
        <w:t>P.O. 19 DE FEBRERO DE 2009.</w:t>
      </w:r>
    </w:p>
    <w:p w14:paraId="4DDAE0EE" w14:textId="77777777" w:rsidR="00D3344B" w:rsidRDefault="00D3344B">
      <w:pPr>
        <w:pStyle w:val="Estilo"/>
        <w:rPr>
          <w:rFonts w:cs="Arial"/>
        </w:rPr>
      </w:pPr>
    </w:p>
    <w:p w14:paraId="60F3F66E" w14:textId="77777777" w:rsidR="00D3344B" w:rsidRDefault="00143C25">
      <w:pPr>
        <w:pStyle w:val="Estilo"/>
        <w:rPr>
          <w:rFonts w:cs="Arial"/>
        </w:rPr>
      </w:pPr>
      <w:r>
        <w:rPr>
          <w:rFonts w:cs="Arial"/>
        </w:rPr>
        <w:t>ARTÍCULO ÚNICO. El presente Decreto entrará en vigor a partir del día siguiente hábil de su publicación en el Periódico Oficial del Gobierno del Estado.</w:t>
      </w:r>
    </w:p>
    <w:p w14:paraId="0A41D05A" w14:textId="77777777" w:rsidR="00D3344B" w:rsidRDefault="00D3344B">
      <w:pPr>
        <w:pStyle w:val="Estilo"/>
        <w:rPr>
          <w:rFonts w:cs="Arial"/>
        </w:rPr>
      </w:pPr>
    </w:p>
    <w:p w14:paraId="19E2BFE0" w14:textId="77777777" w:rsidR="00D3344B" w:rsidRDefault="00D3344B">
      <w:pPr>
        <w:pStyle w:val="Estilo"/>
        <w:rPr>
          <w:rFonts w:cs="Arial"/>
        </w:rPr>
      </w:pPr>
    </w:p>
    <w:p w14:paraId="2AE7AA2D" w14:textId="77777777" w:rsidR="00D3344B" w:rsidRDefault="00143C25">
      <w:pPr>
        <w:pStyle w:val="Estilo"/>
        <w:rPr>
          <w:rFonts w:cs="Arial"/>
          <w:b/>
        </w:rPr>
      </w:pPr>
      <w:r>
        <w:rPr>
          <w:rFonts w:cs="Arial"/>
          <w:b/>
        </w:rPr>
        <w:t>P.O. 7 DE DICIEMBRE DE 2009.</w:t>
      </w:r>
    </w:p>
    <w:p w14:paraId="147843DC" w14:textId="77777777" w:rsidR="00D3344B" w:rsidRDefault="00D3344B">
      <w:pPr>
        <w:pStyle w:val="Estilo"/>
        <w:rPr>
          <w:rFonts w:cs="Arial"/>
        </w:rPr>
      </w:pPr>
    </w:p>
    <w:p w14:paraId="64D01BA6" w14:textId="77777777" w:rsidR="00D3344B" w:rsidRDefault="00143C25">
      <w:pPr>
        <w:pStyle w:val="Estilo"/>
        <w:rPr>
          <w:rFonts w:cs="Arial"/>
        </w:rPr>
      </w:pPr>
      <w:r>
        <w:rPr>
          <w:rFonts w:cs="Arial"/>
        </w:rPr>
        <w:t>ARTÍCULO ÚNICO. Previa publicación en el Periódico Oficial del Gobierno del Estado, el presente Decreto entrará en vigor el primero de enero del año dos mil diez.</w:t>
      </w:r>
    </w:p>
    <w:p w14:paraId="1EC18925" w14:textId="77777777" w:rsidR="00D3344B" w:rsidRDefault="00D3344B">
      <w:pPr>
        <w:pStyle w:val="Estilo"/>
        <w:rPr>
          <w:rFonts w:cs="Arial"/>
        </w:rPr>
      </w:pPr>
    </w:p>
    <w:p w14:paraId="01B7221E" w14:textId="77777777" w:rsidR="00D3344B" w:rsidRDefault="00D3344B">
      <w:pPr>
        <w:pStyle w:val="Estilo"/>
        <w:rPr>
          <w:rFonts w:cs="Arial"/>
        </w:rPr>
      </w:pPr>
    </w:p>
    <w:p w14:paraId="69A48BEC" w14:textId="77777777" w:rsidR="00D3344B" w:rsidRDefault="00143C25">
      <w:pPr>
        <w:pStyle w:val="Estilo"/>
        <w:rPr>
          <w:rFonts w:cs="Arial"/>
          <w:b/>
        </w:rPr>
      </w:pPr>
      <w:r>
        <w:rPr>
          <w:rFonts w:cs="Arial"/>
          <w:b/>
        </w:rPr>
        <w:t>P.O. 7 DE SEPTIEMBRE DE 2010.</w:t>
      </w:r>
    </w:p>
    <w:p w14:paraId="6898D153" w14:textId="77777777" w:rsidR="00D3344B" w:rsidRDefault="00D3344B">
      <w:pPr>
        <w:pStyle w:val="Estilo"/>
        <w:rPr>
          <w:rFonts w:cs="Arial"/>
        </w:rPr>
      </w:pPr>
    </w:p>
    <w:p w14:paraId="49A33FE8"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w:t>
      </w:r>
    </w:p>
    <w:p w14:paraId="16D7908F" w14:textId="77777777" w:rsidR="00D3344B" w:rsidRDefault="00D3344B">
      <w:pPr>
        <w:pStyle w:val="Estilo"/>
        <w:rPr>
          <w:rFonts w:cs="Arial"/>
        </w:rPr>
      </w:pPr>
    </w:p>
    <w:p w14:paraId="66D1794A" w14:textId="77777777" w:rsidR="00D3344B" w:rsidRDefault="00143C25">
      <w:pPr>
        <w:pStyle w:val="Estilo"/>
        <w:rPr>
          <w:rFonts w:cs="Arial"/>
        </w:rPr>
      </w:pPr>
      <w:r>
        <w:rPr>
          <w:rFonts w:cs="Arial"/>
        </w:rPr>
        <w:t xml:space="preserve">ARTÍCULO SEGUNDO. Con fundamento en lo dispuesto por el Artículo 104 fracción XIII de la Ley Orgánica del Poder Legislativo del Estado de Tlaxcala, se ordena al </w:t>
      </w:r>
      <w:proofErr w:type="gramStart"/>
      <w:r>
        <w:rPr>
          <w:rFonts w:cs="Arial"/>
        </w:rPr>
        <w:t>Secretario</w:t>
      </w:r>
      <w:proofErr w:type="gramEnd"/>
      <w:r>
        <w:rPr>
          <w:rFonts w:cs="Arial"/>
        </w:rPr>
        <w:t xml:space="preserve"> Parlamentario de esta Soberanía, a que una vez publicado el presente </w:t>
      </w:r>
      <w:r>
        <w:rPr>
          <w:rFonts w:cs="Arial"/>
        </w:rPr>
        <w:lastRenderedPageBreak/>
        <w:t>Decreto lo notifique a los sesenta ayuntamientos del Estado, y a los titulares de la Oficialía Mayor y de la Secretaría de Finanzas del Gobierno del Estado, para los efectos legales procedentes.</w:t>
      </w:r>
    </w:p>
    <w:p w14:paraId="0D2706B2" w14:textId="77777777" w:rsidR="00D3344B" w:rsidRDefault="00D3344B">
      <w:pPr>
        <w:pStyle w:val="Estilo"/>
        <w:rPr>
          <w:rFonts w:cs="Arial"/>
        </w:rPr>
      </w:pPr>
    </w:p>
    <w:p w14:paraId="2D3882FA" w14:textId="77777777" w:rsidR="00D3344B" w:rsidRDefault="00D3344B">
      <w:pPr>
        <w:pStyle w:val="Estilo"/>
        <w:rPr>
          <w:rFonts w:cs="Arial"/>
        </w:rPr>
      </w:pPr>
    </w:p>
    <w:p w14:paraId="6C058004" w14:textId="77777777" w:rsidR="00D3344B" w:rsidRDefault="00143C25">
      <w:pPr>
        <w:pStyle w:val="Estilo"/>
        <w:rPr>
          <w:rFonts w:cs="Arial"/>
          <w:b/>
        </w:rPr>
      </w:pPr>
      <w:r>
        <w:rPr>
          <w:rFonts w:cs="Arial"/>
          <w:b/>
        </w:rPr>
        <w:t>P.O. 29 DE DICIEMBRE DE 2010.</w:t>
      </w:r>
    </w:p>
    <w:p w14:paraId="2A0D196F" w14:textId="77777777" w:rsidR="00D3344B" w:rsidRDefault="00D3344B">
      <w:pPr>
        <w:pStyle w:val="Estilo"/>
        <w:rPr>
          <w:rFonts w:cs="Arial"/>
        </w:rPr>
      </w:pPr>
    </w:p>
    <w:p w14:paraId="53957417" w14:textId="77777777" w:rsidR="00D3344B" w:rsidRDefault="00143C25">
      <w:pPr>
        <w:pStyle w:val="Estilo"/>
        <w:rPr>
          <w:rFonts w:cs="Arial"/>
        </w:rPr>
      </w:pPr>
      <w:r>
        <w:rPr>
          <w:rFonts w:cs="Arial"/>
        </w:rPr>
        <w:t>ARTÍCULO ÚNICO. Previa publicación en el Periódico Oficial del Gobierno del Estado, el presente Decreto entrará en vigor el primero de enero del año dos mil once.</w:t>
      </w:r>
    </w:p>
    <w:p w14:paraId="27937C1C" w14:textId="77777777" w:rsidR="00D3344B" w:rsidRDefault="00D3344B">
      <w:pPr>
        <w:pStyle w:val="Estilo"/>
        <w:rPr>
          <w:rFonts w:cs="Arial"/>
        </w:rPr>
      </w:pPr>
    </w:p>
    <w:p w14:paraId="600D0B45" w14:textId="77777777" w:rsidR="00D3344B" w:rsidRDefault="00D3344B">
      <w:pPr>
        <w:pStyle w:val="Estilo"/>
        <w:rPr>
          <w:rFonts w:cs="Arial"/>
        </w:rPr>
      </w:pPr>
    </w:p>
    <w:p w14:paraId="6F7652BF" w14:textId="77777777" w:rsidR="00D3344B" w:rsidRDefault="00143C25">
      <w:pPr>
        <w:pStyle w:val="Estilo"/>
        <w:rPr>
          <w:rFonts w:cs="Arial"/>
          <w:b/>
        </w:rPr>
      </w:pPr>
      <w:r>
        <w:rPr>
          <w:rFonts w:cs="Arial"/>
          <w:b/>
        </w:rPr>
        <w:t>P.O. 16 DE MARZO DE 2011.</w:t>
      </w:r>
    </w:p>
    <w:p w14:paraId="29514CD1" w14:textId="77777777" w:rsidR="00D3344B" w:rsidRDefault="00D3344B">
      <w:pPr>
        <w:pStyle w:val="Estilo"/>
        <w:rPr>
          <w:rFonts w:cs="Arial"/>
        </w:rPr>
      </w:pPr>
    </w:p>
    <w:p w14:paraId="2EFCC944"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w:t>
      </w:r>
    </w:p>
    <w:p w14:paraId="32C1F94A" w14:textId="77777777" w:rsidR="00D3344B" w:rsidRDefault="00D3344B">
      <w:pPr>
        <w:pStyle w:val="Estilo"/>
        <w:rPr>
          <w:rFonts w:cs="Arial"/>
        </w:rPr>
      </w:pPr>
    </w:p>
    <w:p w14:paraId="56855F94" w14:textId="77777777" w:rsidR="00D3344B" w:rsidRDefault="00143C25">
      <w:pPr>
        <w:pStyle w:val="Estilo"/>
        <w:rPr>
          <w:rFonts w:cs="Arial"/>
        </w:rPr>
      </w:pPr>
      <w:r>
        <w:rPr>
          <w:rFonts w:cs="Arial"/>
        </w:rPr>
        <w:t>ARTÍCULO SEGUNDO. Se faculta al titular de la Secretaría de Finanzas del Estado para incorporar las previsiones necesarias e instrumentar las medidas que mejoren los procesos de vigilancia en el cumplimiento de las obligaciones fiscales relacionadas con el Impuesto Estatal Sobre Tenencia o Uso de Vehículos e incrementar eficazmente la administración tributaria, y emita reglas, normas de operación y adopte las medidas de seguridad necesarias.</w:t>
      </w:r>
    </w:p>
    <w:p w14:paraId="55B0867C" w14:textId="77777777" w:rsidR="00D3344B" w:rsidRDefault="00D3344B">
      <w:pPr>
        <w:pStyle w:val="Estilo"/>
        <w:rPr>
          <w:rFonts w:cs="Arial"/>
        </w:rPr>
      </w:pPr>
    </w:p>
    <w:p w14:paraId="70241517" w14:textId="77777777" w:rsidR="00D3344B" w:rsidRDefault="00143C25">
      <w:pPr>
        <w:pStyle w:val="Estilo"/>
        <w:rPr>
          <w:rFonts w:cs="Arial"/>
        </w:rPr>
      </w:pPr>
      <w:r>
        <w:rPr>
          <w:rFonts w:cs="Arial"/>
        </w:rPr>
        <w:t>Se faculta al titular de la Secretaría de Finanzas del Estado, para que emita las reglas administrativas e implemente el programa de subsidio respecto de la tenencia federal para el ejercicio dos mil once y adopte las medidas necesarias para el eficaz cumplimiento de este Decreto.</w:t>
      </w:r>
    </w:p>
    <w:p w14:paraId="334A0F96" w14:textId="77777777" w:rsidR="00D3344B" w:rsidRDefault="00D3344B">
      <w:pPr>
        <w:pStyle w:val="Estilo"/>
        <w:rPr>
          <w:rFonts w:cs="Arial"/>
        </w:rPr>
      </w:pPr>
    </w:p>
    <w:p w14:paraId="3B44CDA0" w14:textId="77777777" w:rsidR="00D3344B" w:rsidRDefault="00143C25">
      <w:pPr>
        <w:pStyle w:val="Estilo"/>
        <w:rPr>
          <w:rFonts w:cs="Arial"/>
        </w:rPr>
      </w:pPr>
      <w:r>
        <w:rPr>
          <w:rFonts w:cs="Arial"/>
        </w:rPr>
        <w:t>Las tarifas a las que hace referencia este Código, se encuentran actualizadas al treinta y uno de diciembre de dos mil diez; y para su actualización se observará lo dispuesto por el artículo 93 H de este Código.</w:t>
      </w:r>
    </w:p>
    <w:p w14:paraId="59914EB0" w14:textId="77777777" w:rsidR="00D3344B" w:rsidRDefault="00D3344B">
      <w:pPr>
        <w:pStyle w:val="Estilo"/>
        <w:rPr>
          <w:rFonts w:cs="Arial"/>
        </w:rPr>
      </w:pPr>
    </w:p>
    <w:p w14:paraId="36848E6E" w14:textId="77777777" w:rsidR="00D3344B" w:rsidRDefault="00143C25">
      <w:pPr>
        <w:pStyle w:val="Estilo"/>
        <w:rPr>
          <w:rFonts w:cs="Arial"/>
        </w:rPr>
      </w:pPr>
      <w:r>
        <w:rPr>
          <w:rFonts w:cs="Arial"/>
        </w:rPr>
        <w:t>En lo que respecta a la Ley de Ingresos del Estado de Tlaxcala para el ejercicio fiscal dos mil once, deberán realizarse ajustes en términos del presente Decreto.</w:t>
      </w:r>
    </w:p>
    <w:p w14:paraId="1658D94C" w14:textId="77777777" w:rsidR="00D3344B" w:rsidRDefault="00D3344B">
      <w:pPr>
        <w:pStyle w:val="Estilo"/>
        <w:rPr>
          <w:rFonts w:cs="Arial"/>
        </w:rPr>
      </w:pPr>
    </w:p>
    <w:p w14:paraId="6994E916" w14:textId="77777777" w:rsidR="00D3344B" w:rsidRDefault="00143C25">
      <w:pPr>
        <w:pStyle w:val="Estilo"/>
        <w:rPr>
          <w:rFonts w:cs="Arial"/>
        </w:rPr>
      </w:pPr>
      <w:r>
        <w:rPr>
          <w:rFonts w:cs="Arial"/>
        </w:rPr>
        <w:t>ARTÍCULO TERCERO. Se autoriza al titular de la Secretaría de Comunicaciones y Transportes del Estado, la creación del Registro Estatal Vehicular, y la elaboración e implementación de las normas y reglas de su operación, así como la vigilancia de su cumplimiento.</w:t>
      </w:r>
    </w:p>
    <w:p w14:paraId="10BEDED7" w14:textId="77777777" w:rsidR="00D3344B" w:rsidRDefault="00D3344B">
      <w:pPr>
        <w:pStyle w:val="Estilo"/>
        <w:rPr>
          <w:rFonts w:cs="Arial"/>
        </w:rPr>
      </w:pPr>
    </w:p>
    <w:p w14:paraId="05779C86" w14:textId="77777777" w:rsidR="00D3344B" w:rsidRDefault="00143C25">
      <w:pPr>
        <w:pStyle w:val="Estilo"/>
        <w:rPr>
          <w:rFonts w:cs="Arial"/>
        </w:rPr>
      </w:pPr>
      <w:r>
        <w:rPr>
          <w:rFonts w:cs="Arial"/>
        </w:rPr>
        <w:t>ARTÍCULO CUARTO. Se derogan todas aquellas disposiciones que contravengan este Decreto.</w:t>
      </w:r>
    </w:p>
    <w:p w14:paraId="58BC7FEB" w14:textId="77777777" w:rsidR="00D3344B" w:rsidRDefault="00D3344B">
      <w:pPr>
        <w:pStyle w:val="Estilo"/>
        <w:rPr>
          <w:rFonts w:cs="Arial"/>
        </w:rPr>
      </w:pPr>
    </w:p>
    <w:p w14:paraId="52843FE6" w14:textId="77777777" w:rsidR="00D3344B" w:rsidRDefault="00D3344B">
      <w:pPr>
        <w:pStyle w:val="Estilo"/>
        <w:rPr>
          <w:rFonts w:cs="Arial"/>
        </w:rPr>
      </w:pPr>
    </w:p>
    <w:p w14:paraId="3694391D" w14:textId="77777777" w:rsidR="00D3344B" w:rsidRDefault="00143C25">
      <w:pPr>
        <w:pStyle w:val="Estilo"/>
        <w:rPr>
          <w:rFonts w:cs="Arial"/>
          <w:b/>
        </w:rPr>
      </w:pPr>
      <w:r>
        <w:rPr>
          <w:rFonts w:cs="Arial"/>
          <w:b/>
        </w:rPr>
        <w:t>P.O. 21 DE OCTUBRE DE 2011.</w:t>
      </w:r>
    </w:p>
    <w:p w14:paraId="6F5FF037" w14:textId="77777777" w:rsidR="00D3344B" w:rsidRDefault="00D3344B">
      <w:pPr>
        <w:pStyle w:val="Estilo"/>
        <w:rPr>
          <w:rFonts w:cs="Arial"/>
        </w:rPr>
      </w:pPr>
    </w:p>
    <w:p w14:paraId="4E8F5049" w14:textId="77777777" w:rsidR="00D3344B" w:rsidRDefault="00143C25">
      <w:pPr>
        <w:pStyle w:val="Estilo"/>
        <w:rPr>
          <w:rFonts w:cs="Arial"/>
        </w:rPr>
      </w:pPr>
      <w:r>
        <w:rPr>
          <w:rFonts w:cs="Arial"/>
        </w:rPr>
        <w:t>Artículo Único. El presente Decreto entrará en vigor al día siguiente de su publicación en el Periódico Oficial del Gobierno del Estado de Tlaxcala.</w:t>
      </w:r>
    </w:p>
    <w:p w14:paraId="6B07E658" w14:textId="77777777" w:rsidR="00D3344B" w:rsidRDefault="00D3344B">
      <w:pPr>
        <w:pStyle w:val="Estilo"/>
        <w:rPr>
          <w:rFonts w:cs="Arial"/>
        </w:rPr>
      </w:pPr>
    </w:p>
    <w:p w14:paraId="291CB867" w14:textId="77777777" w:rsidR="00D3344B" w:rsidRDefault="00D3344B">
      <w:pPr>
        <w:pStyle w:val="Estilo"/>
        <w:rPr>
          <w:rFonts w:cs="Arial"/>
        </w:rPr>
      </w:pPr>
    </w:p>
    <w:p w14:paraId="4DDB19C3" w14:textId="77777777" w:rsidR="00D3344B" w:rsidRDefault="00143C25">
      <w:pPr>
        <w:pStyle w:val="Estilo"/>
        <w:rPr>
          <w:rFonts w:cs="Arial"/>
          <w:b/>
        </w:rPr>
      </w:pPr>
      <w:r>
        <w:rPr>
          <w:rFonts w:cs="Arial"/>
          <w:b/>
        </w:rPr>
        <w:t>P.O. 23 DE DICIEMBRE DE 2011.</w:t>
      </w:r>
    </w:p>
    <w:p w14:paraId="69783F94" w14:textId="77777777" w:rsidR="00D3344B" w:rsidRDefault="00D3344B">
      <w:pPr>
        <w:pStyle w:val="Estilo"/>
        <w:rPr>
          <w:rFonts w:cs="Arial"/>
        </w:rPr>
      </w:pPr>
    </w:p>
    <w:p w14:paraId="452C06A1" w14:textId="77777777" w:rsidR="00D3344B" w:rsidRDefault="00143C25">
      <w:pPr>
        <w:pStyle w:val="Estilo"/>
        <w:rPr>
          <w:rFonts w:cs="Arial"/>
        </w:rPr>
      </w:pPr>
      <w:r>
        <w:rPr>
          <w:rFonts w:cs="Arial"/>
        </w:rPr>
        <w:t>DECRETO NÚMERO 71 POR LO QUE SE REFORMAN LOS ARTÍCULOS 255 Y 259, ADICIONÁNDOLE A ESTE ÚLTIMO ARTÍCULO LAS FRACCIONES V, VI, VII, VIII, IX, X Y XI, AMBOS DEL CÓDIGO FINANCIERO PARA EL ESTADO DE TLAXCALA Y SUS MUNICIPIOS.</w:t>
      </w:r>
    </w:p>
    <w:p w14:paraId="45071D9D" w14:textId="77777777" w:rsidR="00D3344B" w:rsidRDefault="00D3344B">
      <w:pPr>
        <w:pStyle w:val="Estilo"/>
        <w:rPr>
          <w:rFonts w:cs="Arial"/>
        </w:rPr>
      </w:pPr>
    </w:p>
    <w:p w14:paraId="3D07E2AE"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w:t>
      </w:r>
    </w:p>
    <w:p w14:paraId="72901476" w14:textId="77777777" w:rsidR="00D3344B" w:rsidRDefault="00D3344B">
      <w:pPr>
        <w:pStyle w:val="Estilo"/>
        <w:rPr>
          <w:rFonts w:cs="Arial"/>
        </w:rPr>
      </w:pPr>
    </w:p>
    <w:p w14:paraId="1C6DD83F" w14:textId="77777777" w:rsidR="00D3344B" w:rsidRDefault="00143C25">
      <w:pPr>
        <w:pStyle w:val="Estilo"/>
        <w:rPr>
          <w:rFonts w:cs="Arial"/>
        </w:rPr>
      </w:pPr>
      <w:r>
        <w:rPr>
          <w:rFonts w:cs="Arial"/>
        </w:rPr>
        <w:t>ARTÍCULO SEGUNDO. Cuando se mencione a la Secretaría de Desarrollo Social en otros ordenamientos jurídicos se entenderá que se hace referencia al Comité de Planeación para el Desarrollo del Estado de Tlaxcala, organismo público desconcentrado de la Secretaría de Finanzas, al cual se transfieren las funciones, recursos y programas de la Secretaría que se extingue mediante el presente Decreto, salvo que el titular del Poder Ejecutivo determine por Acuerdo o Decreto, que parte de los mismos sean transferidos a otra dependencia o entidad de la Administración Pública Estatal.</w:t>
      </w:r>
    </w:p>
    <w:p w14:paraId="3D0DB996" w14:textId="77777777" w:rsidR="00D3344B" w:rsidRDefault="00D3344B">
      <w:pPr>
        <w:pStyle w:val="Estilo"/>
        <w:rPr>
          <w:rFonts w:cs="Arial"/>
        </w:rPr>
      </w:pPr>
    </w:p>
    <w:p w14:paraId="52957B05" w14:textId="77777777" w:rsidR="00D3344B" w:rsidRDefault="00143C25">
      <w:pPr>
        <w:pStyle w:val="Estilo"/>
        <w:rPr>
          <w:rFonts w:cs="Arial"/>
        </w:rPr>
      </w:pPr>
      <w:r>
        <w:rPr>
          <w:rFonts w:cs="Arial"/>
        </w:rPr>
        <w:t xml:space="preserve">ARTÍCULO TERCERO. La Secretaría de Finanzas del Gobierno del Estado, queda facultada para realizar las transferencias o </w:t>
      </w:r>
      <w:proofErr w:type="spellStart"/>
      <w:r>
        <w:rPr>
          <w:rFonts w:cs="Arial"/>
        </w:rPr>
        <w:t>resectorización</w:t>
      </w:r>
      <w:proofErr w:type="spellEnd"/>
      <w:r>
        <w:rPr>
          <w:rFonts w:cs="Arial"/>
        </w:rPr>
        <w:t xml:space="preserve"> presupuestaria y la adscripción de los recursos humanos que sean necesarios para la debida observancia de este Decreto, con la intervención que le corresponda a la Secretaría de la Función Pública y a la Oficialía Mayor de Gobierno, así como para realizar las adecuaciones a los ramos, programas de inversión y programas operativos que se requieran para el Presupuesto de Egresos del Ejercicio Fiscal en curso y subsecuentes, debiendo integrar en la cuenta pública correspondiente el informe sobre el uso que haga de esta facultad.</w:t>
      </w:r>
    </w:p>
    <w:p w14:paraId="4B9D4C40" w14:textId="77777777" w:rsidR="00D3344B" w:rsidRDefault="00D3344B">
      <w:pPr>
        <w:pStyle w:val="Estilo"/>
        <w:rPr>
          <w:rFonts w:cs="Arial"/>
        </w:rPr>
      </w:pPr>
    </w:p>
    <w:p w14:paraId="6C83207E" w14:textId="77777777" w:rsidR="00D3344B" w:rsidRDefault="00143C25">
      <w:pPr>
        <w:pStyle w:val="Estilo"/>
        <w:rPr>
          <w:rFonts w:cs="Arial"/>
        </w:rPr>
      </w:pPr>
      <w:r>
        <w:rPr>
          <w:rFonts w:cs="Arial"/>
        </w:rPr>
        <w:t>ARTÍCULO CUARTO. La Secretaría de la Función Pública nombrará, previo acuerdo del Gobernador del Estado, a los liquidadores de los organismos descentralizados, empresas de participación estatal mayoritaria o los fideicomisos a que se refiere el artículo 52 de la Ley Orgánica de la Administración Pública del Estado y con base en las reglas que al efecto dicte el Gobernador, de conformidad con lo previsto para este caso en la Ley de las Entidades Paraestatales del Estado de Tlaxcala y no se oponga al contenido de este Decreto.</w:t>
      </w:r>
    </w:p>
    <w:p w14:paraId="7D827B87" w14:textId="77777777" w:rsidR="00D3344B" w:rsidRDefault="00D3344B">
      <w:pPr>
        <w:pStyle w:val="Estilo"/>
        <w:rPr>
          <w:rFonts w:cs="Arial"/>
        </w:rPr>
      </w:pPr>
    </w:p>
    <w:p w14:paraId="11C9F0B1" w14:textId="77777777" w:rsidR="00D3344B" w:rsidRDefault="00D3344B">
      <w:pPr>
        <w:pStyle w:val="Estilo"/>
        <w:rPr>
          <w:rFonts w:cs="Arial"/>
        </w:rPr>
      </w:pPr>
    </w:p>
    <w:p w14:paraId="0B237984" w14:textId="77777777" w:rsidR="00D3344B" w:rsidRDefault="00143C25">
      <w:pPr>
        <w:pStyle w:val="Estilo"/>
        <w:rPr>
          <w:rFonts w:cs="Arial"/>
          <w:b/>
        </w:rPr>
      </w:pPr>
      <w:r>
        <w:rPr>
          <w:rFonts w:cs="Arial"/>
          <w:b/>
        </w:rPr>
        <w:t>P.O. 23 DE DICIEMBRE DE 2011.</w:t>
      </w:r>
    </w:p>
    <w:p w14:paraId="6AF96DCE" w14:textId="77777777" w:rsidR="00D3344B" w:rsidRDefault="00D3344B">
      <w:pPr>
        <w:pStyle w:val="Estilo"/>
        <w:rPr>
          <w:rFonts w:cs="Arial"/>
        </w:rPr>
      </w:pPr>
    </w:p>
    <w:p w14:paraId="7DF66228" w14:textId="77777777" w:rsidR="00D3344B" w:rsidRDefault="00143C25">
      <w:pPr>
        <w:pStyle w:val="Estilo"/>
        <w:rPr>
          <w:rFonts w:cs="Arial"/>
        </w:rPr>
      </w:pPr>
      <w:r>
        <w:rPr>
          <w:rFonts w:cs="Arial"/>
        </w:rPr>
        <w:lastRenderedPageBreak/>
        <w:t>DECRETO NÚMERO 72 POR EL QUE SE REFORMAN LOS ARTÍCULOS 91 FRACCIONES VIII Y X; 93 C; 93 F; 93 I; 93 J PÁRRAFO PRIMERO; 93 L; 93 M; 147 FRACCIÓN I; 153 FRACCIONES IV INCISOS A), B), C), D) Y E); VII INCISOS C) Y D); VIII INCISOS A), B), C), D) Y E); 162.-B FRACCIONES I Y II. SE ADICIONAN LOS ARTÍCULOS 97 A Y 97 B; UNA SUBSECCIÓN DUODÉCIMA A LA SECCIÓN PRIMERA DEL CAPÍTULO IX DEL TÍTULO CUARTO CON EL ARTÍCULO 162-I. SE DEROGA LA FRACCIÓN VIII DEL ARTÍCULO 160; TODOS ELLOS DEL CÓDIGO FINANCIERO PARA EL ESTADO DE TLAXCALA Y SUS MUNICIPIOS.</w:t>
      </w:r>
    </w:p>
    <w:p w14:paraId="70208F24" w14:textId="77777777" w:rsidR="00D3344B" w:rsidRDefault="00D3344B">
      <w:pPr>
        <w:pStyle w:val="Estilo"/>
        <w:rPr>
          <w:rFonts w:cs="Arial"/>
        </w:rPr>
      </w:pPr>
    </w:p>
    <w:p w14:paraId="2C204699" w14:textId="77777777" w:rsidR="00D3344B" w:rsidRDefault="00143C25">
      <w:pPr>
        <w:pStyle w:val="Estilo"/>
        <w:rPr>
          <w:rFonts w:cs="Arial"/>
        </w:rPr>
      </w:pPr>
      <w:r>
        <w:rPr>
          <w:rFonts w:cs="Arial"/>
        </w:rPr>
        <w:t>Artículo Único. El presente Decreto entrará en vigor a partir del día primero de enero de año de dos mil doce, previa publicación en el Periódico Oficial del Gobierno del Estado de Tlaxcala.</w:t>
      </w:r>
    </w:p>
    <w:p w14:paraId="6D41326C" w14:textId="77777777" w:rsidR="00D3344B" w:rsidRDefault="00D3344B">
      <w:pPr>
        <w:pStyle w:val="Estilo"/>
        <w:rPr>
          <w:rFonts w:cs="Arial"/>
        </w:rPr>
      </w:pPr>
    </w:p>
    <w:p w14:paraId="79384713" w14:textId="77777777" w:rsidR="00D3344B" w:rsidRDefault="00D3344B">
      <w:pPr>
        <w:pStyle w:val="Estilo"/>
        <w:rPr>
          <w:rFonts w:cs="Arial"/>
        </w:rPr>
      </w:pPr>
    </w:p>
    <w:p w14:paraId="7F0BAF31" w14:textId="77777777" w:rsidR="00D3344B" w:rsidRDefault="00143C25">
      <w:pPr>
        <w:pStyle w:val="Estilo"/>
        <w:rPr>
          <w:rFonts w:cs="Arial"/>
          <w:b/>
        </w:rPr>
      </w:pPr>
      <w:r>
        <w:rPr>
          <w:rFonts w:cs="Arial"/>
          <w:b/>
        </w:rPr>
        <w:t>P.O. 26 DE DICIEMBRE DE 2012.</w:t>
      </w:r>
    </w:p>
    <w:p w14:paraId="7E4CDE69" w14:textId="77777777" w:rsidR="00D3344B" w:rsidRDefault="00D3344B">
      <w:pPr>
        <w:pStyle w:val="Estilo"/>
        <w:rPr>
          <w:rFonts w:cs="Arial"/>
        </w:rPr>
      </w:pPr>
    </w:p>
    <w:p w14:paraId="65FD6CD6" w14:textId="77777777" w:rsidR="00D3344B" w:rsidRDefault="00143C25">
      <w:pPr>
        <w:pStyle w:val="Estilo"/>
        <w:rPr>
          <w:rFonts w:cs="Arial"/>
        </w:rPr>
      </w:pPr>
      <w:r>
        <w:rPr>
          <w:rFonts w:cs="Arial"/>
        </w:rPr>
        <w:t>ARTÍCULO PRIMERO. El Presente Decreto entrará en vigor a partir del día primero de enero del año dos mil trece, previa publicación en el Periódico Oficial del Gobierno del Estado de Tlaxcala.</w:t>
      </w:r>
    </w:p>
    <w:p w14:paraId="46452FF9" w14:textId="77777777" w:rsidR="00D3344B" w:rsidRDefault="00D3344B">
      <w:pPr>
        <w:pStyle w:val="Estilo"/>
        <w:rPr>
          <w:rFonts w:cs="Arial"/>
        </w:rPr>
      </w:pPr>
    </w:p>
    <w:p w14:paraId="674E4250" w14:textId="77777777" w:rsidR="00D3344B" w:rsidRDefault="00143C25">
      <w:pPr>
        <w:pStyle w:val="Estilo"/>
        <w:rPr>
          <w:rFonts w:cs="Arial"/>
        </w:rPr>
      </w:pPr>
      <w:r>
        <w:rPr>
          <w:rFonts w:cs="Arial"/>
        </w:rPr>
        <w:t>ARTÍCULO SEGUNDO. Se instruye a la Comisión de Finanzas y Fiscalización para que tome en consideración el presente Decreto para realizar las adecuaciones a la Ley de Ingresos del Estado de Tlaxcala, para el ejercicio fiscal de dos mil trece y al Presupuesto de Egresos del Estado de Tlaxcala, para el ejercicio fiscal de dos mil trece.</w:t>
      </w:r>
    </w:p>
    <w:p w14:paraId="4052F59E" w14:textId="77777777" w:rsidR="00D3344B" w:rsidRDefault="00D3344B">
      <w:pPr>
        <w:pStyle w:val="Estilo"/>
        <w:rPr>
          <w:rFonts w:cs="Arial"/>
        </w:rPr>
      </w:pPr>
    </w:p>
    <w:p w14:paraId="49A58038" w14:textId="77777777" w:rsidR="00D3344B" w:rsidRDefault="00D3344B">
      <w:pPr>
        <w:pStyle w:val="Estilo"/>
        <w:rPr>
          <w:rFonts w:cs="Arial"/>
        </w:rPr>
      </w:pPr>
    </w:p>
    <w:p w14:paraId="6D34CBAB" w14:textId="77777777" w:rsidR="00D3344B" w:rsidRDefault="00143C25">
      <w:pPr>
        <w:pStyle w:val="Estilo"/>
        <w:rPr>
          <w:rFonts w:cs="Arial"/>
          <w:b/>
        </w:rPr>
      </w:pPr>
      <w:r>
        <w:rPr>
          <w:rFonts w:cs="Arial"/>
          <w:b/>
        </w:rPr>
        <w:t>P.O. 5 DE JULIO DE 2013.</w:t>
      </w:r>
    </w:p>
    <w:p w14:paraId="1D764B78" w14:textId="77777777" w:rsidR="00D3344B" w:rsidRDefault="00D3344B">
      <w:pPr>
        <w:pStyle w:val="Estilo"/>
        <w:rPr>
          <w:rFonts w:cs="Arial"/>
        </w:rPr>
      </w:pPr>
    </w:p>
    <w:p w14:paraId="5E3A073E"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w:t>
      </w:r>
    </w:p>
    <w:p w14:paraId="7334CEC1" w14:textId="77777777" w:rsidR="00D3344B" w:rsidRDefault="00D3344B">
      <w:pPr>
        <w:pStyle w:val="Estilo"/>
        <w:rPr>
          <w:rFonts w:cs="Arial"/>
        </w:rPr>
      </w:pPr>
    </w:p>
    <w:p w14:paraId="4BECBE45" w14:textId="77777777" w:rsidR="00D3344B" w:rsidRDefault="00143C25">
      <w:pPr>
        <w:pStyle w:val="Estilo"/>
        <w:rPr>
          <w:rFonts w:cs="Arial"/>
        </w:rPr>
      </w:pPr>
      <w:r>
        <w:rPr>
          <w:rFonts w:cs="Arial"/>
        </w:rPr>
        <w:t>ARTÍCULO SEGUNDO. Para el cumplimiento del presente Decreto el Gobernador del Estado, a través de las instancias competentes, reorganizará la estructura de las Dependencias, a través de la creación, fusión o disolución de las unidades administrativas que sea necesario.</w:t>
      </w:r>
    </w:p>
    <w:p w14:paraId="544C3628" w14:textId="77777777" w:rsidR="00D3344B" w:rsidRDefault="00D3344B">
      <w:pPr>
        <w:pStyle w:val="Estilo"/>
        <w:rPr>
          <w:rFonts w:cs="Arial"/>
        </w:rPr>
      </w:pPr>
    </w:p>
    <w:p w14:paraId="0AC67540" w14:textId="77777777" w:rsidR="00D3344B" w:rsidRDefault="00143C25">
      <w:pPr>
        <w:pStyle w:val="Estilo"/>
        <w:rPr>
          <w:rFonts w:cs="Arial"/>
        </w:rPr>
      </w:pPr>
      <w:r>
        <w:rPr>
          <w:rFonts w:cs="Arial"/>
        </w:rPr>
        <w:t>ARTÍCULO TERCERO. Las unidades administrativas del Comité de Planeación para el Desarrollo del Estado de Tlaxcala que pasen a la Secretaría de Planeación y Finanzas, con motivo de lo establecido en el presente Decreto, se transferirán incluyendo los recursos humanos que sean necesarios, así como los financieros y materiales que la unidad administrativa haya utilizado para la atención de los asuntos que conoció.</w:t>
      </w:r>
    </w:p>
    <w:p w14:paraId="7A8CCE1F" w14:textId="77777777" w:rsidR="00D3344B" w:rsidRDefault="00D3344B">
      <w:pPr>
        <w:pStyle w:val="Estilo"/>
        <w:rPr>
          <w:rFonts w:cs="Arial"/>
        </w:rPr>
      </w:pPr>
    </w:p>
    <w:p w14:paraId="06CC6C1C" w14:textId="77777777" w:rsidR="00D3344B" w:rsidRDefault="00143C25">
      <w:pPr>
        <w:pStyle w:val="Estilo"/>
        <w:rPr>
          <w:rFonts w:cs="Arial"/>
        </w:rPr>
      </w:pPr>
      <w:r>
        <w:rPr>
          <w:rFonts w:cs="Arial"/>
        </w:rPr>
        <w:lastRenderedPageBreak/>
        <w:t>ARTÍCULO CUARTO. Las unidades administrativas de la Secretaría de Turismo que pasen a la Secretaría de Turismo y Desarrollo Económico, con motivo de lo establecido en el presente Decreto, se transferirán incluyendo los recursos humanos que sean necesarios, así como los financieros y materiales que la unidad administrativa haya utilizado para la atención de los asuntos que conoció.</w:t>
      </w:r>
    </w:p>
    <w:p w14:paraId="6B5C1090" w14:textId="77777777" w:rsidR="00D3344B" w:rsidRDefault="00D3344B">
      <w:pPr>
        <w:pStyle w:val="Estilo"/>
        <w:rPr>
          <w:rFonts w:cs="Arial"/>
        </w:rPr>
      </w:pPr>
    </w:p>
    <w:p w14:paraId="45F44C76" w14:textId="77777777" w:rsidR="00D3344B" w:rsidRDefault="00143C25">
      <w:pPr>
        <w:pStyle w:val="Estilo"/>
        <w:rPr>
          <w:rFonts w:cs="Arial"/>
        </w:rPr>
      </w:pPr>
      <w:r>
        <w:rPr>
          <w:rFonts w:cs="Arial"/>
        </w:rPr>
        <w:t>ARTÍCULO QUINTO. Cuando se mencione a la Secretaría de Turismo en otros ordenamientos jurídicos se entenderá que se hace referencia a la Secretaría de Turismo y Desarrollo Económico.</w:t>
      </w:r>
    </w:p>
    <w:p w14:paraId="4826374A" w14:textId="77777777" w:rsidR="00D3344B" w:rsidRDefault="00D3344B">
      <w:pPr>
        <w:pStyle w:val="Estilo"/>
        <w:rPr>
          <w:rFonts w:cs="Arial"/>
        </w:rPr>
      </w:pPr>
    </w:p>
    <w:p w14:paraId="7D23E559" w14:textId="77777777" w:rsidR="00D3344B" w:rsidRDefault="00143C25">
      <w:pPr>
        <w:pStyle w:val="Estilo"/>
        <w:rPr>
          <w:rFonts w:cs="Arial"/>
        </w:rPr>
      </w:pPr>
      <w:r>
        <w:rPr>
          <w:rFonts w:cs="Arial"/>
        </w:rPr>
        <w:t>ARTÍCULO SEXTO Los asuntos en trámite, así como los juicios, recursos y procedimientos que con motivo de la entrada en vigor de este Decreto deban pasar de una Dependencia o Entidad a otra, continuarán tramitándose por las unidades administrativas de la Dependencia o instancia que la sustituya.</w:t>
      </w:r>
    </w:p>
    <w:p w14:paraId="652294DF" w14:textId="77777777" w:rsidR="00D3344B" w:rsidRDefault="00D3344B">
      <w:pPr>
        <w:pStyle w:val="Estilo"/>
        <w:rPr>
          <w:rFonts w:cs="Arial"/>
        </w:rPr>
      </w:pPr>
    </w:p>
    <w:p w14:paraId="7AB60D7E" w14:textId="77777777" w:rsidR="00D3344B" w:rsidRDefault="00143C25">
      <w:pPr>
        <w:pStyle w:val="Estilo"/>
        <w:rPr>
          <w:rFonts w:cs="Arial"/>
        </w:rPr>
      </w:pPr>
      <w:r>
        <w:rPr>
          <w:rFonts w:cs="Arial"/>
        </w:rPr>
        <w:t>ARTÍCULO SÉPTIMO. Todo instrumento legal, jurídico o administrativo en sentido formal o material, que a la entrada en vigor del presente Decreto se refiera a la Coordinación de Planeación para el Desarrollo del Estado de Tlaxcala y a la Secretaría de Turismo, por virtud del mismo, se entenderá asignado a la Secretaría de Planeación y Finanzas y a la Secretaría de Turismo y Desarrollo Económico, respectivamente.</w:t>
      </w:r>
    </w:p>
    <w:p w14:paraId="35309CDA" w14:textId="77777777" w:rsidR="00D3344B" w:rsidRDefault="00D3344B">
      <w:pPr>
        <w:pStyle w:val="Estilo"/>
        <w:rPr>
          <w:rFonts w:cs="Arial"/>
        </w:rPr>
      </w:pPr>
    </w:p>
    <w:p w14:paraId="24FE1743" w14:textId="77777777" w:rsidR="00D3344B" w:rsidRDefault="00143C25">
      <w:pPr>
        <w:pStyle w:val="Estilo"/>
        <w:rPr>
          <w:rFonts w:cs="Arial"/>
        </w:rPr>
      </w:pPr>
      <w:r>
        <w:rPr>
          <w:rFonts w:cs="Arial"/>
        </w:rPr>
        <w:t>En cumplimiento a las medidas de racionalidad y austeridad presupuestaria para el ejercicio fiscal que corresponda, se seguirán utilizando hasta que se agoten, los formatos y demás papelería existente en los que consten la denominación de las Dependencias que como consecuencia de esta reforma desaparecen o cambian su denominación.</w:t>
      </w:r>
    </w:p>
    <w:p w14:paraId="42CF246E" w14:textId="77777777" w:rsidR="00D3344B" w:rsidRDefault="00D3344B">
      <w:pPr>
        <w:pStyle w:val="Estilo"/>
        <w:rPr>
          <w:rFonts w:cs="Arial"/>
        </w:rPr>
      </w:pPr>
    </w:p>
    <w:p w14:paraId="1FB5678E" w14:textId="77777777" w:rsidR="00D3344B" w:rsidRDefault="00143C25">
      <w:pPr>
        <w:pStyle w:val="Estilo"/>
        <w:rPr>
          <w:rFonts w:cs="Arial"/>
        </w:rPr>
      </w:pPr>
      <w:r>
        <w:rPr>
          <w:rFonts w:cs="Arial"/>
        </w:rPr>
        <w:t>ARTÍCULO OCTAVO. Los derechos y obligaciones contractuales contraídos por el Comité de Planeación para el Desarrollo del Estado de Tlaxcala y de la Secretaría de Turismo, serán atribuidos a la Secretaría de Planeación y Finanzas y a la Secretaría Turismo y Desarrollo Económico, respectivamente.</w:t>
      </w:r>
    </w:p>
    <w:p w14:paraId="0D527307" w14:textId="77777777" w:rsidR="00D3344B" w:rsidRDefault="00D3344B">
      <w:pPr>
        <w:pStyle w:val="Estilo"/>
        <w:rPr>
          <w:rFonts w:cs="Arial"/>
        </w:rPr>
      </w:pPr>
    </w:p>
    <w:p w14:paraId="2F138F1D" w14:textId="77777777" w:rsidR="00D3344B" w:rsidRDefault="00143C25">
      <w:pPr>
        <w:pStyle w:val="Estilo"/>
        <w:rPr>
          <w:rFonts w:cs="Arial"/>
        </w:rPr>
      </w:pPr>
      <w:r>
        <w:rPr>
          <w:rFonts w:cs="Arial"/>
        </w:rPr>
        <w:t>ARTÍCULO NOVENO. Cuando se mencione a la Secretaría de la Función Pública en otros ordenamientos jurídicos se entenderá que se hace referencia a la Contraloría del Ejecutivo, como órgano adscrito al titular del Poder Ejecutivo, al cual se transfieren las funciones, recursos y programas de la Secretaría que se re adscribe mediante el presente Decreto; conforme a los reglamentos y acuerdos que emita el Gobernador del Estado.</w:t>
      </w:r>
    </w:p>
    <w:p w14:paraId="1C660E86" w14:textId="77777777" w:rsidR="00D3344B" w:rsidRDefault="00D3344B">
      <w:pPr>
        <w:pStyle w:val="Estilo"/>
        <w:rPr>
          <w:rFonts w:cs="Arial"/>
        </w:rPr>
      </w:pPr>
    </w:p>
    <w:p w14:paraId="1247ECFF" w14:textId="77777777" w:rsidR="00D3344B" w:rsidRDefault="00143C25">
      <w:pPr>
        <w:pStyle w:val="Estilo"/>
        <w:rPr>
          <w:rFonts w:cs="Arial"/>
        </w:rPr>
      </w:pPr>
      <w:r>
        <w:rPr>
          <w:rFonts w:cs="Arial"/>
        </w:rPr>
        <w:t>ARTÍCULO DÉCIMO. Cuando se mencione a la Consejería Jurídica en otros ordenamientos jurídicos se entenderá que se hace referencia a la Consejería Jurídica, como órgano adscrito al titular del Poder Ejecutivo al cual se transfieren las funciones, recursos y programas de la dependencia que se extingue mediante el presente Decreto.</w:t>
      </w:r>
    </w:p>
    <w:p w14:paraId="6C5B9C98" w14:textId="77777777" w:rsidR="00D3344B" w:rsidRDefault="00D3344B">
      <w:pPr>
        <w:pStyle w:val="Estilo"/>
        <w:rPr>
          <w:rFonts w:cs="Arial"/>
        </w:rPr>
      </w:pPr>
    </w:p>
    <w:p w14:paraId="119368A2" w14:textId="77777777" w:rsidR="00D3344B" w:rsidRDefault="00143C25">
      <w:pPr>
        <w:pStyle w:val="Estilo"/>
        <w:rPr>
          <w:rFonts w:cs="Arial"/>
        </w:rPr>
      </w:pPr>
      <w:r>
        <w:rPr>
          <w:rFonts w:cs="Arial"/>
        </w:rPr>
        <w:lastRenderedPageBreak/>
        <w:t xml:space="preserve">ARTÍCULO DÉCIMO PRIMERO. La Secretaría de Planeación y Finanzas del Gobierno del Estado queda facultada para realizar las transferencias o </w:t>
      </w:r>
      <w:proofErr w:type="spellStart"/>
      <w:r>
        <w:rPr>
          <w:rFonts w:cs="Arial"/>
        </w:rPr>
        <w:t>resectorización</w:t>
      </w:r>
      <w:proofErr w:type="spellEnd"/>
      <w:r>
        <w:rPr>
          <w:rFonts w:cs="Arial"/>
        </w:rPr>
        <w:t xml:space="preserve"> presupuestarias y la adscripción de los recursos humanos que sean necesarios para la debida observancia de este Decreto, con la intervención que le corresponda a la Oficialía Mayor de Gobierno, así como para realizar las adecuaciones a los ramos, programas de inversión y programas operativos que se requieran para el Presupuesto de Egresos del ejercicio fiscal en curso y subsecuentes, debiendo integrar en la cuenta pública correspondiente el informe sobre el uso que haga de esta facultad.</w:t>
      </w:r>
    </w:p>
    <w:p w14:paraId="5F21DA9A" w14:textId="77777777" w:rsidR="00D3344B" w:rsidRDefault="00D3344B">
      <w:pPr>
        <w:pStyle w:val="Estilo"/>
        <w:rPr>
          <w:rFonts w:cs="Arial"/>
        </w:rPr>
      </w:pPr>
    </w:p>
    <w:p w14:paraId="30CC384A" w14:textId="77777777" w:rsidR="00D3344B" w:rsidRDefault="00143C25">
      <w:pPr>
        <w:pStyle w:val="Estilo"/>
        <w:rPr>
          <w:rFonts w:cs="Arial"/>
        </w:rPr>
      </w:pPr>
      <w:r>
        <w:rPr>
          <w:rFonts w:cs="Arial"/>
        </w:rPr>
        <w:t>ARTÍCULO DÉCIMO SEGUNDO. Los recursos humanos, materiales y financieros con lo que cuenta actualmente la Secretaría de la Función Pública pasarán a formar parte de la Contraloría del Ejecutivo; dicho proceso será supervisado por la Secretaría de Planeación y Finanzas y la Oficialía Mayor del Gobierno, en el ámbito de sus respectivas competencias.</w:t>
      </w:r>
    </w:p>
    <w:p w14:paraId="25982967" w14:textId="77777777" w:rsidR="00D3344B" w:rsidRDefault="00D3344B">
      <w:pPr>
        <w:pStyle w:val="Estilo"/>
        <w:rPr>
          <w:rFonts w:cs="Arial"/>
        </w:rPr>
      </w:pPr>
    </w:p>
    <w:p w14:paraId="597928F0" w14:textId="77777777" w:rsidR="00D3344B" w:rsidRDefault="00143C25">
      <w:pPr>
        <w:pStyle w:val="Estilo"/>
        <w:rPr>
          <w:rFonts w:cs="Arial"/>
        </w:rPr>
      </w:pPr>
      <w:r>
        <w:rPr>
          <w:rFonts w:cs="Arial"/>
        </w:rPr>
        <w:t>ARTÍCULO DÉCIMO TERCERO. El Gobernador del Estado de Tlaxcala expedirá los reglamentos y acuerdos administrativos para mejor proveer el presente Decreto, dentro de los ciento veinte días siguientes a su entrada en vigor.</w:t>
      </w:r>
    </w:p>
    <w:p w14:paraId="182454D5" w14:textId="77777777" w:rsidR="00D3344B" w:rsidRDefault="00D3344B">
      <w:pPr>
        <w:pStyle w:val="Estilo"/>
        <w:rPr>
          <w:rFonts w:cs="Arial"/>
        </w:rPr>
      </w:pPr>
    </w:p>
    <w:p w14:paraId="44D73A75" w14:textId="77777777" w:rsidR="00D3344B" w:rsidRDefault="00143C25">
      <w:pPr>
        <w:pStyle w:val="Estilo"/>
        <w:rPr>
          <w:rFonts w:cs="Arial"/>
        </w:rPr>
      </w:pPr>
      <w:r>
        <w:rPr>
          <w:rFonts w:cs="Arial"/>
        </w:rPr>
        <w:t>En tanto no se realicen las reformas a que se refiere el párrafo anterior, las Dependencias señaladas en este Decreto, seguirán aplicando los reglamentos vigentes en todo aquello que no lo contravenga.</w:t>
      </w:r>
    </w:p>
    <w:p w14:paraId="0FEA747F" w14:textId="77777777" w:rsidR="00D3344B" w:rsidRDefault="00D3344B">
      <w:pPr>
        <w:pStyle w:val="Estilo"/>
        <w:rPr>
          <w:rFonts w:cs="Arial"/>
        </w:rPr>
      </w:pPr>
    </w:p>
    <w:p w14:paraId="3083E562" w14:textId="77777777" w:rsidR="00D3344B" w:rsidRDefault="00143C25">
      <w:pPr>
        <w:pStyle w:val="Estilo"/>
        <w:rPr>
          <w:rFonts w:cs="Arial"/>
        </w:rPr>
      </w:pPr>
      <w:r>
        <w:rPr>
          <w:rFonts w:cs="Arial"/>
        </w:rPr>
        <w:t>ARTÍCULO DÉCIMO CUARTO. Los procedimientos jurídicos y administrativos a cargo de la Secretaría de la Función Pública y de la Consejería Jurídica, se continuarán desarrollando conforme a las disposiciones legales en vigor, en tanto se emitan las disposiciones reglamentarias correspondientes. Asimismo, serán válidos los actos que los titulares de las dependencias que se extinguen y se adscriban al Despacho del Gobernador conforme a este Decreto, continúen realizando conforme a las disposiciones vigentes, hasta en tanto no se modifiquen sus atribuciones o facultades por un acto reglamentario o jurídico que se oponga a las mismas.</w:t>
      </w:r>
    </w:p>
    <w:p w14:paraId="4F03B1C0" w14:textId="77777777" w:rsidR="00D3344B" w:rsidRDefault="00D3344B">
      <w:pPr>
        <w:pStyle w:val="Estilo"/>
        <w:rPr>
          <w:rFonts w:cs="Arial"/>
        </w:rPr>
      </w:pPr>
    </w:p>
    <w:p w14:paraId="5BC6E1B9" w14:textId="77777777" w:rsidR="00D3344B" w:rsidRDefault="00143C25">
      <w:pPr>
        <w:pStyle w:val="Estilo"/>
        <w:rPr>
          <w:rFonts w:cs="Arial"/>
        </w:rPr>
      </w:pPr>
      <w:r>
        <w:rPr>
          <w:rFonts w:cs="Arial"/>
        </w:rPr>
        <w:t>ARTÍCULO DÉCIMO QUINTO. Las obligaciones laborales de cada Dependencia que se extinga o desaparezca, serán asumidas por los respetivos (sic) órganos o unidades administrativas de re adscripción, respetando los derechos de los trabajadores, en términos de las disposiciones legales aplicables.</w:t>
      </w:r>
    </w:p>
    <w:p w14:paraId="77CE6147" w14:textId="77777777" w:rsidR="00D3344B" w:rsidRDefault="00D3344B">
      <w:pPr>
        <w:pStyle w:val="Estilo"/>
        <w:rPr>
          <w:rFonts w:cs="Arial"/>
        </w:rPr>
      </w:pPr>
    </w:p>
    <w:p w14:paraId="4376D049" w14:textId="77777777" w:rsidR="00D3344B" w:rsidRDefault="00143C25">
      <w:pPr>
        <w:pStyle w:val="Estilo"/>
        <w:rPr>
          <w:rFonts w:cs="Arial"/>
        </w:rPr>
      </w:pPr>
      <w:r>
        <w:rPr>
          <w:rFonts w:cs="Arial"/>
        </w:rPr>
        <w:t>ARTÍCULO DÉCIMO SEXTO. Las menciones contenidas en otras leyes, reglamentos y en general en cualquier disposición, respecto de la Secretaría de la Función Pública y de la Consejería Jurídica del Ejecutivo, se entenderán referidas a los órganos que integrarán el Despacho del Gobernador del Estado.</w:t>
      </w:r>
    </w:p>
    <w:p w14:paraId="40216526" w14:textId="77777777" w:rsidR="00D3344B" w:rsidRDefault="00D3344B">
      <w:pPr>
        <w:pStyle w:val="Estilo"/>
        <w:rPr>
          <w:rFonts w:cs="Arial"/>
        </w:rPr>
      </w:pPr>
    </w:p>
    <w:p w14:paraId="5C323A78" w14:textId="77777777" w:rsidR="00D3344B" w:rsidRDefault="00143C25">
      <w:pPr>
        <w:pStyle w:val="Estilo"/>
        <w:rPr>
          <w:rFonts w:cs="Arial"/>
        </w:rPr>
      </w:pPr>
      <w:r>
        <w:rPr>
          <w:rFonts w:cs="Arial"/>
        </w:rPr>
        <w:t>ARTÍCULO DÉCIMO SÉPTIMO. Se derogan todas las disposiciones que se opongan al contenido de este Decreto.</w:t>
      </w:r>
    </w:p>
    <w:p w14:paraId="0DF9FB5E" w14:textId="77777777" w:rsidR="00D3344B" w:rsidRDefault="00D3344B">
      <w:pPr>
        <w:pStyle w:val="Estilo"/>
        <w:rPr>
          <w:rFonts w:cs="Arial"/>
        </w:rPr>
      </w:pPr>
    </w:p>
    <w:p w14:paraId="4A2CFC98" w14:textId="77777777" w:rsidR="00D3344B" w:rsidRDefault="00D3344B">
      <w:pPr>
        <w:pStyle w:val="Estilo"/>
        <w:rPr>
          <w:rFonts w:cs="Arial"/>
        </w:rPr>
      </w:pPr>
    </w:p>
    <w:p w14:paraId="3AE33CF1" w14:textId="77777777" w:rsidR="00D3344B" w:rsidRDefault="00143C25">
      <w:pPr>
        <w:pStyle w:val="Estilo"/>
        <w:rPr>
          <w:rFonts w:cs="Arial"/>
          <w:b/>
        </w:rPr>
      </w:pPr>
      <w:r>
        <w:rPr>
          <w:rFonts w:cs="Arial"/>
          <w:b/>
        </w:rPr>
        <w:t>P.O. 27 DE SEPTIEMBRE DE 2013.</w:t>
      </w:r>
    </w:p>
    <w:p w14:paraId="3AA5CEB4" w14:textId="77777777" w:rsidR="00D3344B" w:rsidRDefault="00D3344B">
      <w:pPr>
        <w:pStyle w:val="Estilo"/>
        <w:rPr>
          <w:rFonts w:cs="Arial"/>
        </w:rPr>
      </w:pPr>
    </w:p>
    <w:p w14:paraId="05F7B17A" w14:textId="77777777" w:rsidR="00D3344B" w:rsidRDefault="00143C25">
      <w:pPr>
        <w:pStyle w:val="Estilo"/>
        <w:rPr>
          <w:rFonts w:cs="Arial"/>
        </w:rPr>
      </w:pPr>
      <w:r>
        <w:rPr>
          <w:rFonts w:cs="Arial"/>
        </w:rPr>
        <w:t>ARTÍCULO ÚNICO. El presente Decreto entrará en vigor el día siguiente al de su publicación en el Periódico Oficial del Gobierno del Estado de Tlaxcala.</w:t>
      </w:r>
    </w:p>
    <w:p w14:paraId="0A603FE2" w14:textId="77777777" w:rsidR="00D3344B" w:rsidRDefault="00D3344B">
      <w:pPr>
        <w:pStyle w:val="Estilo"/>
        <w:rPr>
          <w:rFonts w:cs="Arial"/>
        </w:rPr>
      </w:pPr>
    </w:p>
    <w:p w14:paraId="297F7B2C" w14:textId="77777777" w:rsidR="00D3344B" w:rsidRDefault="00D3344B">
      <w:pPr>
        <w:pStyle w:val="Estilo"/>
        <w:rPr>
          <w:rFonts w:cs="Arial"/>
        </w:rPr>
      </w:pPr>
    </w:p>
    <w:p w14:paraId="1AA5180F" w14:textId="77777777" w:rsidR="00D3344B" w:rsidRDefault="00143C25">
      <w:pPr>
        <w:pStyle w:val="Estilo"/>
        <w:rPr>
          <w:rFonts w:cs="Arial"/>
          <w:b/>
        </w:rPr>
      </w:pPr>
      <w:r>
        <w:rPr>
          <w:rFonts w:cs="Arial"/>
          <w:b/>
        </w:rPr>
        <w:t>P.O. 23 DE DICIEMBRE DE 2013.</w:t>
      </w:r>
    </w:p>
    <w:p w14:paraId="4A98BF74" w14:textId="77777777" w:rsidR="00D3344B" w:rsidRDefault="00D3344B">
      <w:pPr>
        <w:pStyle w:val="Estilo"/>
        <w:rPr>
          <w:rFonts w:cs="Arial"/>
        </w:rPr>
      </w:pPr>
    </w:p>
    <w:p w14:paraId="60F5B455" w14:textId="77777777" w:rsidR="00D3344B" w:rsidRDefault="00143C25">
      <w:pPr>
        <w:pStyle w:val="Estilo"/>
        <w:rPr>
          <w:rFonts w:cs="Arial"/>
        </w:rPr>
      </w:pPr>
      <w:r>
        <w:rPr>
          <w:rFonts w:cs="Arial"/>
        </w:rPr>
        <w:t>Artículo Único. El presente Decreto entrará en vigor a partir del día primero de enero de año de dos mil catorce, previa publicación en el Periódico Oficial del Gobierno del Estado de Tlaxcala.</w:t>
      </w:r>
    </w:p>
    <w:p w14:paraId="4D140FFF" w14:textId="77777777" w:rsidR="00D3344B" w:rsidRDefault="00D3344B">
      <w:pPr>
        <w:pStyle w:val="Estilo"/>
        <w:rPr>
          <w:rFonts w:cs="Arial"/>
        </w:rPr>
      </w:pPr>
    </w:p>
    <w:p w14:paraId="15B691CA" w14:textId="77777777" w:rsidR="00D3344B" w:rsidRDefault="00D3344B">
      <w:pPr>
        <w:pStyle w:val="Estilo"/>
        <w:rPr>
          <w:rFonts w:cs="Arial"/>
        </w:rPr>
      </w:pPr>
    </w:p>
    <w:p w14:paraId="1803B84B" w14:textId="77777777" w:rsidR="00D3344B" w:rsidRDefault="00143C25">
      <w:pPr>
        <w:pStyle w:val="Estilo"/>
        <w:rPr>
          <w:rFonts w:cs="Arial"/>
          <w:b/>
        </w:rPr>
      </w:pPr>
      <w:r>
        <w:rPr>
          <w:rFonts w:cs="Arial"/>
          <w:b/>
        </w:rPr>
        <w:t>P.O. 23 DE ABRIL DE 2014.</w:t>
      </w:r>
    </w:p>
    <w:p w14:paraId="61C1DAC7" w14:textId="77777777" w:rsidR="00D3344B" w:rsidRDefault="00D3344B">
      <w:pPr>
        <w:pStyle w:val="Estilo"/>
        <w:rPr>
          <w:rFonts w:cs="Arial"/>
        </w:rPr>
      </w:pPr>
    </w:p>
    <w:p w14:paraId="64F2F3B6"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w:t>
      </w:r>
    </w:p>
    <w:p w14:paraId="577C6AC7" w14:textId="77777777" w:rsidR="00D3344B" w:rsidRDefault="00D3344B">
      <w:pPr>
        <w:pStyle w:val="Estilo"/>
        <w:rPr>
          <w:rFonts w:cs="Arial"/>
        </w:rPr>
      </w:pPr>
    </w:p>
    <w:p w14:paraId="5B193014" w14:textId="77777777" w:rsidR="00D3344B" w:rsidRDefault="00143C25">
      <w:pPr>
        <w:pStyle w:val="Estilo"/>
        <w:rPr>
          <w:rFonts w:cs="Arial"/>
        </w:rPr>
      </w:pPr>
      <w:r>
        <w:rPr>
          <w:rFonts w:cs="Arial"/>
        </w:rPr>
        <w:t>ARTÍCULO SEGUNDO. La Secretaría de Planeación y Finanzas queda facultada para proveer en lo administrativo la instrumentación y coordinación con la Federación y los municipios lo relativo al apartado de las nuevas reglas aplicables al Fondo de Aportaciones para el Fortalecimiento de los Municipios y de las Demarcaciones Territoriales del Distrito Federal en materia de la aplicación del presente Decreto, conforme a lo previsto en la Ley de Coordinación Fiscal.</w:t>
      </w:r>
    </w:p>
    <w:p w14:paraId="70565CA9" w14:textId="77777777" w:rsidR="00D3344B" w:rsidRDefault="00D3344B">
      <w:pPr>
        <w:pStyle w:val="Estilo"/>
        <w:rPr>
          <w:rFonts w:cs="Arial"/>
        </w:rPr>
      </w:pPr>
    </w:p>
    <w:p w14:paraId="3C2DA0BA" w14:textId="77777777" w:rsidR="00D3344B" w:rsidRDefault="00143C25">
      <w:pPr>
        <w:pStyle w:val="Estilo"/>
        <w:rPr>
          <w:rFonts w:cs="Arial"/>
        </w:rPr>
      </w:pPr>
      <w:r>
        <w:rPr>
          <w:rFonts w:cs="Arial"/>
        </w:rPr>
        <w:t>ARTÍCULO TERCERO. Se derogan todas aquellas disposiciones que se contrapongan a lo establecido en el presente Decreto.</w:t>
      </w:r>
    </w:p>
    <w:p w14:paraId="3D7BD79D" w14:textId="77777777" w:rsidR="00D3344B" w:rsidRDefault="00D3344B">
      <w:pPr>
        <w:pStyle w:val="Estilo"/>
        <w:rPr>
          <w:rFonts w:cs="Arial"/>
        </w:rPr>
      </w:pPr>
    </w:p>
    <w:p w14:paraId="530B65EB" w14:textId="77777777" w:rsidR="00D3344B" w:rsidRDefault="00D3344B">
      <w:pPr>
        <w:pStyle w:val="Estilo"/>
        <w:rPr>
          <w:rFonts w:cs="Arial"/>
        </w:rPr>
      </w:pPr>
    </w:p>
    <w:p w14:paraId="7751D7F0" w14:textId="77777777" w:rsidR="00D3344B" w:rsidRDefault="00143C25">
      <w:pPr>
        <w:pStyle w:val="Estilo"/>
        <w:rPr>
          <w:rFonts w:cs="Arial"/>
          <w:b/>
        </w:rPr>
      </w:pPr>
      <w:r>
        <w:rPr>
          <w:rFonts w:cs="Arial"/>
          <w:b/>
        </w:rPr>
        <w:t>P.O. 24 DE DICIEMBRE DE 2014.</w:t>
      </w:r>
    </w:p>
    <w:p w14:paraId="19D5FDCA" w14:textId="77777777" w:rsidR="00D3344B" w:rsidRDefault="00D3344B">
      <w:pPr>
        <w:pStyle w:val="Estilo"/>
        <w:rPr>
          <w:rFonts w:cs="Arial"/>
        </w:rPr>
      </w:pPr>
    </w:p>
    <w:p w14:paraId="4175DB91" w14:textId="77777777" w:rsidR="00D3344B" w:rsidRDefault="00143C25">
      <w:pPr>
        <w:pStyle w:val="Estilo"/>
        <w:rPr>
          <w:rFonts w:cs="Arial"/>
        </w:rPr>
      </w:pPr>
      <w:r>
        <w:rPr>
          <w:rFonts w:cs="Arial"/>
        </w:rPr>
        <w:t>ARTÍCULO PRIMERO. El presente Decreto entrará en vigor el día hábil siguiente al de su publicación en el Periódico Oficial del Gobierno del Estado de Tlaxcala.</w:t>
      </w:r>
    </w:p>
    <w:p w14:paraId="61751175" w14:textId="77777777" w:rsidR="00D3344B" w:rsidRDefault="00D3344B">
      <w:pPr>
        <w:pStyle w:val="Estilo"/>
        <w:rPr>
          <w:rFonts w:cs="Arial"/>
        </w:rPr>
      </w:pPr>
    </w:p>
    <w:p w14:paraId="632B8FCA" w14:textId="77777777" w:rsidR="00D3344B" w:rsidRDefault="00143C25">
      <w:pPr>
        <w:pStyle w:val="Estilo"/>
        <w:rPr>
          <w:rFonts w:cs="Arial"/>
        </w:rPr>
      </w:pPr>
      <w:r>
        <w:rPr>
          <w:rFonts w:cs="Arial"/>
        </w:rPr>
        <w:t xml:space="preserve">ARTÍCULO SEGUNDO. Para efectos del nombramiento del tesorero y del director de Obras Públicas, el </w:t>
      </w:r>
      <w:proofErr w:type="gramStart"/>
      <w:r>
        <w:rPr>
          <w:rFonts w:cs="Arial"/>
        </w:rPr>
        <w:t>Presidente</w:t>
      </w:r>
      <w:proofErr w:type="gramEnd"/>
      <w:r>
        <w:rPr>
          <w:rFonts w:cs="Arial"/>
        </w:rPr>
        <w:t xml:space="preserve"> Municipal deberá observar estrictamente lo dispuesto en los artículos 71 párrafo segundo, 73 y 74 de la Ley Municipal del Estado de Tlaxcala, en caso contrario, tal nombramiento será considerado nulo.</w:t>
      </w:r>
    </w:p>
    <w:p w14:paraId="193833DE" w14:textId="77777777" w:rsidR="00D3344B" w:rsidRDefault="00D3344B">
      <w:pPr>
        <w:pStyle w:val="Estilo"/>
        <w:rPr>
          <w:rFonts w:cs="Arial"/>
        </w:rPr>
      </w:pPr>
    </w:p>
    <w:p w14:paraId="1C2A8C50" w14:textId="77777777" w:rsidR="00D3344B" w:rsidRDefault="00143C25">
      <w:pPr>
        <w:pStyle w:val="Estilo"/>
        <w:rPr>
          <w:rFonts w:cs="Arial"/>
        </w:rPr>
      </w:pPr>
      <w:r>
        <w:rPr>
          <w:rFonts w:cs="Arial"/>
        </w:rPr>
        <w:t>ARTÍCULO TERCERO. Se derogan todas aquellas disposiciones que se opongan al presente Decreto.</w:t>
      </w:r>
    </w:p>
    <w:p w14:paraId="2755A98A" w14:textId="77777777" w:rsidR="00D3344B" w:rsidRDefault="00D3344B">
      <w:pPr>
        <w:pStyle w:val="Estilo"/>
        <w:rPr>
          <w:rFonts w:cs="Arial"/>
        </w:rPr>
      </w:pPr>
    </w:p>
    <w:p w14:paraId="1C55C9C2" w14:textId="77777777" w:rsidR="00D3344B" w:rsidRDefault="00D3344B">
      <w:pPr>
        <w:pStyle w:val="Estilo"/>
        <w:rPr>
          <w:rFonts w:cs="Arial"/>
        </w:rPr>
      </w:pPr>
    </w:p>
    <w:p w14:paraId="2229DAEA" w14:textId="77777777" w:rsidR="00D3344B" w:rsidRDefault="00143C25">
      <w:pPr>
        <w:pStyle w:val="Estilo"/>
        <w:rPr>
          <w:rFonts w:cs="Arial"/>
          <w:b/>
        </w:rPr>
      </w:pPr>
      <w:r>
        <w:rPr>
          <w:rFonts w:cs="Arial"/>
          <w:b/>
        </w:rPr>
        <w:t>P.O. 30 DE DICIEMBRE DE 2015.</w:t>
      </w:r>
    </w:p>
    <w:p w14:paraId="3AC008C4" w14:textId="77777777" w:rsidR="00D3344B" w:rsidRDefault="00D3344B">
      <w:pPr>
        <w:pStyle w:val="Estilo"/>
        <w:rPr>
          <w:rFonts w:cs="Arial"/>
        </w:rPr>
      </w:pPr>
    </w:p>
    <w:p w14:paraId="741D2529" w14:textId="77777777" w:rsidR="00D3344B" w:rsidRDefault="00143C25">
      <w:pPr>
        <w:pStyle w:val="Estilo"/>
        <w:rPr>
          <w:rFonts w:cs="Arial"/>
        </w:rPr>
      </w:pPr>
      <w:r>
        <w:rPr>
          <w:rFonts w:cs="Arial"/>
        </w:rPr>
        <w:t>[N. DE E. TRANSITORIOS DEL “DECRETO No. 194.- POR EL QUE SE REFORMAN Y ADICIONAN DIVERSAS DISPOSICIONES DEL CÓDIGO FINANCIERO PARA EL ESTADO DE TLAXCALA Y SUS MUNICIPIOS Y DE LA LEY ORGÁNICA DE LA ADMINISTRACIÓN PÚBLICA DEL ESTADO DE TLAXCALA”.]</w:t>
      </w:r>
    </w:p>
    <w:p w14:paraId="1D278D8F" w14:textId="77777777" w:rsidR="00D3344B" w:rsidRDefault="00D3344B">
      <w:pPr>
        <w:pStyle w:val="Estilo"/>
        <w:rPr>
          <w:rFonts w:cs="Arial"/>
        </w:rPr>
      </w:pPr>
    </w:p>
    <w:p w14:paraId="116E5D93" w14:textId="77777777" w:rsidR="00D3344B" w:rsidRDefault="00143C25">
      <w:pPr>
        <w:pStyle w:val="Estilo"/>
        <w:rPr>
          <w:rFonts w:cs="Arial"/>
        </w:rPr>
      </w:pPr>
      <w:r>
        <w:rPr>
          <w:rFonts w:cs="Arial"/>
        </w:rPr>
        <w:t>ARTÍCULO PRIMERO. El presente Decreto entrará en vigor el día hábil siguiente al de su publicación en el Periódico Oficial del Gobierno del Estado de Tlaxcala.</w:t>
      </w:r>
    </w:p>
    <w:p w14:paraId="520893D6" w14:textId="77777777" w:rsidR="00D3344B" w:rsidRDefault="00D3344B">
      <w:pPr>
        <w:pStyle w:val="Estilo"/>
        <w:rPr>
          <w:rFonts w:cs="Arial"/>
        </w:rPr>
      </w:pPr>
    </w:p>
    <w:p w14:paraId="2E1C64DD" w14:textId="77777777" w:rsidR="00D3344B" w:rsidRDefault="00143C25">
      <w:pPr>
        <w:pStyle w:val="Estilo"/>
        <w:rPr>
          <w:rFonts w:cs="Arial"/>
        </w:rPr>
      </w:pPr>
      <w:r>
        <w:rPr>
          <w:rFonts w:cs="Arial"/>
        </w:rPr>
        <w:t>ARTÍCULO SEGUNDO. Se derogan todas aquellas disposiciones que se opongan al contenido de este Decreto.</w:t>
      </w:r>
    </w:p>
    <w:p w14:paraId="12565040" w14:textId="77777777" w:rsidR="00D3344B" w:rsidRDefault="00D3344B">
      <w:pPr>
        <w:pStyle w:val="Estilo"/>
        <w:rPr>
          <w:rFonts w:cs="Arial"/>
        </w:rPr>
      </w:pPr>
    </w:p>
    <w:p w14:paraId="14515230" w14:textId="77777777" w:rsidR="00D3344B" w:rsidRDefault="00D3344B">
      <w:pPr>
        <w:pStyle w:val="Estilo"/>
        <w:rPr>
          <w:rFonts w:cs="Arial"/>
        </w:rPr>
      </w:pPr>
    </w:p>
    <w:p w14:paraId="0ECAB1FD" w14:textId="77777777" w:rsidR="00D3344B" w:rsidRDefault="00143C25">
      <w:pPr>
        <w:pStyle w:val="Estilo"/>
        <w:rPr>
          <w:rFonts w:cs="Arial"/>
          <w:b/>
        </w:rPr>
      </w:pPr>
      <w:r>
        <w:rPr>
          <w:rFonts w:cs="Arial"/>
          <w:b/>
        </w:rPr>
        <w:t>P.O. 12 DE SEPTIEMBRE DE 2016.</w:t>
      </w:r>
    </w:p>
    <w:p w14:paraId="111AF361" w14:textId="77777777" w:rsidR="00D3344B" w:rsidRDefault="00D3344B">
      <w:pPr>
        <w:pStyle w:val="Estilo"/>
        <w:rPr>
          <w:rFonts w:cs="Arial"/>
        </w:rPr>
      </w:pPr>
    </w:p>
    <w:p w14:paraId="51F79A1E" w14:textId="77777777" w:rsidR="00D3344B" w:rsidRDefault="00143C25">
      <w:pPr>
        <w:pStyle w:val="Estilo"/>
        <w:rPr>
          <w:rFonts w:cs="Arial"/>
        </w:rPr>
      </w:pPr>
      <w:r>
        <w:rPr>
          <w:rFonts w:cs="Arial"/>
        </w:rPr>
        <w:t>[N. DE E. TRANSITORIOS DEL "DECRETO NO. 237 LEY DE CATASTRO DEL ESTADO DE TLAXCALA".]</w:t>
      </w:r>
    </w:p>
    <w:p w14:paraId="22E04E7C" w14:textId="77777777" w:rsidR="00D3344B" w:rsidRDefault="00D3344B">
      <w:pPr>
        <w:pStyle w:val="Estilo"/>
        <w:rPr>
          <w:rFonts w:cs="Arial"/>
        </w:rPr>
      </w:pPr>
    </w:p>
    <w:p w14:paraId="122FBFDE"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w:t>
      </w:r>
    </w:p>
    <w:p w14:paraId="4CE072CD" w14:textId="77777777" w:rsidR="00D3344B" w:rsidRDefault="00D3344B">
      <w:pPr>
        <w:pStyle w:val="Estilo"/>
        <w:rPr>
          <w:rFonts w:cs="Arial"/>
        </w:rPr>
      </w:pPr>
    </w:p>
    <w:p w14:paraId="59A1036E" w14:textId="77777777" w:rsidR="00D3344B" w:rsidRDefault="00143C25">
      <w:pPr>
        <w:pStyle w:val="Estilo"/>
        <w:rPr>
          <w:rFonts w:cs="Arial"/>
        </w:rPr>
      </w:pPr>
      <w:r>
        <w:rPr>
          <w:rFonts w:cs="Arial"/>
        </w:rPr>
        <w:t>ARTÍCULO SEGUNDO. Se derogan los artículos 235, 236, 237, 238, 239, 240, 241, 242, 243 y 244, todos del Código Financiero para el Estado de Tlaxcala y sus Municipios y todas las disposiciones que contravengan lo que establece la presente Ley.</w:t>
      </w:r>
    </w:p>
    <w:p w14:paraId="110D6E74" w14:textId="77777777" w:rsidR="00D3344B" w:rsidRDefault="00D3344B">
      <w:pPr>
        <w:pStyle w:val="Estilo"/>
        <w:rPr>
          <w:rFonts w:cs="Arial"/>
        </w:rPr>
      </w:pPr>
    </w:p>
    <w:p w14:paraId="4B53034D" w14:textId="77777777" w:rsidR="00D3344B" w:rsidRDefault="00143C25">
      <w:pPr>
        <w:pStyle w:val="Estilo"/>
        <w:rPr>
          <w:rFonts w:cs="Arial"/>
        </w:rPr>
      </w:pPr>
      <w:r>
        <w:rPr>
          <w:rFonts w:cs="Arial"/>
        </w:rPr>
        <w:t>ARTÍCULO TERCERO. Los procedimientos que se encuentren en trámite a la entrada en vigor de la presente Ley, se concluirán de acuerdo a las disposiciones legales o reglamentarias con las que iniciaron.</w:t>
      </w:r>
    </w:p>
    <w:p w14:paraId="4AB26C6D" w14:textId="77777777" w:rsidR="00D3344B" w:rsidRDefault="00D3344B">
      <w:pPr>
        <w:pStyle w:val="Estilo"/>
        <w:rPr>
          <w:rFonts w:cs="Arial"/>
        </w:rPr>
      </w:pPr>
    </w:p>
    <w:p w14:paraId="39F66811" w14:textId="77777777" w:rsidR="00D3344B" w:rsidRDefault="00143C25">
      <w:pPr>
        <w:pStyle w:val="Estilo"/>
        <w:rPr>
          <w:rFonts w:cs="Arial"/>
        </w:rPr>
      </w:pPr>
      <w:r>
        <w:rPr>
          <w:rFonts w:cs="Arial"/>
        </w:rPr>
        <w:t>ARTÍCULO CUARTO. Dentro de los ciento ochenta días siguientes a la entrada en vigor de esta Ley, deberá expedirse el reglamento respectivo</w:t>
      </w:r>
    </w:p>
    <w:p w14:paraId="3D031F2E" w14:textId="77777777" w:rsidR="00D3344B" w:rsidRDefault="00D3344B">
      <w:pPr>
        <w:pStyle w:val="Estilo"/>
        <w:rPr>
          <w:rFonts w:cs="Arial"/>
        </w:rPr>
      </w:pPr>
    </w:p>
    <w:p w14:paraId="3BCFFABB" w14:textId="77777777" w:rsidR="00D3344B" w:rsidRDefault="00D3344B">
      <w:pPr>
        <w:pStyle w:val="Estilo"/>
        <w:rPr>
          <w:rFonts w:cs="Arial"/>
        </w:rPr>
      </w:pPr>
    </w:p>
    <w:p w14:paraId="34D2BBAA" w14:textId="77777777" w:rsidR="00D3344B" w:rsidRDefault="00143C25">
      <w:pPr>
        <w:pStyle w:val="Estilo"/>
        <w:rPr>
          <w:rFonts w:cs="Arial"/>
          <w:b/>
        </w:rPr>
      </w:pPr>
      <w:r>
        <w:rPr>
          <w:rFonts w:cs="Arial"/>
          <w:b/>
        </w:rPr>
        <w:t>P.O. 16 DE NOVIEMBRE DE 2016.</w:t>
      </w:r>
    </w:p>
    <w:p w14:paraId="13763989" w14:textId="77777777" w:rsidR="00D3344B" w:rsidRDefault="00D3344B">
      <w:pPr>
        <w:pStyle w:val="Estilo"/>
        <w:rPr>
          <w:rFonts w:cs="Arial"/>
        </w:rPr>
      </w:pPr>
    </w:p>
    <w:p w14:paraId="3989E8E7" w14:textId="77777777" w:rsidR="00D3344B" w:rsidRDefault="00143C25">
      <w:pPr>
        <w:pStyle w:val="Estilo"/>
        <w:rPr>
          <w:rFonts w:cs="Arial"/>
        </w:rPr>
      </w:pPr>
      <w:r>
        <w:rPr>
          <w:rFonts w:cs="Arial"/>
        </w:rPr>
        <w:t>[N. DE E. TRANSITORIOS DEL “DECRETO NO. 256.- POR EL QUE SE REFORMAN, ADICIONAN Y DEROGAN DIVERSAS DISPOSICIONES DEL CÓDIGO FINANCIERO Y DE LA LEY DE DEUDA PÚBLICA PARA EL ESTADO DE TLAXCALA Y SUS MUNICIPIOS”.]</w:t>
      </w:r>
    </w:p>
    <w:p w14:paraId="7AB8BF3B" w14:textId="77777777" w:rsidR="00D3344B" w:rsidRDefault="00D3344B">
      <w:pPr>
        <w:pStyle w:val="Estilo"/>
        <w:rPr>
          <w:rFonts w:cs="Arial"/>
        </w:rPr>
      </w:pPr>
    </w:p>
    <w:p w14:paraId="1C8D280E"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 salvo lo dispuesto en los artículos transitorios que prevean una entrada en vigor distinta.</w:t>
      </w:r>
    </w:p>
    <w:p w14:paraId="6E467108" w14:textId="77777777" w:rsidR="00D3344B" w:rsidRDefault="00D3344B">
      <w:pPr>
        <w:pStyle w:val="Estilo"/>
        <w:rPr>
          <w:rFonts w:cs="Arial"/>
        </w:rPr>
      </w:pPr>
    </w:p>
    <w:p w14:paraId="1F6B38D8" w14:textId="77777777" w:rsidR="00D3344B" w:rsidRDefault="00143C25">
      <w:pPr>
        <w:pStyle w:val="Estilo"/>
        <w:rPr>
          <w:rFonts w:cs="Arial"/>
        </w:rPr>
      </w:pPr>
      <w:r>
        <w:rPr>
          <w:rFonts w:cs="Arial"/>
        </w:rPr>
        <w:lastRenderedPageBreak/>
        <w:t>ARTÍCULO SEGUNDO. Se derogan todas las disposiciones que se opongan al presente Decreto.</w:t>
      </w:r>
    </w:p>
    <w:p w14:paraId="6F707089" w14:textId="77777777" w:rsidR="00D3344B" w:rsidRDefault="00D3344B">
      <w:pPr>
        <w:pStyle w:val="Estilo"/>
        <w:rPr>
          <w:rFonts w:cs="Arial"/>
        </w:rPr>
      </w:pPr>
    </w:p>
    <w:p w14:paraId="479A2F35" w14:textId="77777777" w:rsidR="00D3344B" w:rsidRDefault="00143C25">
      <w:pPr>
        <w:pStyle w:val="Estilo"/>
        <w:rPr>
          <w:rFonts w:cs="Arial"/>
        </w:rPr>
      </w:pPr>
      <w:r>
        <w:rPr>
          <w:rFonts w:cs="Arial"/>
        </w:rPr>
        <w:t>ARTÍCULO TERCERO. El Gobierno del Estado por conducto de la Secretaría, y cada uno de los Municipios, constituirán dentro de los 60 días naturales posteriores a la entrada en vigor del presente Decreto, los Fondos a que aluden los incisos a) y b), fracción II del artículo 299 del Código Financiero para el Estado de Tlaxcala y sus Municipios.</w:t>
      </w:r>
    </w:p>
    <w:p w14:paraId="0111CC6A" w14:textId="77777777" w:rsidR="00D3344B" w:rsidRDefault="00D3344B">
      <w:pPr>
        <w:pStyle w:val="Estilo"/>
        <w:rPr>
          <w:rFonts w:cs="Arial"/>
        </w:rPr>
      </w:pPr>
    </w:p>
    <w:p w14:paraId="22DBAEEA" w14:textId="77777777" w:rsidR="00D3344B" w:rsidRDefault="00143C25">
      <w:pPr>
        <w:pStyle w:val="Estilo"/>
        <w:rPr>
          <w:rFonts w:cs="Arial"/>
        </w:rPr>
      </w:pPr>
      <w:r>
        <w:rPr>
          <w:rFonts w:cs="Arial"/>
        </w:rPr>
        <w:t>ARTÍCULO CUARTO. Los Municipios cuya población sea superior a 200,000 habitantes conforme al último censo o conteo de población que publique el Instituto Nacional de Estadística y Geografía, deberán constituir dentro de los 60 días naturales posteriores a la entrada en vigor del presente, tanto orgánica como normativamente, el área encargada de la elaboración de los análisis costo beneficio y de la administración del registro de proyectos de inversión pública productiva, a que alude la fracción III del artículo 288 del Código Financiero para el Estado de Tlaxcala y sus Municipios.</w:t>
      </w:r>
    </w:p>
    <w:p w14:paraId="60D20785" w14:textId="77777777" w:rsidR="00D3344B" w:rsidRDefault="00D3344B">
      <w:pPr>
        <w:pStyle w:val="Estilo"/>
        <w:rPr>
          <w:rFonts w:cs="Arial"/>
        </w:rPr>
      </w:pPr>
    </w:p>
    <w:p w14:paraId="74776DB7" w14:textId="77777777" w:rsidR="00D3344B" w:rsidRDefault="00143C25">
      <w:pPr>
        <w:pStyle w:val="Estilo"/>
        <w:rPr>
          <w:rFonts w:cs="Arial"/>
        </w:rPr>
      </w:pPr>
      <w:r>
        <w:rPr>
          <w:rFonts w:cs="Arial"/>
        </w:rPr>
        <w:t>ARTÍCULO QUINTO. El Ejecutivo del Estado por conducto de la Secretaría de Planeación y Finanzas, dentro de los 60 días posteriores a la entrada en vigor del presente Decreto, constituirá el Fideicomiso a que refiere al primer párrafo del artículo 274-C Código Financiero para el Estado de Tlaxcala y sus Municipios.</w:t>
      </w:r>
    </w:p>
    <w:p w14:paraId="24B8F952" w14:textId="77777777" w:rsidR="00D3344B" w:rsidRDefault="00D3344B">
      <w:pPr>
        <w:pStyle w:val="Estilo"/>
        <w:rPr>
          <w:rFonts w:cs="Arial"/>
        </w:rPr>
      </w:pPr>
    </w:p>
    <w:p w14:paraId="674191BC" w14:textId="77777777" w:rsidR="00D3344B" w:rsidRDefault="00143C25">
      <w:pPr>
        <w:pStyle w:val="Estilo"/>
        <w:rPr>
          <w:rFonts w:cs="Arial"/>
        </w:rPr>
      </w:pPr>
      <w:r>
        <w:rPr>
          <w:rFonts w:cs="Arial"/>
        </w:rPr>
        <w:t>ARTÍCULO SEXTO. El Congreso del Estado, dentro de los 60 días naturales posteriores a la entrada en vigor del presente Decreto, incorporará en la Ley Orgánica del Poder Legislativo y/o en su caso del Reglamento Interior del Poder Legislativo, como requisito previo para someter a discusión cualquier proyecto de ley o decreto, solicitar oportunamente y contar con la estimación a que alude la fracción X del artículo 271 y el artículo 271-A del Código Financiero para el Estado de Tlaxcala y sus Municipios.</w:t>
      </w:r>
    </w:p>
    <w:p w14:paraId="5980B60F" w14:textId="77777777" w:rsidR="00D3344B" w:rsidRDefault="00D3344B">
      <w:pPr>
        <w:pStyle w:val="Estilo"/>
        <w:rPr>
          <w:rFonts w:cs="Arial"/>
        </w:rPr>
      </w:pPr>
    </w:p>
    <w:p w14:paraId="39D53258" w14:textId="77777777" w:rsidR="00D3344B" w:rsidRDefault="00143C25">
      <w:pPr>
        <w:pStyle w:val="Estilo"/>
        <w:rPr>
          <w:rFonts w:cs="Arial"/>
        </w:rPr>
      </w:pPr>
      <w:r>
        <w:rPr>
          <w:rFonts w:cs="Arial"/>
        </w:rPr>
        <w:t>ARTÍCULO SÉPTIMO. Las disposiciones relacionadas con el equilibrio presupuestario y la responsabilidad hacendaria a que se refieren los artículos 85, 271, 271-A, 273, 274, 274-A, 274-B, 274-C, 275-A, 275-B, 275-C, 288, 292-A, 294, 299 y 300 del Código Financiero para el Estado de Tlaxcala y sus Municipios, entrarán en vigor para efectos del ejercicio fiscal 2017, con las salvedades previstas en los artículos transitorios Octavo al Décimo Segundo.</w:t>
      </w:r>
    </w:p>
    <w:p w14:paraId="42F92C17" w14:textId="77777777" w:rsidR="00D3344B" w:rsidRDefault="00D3344B">
      <w:pPr>
        <w:pStyle w:val="Estilo"/>
        <w:rPr>
          <w:rFonts w:cs="Arial"/>
        </w:rPr>
      </w:pPr>
    </w:p>
    <w:p w14:paraId="6C1D4B30" w14:textId="77777777" w:rsidR="00D3344B" w:rsidRDefault="00143C25">
      <w:pPr>
        <w:pStyle w:val="Estilo"/>
        <w:rPr>
          <w:rFonts w:cs="Arial"/>
        </w:rPr>
      </w:pPr>
      <w:r>
        <w:rPr>
          <w:rFonts w:cs="Arial"/>
        </w:rPr>
        <w:t>ARTÍCULO OCTAVO. El porcentaje a que hace referencia el artículo 274-C del Código Financiero para el Estado de Tlaxcala y sus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14:paraId="3ADA72AA" w14:textId="77777777" w:rsidR="00D3344B" w:rsidRDefault="00D3344B">
      <w:pPr>
        <w:pStyle w:val="Estilo"/>
        <w:rPr>
          <w:rFonts w:cs="Arial"/>
        </w:rPr>
      </w:pPr>
    </w:p>
    <w:p w14:paraId="696DB1E8" w14:textId="77777777" w:rsidR="00D3344B" w:rsidRDefault="00143C25">
      <w:pPr>
        <w:pStyle w:val="Estilo"/>
        <w:rPr>
          <w:rFonts w:cs="Arial"/>
        </w:rPr>
      </w:pPr>
      <w:r>
        <w:rPr>
          <w:rFonts w:cs="Arial"/>
        </w:rPr>
        <w:lastRenderedPageBreak/>
        <w:t>ARTÍCULO NOVENO. La fracción I del artículo 275-A del Código Financiero para el Estado de Tlaxcala y sus Municipios entrará en vigor para efectos del Presupuesto de Egresos correspondiente al ejercicio fiscal 2018.</w:t>
      </w:r>
    </w:p>
    <w:p w14:paraId="304EFC6E" w14:textId="77777777" w:rsidR="00D3344B" w:rsidRDefault="00D3344B">
      <w:pPr>
        <w:pStyle w:val="Estilo"/>
        <w:rPr>
          <w:rFonts w:cs="Arial"/>
        </w:rPr>
      </w:pPr>
    </w:p>
    <w:p w14:paraId="6136D80F" w14:textId="77777777" w:rsidR="00D3344B" w:rsidRDefault="00143C25">
      <w:pPr>
        <w:pStyle w:val="Estilo"/>
        <w:rPr>
          <w:rFonts w:cs="Arial"/>
        </w:rPr>
      </w:pPr>
      <w:r>
        <w:rPr>
          <w:rFonts w:cs="Arial"/>
        </w:rPr>
        <w:t>Adicionalmente, los servicios personales asociados a seguridad pública y al personal médico, paramédico y afín, estarán exentos del cumplimiento de lo dispuesto en el artículo 275-A del Código Financiero para el Estado de Tlaxcala y sus Municipios hasta el año 2020. En ningún caso, la excepción transitoria deberá considerar personal administrativo.</w:t>
      </w:r>
    </w:p>
    <w:p w14:paraId="100B97F6" w14:textId="77777777" w:rsidR="00D3344B" w:rsidRDefault="00D3344B">
      <w:pPr>
        <w:pStyle w:val="Estilo"/>
        <w:rPr>
          <w:rFonts w:cs="Arial"/>
        </w:rPr>
      </w:pPr>
    </w:p>
    <w:p w14:paraId="27D16A0C" w14:textId="77777777" w:rsidR="00D3344B" w:rsidRDefault="00143C25">
      <w:pPr>
        <w:pStyle w:val="Estilo"/>
        <w:rPr>
          <w:rFonts w:cs="Arial"/>
        </w:rPr>
      </w:pPr>
      <w:r>
        <w:rPr>
          <w:rFonts w:cs="Arial"/>
        </w:rPr>
        <w:t>ARTÍCULO DÉCIMO. El porcentaje a que hace referencia el artículo 275-C del Código Financiero para el Estado de Tlaxcala y sus Municipios, relativo a los adeudos del ejercicio fiscal anterior, para el caso de la Entidad Federativa será del 5 por ciento para el ejercicio 2017, 4 por ciento para el 2018, 3 por ciento para el 2019 y, a partir del 2020 se observará el porcentaje establecido en el artículo citado.</w:t>
      </w:r>
    </w:p>
    <w:p w14:paraId="27DE123F" w14:textId="77777777" w:rsidR="00D3344B" w:rsidRDefault="00D3344B">
      <w:pPr>
        <w:pStyle w:val="Estilo"/>
        <w:rPr>
          <w:rFonts w:cs="Arial"/>
        </w:rPr>
      </w:pPr>
    </w:p>
    <w:p w14:paraId="0D6EC418" w14:textId="77777777" w:rsidR="00D3344B" w:rsidRDefault="00143C25">
      <w:pPr>
        <w:pStyle w:val="Estilo"/>
        <w:rPr>
          <w:rFonts w:cs="Arial"/>
        </w:rPr>
      </w:pPr>
      <w:r>
        <w:rPr>
          <w:rFonts w:cs="Arial"/>
        </w:rPr>
        <w:t>ARTÍCULO DÉCIMO PRIMERO. El registro de proyectos de inversión pública productiva de cada entidad federativa y el sistema de registro y control de las erogaciones de servicios personales, a que se refiere el artículo 288, fracción III, segundo párrafo y el 294, fracción V, segundo párrafo, respectivamente del Código Financiero para el Estado de Tlaxcala y sus Municipios, deberá entrar en operación a más tardar el 1o. de enero de 2018.</w:t>
      </w:r>
    </w:p>
    <w:p w14:paraId="6D6591F3" w14:textId="77777777" w:rsidR="00D3344B" w:rsidRDefault="00D3344B">
      <w:pPr>
        <w:pStyle w:val="Estilo"/>
        <w:rPr>
          <w:rFonts w:cs="Arial"/>
        </w:rPr>
      </w:pPr>
    </w:p>
    <w:p w14:paraId="6C9D112F" w14:textId="77777777" w:rsidR="00D3344B" w:rsidRDefault="00143C25">
      <w:pPr>
        <w:pStyle w:val="Estilo"/>
        <w:rPr>
          <w:rFonts w:cs="Arial"/>
        </w:rPr>
      </w:pPr>
      <w:r>
        <w:rPr>
          <w:rFonts w:cs="Arial"/>
        </w:rPr>
        <w:t>ARTÍCULO DÉCIMO SEGUNDO. Los ingresos excedentes derivados de ingresos de libre disposición a que hace referencia el artículo 299, fracción I del Código Financiero para el Estado de Tlaxcala y sus Municipios, podrán destinarse a reducir el balance presupuestario de recursos disponibles negativo de ejercicios anteriores, a partir de la entrada en vigor de esta Ley y hasta el ejercicio fiscal 2022.</w:t>
      </w:r>
    </w:p>
    <w:p w14:paraId="60A9264B" w14:textId="77777777" w:rsidR="00D3344B" w:rsidRDefault="00D3344B">
      <w:pPr>
        <w:pStyle w:val="Estilo"/>
        <w:rPr>
          <w:rFonts w:cs="Arial"/>
        </w:rPr>
      </w:pPr>
    </w:p>
    <w:p w14:paraId="542EEC94" w14:textId="77777777" w:rsidR="00D3344B" w:rsidRDefault="00143C25">
      <w:pPr>
        <w:pStyle w:val="Estilo"/>
        <w:rPr>
          <w:rFonts w:cs="Arial"/>
        </w:rPr>
      </w:pPr>
      <w:r>
        <w:rPr>
          <w:rFonts w:cs="Arial"/>
        </w:rPr>
        <w:t>En lo correspondiente al último párrafo del artículo 299 del Código Financiero para el Estado de Tlaxcala y sus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14:paraId="2736C1BC" w14:textId="77777777" w:rsidR="00D3344B" w:rsidRDefault="00D3344B">
      <w:pPr>
        <w:pStyle w:val="Estilo"/>
        <w:rPr>
          <w:rFonts w:cs="Arial"/>
        </w:rPr>
      </w:pPr>
    </w:p>
    <w:p w14:paraId="7AB30636" w14:textId="77777777" w:rsidR="00D3344B" w:rsidRDefault="00143C25">
      <w:pPr>
        <w:pStyle w:val="Estilo"/>
        <w:rPr>
          <w:rFonts w:cs="Arial"/>
        </w:rPr>
      </w:pPr>
      <w:r>
        <w:rPr>
          <w:rFonts w:cs="Arial"/>
        </w:rPr>
        <w:t>ARTÍCULO DÉCIMO TERCERO. Las disposiciones relacionadas con el equilibrio presupuestario y la responsabilidad hacendaria de los Municipios a que se refieren los artículos 273 y 274 del Código Financiero para el Estado de Tlaxcala y sus Municipios, entrarán en vigor para efectos del ejercicio fiscal 2018, con las salvedades previstas en los presentes transitorios.</w:t>
      </w:r>
    </w:p>
    <w:p w14:paraId="4102394F" w14:textId="77777777" w:rsidR="00D3344B" w:rsidRDefault="00D3344B">
      <w:pPr>
        <w:pStyle w:val="Estilo"/>
        <w:rPr>
          <w:rFonts w:cs="Arial"/>
        </w:rPr>
      </w:pPr>
    </w:p>
    <w:p w14:paraId="0D5D5090" w14:textId="77777777" w:rsidR="00D3344B" w:rsidRDefault="00143C25">
      <w:pPr>
        <w:pStyle w:val="Estilo"/>
        <w:rPr>
          <w:rFonts w:cs="Arial"/>
        </w:rPr>
      </w:pPr>
      <w:r>
        <w:rPr>
          <w:rFonts w:cs="Arial"/>
        </w:rPr>
        <w:t>ARTÍCULO DÉCIMO CUARTO. El porcentaje a que hace referencia el artículo 275-C del Código Financiero para el Estado de Tlaxcala y sus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14:paraId="4FE85504" w14:textId="77777777" w:rsidR="00D3344B" w:rsidRDefault="00D3344B">
      <w:pPr>
        <w:pStyle w:val="Estilo"/>
        <w:rPr>
          <w:rFonts w:cs="Arial"/>
        </w:rPr>
      </w:pPr>
    </w:p>
    <w:p w14:paraId="1F1256D8" w14:textId="77777777" w:rsidR="00D3344B" w:rsidRDefault="00143C25">
      <w:pPr>
        <w:pStyle w:val="Estilo"/>
        <w:rPr>
          <w:rFonts w:cs="Arial"/>
        </w:rPr>
      </w:pPr>
      <w:r>
        <w:rPr>
          <w:rFonts w:cs="Arial"/>
        </w:rPr>
        <w:t>ARTÍCULO DÉCIMO QUINTO. Los recursos que sean otorgados a través del esquema de los certificados de infraestructura educativa nacional, pertenecientes al Programa Escuelas al CIEN, quedarán exentos del reintegro que deba realizarse a la Tesorería de la Federación, señalado por el artículo 292-A del Código Financiero para el Estado de Tlaxcala y sus Municipios, y estarán a lo dispuesto en dicho programa.</w:t>
      </w:r>
    </w:p>
    <w:p w14:paraId="1D9A4E86" w14:textId="77777777" w:rsidR="00D3344B" w:rsidRDefault="00D3344B">
      <w:pPr>
        <w:pStyle w:val="Estilo"/>
        <w:rPr>
          <w:rFonts w:cs="Arial"/>
        </w:rPr>
      </w:pPr>
    </w:p>
    <w:p w14:paraId="43C32B0B" w14:textId="77777777" w:rsidR="00D3344B" w:rsidRDefault="00143C25">
      <w:pPr>
        <w:pStyle w:val="Estilo"/>
        <w:rPr>
          <w:rFonts w:cs="Arial"/>
        </w:rPr>
      </w:pPr>
      <w:r>
        <w:rPr>
          <w:rFonts w:cs="Arial"/>
        </w:rPr>
        <w:t xml:space="preserve">ARTÍCULO DÉCIMO SEXTO. El Registro Público Único a cargo de la Secretaría de Hacienda y Crédito Público, a que se refiere el artículo 32 de la Ley de Deuda Pública para el Estado de Tlaxcala y sus Municipios, sustituirá al Registro de Obligaciones y Empréstitos de Entidades y Municipios a cargo de la misma Dependencia y entrará en operación, a más tardar el 1o. de abril de 2017; por lo </w:t>
      </w:r>
      <w:proofErr w:type="gramStart"/>
      <w:r>
        <w:rPr>
          <w:rFonts w:cs="Arial"/>
        </w:rPr>
        <w:t>tanto</w:t>
      </w:r>
      <w:proofErr w:type="gramEnd"/>
      <w:r>
        <w:rPr>
          <w:rFonts w:cs="Arial"/>
        </w:rPr>
        <w:t xml:space="preserve"> las obligaciones establecidas en la Ley vinculadas con el mismo, serán aplicables hasta su entrada en operación.</w:t>
      </w:r>
    </w:p>
    <w:p w14:paraId="31571FF6" w14:textId="77777777" w:rsidR="00D3344B" w:rsidRDefault="00D3344B">
      <w:pPr>
        <w:pStyle w:val="Estilo"/>
        <w:rPr>
          <w:rFonts w:cs="Arial"/>
        </w:rPr>
      </w:pPr>
    </w:p>
    <w:p w14:paraId="7671E779" w14:textId="77777777" w:rsidR="00D3344B" w:rsidRDefault="00143C25">
      <w:pPr>
        <w:pStyle w:val="Estilo"/>
        <w:rPr>
          <w:rFonts w:cs="Arial"/>
        </w:rPr>
      </w:pPr>
      <w:r>
        <w:rPr>
          <w:rFonts w:cs="Arial"/>
        </w:rPr>
        <w:t>Los trámites iniciados ante el Registro de Obligaciones y Empréstitos de Entidades y Municipios referido, con anterioridad a la entrada en vigor del Registro Público Único a cargo de la Secretaría de Hacienda y Crédito Público, se llevarán a cabo de conformidad con las disposiciones vigentes en la fecha de inicio del trámite.</w:t>
      </w:r>
    </w:p>
    <w:p w14:paraId="0AC9F543" w14:textId="77777777" w:rsidR="00D3344B" w:rsidRDefault="00D3344B">
      <w:pPr>
        <w:pStyle w:val="Estilo"/>
        <w:rPr>
          <w:rFonts w:cs="Arial"/>
        </w:rPr>
      </w:pPr>
    </w:p>
    <w:p w14:paraId="00D2B8D3" w14:textId="77777777" w:rsidR="00D3344B" w:rsidRDefault="00143C25">
      <w:pPr>
        <w:pStyle w:val="Estilo"/>
        <w:rPr>
          <w:rFonts w:cs="Arial"/>
        </w:rPr>
      </w:pPr>
      <w:r>
        <w:rPr>
          <w:rFonts w:cs="Arial"/>
        </w:rPr>
        <w:t>ARTÍCULO DÉCIMO SÉPTIMO. Todo lo relativo a las Asociaciones Público Privadas, a que refieren los artículos 275-B del Código Financiero para el Estado de Tlaxcala y sus Municipios; y, 5 fracción II, 8 fracción XII, 24-A Y 32 de la Ley de Deuda Pública para el Estado de Tlaxcala y sus Municipios, serán aplicables hasta en tanto existan los ordenamientos jurídicos aplicables.</w:t>
      </w:r>
    </w:p>
    <w:p w14:paraId="2F0933F2" w14:textId="77777777" w:rsidR="00D3344B" w:rsidRDefault="00D3344B">
      <w:pPr>
        <w:pStyle w:val="Estilo"/>
        <w:rPr>
          <w:rFonts w:cs="Arial"/>
        </w:rPr>
      </w:pPr>
    </w:p>
    <w:p w14:paraId="0F1A94B9" w14:textId="77777777" w:rsidR="00D3344B" w:rsidRDefault="00D3344B">
      <w:pPr>
        <w:pStyle w:val="Estilo"/>
        <w:rPr>
          <w:rFonts w:cs="Arial"/>
        </w:rPr>
      </w:pPr>
    </w:p>
    <w:p w14:paraId="09C838F7" w14:textId="77777777" w:rsidR="00D3344B" w:rsidRDefault="00143C25">
      <w:pPr>
        <w:pStyle w:val="Estilo"/>
        <w:rPr>
          <w:rFonts w:cs="Arial"/>
          <w:b/>
        </w:rPr>
      </w:pPr>
      <w:r>
        <w:rPr>
          <w:rFonts w:cs="Arial"/>
          <w:b/>
        </w:rPr>
        <w:t>P.O. 19 DE DICIEMBRE DE 2016.</w:t>
      </w:r>
    </w:p>
    <w:p w14:paraId="613E1CF4" w14:textId="77777777" w:rsidR="00D3344B" w:rsidRDefault="00D3344B">
      <w:pPr>
        <w:pStyle w:val="Estilo"/>
        <w:rPr>
          <w:rFonts w:cs="Arial"/>
        </w:rPr>
      </w:pPr>
    </w:p>
    <w:p w14:paraId="26E9AE32" w14:textId="77777777" w:rsidR="00D3344B" w:rsidRDefault="00143C25">
      <w:pPr>
        <w:pStyle w:val="Estilo"/>
        <w:rPr>
          <w:rFonts w:cs="Arial"/>
        </w:rPr>
      </w:pPr>
      <w:r>
        <w:rPr>
          <w:rFonts w:cs="Arial"/>
        </w:rPr>
        <w:t>[N. DE E. TRANSITORIOS DEL "DECRETO NO. 286.- SE REFORMAN DIVERSAS DISPOSICIONES DEL CÓDIGO FINANCIERO PARA EL ESTADO DE TLAXCALA Y SUS MUNICIPIOS".]</w:t>
      </w:r>
    </w:p>
    <w:p w14:paraId="6DCC8562" w14:textId="77777777" w:rsidR="00D3344B" w:rsidRDefault="00D3344B">
      <w:pPr>
        <w:pStyle w:val="Estilo"/>
        <w:rPr>
          <w:rFonts w:cs="Arial"/>
        </w:rPr>
      </w:pPr>
    </w:p>
    <w:p w14:paraId="5A25FCE8" w14:textId="77777777" w:rsidR="00D3344B" w:rsidRDefault="00143C25">
      <w:pPr>
        <w:pStyle w:val="Estilo"/>
        <w:rPr>
          <w:rFonts w:cs="Arial"/>
        </w:rPr>
      </w:pPr>
      <w:r>
        <w:rPr>
          <w:rFonts w:cs="Arial"/>
        </w:rPr>
        <w:t>PRIMERO. El presente Decreto entrará en vigor el día siguiente al de su publicación en el Periódico Oficial del Gobierno del Estado de Tlaxcala.</w:t>
      </w:r>
    </w:p>
    <w:p w14:paraId="7E64374E" w14:textId="77777777" w:rsidR="00D3344B" w:rsidRDefault="00D3344B">
      <w:pPr>
        <w:pStyle w:val="Estilo"/>
        <w:rPr>
          <w:rFonts w:cs="Arial"/>
        </w:rPr>
      </w:pPr>
    </w:p>
    <w:p w14:paraId="65AAA22C" w14:textId="77777777" w:rsidR="00D3344B" w:rsidRDefault="00143C25">
      <w:pPr>
        <w:pStyle w:val="Estilo"/>
        <w:rPr>
          <w:rFonts w:cs="Arial"/>
        </w:rPr>
      </w:pPr>
      <w:r>
        <w:rPr>
          <w:rFonts w:cs="Arial"/>
        </w:rPr>
        <w:t>SEGUNDO. Se derogan todas las disposiciones que se opongan al presente Decreto.</w:t>
      </w:r>
    </w:p>
    <w:p w14:paraId="5E1C4F1E" w14:textId="77777777" w:rsidR="00D3344B" w:rsidRDefault="00D3344B">
      <w:pPr>
        <w:pStyle w:val="Estilo"/>
        <w:rPr>
          <w:rFonts w:cs="Arial"/>
        </w:rPr>
      </w:pPr>
    </w:p>
    <w:p w14:paraId="7F1429A1" w14:textId="77777777" w:rsidR="00D3344B" w:rsidRDefault="00D3344B">
      <w:pPr>
        <w:pStyle w:val="Estilo"/>
        <w:rPr>
          <w:rFonts w:cs="Arial"/>
        </w:rPr>
      </w:pPr>
    </w:p>
    <w:p w14:paraId="438E0FBB" w14:textId="77777777" w:rsidR="00D3344B" w:rsidRDefault="00143C25">
      <w:pPr>
        <w:pStyle w:val="Estilo"/>
        <w:rPr>
          <w:rFonts w:cs="Arial"/>
          <w:b/>
        </w:rPr>
      </w:pPr>
      <w:r>
        <w:rPr>
          <w:rFonts w:cs="Arial"/>
          <w:b/>
        </w:rPr>
        <w:t>P.O. 30 DE DICIEMBRE DE 2016.</w:t>
      </w:r>
    </w:p>
    <w:p w14:paraId="3BFE57B8" w14:textId="77777777" w:rsidR="00D3344B" w:rsidRDefault="00D3344B">
      <w:pPr>
        <w:pStyle w:val="Estilo"/>
        <w:rPr>
          <w:rFonts w:cs="Arial"/>
        </w:rPr>
      </w:pPr>
    </w:p>
    <w:p w14:paraId="2777FF11" w14:textId="77777777" w:rsidR="00D3344B" w:rsidRDefault="00143C25">
      <w:pPr>
        <w:pStyle w:val="Estilo"/>
        <w:rPr>
          <w:rFonts w:cs="Arial"/>
        </w:rPr>
      </w:pPr>
      <w:r>
        <w:rPr>
          <w:rFonts w:cs="Arial"/>
        </w:rPr>
        <w:t xml:space="preserve">[N. DE E. TRANSITORIOS DEL “DECRETO NO. 304.- POR EL QUE SE REFORMAN, ADICIONAN Y DEROGAN DIVERSAS DISPOSICIONES DEL CÓDIGO CIVIL Y DEL CÓDIGO DE PROCEDIMIENTOS CIVILES AMBOS PARA </w:t>
      </w:r>
      <w:r>
        <w:rPr>
          <w:rFonts w:cs="Arial"/>
        </w:rPr>
        <w:lastRenderedPageBreak/>
        <w:t>EL ESTADO LIBRE Y SOBERANO DE TLAXCALA DEL CÓDIGO FINANCIERO PARA EL ESTADO DE TLAXCALA Y SUS MUNICIPIOS”.]</w:t>
      </w:r>
    </w:p>
    <w:p w14:paraId="4181051E" w14:textId="77777777" w:rsidR="00D3344B" w:rsidRDefault="00D3344B">
      <w:pPr>
        <w:pStyle w:val="Estilo"/>
        <w:rPr>
          <w:rFonts w:cs="Arial"/>
        </w:rPr>
      </w:pPr>
    </w:p>
    <w:p w14:paraId="0DAE36DA"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w:t>
      </w:r>
    </w:p>
    <w:p w14:paraId="6F7B12B3" w14:textId="77777777" w:rsidR="00D3344B" w:rsidRDefault="00D3344B">
      <w:pPr>
        <w:pStyle w:val="Estilo"/>
        <w:rPr>
          <w:rFonts w:cs="Arial"/>
        </w:rPr>
      </w:pPr>
    </w:p>
    <w:p w14:paraId="5F893E22" w14:textId="77777777" w:rsidR="00D3344B" w:rsidRDefault="00143C25">
      <w:pPr>
        <w:pStyle w:val="Estilo"/>
        <w:rPr>
          <w:rFonts w:cs="Arial"/>
        </w:rPr>
      </w:pPr>
      <w:r>
        <w:rPr>
          <w:rFonts w:cs="Arial"/>
        </w:rPr>
        <w:t>ARTÍCULO SEGUNDO. Se derogan todas aquellas disposiciones que contravengan a lo dispuesto en el presente Decreto.</w:t>
      </w:r>
    </w:p>
    <w:p w14:paraId="2F2187C7" w14:textId="77777777" w:rsidR="00D3344B" w:rsidRDefault="00D3344B">
      <w:pPr>
        <w:pStyle w:val="Estilo"/>
        <w:rPr>
          <w:rFonts w:cs="Arial"/>
        </w:rPr>
      </w:pPr>
    </w:p>
    <w:p w14:paraId="3462A693" w14:textId="77777777" w:rsidR="00D3344B" w:rsidRDefault="00143C25">
      <w:pPr>
        <w:pStyle w:val="Estilo"/>
        <w:rPr>
          <w:rFonts w:cs="Arial"/>
        </w:rPr>
      </w:pPr>
      <w:r>
        <w:rPr>
          <w:rFonts w:cs="Arial"/>
        </w:rPr>
        <w:t>ARTÍCULO TERCERO. Con fundamento en lo dispuesto por el artículo 104 fracciones I y XIII de la Ley Orgánica del Poder Legislativo del Estado de Tlaxcala, se instruye al Secretario Parlamentario de esta Soberanía, para que una vez aprobado este Decreto lo notifique, separadamente, al Congreso de la Unión, a las Cámaras de Diputados y de Senadores del Poder Legislativo Federal y al Congreso del Estado del Nayarit, en respuesta a sus respectivos exhortos; así como a la Presidenta de la Comisión Estatal de Derechos Humanos y a la Magistrada Presidenta de la Sala Civil del Tribunal Superior de Justicia del Estado, para conocimiento de lo que se proveyó respecto a sus correspondientes iniciativas.</w:t>
      </w:r>
    </w:p>
    <w:p w14:paraId="479D219B" w14:textId="77777777" w:rsidR="00D3344B" w:rsidRDefault="00D3344B">
      <w:pPr>
        <w:pStyle w:val="Estilo"/>
        <w:rPr>
          <w:rFonts w:cs="Arial"/>
        </w:rPr>
      </w:pPr>
    </w:p>
    <w:p w14:paraId="721F06BB" w14:textId="77777777" w:rsidR="00D3344B" w:rsidRDefault="00D3344B">
      <w:pPr>
        <w:pStyle w:val="Estilo"/>
        <w:rPr>
          <w:rFonts w:cs="Arial"/>
        </w:rPr>
      </w:pPr>
    </w:p>
    <w:p w14:paraId="2B522274" w14:textId="77777777" w:rsidR="00D3344B" w:rsidRDefault="00143C25">
      <w:pPr>
        <w:pStyle w:val="Estilo"/>
        <w:rPr>
          <w:rFonts w:cs="Arial"/>
          <w:b/>
        </w:rPr>
      </w:pPr>
      <w:r>
        <w:rPr>
          <w:rFonts w:cs="Arial"/>
          <w:b/>
        </w:rPr>
        <w:t>P.O. 12 DE JULIO DE 2017.</w:t>
      </w:r>
    </w:p>
    <w:p w14:paraId="090092FC" w14:textId="77777777" w:rsidR="00D3344B" w:rsidRDefault="00D3344B">
      <w:pPr>
        <w:pStyle w:val="Estilo"/>
        <w:rPr>
          <w:rFonts w:cs="Arial"/>
        </w:rPr>
      </w:pPr>
    </w:p>
    <w:p w14:paraId="76139507" w14:textId="77777777" w:rsidR="00D3344B" w:rsidRDefault="00143C25">
      <w:pPr>
        <w:pStyle w:val="Estilo"/>
        <w:rPr>
          <w:rFonts w:cs="Arial"/>
        </w:rPr>
      </w:pPr>
      <w:r>
        <w:rPr>
          <w:rFonts w:cs="Arial"/>
        </w:rPr>
        <w:t>[N. DE E. TRANSITORIOS DEL “DECRETO NO. 21.- SE REFORMAN LOS PÁRRAFOS PRIMERO Y SEGUNDO, Y SE ADICIONA UN PÁRRAFO, PARA SER EL PÁRRAFO SEGUNDO, RECORRIÉNDOSE EL PÁRRAFO SEGUNDO PARA SER EL PÁRRAFO TERCERO, DEL ARTÍCULO 299 DEL CÓDIGO FINANCIERO PARA EL ESTADO DE TLAXCALA Y SUS MUNICIPIOS”.]</w:t>
      </w:r>
    </w:p>
    <w:p w14:paraId="68491252" w14:textId="77777777" w:rsidR="00D3344B" w:rsidRDefault="00D3344B">
      <w:pPr>
        <w:pStyle w:val="Estilo"/>
        <w:rPr>
          <w:rFonts w:cs="Arial"/>
        </w:rPr>
      </w:pPr>
    </w:p>
    <w:p w14:paraId="5650B977"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 salvo lo dispuesto en los artículos transitorios que prevean una entrada en vigor distinta.</w:t>
      </w:r>
    </w:p>
    <w:p w14:paraId="71E7F6B9" w14:textId="77777777" w:rsidR="00D3344B" w:rsidRDefault="00D3344B">
      <w:pPr>
        <w:pStyle w:val="Estilo"/>
        <w:rPr>
          <w:rFonts w:cs="Arial"/>
        </w:rPr>
      </w:pPr>
    </w:p>
    <w:p w14:paraId="6AF11802" w14:textId="77777777" w:rsidR="00D3344B" w:rsidRDefault="00143C25">
      <w:pPr>
        <w:pStyle w:val="Estilo"/>
        <w:rPr>
          <w:rFonts w:cs="Arial"/>
        </w:rPr>
      </w:pPr>
      <w:r>
        <w:rPr>
          <w:rFonts w:cs="Arial"/>
        </w:rPr>
        <w:t>ARTÍCULO SEGUNDO. Se derogan todas las disposiciones que se opongan al presente Decreto.</w:t>
      </w:r>
    </w:p>
    <w:p w14:paraId="3E32E7DB" w14:textId="77777777" w:rsidR="00D3344B" w:rsidRDefault="00D3344B">
      <w:pPr>
        <w:pStyle w:val="Estilo"/>
        <w:rPr>
          <w:rFonts w:cs="Arial"/>
        </w:rPr>
      </w:pPr>
    </w:p>
    <w:p w14:paraId="41F5A263" w14:textId="77777777" w:rsidR="00D3344B" w:rsidRDefault="00143C25">
      <w:pPr>
        <w:pStyle w:val="Estilo"/>
        <w:rPr>
          <w:rFonts w:cs="Arial"/>
        </w:rPr>
      </w:pPr>
      <w:r>
        <w:rPr>
          <w:rFonts w:cs="Arial"/>
        </w:rPr>
        <w:t>ARTÍCULO TERCERO. El Gobierno del Estado por conducto de la Secretaría de Planeación y Finanzas, y cada uno de los Municipios, constituirán dentro de los 60 días naturales posteriores a la entrada en vigor del presente Decreto, los Fondos a que aluden los incisos a) y b), de la fracción II del artículo 299 del Código Financiero para el Estado de Tlaxcala y sus Municipios.</w:t>
      </w:r>
    </w:p>
    <w:p w14:paraId="0763840A" w14:textId="77777777" w:rsidR="00D3344B" w:rsidRDefault="00D3344B">
      <w:pPr>
        <w:pStyle w:val="Estilo"/>
        <w:rPr>
          <w:rFonts w:cs="Arial"/>
        </w:rPr>
      </w:pPr>
    </w:p>
    <w:p w14:paraId="0FCD1F78" w14:textId="77777777" w:rsidR="00D3344B" w:rsidRDefault="00143C25">
      <w:pPr>
        <w:pStyle w:val="Estilo"/>
        <w:rPr>
          <w:rFonts w:cs="Arial"/>
        </w:rPr>
      </w:pPr>
      <w:r>
        <w:rPr>
          <w:rFonts w:cs="Arial"/>
        </w:rPr>
        <w:t xml:space="preserve">ARTÍCULO CUARTO. Las disposiciones relacionadas con el equilibrio presupuestario y la responsabilidad hacendaria a que se refiere el artículo 299 del Código Financiero para el Estado de Tlaxcala y sus Municipios, entrarán en vigor a partir del ejercicio fiscal 2017, con las salvedades previstas en los artículos </w:t>
      </w:r>
      <w:r>
        <w:rPr>
          <w:rFonts w:cs="Arial"/>
        </w:rPr>
        <w:lastRenderedPageBreak/>
        <w:t xml:space="preserve">transitorios Octavo al Décimo Segundo del Decreto 256 publicado en el Periódico Oficial No. 46 Séptima Sección del 16 de </w:t>
      </w:r>
      <w:proofErr w:type="gramStart"/>
      <w:r>
        <w:rPr>
          <w:rFonts w:cs="Arial"/>
        </w:rPr>
        <w:t>Noviembre</w:t>
      </w:r>
      <w:proofErr w:type="gramEnd"/>
      <w:r>
        <w:rPr>
          <w:rFonts w:cs="Arial"/>
        </w:rPr>
        <w:t xml:space="preserve"> del 2016.</w:t>
      </w:r>
    </w:p>
    <w:p w14:paraId="4B3CFC09" w14:textId="77777777" w:rsidR="00D3344B" w:rsidRDefault="00D3344B">
      <w:pPr>
        <w:pStyle w:val="Estilo"/>
        <w:rPr>
          <w:rFonts w:cs="Arial"/>
        </w:rPr>
      </w:pPr>
    </w:p>
    <w:p w14:paraId="7D9DBD02" w14:textId="77777777" w:rsidR="00D3344B" w:rsidRDefault="00D3344B">
      <w:pPr>
        <w:pStyle w:val="Estilo"/>
        <w:rPr>
          <w:rFonts w:cs="Arial"/>
        </w:rPr>
      </w:pPr>
    </w:p>
    <w:p w14:paraId="2768EA77" w14:textId="77777777" w:rsidR="00D3344B" w:rsidRDefault="00143C25">
      <w:pPr>
        <w:pStyle w:val="Estilo"/>
        <w:rPr>
          <w:rFonts w:cs="Arial"/>
          <w:b/>
        </w:rPr>
      </w:pPr>
      <w:r>
        <w:rPr>
          <w:rFonts w:cs="Arial"/>
          <w:b/>
        </w:rPr>
        <w:t>P.O. 3 DE NOVIEMBRE DE 2017.</w:t>
      </w:r>
    </w:p>
    <w:p w14:paraId="7EF7B111" w14:textId="77777777" w:rsidR="00D3344B" w:rsidRDefault="00D3344B">
      <w:pPr>
        <w:pStyle w:val="Estilo"/>
        <w:rPr>
          <w:rFonts w:cs="Arial"/>
        </w:rPr>
      </w:pPr>
    </w:p>
    <w:p w14:paraId="7F50D135" w14:textId="77777777" w:rsidR="00D3344B" w:rsidRDefault="00143C25">
      <w:pPr>
        <w:pStyle w:val="Estilo"/>
        <w:rPr>
          <w:rFonts w:cs="Arial"/>
        </w:rPr>
      </w:pPr>
      <w:r>
        <w:rPr>
          <w:rFonts w:cs="Arial"/>
        </w:rPr>
        <w:t>[N. DE E. TRANSITORIO DEL “DECRETO NO. 45.- SE ADICIONAN LOS PÁRRAFOS CUARTO Y QUINTO AL ARTÍCULO 510, Y UN SEGUNDO PÁRRAFO AL ARTÍCULO 518, AMBOS DEL CÓDIGO FINANCIERO PARA EL ESTADO DE TLAXCALA Y SUS MUNICIPIOS”.]</w:t>
      </w:r>
    </w:p>
    <w:p w14:paraId="5A76DE28" w14:textId="77777777" w:rsidR="00D3344B" w:rsidRDefault="00D3344B">
      <w:pPr>
        <w:pStyle w:val="Estilo"/>
        <w:rPr>
          <w:rFonts w:cs="Arial"/>
        </w:rPr>
      </w:pPr>
    </w:p>
    <w:p w14:paraId="1D3580C5" w14:textId="77777777" w:rsidR="00D3344B" w:rsidRDefault="00143C25">
      <w:pPr>
        <w:pStyle w:val="Estilo"/>
        <w:rPr>
          <w:rFonts w:cs="Arial"/>
        </w:rPr>
      </w:pPr>
      <w:r>
        <w:rPr>
          <w:rFonts w:cs="Arial"/>
        </w:rPr>
        <w:t>ARTÍCULO ÚNICO. El presente Decreto deberá publicarse en el Periódico Oficial del Gobierno del Estado de Tlaxcala y entrará en vigor el día siguiente al de su publicación.</w:t>
      </w:r>
    </w:p>
    <w:p w14:paraId="2899D00C" w14:textId="77777777" w:rsidR="00D3344B" w:rsidRDefault="00D3344B">
      <w:pPr>
        <w:pStyle w:val="Estilo"/>
        <w:rPr>
          <w:rFonts w:cs="Arial"/>
        </w:rPr>
      </w:pPr>
    </w:p>
    <w:p w14:paraId="2FCF24F7" w14:textId="77777777" w:rsidR="00D3344B" w:rsidRDefault="00D3344B">
      <w:pPr>
        <w:pStyle w:val="Estilo"/>
        <w:rPr>
          <w:rFonts w:cs="Arial"/>
        </w:rPr>
      </w:pPr>
    </w:p>
    <w:p w14:paraId="38C9F1F2" w14:textId="77777777" w:rsidR="00D3344B" w:rsidRDefault="00143C25">
      <w:pPr>
        <w:pStyle w:val="Estilo"/>
        <w:rPr>
          <w:rFonts w:cs="Arial"/>
          <w:b/>
        </w:rPr>
      </w:pPr>
      <w:r>
        <w:rPr>
          <w:rFonts w:cs="Arial"/>
          <w:b/>
        </w:rPr>
        <w:t>P.O. 29 DE DICIEMBRE DE 2017.</w:t>
      </w:r>
    </w:p>
    <w:p w14:paraId="36539F11" w14:textId="77777777" w:rsidR="00D3344B" w:rsidRDefault="00D3344B">
      <w:pPr>
        <w:pStyle w:val="Estilo"/>
        <w:rPr>
          <w:rFonts w:cs="Arial"/>
        </w:rPr>
      </w:pPr>
    </w:p>
    <w:p w14:paraId="410A13F6" w14:textId="77777777" w:rsidR="00D3344B" w:rsidRDefault="00143C25">
      <w:pPr>
        <w:pStyle w:val="Estilo"/>
        <w:rPr>
          <w:rFonts w:cs="Arial"/>
        </w:rPr>
      </w:pPr>
      <w:r>
        <w:rPr>
          <w:rFonts w:cs="Arial"/>
        </w:rPr>
        <w:t>[N. DE E. TRANSITORIOS DEL "DECRETO NO. 117.- SE REFORMAN Y ADICIONAN DIVERSAS DISPOSICIONES DEL CÓDIGO FINANCIERO PARA EL ESTADO DE TLAXCALA Y SUS MUNICIPIOS".]</w:t>
      </w:r>
    </w:p>
    <w:p w14:paraId="3AAC9477" w14:textId="77777777" w:rsidR="00D3344B" w:rsidRDefault="00D3344B">
      <w:pPr>
        <w:pStyle w:val="Estilo"/>
        <w:rPr>
          <w:rFonts w:cs="Arial"/>
        </w:rPr>
      </w:pPr>
    </w:p>
    <w:p w14:paraId="09C879BE" w14:textId="77777777" w:rsidR="00D3344B" w:rsidRDefault="00143C25">
      <w:pPr>
        <w:pStyle w:val="Estilo"/>
        <w:rPr>
          <w:rFonts w:cs="Arial"/>
        </w:rPr>
      </w:pPr>
      <w:r>
        <w:rPr>
          <w:rFonts w:cs="Arial"/>
        </w:rPr>
        <w:t>PRIMERO. El presente Decreto deberá publicarse en el Periódico Oficial del Gobierno del Estado de Tlaxcala y entrará en vigor al día siguiente al de su publicación.</w:t>
      </w:r>
    </w:p>
    <w:p w14:paraId="6AF31FB3" w14:textId="77777777" w:rsidR="00D3344B" w:rsidRDefault="00D3344B">
      <w:pPr>
        <w:pStyle w:val="Estilo"/>
        <w:rPr>
          <w:rFonts w:cs="Arial"/>
        </w:rPr>
      </w:pPr>
    </w:p>
    <w:p w14:paraId="0C140047" w14:textId="77777777" w:rsidR="00D3344B" w:rsidRDefault="00143C25">
      <w:pPr>
        <w:pStyle w:val="Estilo"/>
        <w:rPr>
          <w:rFonts w:cs="Arial"/>
        </w:rPr>
      </w:pPr>
      <w:r>
        <w:rPr>
          <w:rFonts w:cs="Arial"/>
        </w:rPr>
        <w:t>SEGUNDO. Por cuanto hace a la elaboración del Presupuesto de Egresos del Estado y los Municipios, el presente decreto entrara en vigor a partir del ejercicio fiscal dos mil diecinueve.</w:t>
      </w:r>
    </w:p>
    <w:p w14:paraId="765B6D25" w14:textId="77777777" w:rsidR="00D3344B" w:rsidRDefault="00D3344B">
      <w:pPr>
        <w:pStyle w:val="Estilo"/>
        <w:rPr>
          <w:rFonts w:cs="Arial"/>
        </w:rPr>
      </w:pPr>
    </w:p>
    <w:p w14:paraId="2C771DFA" w14:textId="77777777" w:rsidR="00D3344B" w:rsidRDefault="00143C25">
      <w:pPr>
        <w:pStyle w:val="Estilo"/>
        <w:rPr>
          <w:rFonts w:cs="Arial"/>
        </w:rPr>
      </w:pPr>
      <w:r>
        <w:rPr>
          <w:rFonts w:cs="Arial"/>
        </w:rPr>
        <w:t>TERCERO. Se deroga cualquier precepto o norma que se oponga a este ordenamiento.</w:t>
      </w:r>
    </w:p>
    <w:p w14:paraId="70C5CB45" w14:textId="77777777" w:rsidR="00D3344B" w:rsidRDefault="00D3344B">
      <w:pPr>
        <w:pStyle w:val="Estilo"/>
        <w:rPr>
          <w:rFonts w:cs="Arial"/>
        </w:rPr>
      </w:pPr>
    </w:p>
    <w:p w14:paraId="6F1412E5" w14:textId="77777777" w:rsidR="00D3344B" w:rsidRDefault="00D3344B">
      <w:pPr>
        <w:pStyle w:val="Estilo"/>
        <w:rPr>
          <w:rFonts w:cs="Arial"/>
        </w:rPr>
      </w:pPr>
    </w:p>
    <w:p w14:paraId="7025CCB5" w14:textId="77777777" w:rsidR="00D3344B" w:rsidRDefault="00143C25">
      <w:pPr>
        <w:pStyle w:val="Estilo"/>
        <w:rPr>
          <w:rFonts w:cs="Arial"/>
          <w:b/>
        </w:rPr>
      </w:pPr>
      <w:r>
        <w:rPr>
          <w:rFonts w:cs="Arial"/>
          <w:b/>
        </w:rPr>
        <w:t>P.O. 31 DE ENERO DE 2019.</w:t>
      </w:r>
    </w:p>
    <w:p w14:paraId="752B1CC8" w14:textId="77777777" w:rsidR="00D3344B" w:rsidRDefault="00D3344B">
      <w:pPr>
        <w:pStyle w:val="Estilo"/>
        <w:rPr>
          <w:rFonts w:cs="Arial"/>
        </w:rPr>
      </w:pPr>
    </w:p>
    <w:p w14:paraId="11FC2D8E" w14:textId="77777777" w:rsidR="00D3344B" w:rsidRDefault="00143C25">
      <w:pPr>
        <w:pStyle w:val="Estilo"/>
        <w:rPr>
          <w:rFonts w:cs="Arial"/>
        </w:rPr>
      </w:pPr>
      <w:r>
        <w:rPr>
          <w:rFonts w:cs="Arial"/>
        </w:rPr>
        <w:t>[N. DE E. TRANSITORIOS DEL "DECRETO NO. 78.- POR EL QUE SE REFORMAN LOS ARTÍCULOS 299 Y 301 DEL CÓDIGO FINANCIERO PARA EL ESTADO DE TLAXCALA Y SUS MUNICIPIOS".]</w:t>
      </w:r>
    </w:p>
    <w:p w14:paraId="126C4EAC" w14:textId="77777777" w:rsidR="00D3344B" w:rsidRDefault="00D3344B">
      <w:pPr>
        <w:pStyle w:val="Estilo"/>
        <w:rPr>
          <w:rFonts w:cs="Arial"/>
        </w:rPr>
      </w:pPr>
    </w:p>
    <w:p w14:paraId="6012C4CB" w14:textId="77777777" w:rsidR="00D3344B" w:rsidRDefault="00143C25">
      <w:pPr>
        <w:pStyle w:val="Estilo"/>
        <w:rPr>
          <w:rFonts w:cs="Arial"/>
        </w:rPr>
      </w:pPr>
      <w:r>
        <w:rPr>
          <w:rFonts w:cs="Arial"/>
        </w:rPr>
        <w:t xml:space="preserve">ARTÍCULO </w:t>
      </w:r>
      <w:proofErr w:type="gramStart"/>
      <w:r>
        <w:rPr>
          <w:rFonts w:cs="Arial"/>
        </w:rPr>
        <w:t>PRIMERO.-</w:t>
      </w:r>
      <w:proofErr w:type="gramEnd"/>
      <w:r>
        <w:rPr>
          <w:rFonts w:cs="Arial"/>
        </w:rPr>
        <w:t xml:space="preserve"> El Presente Decreto entrará en vigor el día siguiente al de su publicación en el Periódico Oficial del Gobierno del Estado de Tlaxcala.</w:t>
      </w:r>
    </w:p>
    <w:p w14:paraId="4B14954F" w14:textId="77777777" w:rsidR="00D3344B" w:rsidRDefault="00D3344B">
      <w:pPr>
        <w:pStyle w:val="Estilo"/>
        <w:rPr>
          <w:rFonts w:cs="Arial"/>
        </w:rPr>
      </w:pPr>
    </w:p>
    <w:p w14:paraId="6FB0D150" w14:textId="77777777" w:rsidR="00D3344B" w:rsidRDefault="00143C25">
      <w:pPr>
        <w:pStyle w:val="Estilo"/>
        <w:rPr>
          <w:rFonts w:cs="Arial"/>
        </w:rPr>
      </w:pPr>
      <w:r>
        <w:rPr>
          <w:rFonts w:cs="Arial"/>
        </w:rPr>
        <w:t xml:space="preserve">ARTÍCULO </w:t>
      </w:r>
      <w:proofErr w:type="gramStart"/>
      <w:r>
        <w:rPr>
          <w:rFonts w:cs="Arial"/>
        </w:rPr>
        <w:t>SEGUNDO.-</w:t>
      </w:r>
      <w:proofErr w:type="gramEnd"/>
      <w:r>
        <w:rPr>
          <w:rFonts w:cs="Arial"/>
        </w:rPr>
        <w:t xml:space="preserve"> Se derogan las disposiciones que se opongan al contenido de este Decreto.</w:t>
      </w:r>
    </w:p>
    <w:p w14:paraId="6D5ACD31" w14:textId="77777777" w:rsidR="00D3344B" w:rsidRDefault="00D3344B">
      <w:pPr>
        <w:pStyle w:val="Estilo"/>
        <w:rPr>
          <w:rFonts w:cs="Arial"/>
        </w:rPr>
      </w:pPr>
    </w:p>
    <w:p w14:paraId="4F7EB6A1" w14:textId="77777777" w:rsidR="00D3344B" w:rsidRDefault="00D3344B">
      <w:pPr>
        <w:pStyle w:val="Estilo"/>
        <w:rPr>
          <w:rFonts w:cs="Arial"/>
        </w:rPr>
      </w:pPr>
    </w:p>
    <w:p w14:paraId="4B3112A2" w14:textId="77777777" w:rsidR="00D3344B" w:rsidRDefault="00143C25">
      <w:pPr>
        <w:pStyle w:val="Estilo"/>
        <w:rPr>
          <w:rFonts w:cs="Arial"/>
          <w:b/>
        </w:rPr>
      </w:pPr>
      <w:r>
        <w:rPr>
          <w:rFonts w:cs="Arial"/>
          <w:b/>
        </w:rPr>
        <w:t>P.O. 16 DE MAYO DE 2019.</w:t>
      </w:r>
    </w:p>
    <w:p w14:paraId="34A4AA04" w14:textId="77777777" w:rsidR="00D3344B" w:rsidRDefault="00D3344B">
      <w:pPr>
        <w:pStyle w:val="Estilo"/>
        <w:rPr>
          <w:rFonts w:cs="Arial"/>
        </w:rPr>
      </w:pPr>
    </w:p>
    <w:p w14:paraId="2C1B3B23" w14:textId="77777777" w:rsidR="00D3344B" w:rsidRDefault="00143C25">
      <w:pPr>
        <w:pStyle w:val="Estilo"/>
        <w:rPr>
          <w:rFonts w:cs="Arial"/>
        </w:rPr>
      </w:pPr>
      <w:r>
        <w:rPr>
          <w:rFonts w:cs="Arial"/>
        </w:rPr>
        <w:t>[N. DE E. TRANSITORIOS DEL "DECRETO NO. 90.- SE REFORMA EL INCISO B) Y SE ADICIONA EL INCISO C) A LA FRACCIÓN X DEL ARTÍCULO 157, Y SE DEROGAN LAS FRACCIONES I, II Y III CON SUS INCISOS DEL ARTÍCULO 163, TODOS DEL CÓDIGO FINANCIERO PARA EL ESTADO DE TLAXCALA Y SUS MUNICIPIOS".]</w:t>
      </w:r>
    </w:p>
    <w:p w14:paraId="2BB885D5" w14:textId="77777777" w:rsidR="00D3344B" w:rsidRDefault="00D3344B">
      <w:pPr>
        <w:pStyle w:val="Estilo"/>
        <w:rPr>
          <w:rFonts w:cs="Arial"/>
        </w:rPr>
      </w:pPr>
    </w:p>
    <w:p w14:paraId="60F3073B" w14:textId="77777777" w:rsidR="00D3344B" w:rsidRDefault="00143C25">
      <w:pPr>
        <w:pStyle w:val="Estilo"/>
        <w:rPr>
          <w:rFonts w:cs="Arial"/>
        </w:rPr>
      </w:pPr>
      <w:r>
        <w:rPr>
          <w:rFonts w:cs="Arial"/>
        </w:rPr>
        <w:t>ARTÍCULO PRIMERO. El presente Decreto entrará en vigor el día siguiente al de su publicación en el Periódico Oficial del Gobierno del Estado de Tlaxcala.</w:t>
      </w:r>
    </w:p>
    <w:p w14:paraId="66694DE1" w14:textId="77777777" w:rsidR="00D3344B" w:rsidRDefault="00D3344B">
      <w:pPr>
        <w:pStyle w:val="Estilo"/>
        <w:rPr>
          <w:rFonts w:cs="Arial"/>
        </w:rPr>
      </w:pPr>
    </w:p>
    <w:p w14:paraId="70DD9CB5" w14:textId="77777777" w:rsidR="00D3344B" w:rsidRDefault="00143C25">
      <w:pPr>
        <w:pStyle w:val="Estilo"/>
        <w:rPr>
          <w:rFonts w:cs="Arial"/>
        </w:rPr>
      </w:pPr>
      <w:r>
        <w:rPr>
          <w:rFonts w:cs="Arial"/>
        </w:rPr>
        <w:t>ARTÍCULO SEGUNDO. Se derogan todas las disposiciones legales que se opongan al contenido del presente Decreto.</w:t>
      </w:r>
    </w:p>
    <w:p w14:paraId="00D1C225" w14:textId="77777777" w:rsidR="00D3344B" w:rsidRDefault="00D3344B">
      <w:pPr>
        <w:pStyle w:val="Estilo"/>
        <w:rPr>
          <w:rFonts w:cs="Arial"/>
        </w:rPr>
      </w:pPr>
    </w:p>
    <w:p w14:paraId="0A11B89F" w14:textId="77777777" w:rsidR="00D3344B" w:rsidRDefault="00D3344B">
      <w:pPr>
        <w:pStyle w:val="Estilo"/>
        <w:rPr>
          <w:rFonts w:cs="Arial"/>
        </w:rPr>
      </w:pPr>
    </w:p>
    <w:p w14:paraId="64E4618F" w14:textId="77777777" w:rsidR="00D3344B" w:rsidRDefault="00143C25">
      <w:pPr>
        <w:pStyle w:val="Estilo"/>
        <w:rPr>
          <w:rFonts w:cs="Arial"/>
          <w:b/>
        </w:rPr>
      </w:pPr>
      <w:r>
        <w:rPr>
          <w:rFonts w:cs="Arial"/>
          <w:b/>
        </w:rPr>
        <w:t>P.O. 16 DE MARZO DE 2021.</w:t>
      </w:r>
    </w:p>
    <w:p w14:paraId="287FA053" w14:textId="77777777" w:rsidR="00D3344B" w:rsidRDefault="00D3344B">
      <w:pPr>
        <w:pStyle w:val="Estilo"/>
        <w:rPr>
          <w:rFonts w:cs="Arial"/>
        </w:rPr>
      </w:pPr>
    </w:p>
    <w:p w14:paraId="43366B91" w14:textId="77777777" w:rsidR="00D3344B" w:rsidRDefault="00143C25">
      <w:pPr>
        <w:pStyle w:val="Estilo"/>
        <w:rPr>
          <w:rFonts w:cs="Arial"/>
        </w:rPr>
      </w:pPr>
      <w:r>
        <w:rPr>
          <w:rFonts w:cs="Arial"/>
        </w:rPr>
        <w:t>[N. DE E. TRANSITORIOS DEL "DECRETO NO. 307.- SE ADICIONAN, DEROGAN Y REFORMAN DIVERSAS DISPOSICIONES DEL CÓDIGO FINANCIERO PARA EL ESTADO DE TLAXCALA Y SUS MUNICIPIOS, Y DE LA LEY DE CATASTRO DEL ESTADO DE TLAXCALA".]</w:t>
      </w:r>
    </w:p>
    <w:p w14:paraId="19C9643B" w14:textId="77777777" w:rsidR="00D3344B" w:rsidRDefault="00D3344B">
      <w:pPr>
        <w:pStyle w:val="Estilo"/>
        <w:rPr>
          <w:rFonts w:cs="Arial"/>
        </w:rPr>
      </w:pPr>
    </w:p>
    <w:p w14:paraId="5E16FB02" w14:textId="77777777" w:rsidR="00D3344B" w:rsidRDefault="00143C25">
      <w:pPr>
        <w:pStyle w:val="Estilo"/>
        <w:rPr>
          <w:rFonts w:cs="Arial"/>
        </w:rPr>
      </w:pPr>
      <w:r>
        <w:rPr>
          <w:rFonts w:cs="Arial"/>
        </w:rPr>
        <w:t>ARTÍCULO PRIMERO. El presente Decreto entrará en vigor al día siguiente de su publicación en el Periódico Oficial del Gobierno del Estado de Tlaxcala.</w:t>
      </w:r>
    </w:p>
    <w:p w14:paraId="32A851D2" w14:textId="77777777" w:rsidR="00D3344B" w:rsidRDefault="00D3344B">
      <w:pPr>
        <w:pStyle w:val="Estilo"/>
        <w:rPr>
          <w:rFonts w:cs="Arial"/>
        </w:rPr>
      </w:pPr>
    </w:p>
    <w:p w14:paraId="7E57B3CF" w14:textId="77777777" w:rsidR="00D3344B" w:rsidRDefault="00143C25">
      <w:pPr>
        <w:pStyle w:val="Estilo"/>
        <w:rPr>
          <w:rFonts w:cs="Arial"/>
        </w:rPr>
      </w:pPr>
      <w:r>
        <w:rPr>
          <w:rFonts w:cs="Arial"/>
        </w:rPr>
        <w:t>ARTÍCULO SEGUNDO. Se derogan todas las disposiciones que se opongan al contendido del presente Decreto previstas tanto en las leyes de ingresos para el ejercicio fiscal dos mil veintiuno, de los sesenta municipios del Estado de Tlaxcala, y en los demás ordenamientos legales.</w:t>
      </w:r>
    </w:p>
    <w:p w14:paraId="059A1A31" w14:textId="77777777" w:rsidR="00D3344B" w:rsidRDefault="00D3344B">
      <w:pPr>
        <w:pStyle w:val="Estilo"/>
        <w:rPr>
          <w:rFonts w:cs="Arial"/>
        </w:rPr>
      </w:pPr>
    </w:p>
    <w:p w14:paraId="03EB855F" w14:textId="77777777" w:rsidR="00D3344B" w:rsidRDefault="00143C25">
      <w:pPr>
        <w:pStyle w:val="Estilo"/>
        <w:rPr>
          <w:rFonts w:cs="Arial"/>
        </w:rPr>
      </w:pPr>
      <w:r>
        <w:rPr>
          <w:rFonts w:cs="Arial"/>
        </w:rPr>
        <w:t>ARTÍCULO TERCERO. A partir de que entre en vigor el presente Decreto, y en los subsecuentes ejercicios fiscales, para el cobro del Impuesto sobre Transmisión de Bienes, se deberá considerar la tasa y la cuota establecidas en los artículos 209 y 209 Bis del Código Financiero para el Estado de Tlaxcala y sus Municipios.</w:t>
      </w:r>
    </w:p>
    <w:p w14:paraId="7D68507F" w14:textId="77777777" w:rsidR="00D3344B" w:rsidRDefault="00D3344B">
      <w:pPr>
        <w:pStyle w:val="Estilo"/>
        <w:rPr>
          <w:rFonts w:cs="Arial"/>
        </w:rPr>
      </w:pPr>
    </w:p>
    <w:p w14:paraId="25E500D0" w14:textId="77777777" w:rsidR="00D3344B" w:rsidRDefault="00143C25">
      <w:pPr>
        <w:pStyle w:val="Estilo"/>
        <w:rPr>
          <w:rFonts w:cs="Arial"/>
        </w:rPr>
      </w:pPr>
      <w:r>
        <w:rPr>
          <w:rFonts w:cs="Arial"/>
        </w:rPr>
        <w:t>Para garantizar el cumplimiento de lo anterior, los Municipios del Estado de Tlaxcala, al proponer al Congreso del Estado sus respectivas leyes de ingresos, por lo que hace al cobro del impuesto referido, deberán ajustarse a la tasa y la cuota establecidas en los artículos 209 y 209 Bis del presente Decreto; por su parte, la Comisión de Finanzas y Fiscalización del Congreso Local, al momento de revisar y dictaminar las respectivas leyes de ingresos, deberá revisar que los municipios se hayan ajustado a dichos numerales.</w:t>
      </w:r>
    </w:p>
    <w:p w14:paraId="5D5CFBF6" w14:textId="77777777" w:rsidR="00D3344B" w:rsidRDefault="00D3344B">
      <w:pPr>
        <w:pStyle w:val="Estilo"/>
        <w:rPr>
          <w:rFonts w:cs="Arial"/>
        </w:rPr>
      </w:pPr>
    </w:p>
    <w:p w14:paraId="533AE262" w14:textId="77777777" w:rsidR="00D3344B" w:rsidRDefault="00143C25">
      <w:pPr>
        <w:pStyle w:val="Estilo"/>
        <w:rPr>
          <w:rFonts w:cs="Arial"/>
        </w:rPr>
      </w:pPr>
      <w:r>
        <w:rPr>
          <w:rFonts w:cs="Arial"/>
        </w:rPr>
        <w:lastRenderedPageBreak/>
        <w:t>ARTÍCULO CUARTO. El Congreso del Estado y el titular del Poder Ejecutivo Local deberán aplicar y cumplir las disposiciones del presente Decreto a partir del Presupuesto de Egresos del Estado de Tlaxcala, para el ejercicio fiscal 2022.</w:t>
      </w:r>
    </w:p>
    <w:p w14:paraId="150BB786" w14:textId="77777777" w:rsidR="00D3344B" w:rsidRDefault="00D3344B">
      <w:pPr>
        <w:pStyle w:val="Estilo"/>
        <w:rPr>
          <w:rFonts w:cs="Arial"/>
        </w:rPr>
      </w:pPr>
    </w:p>
    <w:p w14:paraId="7D8C550F" w14:textId="77777777" w:rsidR="00D3344B" w:rsidRDefault="00D3344B">
      <w:pPr>
        <w:pStyle w:val="Estilo"/>
        <w:rPr>
          <w:rFonts w:cs="Arial"/>
        </w:rPr>
      </w:pPr>
    </w:p>
    <w:p w14:paraId="0BA8284C" w14:textId="77777777" w:rsidR="00D3344B" w:rsidRDefault="00D3344B">
      <w:pPr>
        <w:pStyle w:val="Estilo"/>
        <w:rPr>
          <w:rFonts w:cs="Arial"/>
        </w:rPr>
      </w:pPr>
    </w:p>
    <w:p w14:paraId="4D1EAB39" w14:textId="77777777" w:rsidR="00D3344B" w:rsidRDefault="00D3344B">
      <w:pPr>
        <w:pStyle w:val="Estilo"/>
        <w:rPr>
          <w:rFonts w:cs="Arial"/>
        </w:rPr>
      </w:pPr>
    </w:p>
    <w:p w14:paraId="2C9B8BB7" w14:textId="77777777" w:rsidR="00D3344B" w:rsidRDefault="00143C25">
      <w:pPr>
        <w:pStyle w:val="Estilo"/>
        <w:rPr>
          <w:rFonts w:cs="Arial"/>
          <w:b/>
          <w:bCs/>
        </w:rPr>
      </w:pPr>
      <w:r>
        <w:rPr>
          <w:rFonts w:cs="Arial"/>
          <w:b/>
          <w:bCs/>
        </w:rPr>
        <w:t>P.O. 21 DE JUNIO DE 2021</w:t>
      </w:r>
    </w:p>
    <w:p w14:paraId="664BB56F" w14:textId="77777777" w:rsidR="00D3344B" w:rsidRDefault="00D3344B">
      <w:pPr>
        <w:pStyle w:val="Estilo"/>
        <w:rPr>
          <w:rFonts w:cs="Arial"/>
        </w:rPr>
      </w:pPr>
    </w:p>
    <w:p w14:paraId="017C47E2" w14:textId="77777777" w:rsidR="00D3344B" w:rsidRDefault="00143C25">
      <w:pPr>
        <w:pStyle w:val="Default"/>
        <w:jc w:val="both"/>
        <w:rPr>
          <w:rFonts w:ascii="Arial" w:hAnsi="Arial" w:cs="Arial"/>
        </w:rPr>
      </w:pPr>
      <w:r>
        <w:rPr>
          <w:rFonts w:ascii="Arial" w:hAnsi="Arial" w:cs="Arial"/>
        </w:rPr>
        <w:t xml:space="preserve">[N. DE E. TRANSITORIOS DEL "DECRETO NO. 304.- </w:t>
      </w:r>
      <w:r>
        <w:rPr>
          <w:rFonts w:ascii="Arial" w:hAnsi="Arial" w:cs="Arial"/>
          <w:b/>
          <w:bCs/>
          <w:sz w:val="22"/>
          <w:szCs w:val="22"/>
        </w:rPr>
        <w:t xml:space="preserve">se adicionan: </w:t>
      </w:r>
      <w:r>
        <w:rPr>
          <w:rFonts w:ascii="Arial" w:hAnsi="Arial" w:cs="Arial"/>
          <w:sz w:val="22"/>
          <w:szCs w:val="22"/>
        </w:rPr>
        <w:t xml:space="preserve">las fracciones XLVI y XLVII al artículo 2; un último párrafo al artículo 110; y las fracciones XVI y XVII, así como un último párrafo al artículo 157; </w:t>
      </w:r>
      <w:r>
        <w:rPr>
          <w:rFonts w:ascii="Arial" w:hAnsi="Arial" w:cs="Arial"/>
          <w:b/>
          <w:bCs/>
          <w:sz w:val="22"/>
          <w:szCs w:val="22"/>
        </w:rPr>
        <w:t xml:space="preserve">se derogan: </w:t>
      </w:r>
      <w:r>
        <w:rPr>
          <w:rFonts w:ascii="Arial" w:hAnsi="Arial" w:cs="Arial"/>
          <w:sz w:val="22"/>
          <w:szCs w:val="22"/>
        </w:rPr>
        <w:t xml:space="preserve">el inciso k) de la fracción III, y la fracción V del artículo 160; la fracción II al artículo 162-D; y </w:t>
      </w:r>
      <w:r>
        <w:rPr>
          <w:rFonts w:ascii="Arial" w:hAnsi="Arial" w:cs="Arial"/>
          <w:b/>
          <w:bCs/>
          <w:sz w:val="22"/>
          <w:szCs w:val="22"/>
        </w:rPr>
        <w:t xml:space="preserve">se reforman: </w:t>
      </w:r>
      <w:r>
        <w:rPr>
          <w:rFonts w:ascii="Arial" w:hAnsi="Arial" w:cs="Arial"/>
          <w:sz w:val="22"/>
          <w:szCs w:val="22"/>
        </w:rPr>
        <w:t xml:space="preserve">los artículos 26 y 26-A; los párrafos primero y segundo del artículo 27; el párrafo primero del artículo 37; la fracción I del artículo 48; la fracción IX del artículo 61; la fracción II del artículo 110; los artículos 139 y 147; el párrafo primero del artículo 148; el artículo 151; los incisos a), b), c), d), e), f), g), h) y j) de la fracción I, los incisos a), b), c), d) y e) de la fracción II, los incisos a), b), c), d), e) y g) de la fracción III, los incisos a), b), c), d) y e) de la fracción IV, los incisos a) y c) de la fracción V, los incisos a) y b) de la fracción VI, los incisos a), b), c), d) y e) de la fracción VII; los incisos a), b), c), d) y e) de la fracción VIII, los incisos a), b), c), d) y e) de la fracción IX, los incisos a) y b) de la fracción X, fracción XI, los incisos a), b), c), d), e), f), g), h) e i) de la fracción XII, los incisos a), b), c), d), e), f), g) y h) de la fracción XIII, las fracciones XIV y XV, los incisos a) y b) de la fracción XVI, los incisos a) y b) de la fracción XVII, las fracciones XX, XXI y XXII del artículo 153; la denominación de la Subsección Tercera de la Sección Primera del Capítulo IX, del Título Cuarto, para quedar como “Derechos por los Servicios Prestados por la Secretaría de Planeación y Finanzas”; los incisos a), b), c) y d) de la fracción I y el párrafo primero del artículo 154; el artículo 155; las fracciones I, II, III, IV, los incisos a), b) y c) de la fracción V, la fracción VI, los incisos a), b), c) y d) de la fracción VII, la fracción VIII, los incisos a), b), c), d) y e) de la fracción IX, las fracciones X, XI, XII, XIII, XIV y XV del artículo 157; los artículos 158 y 159; los incisos a) y b) de la fracción I, la fracción II, los incisos a), b), c), d), e), f), g), h), i) y j) de la fracción III, los incisos a), b), c) y d) de la fracción IV, las fracción VI y VII, el inciso a) de la fracción IX del artículo 160; las fracciones I y II, los incisos a), b), c) y d) de la fracción III del artículo 161; las fracciones I y V del artículo 162; las fracciones I, II, IV del artículo 162 B; el artículo 162 C; la fracción I del artículo 162-D; el artículo 162-E; los incisos a), b), c), d) y e) de la fracción I, los incisos a), b), c) y d) de la fracción II, los incisos a) y b) de la fracción III, las fracciones IV, V, VI, VII, VIII, X, XI, XII, XIII, XIV, XV, XVI, XVII, XVIII, XIX, XX, XXI, XXII, XXIII, XXIV, XXV, XXVI, XVII, XXVIII, XXIX y XXX del artículo 162-G; las fracciones I y II, los incisos a) y b) de la fracción III, los inciso a), b), c), d), e), f) y g) de la fracción IV, los incisos a) y d) de la fracción V, los incisos a) y b) de la fracción VI, los incisos a) y b) de la fracción VII del artículo 162-H; los incisos a) y b) de la fracción I, los numerales 1, 2 y 3 del inciso a) de la fracción II, el inciso a) de la fracción III, la fracción IV del artículo 162-I; el inciso a) de la fracción I del artículo 162-J; las fracciones IV, V, VI y VII del artículo 163; los artículos 164, 167 y 168; el párrafo segundo del artículo 187; el artículo 210; el párrafo primero, los incisos a), b) y c) de la fracción I, las fracciones II, III, IV, V, VI, VIII, IX, X, XII, XIII, XIV y XV, los incisos a), b), c), d) e) y f) de la fracción XVI, los incisos a), b), c), d), e) y f) de la fracción XVII del artículo 320; las fracciones I, III, IV, V y VI del artículo 321; el artículo 322; el primer párrafo del artículo 329; la fracción II del artículo 338; el artículo 355; el artículo 359; el párrafo cuarto del artículo 404; </w:t>
      </w:r>
      <w:r>
        <w:rPr>
          <w:rFonts w:ascii="Arial" w:hAnsi="Arial" w:cs="Arial"/>
          <w:color w:val="auto"/>
          <w:sz w:val="22"/>
          <w:szCs w:val="22"/>
        </w:rPr>
        <w:t>párrafo tercero del artículo 462, y el párrafo tercero del artículo 468</w:t>
      </w:r>
      <w:r>
        <w:rPr>
          <w:rFonts w:ascii="Arial" w:hAnsi="Arial" w:cs="Arial"/>
        </w:rPr>
        <w:t>.]</w:t>
      </w:r>
    </w:p>
    <w:p w14:paraId="17DE5370" w14:textId="77777777" w:rsidR="00D3344B" w:rsidRDefault="00D3344B">
      <w:pPr>
        <w:pStyle w:val="Estilo"/>
        <w:rPr>
          <w:rFonts w:cs="Arial"/>
        </w:rPr>
      </w:pPr>
    </w:p>
    <w:p w14:paraId="4733BB37" w14:textId="77777777" w:rsidR="00D3344B" w:rsidRDefault="00143C25">
      <w:pPr>
        <w:pStyle w:val="Default"/>
        <w:rPr>
          <w:rFonts w:ascii="Arial" w:hAnsi="Arial" w:cs="Arial"/>
          <w:sz w:val="22"/>
          <w:szCs w:val="22"/>
        </w:rPr>
      </w:pPr>
      <w:r>
        <w:rPr>
          <w:rFonts w:ascii="Arial" w:hAnsi="Arial" w:cs="Arial"/>
          <w:b/>
          <w:bCs/>
          <w:sz w:val="22"/>
          <w:szCs w:val="22"/>
        </w:rPr>
        <w:t xml:space="preserve">ARTÍCULO PRIMERO. </w:t>
      </w:r>
      <w:r>
        <w:rPr>
          <w:rFonts w:ascii="Arial" w:hAnsi="Arial" w:cs="Arial"/>
          <w:sz w:val="22"/>
          <w:szCs w:val="22"/>
        </w:rPr>
        <w:t xml:space="preserve">El presente Decreto entrará en vigor al día siguiente de su publicación en el Periódico Oficial del Gobierno del Estado de Tlaxcala. </w:t>
      </w:r>
    </w:p>
    <w:p w14:paraId="26A215EB" w14:textId="77777777" w:rsidR="00D3344B" w:rsidRDefault="00D3344B">
      <w:pPr>
        <w:pStyle w:val="Default"/>
        <w:rPr>
          <w:rFonts w:ascii="Arial" w:hAnsi="Arial" w:cs="Arial"/>
          <w:color w:val="auto"/>
        </w:rPr>
      </w:pPr>
    </w:p>
    <w:p w14:paraId="332FADF1" w14:textId="77777777" w:rsidR="00D3344B" w:rsidRDefault="00143C25">
      <w:pPr>
        <w:pStyle w:val="Estilo"/>
        <w:rPr>
          <w:rFonts w:cs="Arial"/>
          <w:sz w:val="22"/>
        </w:rPr>
      </w:pPr>
      <w:r>
        <w:rPr>
          <w:rFonts w:cs="Arial"/>
          <w:b/>
          <w:bCs/>
          <w:sz w:val="22"/>
        </w:rPr>
        <w:t xml:space="preserve">ARTÍCULO SEGUNDO. </w:t>
      </w:r>
      <w:r>
        <w:rPr>
          <w:rFonts w:cs="Arial"/>
          <w:sz w:val="22"/>
        </w:rPr>
        <w:t>Se derogan todas las disposiciones que se opongan al contendido del presente Decreto previstas tanto en las leyes de ingresos para el ejercicio fiscal dos mil veintiuno, de los sesenta municipios del Estado de Tlaxcala, y en los demás ordenamientos legales.</w:t>
      </w:r>
    </w:p>
    <w:p w14:paraId="4730BAA9" w14:textId="77777777" w:rsidR="00D3344B" w:rsidRDefault="00D3344B">
      <w:pPr>
        <w:pStyle w:val="Estilo"/>
        <w:rPr>
          <w:rFonts w:cs="Arial"/>
          <w:sz w:val="22"/>
        </w:rPr>
      </w:pPr>
    </w:p>
    <w:p w14:paraId="3375C381" w14:textId="77777777" w:rsidR="00D3344B" w:rsidRDefault="00D3344B">
      <w:pPr>
        <w:pStyle w:val="Estilo"/>
        <w:rPr>
          <w:rFonts w:cs="Arial"/>
          <w:sz w:val="22"/>
        </w:rPr>
      </w:pPr>
    </w:p>
    <w:p w14:paraId="47DA0B19" w14:textId="77777777" w:rsidR="00D3344B" w:rsidRDefault="00143C25">
      <w:pPr>
        <w:pStyle w:val="Estilo"/>
        <w:rPr>
          <w:rFonts w:cs="Arial"/>
          <w:b/>
          <w:bCs/>
        </w:rPr>
      </w:pPr>
      <w:r>
        <w:rPr>
          <w:rFonts w:cs="Arial"/>
          <w:b/>
          <w:bCs/>
        </w:rPr>
        <w:t>P.O. 22 DE DICIEMBRE DE 2021</w:t>
      </w:r>
    </w:p>
    <w:p w14:paraId="12E892C1" w14:textId="77777777" w:rsidR="00D3344B" w:rsidRDefault="00D3344B">
      <w:pPr>
        <w:pStyle w:val="Estilo"/>
        <w:rPr>
          <w:rFonts w:cs="Arial"/>
          <w:sz w:val="22"/>
        </w:rPr>
      </w:pPr>
    </w:p>
    <w:p w14:paraId="7F52B353" w14:textId="77777777" w:rsidR="00D3344B" w:rsidRDefault="00143C25">
      <w:pPr>
        <w:pStyle w:val="Estilo"/>
        <w:rPr>
          <w:rStyle w:val="markedcontent"/>
          <w:rFonts w:cs="Arial"/>
          <w:sz w:val="22"/>
        </w:rPr>
      </w:pPr>
      <w:r>
        <w:rPr>
          <w:rFonts w:cs="Arial"/>
        </w:rPr>
        <w:t xml:space="preserve">[N. DE E. TRANSITORIOS DEL "DECRETO NO. 63.- </w:t>
      </w:r>
      <w:r>
        <w:rPr>
          <w:rStyle w:val="markedcontent"/>
          <w:rFonts w:cs="Arial"/>
          <w:sz w:val="22"/>
        </w:rPr>
        <w:t>Se reforman: las fracciones VII y XXXII del artículo 2; la fracción I del artículo 5; el párrafo primero del artículo 20-A; la fracción II del artículo 22; el artículo 26-A; la fracción II del artículo 59; el párrafo segundo de la fracción II del artículo 62-A; el artículo 62-B; las fracciones III, IV y VII del artículo 63; el párrafo primero del artículo 65-A; el primer párrafo del artículo 66-A; el artículo 104; la fracción II del artículo 107; el artículo 113; la fracción XVI del artículo 147; la denominación de la Subsección Segunda “Derechos por los Servicios Prestados por la Secretaría de Comunicaciones y Transportes” para quedar como: “Derechos por los Servicios Prestados por la Secretaría de Movilidad y Transporte” de la Sección Primera del Capítulo IX, del Título Cuarto; el párrafo primero del artículo 153; la denominación de la Subsección Tercera “Derechos por los Servicios Prestados por la Secretaría de Planeación y Finanzas”, para quedar como: “Derechos por los Servicios Prestados por la Secretaría de Finanzas” de la Sección Primera, del Capítulo IX,</w:t>
      </w:r>
      <w:r>
        <w:rPr>
          <w:rFonts w:cs="Arial"/>
          <w:sz w:val="22"/>
        </w:rPr>
        <w:t xml:space="preserve"> </w:t>
      </w:r>
      <w:r>
        <w:rPr>
          <w:rStyle w:val="markedcontent"/>
          <w:rFonts w:cs="Arial"/>
          <w:sz w:val="22"/>
        </w:rPr>
        <w:t>del Título Cuarto; el párrafo primero del artículo 154; el párrafo último del artículo 157; la denominación de</w:t>
      </w:r>
      <w:r>
        <w:rPr>
          <w:rFonts w:cs="Arial"/>
          <w:sz w:val="22"/>
        </w:rPr>
        <w:t xml:space="preserve"> </w:t>
      </w:r>
      <w:r>
        <w:rPr>
          <w:rStyle w:val="markedcontent"/>
          <w:rFonts w:cs="Arial"/>
          <w:sz w:val="22"/>
        </w:rPr>
        <w:t>la Subsección Quinta “Derechos por los Servicios Prestados por la Secretaría de Obras Públicas, Desarrollo</w:t>
      </w:r>
      <w:r>
        <w:rPr>
          <w:rFonts w:cs="Arial"/>
          <w:sz w:val="22"/>
        </w:rPr>
        <w:t xml:space="preserve"> </w:t>
      </w:r>
      <w:r>
        <w:rPr>
          <w:rStyle w:val="markedcontent"/>
          <w:rFonts w:cs="Arial"/>
          <w:sz w:val="22"/>
        </w:rPr>
        <w:t>Urbano y Vivienda”, para quedar como: “Derechos por los Servicios Prestados por la Secretaría de</w:t>
      </w:r>
      <w:r>
        <w:rPr>
          <w:rFonts w:cs="Arial"/>
          <w:sz w:val="22"/>
        </w:rPr>
        <w:t xml:space="preserve"> </w:t>
      </w:r>
      <w:r>
        <w:rPr>
          <w:rStyle w:val="markedcontent"/>
          <w:rFonts w:cs="Arial"/>
          <w:sz w:val="22"/>
        </w:rPr>
        <w:t>Infraestructura” de la Sección Primera, del Capítulo IX, del Título Cuarto; el párrafo primero del artículo 159;</w:t>
      </w:r>
      <w:r>
        <w:rPr>
          <w:rFonts w:cs="Arial"/>
          <w:sz w:val="22"/>
        </w:rPr>
        <w:t xml:space="preserve"> </w:t>
      </w:r>
      <w:r>
        <w:rPr>
          <w:rStyle w:val="markedcontent"/>
          <w:rFonts w:cs="Arial"/>
          <w:sz w:val="22"/>
        </w:rPr>
        <w:t>la denominación de la Subsección Sexta “Derechos por los Servicios Prestados por la Coordinación General</w:t>
      </w:r>
      <w:r>
        <w:rPr>
          <w:rFonts w:cs="Arial"/>
          <w:sz w:val="22"/>
        </w:rPr>
        <w:t xml:space="preserve"> </w:t>
      </w:r>
      <w:r>
        <w:rPr>
          <w:rStyle w:val="markedcontent"/>
          <w:rFonts w:cs="Arial"/>
          <w:sz w:val="22"/>
        </w:rPr>
        <w:t>de Ecología”, para quedar como: “Derechos por los Servicios Prestados por la Secretaría de Medio Ambiente”</w:t>
      </w:r>
      <w:r>
        <w:rPr>
          <w:rFonts w:cs="Arial"/>
          <w:sz w:val="22"/>
        </w:rPr>
        <w:t xml:space="preserve"> </w:t>
      </w:r>
      <w:r>
        <w:rPr>
          <w:rStyle w:val="markedcontent"/>
          <w:rFonts w:cs="Arial"/>
          <w:sz w:val="22"/>
        </w:rPr>
        <w:t>de la Sección Primera, del Capítulo IX, del Título Cuarto; el párrafo primero del artículo 160; la fracción I y</w:t>
      </w:r>
      <w:r>
        <w:rPr>
          <w:rFonts w:cs="Arial"/>
          <w:sz w:val="22"/>
        </w:rPr>
        <w:t xml:space="preserve"> </w:t>
      </w:r>
      <w:r>
        <w:rPr>
          <w:rStyle w:val="markedcontent"/>
          <w:rFonts w:cs="Arial"/>
          <w:sz w:val="22"/>
        </w:rPr>
        <w:t>el inciso a) de la fracción III del artículo 161; la denominación de la Subsección Octava “Derechos por los</w:t>
      </w:r>
      <w:r>
        <w:rPr>
          <w:rFonts w:cs="Arial"/>
          <w:sz w:val="22"/>
        </w:rPr>
        <w:t xml:space="preserve"> </w:t>
      </w:r>
      <w:r>
        <w:rPr>
          <w:rStyle w:val="markedcontent"/>
          <w:rFonts w:cs="Arial"/>
          <w:sz w:val="22"/>
        </w:rPr>
        <w:t>Servicios Prestados por la Contraloría del Ejecutivo”, para quedar como: “Derechos por los Servicios Prestados</w:t>
      </w:r>
      <w:r>
        <w:rPr>
          <w:rFonts w:cs="Arial"/>
          <w:sz w:val="22"/>
        </w:rPr>
        <w:t xml:space="preserve"> </w:t>
      </w:r>
      <w:r>
        <w:rPr>
          <w:rStyle w:val="markedcontent"/>
          <w:rFonts w:cs="Arial"/>
          <w:sz w:val="22"/>
        </w:rPr>
        <w:t>por la Secretaría de la Función Pública”, de la Sección Primera del Capítulo IX, del Título Cuarto; el párrafo</w:t>
      </w:r>
      <w:r>
        <w:rPr>
          <w:rFonts w:cs="Arial"/>
          <w:sz w:val="22"/>
        </w:rPr>
        <w:t xml:space="preserve"> </w:t>
      </w:r>
      <w:r>
        <w:rPr>
          <w:rStyle w:val="markedcontent"/>
          <w:rFonts w:cs="Arial"/>
          <w:sz w:val="22"/>
        </w:rPr>
        <w:t>primero y las fracciones I y V del artículo 162; los numerales 1 y 2 del inciso a), inciso b) y párrafo último de</w:t>
      </w:r>
      <w:r>
        <w:rPr>
          <w:rFonts w:cs="Arial"/>
          <w:sz w:val="22"/>
        </w:rPr>
        <w:t xml:space="preserve"> </w:t>
      </w:r>
      <w:r>
        <w:rPr>
          <w:rStyle w:val="markedcontent"/>
          <w:rFonts w:cs="Arial"/>
          <w:sz w:val="22"/>
        </w:rPr>
        <w:t>la fracción III del artículo 162-H; el inciso b) de la fracción V del artículo 168; la fracción III del artículo 248;</w:t>
      </w:r>
      <w:r>
        <w:rPr>
          <w:rFonts w:cs="Arial"/>
          <w:sz w:val="22"/>
        </w:rPr>
        <w:t xml:space="preserve"> </w:t>
      </w:r>
      <w:r>
        <w:rPr>
          <w:rStyle w:val="markedcontent"/>
          <w:rFonts w:cs="Arial"/>
          <w:sz w:val="22"/>
        </w:rPr>
        <w:t>el artículo 251; el párrafo primero del artículo 254; el artículo 263; la fracción X del artículo 271; el párrafo</w:t>
      </w:r>
      <w:r>
        <w:rPr>
          <w:rFonts w:cs="Arial"/>
          <w:sz w:val="22"/>
        </w:rPr>
        <w:t xml:space="preserve"> </w:t>
      </w:r>
      <w:r>
        <w:rPr>
          <w:rStyle w:val="markedcontent"/>
          <w:rFonts w:cs="Arial"/>
          <w:sz w:val="22"/>
        </w:rPr>
        <w:t>primero del artículo 273; el párrafo primero del artículo 274-B; el párrafo primero del artículo 276; el artículo</w:t>
      </w:r>
      <w:r>
        <w:rPr>
          <w:rFonts w:cs="Arial"/>
          <w:sz w:val="22"/>
        </w:rPr>
        <w:t xml:space="preserve"> </w:t>
      </w:r>
      <w:r>
        <w:rPr>
          <w:rStyle w:val="markedcontent"/>
          <w:rFonts w:cs="Arial"/>
          <w:sz w:val="22"/>
        </w:rPr>
        <w:t>282; las fracciones I, II, y III del artículo 283; los párrafos primero y segundo de la fracción III del artículo</w:t>
      </w:r>
      <w:r>
        <w:rPr>
          <w:rFonts w:cs="Arial"/>
          <w:sz w:val="22"/>
        </w:rPr>
        <w:t xml:space="preserve"> </w:t>
      </w:r>
      <w:r>
        <w:rPr>
          <w:rStyle w:val="markedcontent"/>
          <w:rFonts w:cs="Arial"/>
          <w:sz w:val="22"/>
        </w:rPr>
        <w:t>288; la fracción I del artículo 299; los párrafos primero y tercero del artículo 301; el artículo 303; el párrafo</w:t>
      </w:r>
      <w:r>
        <w:rPr>
          <w:rFonts w:cs="Arial"/>
          <w:sz w:val="22"/>
        </w:rPr>
        <w:t xml:space="preserve"> </w:t>
      </w:r>
      <w:r>
        <w:rPr>
          <w:rStyle w:val="markedcontent"/>
          <w:rFonts w:cs="Arial"/>
          <w:sz w:val="22"/>
        </w:rPr>
        <w:t>primero del artículo 304; el párrafo primero y la fracción X del artículo 320; la fracción V del artículo 343; el</w:t>
      </w:r>
      <w:r>
        <w:rPr>
          <w:rFonts w:cs="Arial"/>
          <w:sz w:val="22"/>
        </w:rPr>
        <w:t xml:space="preserve"> </w:t>
      </w:r>
      <w:r>
        <w:rPr>
          <w:rStyle w:val="markedcontent"/>
          <w:rFonts w:cs="Arial"/>
          <w:sz w:val="22"/>
        </w:rPr>
        <w:t>artículo 345; la fracción V del artículo 347; los artículos 353 y 356; el párrafo primero y segundo del artículo</w:t>
      </w:r>
      <w:r>
        <w:rPr>
          <w:rFonts w:cs="Arial"/>
          <w:sz w:val="22"/>
        </w:rPr>
        <w:t xml:space="preserve"> </w:t>
      </w:r>
      <w:r>
        <w:rPr>
          <w:rStyle w:val="markedcontent"/>
          <w:rFonts w:cs="Arial"/>
          <w:sz w:val="22"/>
        </w:rPr>
        <w:t>360; los párrafos primero y quinto del artículo 361; los artículos 362, 363 y 364; el párrafo primero del artículo</w:t>
      </w:r>
      <w:r>
        <w:rPr>
          <w:rFonts w:cs="Arial"/>
          <w:sz w:val="22"/>
        </w:rPr>
        <w:t xml:space="preserve"> </w:t>
      </w:r>
      <w:r>
        <w:rPr>
          <w:rStyle w:val="markedcontent"/>
          <w:rFonts w:cs="Arial"/>
          <w:sz w:val="22"/>
        </w:rPr>
        <w:t>366; la fracción I del artículo 367; la fracción II y párrafo último del artículo 370; el párrafo primero del</w:t>
      </w:r>
      <w:r>
        <w:rPr>
          <w:rFonts w:cs="Arial"/>
          <w:sz w:val="22"/>
        </w:rPr>
        <w:t xml:space="preserve"> </w:t>
      </w:r>
      <w:r>
        <w:rPr>
          <w:rStyle w:val="markedcontent"/>
          <w:rFonts w:cs="Arial"/>
          <w:sz w:val="22"/>
        </w:rPr>
        <w:t>artículo 391; los artículos 392, 394, 397, 399 y 400; el párrafo primero y las fracciones I, II y III y el párrafo</w:t>
      </w:r>
      <w:r>
        <w:rPr>
          <w:rFonts w:cs="Arial"/>
          <w:sz w:val="22"/>
        </w:rPr>
        <w:t xml:space="preserve"> </w:t>
      </w:r>
      <w:r>
        <w:rPr>
          <w:rStyle w:val="markedcontent"/>
          <w:rFonts w:cs="Arial"/>
          <w:sz w:val="22"/>
        </w:rPr>
        <w:t xml:space="preserve">último del artículo 401; los artículos 402 y 403; el párrafo </w:t>
      </w:r>
      <w:r>
        <w:rPr>
          <w:rStyle w:val="markedcontent"/>
          <w:rFonts w:cs="Arial"/>
          <w:sz w:val="22"/>
        </w:rPr>
        <w:lastRenderedPageBreak/>
        <w:t>primero del artículo 412; el artículo 415; el párrafo</w:t>
      </w:r>
      <w:r>
        <w:rPr>
          <w:rFonts w:cs="Arial"/>
          <w:sz w:val="22"/>
        </w:rPr>
        <w:t xml:space="preserve"> </w:t>
      </w:r>
      <w:r>
        <w:rPr>
          <w:rStyle w:val="markedcontent"/>
          <w:rFonts w:cs="Arial"/>
          <w:sz w:val="22"/>
        </w:rPr>
        <w:t>primero del artículo 444; los incisos i) y j) de la fracción I del artículo 503; los artículos 504-B, 505; los</w:t>
      </w:r>
      <w:r>
        <w:rPr>
          <w:rFonts w:cs="Arial"/>
          <w:sz w:val="22"/>
        </w:rPr>
        <w:t xml:space="preserve"> </w:t>
      </w:r>
      <w:r>
        <w:rPr>
          <w:rStyle w:val="markedcontent"/>
          <w:rFonts w:cs="Arial"/>
          <w:sz w:val="22"/>
        </w:rPr>
        <w:t>párrafos tercero y último del artículo 506; los artículos 517 y 522; la fracción I y párrafo segundo de la fracción</w:t>
      </w:r>
      <w:r>
        <w:rPr>
          <w:rFonts w:cs="Arial"/>
          <w:sz w:val="22"/>
        </w:rPr>
        <w:t xml:space="preserve"> </w:t>
      </w:r>
      <w:r>
        <w:rPr>
          <w:rStyle w:val="markedcontent"/>
          <w:rFonts w:cs="Arial"/>
          <w:sz w:val="22"/>
        </w:rPr>
        <w:t>II del artículo 534; Se adicionan: la fracción XLVIII al artículo 2; el párrafo tercero al artículo 49; un párrafo</w:t>
      </w:r>
      <w:r>
        <w:rPr>
          <w:rFonts w:cs="Arial"/>
          <w:sz w:val="22"/>
        </w:rPr>
        <w:t xml:space="preserve"> </w:t>
      </w:r>
      <w:r>
        <w:rPr>
          <w:rStyle w:val="markedcontent"/>
          <w:rFonts w:cs="Arial"/>
          <w:sz w:val="22"/>
        </w:rPr>
        <w:t>segundo a la fracción I del artículo 60; un párrafo último al artículo 61; los párrafos quinto y sexto al artículo</w:t>
      </w:r>
      <w:r>
        <w:rPr>
          <w:rFonts w:cs="Arial"/>
          <w:sz w:val="22"/>
        </w:rPr>
        <w:t xml:space="preserve"> </w:t>
      </w:r>
      <w:r>
        <w:rPr>
          <w:rStyle w:val="markedcontent"/>
          <w:rFonts w:cs="Arial"/>
          <w:sz w:val="22"/>
        </w:rPr>
        <w:t>65-A; la fracción VI al artículo 66-A; los artículos 74-A y 74-B; un párrafo segundo, los incisos a), b) y c), así</w:t>
      </w:r>
      <w:r>
        <w:rPr>
          <w:rFonts w:cs="Arial"/>
          <w:sz w:val="22"/>
        </w:rPr>
        <w:t xml:space="preserve"> </w:t>
      </w:r>
      <w:r>
        <w:rPr>
          <w:rStyle w:val="markedcontent"/>
          <w:rFonts w:cs="Arial"/>
          <w:sz w:val="22"/>
        </w:rPr>
        <w:t>como los párrafos sexto y séptimo al artículo 107; un párrafo último a la fracción XII y las fracciones XXIII y</w:t>
      </w:r>
      <w:r>
        <w:rPr>
          <w:rFonts w:cs="Arial"/>
          <w:sz w:val="22"/>
        </w:rPr>
        <w:t xml:space="preserve"> </w:t>
      </w:r>
      <w:r>
        <w:rPr>
          <w:rStyle w:val="markedcontent"/>
          <w:rFonts w:cs="Arial"/>
          <w:sz w:val="22"/>
        </w:rPr>
        <w:t>XXIV al artículo153; las fracciones XVIII y XIX al artículo 157; la Subsección Quinta Bis denominada “Derechos por los Servicios Prestados por la Secretaría de Ordenamiento Territorial y Vivienda” de la Sección Primera, del Capítulo IX, del Título Cuarto; el artículo 159-A; un párrafo último al artículo 161; los numerales 3 y 4 al inciso a) de la fracción III del artículo 162-H; los párrafos penúltimo y último al artículo 273; los incisos a) y b) a la fracción I, así como los párrafos penúltimo y último al artículo 299; la fracción IV al artículo 318; los párrafos segundo y tercero al artículo 364; un párrafo último al artículo 394; los párrafos segundo, tercero y cuarto al artículo 398; la fracción IV y V al artículo 401; el inciso k) a la fracción I del artículo 503 y los artículos 504-C, 504-D y 504-E; un párrafo segundo al artículo 533; Se derogan: la fracción IV del artículo 20-A; el párrafo segundo de la fracción VII y la fracción VIII del artículo 63; los artículos 68, 69, 70, 71 y 149; las fracciones I y sus incisos a), b), c), d) y e), II, III, V, VI y VII del artículo 159; el artículo 209 Bis, la fracción III del artículo 315; la fracción VI del artículo 347; los artículos 358, 388 y 389; las fracciones I y II del artículo 391; los artículos 395, 396, 404; la fracción IV del artículo 409, y el artículo 503-A todos del Código Financiero para el Estado de Tlaxcala y sus Municipios</w:t>
      </w:r>
    </w:p>
    <w:p w14:paraId="22B686B8" w14:textId="77777777" w:rsidR="00D3344B" w:rsidRDefault="00D3344B">
      <w:pPr>
        <w:pStyle w:val="Estilo"/>
        <w:rPr>
          <w:rStyle w:val="markedcontent"/>
          <w:rFonts w:cs="Arial"/>
          <w:sz w:val="22"/>
        </w:rPr>
      </w:pPr>
    </w:p>
    <w:p w14:paraId="4F5AF538" w14:textId="77777777" w:rsidR="00D3344B" w:rsidRDefault="00143C25">
      <w:pPr>
        <w:pStyle w:val="Estilo"/>
        <w:rPr>
          <w:rFonts w:cs="Arial"/>
          <w:b/>
          <w:bCs/>
          <w:sz w:val="22"/>
        </w:rPr>
      </w:pPr>
      <w:r>
        <w:rPr>
          <w:rFonts w:cs="Arial"/>
          <w:b/>
          <w:bCs/>
          <w:sz w:val="22"/>
        </w:rPr>
        <w:t>TRANSITORIOS</w:t>
      </w:r>
    </w:p>
    <w:p w14:paraId="6F7E3DE8" w14:textId="77777777" w:rsidR="00D3344B" w:rsidRDefault="00D3344B">
      <w:pPr>
        <w:pStyle w:val="Estilo"/>
        <w:rPr>
          <w:rFonts w:cs="Arial"/>
          <w:sz w:val="22"/>
        </w:rPr>
      </w:pPr>
    </w:p>
    <w:p w14:paraId="5919E1F2" w14:textId="77777777" w:rsidR="00D3344B" w:rsidRDefault="00143C25">
      <w:pPr>
        <w:pStyle w:val="Estilo"/>
        <w:rPr>
          <w:rFonts w:cs="Arial"/>
          <w:sz w:val="22"/>
        </w:rPr>
      </w:pPr>
      <w:r>
        <w:rPr>
          <w:rFonts w:cs="Arial"/>
          <w:b/>
          <w:bCs/>
          <w:sz w:val="22"/>
        </w:rPr>
        <w:t>ARTÍCULO PRIMERO.</w:t>
      </w:r>
      <w:r>
        <w:rPr>
          <w:rFonts w:cs="Arial"/>
          <w:sz w:val="22"/>
        </w:rPr>
        <w:t xml:space="preserve"> El presente Decreto entrará en vigor el día hábil siguiente al de su publicación en el Periódico Oficial del Gobierno del Estado de Tlaxcala.</w:t>
      </w:r>
    </w:p>
    <w:p w14:paraId="50FDD3B6" w14:textId="77777777" w:rsidR="00D3344B" w:rsidRDefault="00D3344B">
      <w:pPr>
        <w:pStyle w:val="Estilo"/>
        <w:rPr>
          <w:rFonts w:cs="Arial"/>
          <w:sz w:val="22"/>
        </w:rPr>
      </w:pPr>
    </w:p>
    <w:p w14:paraId="34AFBBF1" w14:textId="77777777" w:rsidR="00D3344B" w:rsidRDefault="00143C25">
      <w:pPr>
        <w:pStyle w:val="Estilo"/>
        <w:rPr>
          <w:rFonts w:cs="Arial"/>
          <w:sz w:val="22"/>
        </w:rPr>
      </w:pPr>
      <w:r>
        <w:rPr>
          <w:rFonts w:cs="Arial"/>
          <w:b/>
          <w:bCs/>
          <w:sz w:val="22"/>
        </w:rPr>
        <w:t xml:space="preserve">ARTÍCULO SEGUNDO. </w:t>
      </w:r>
      <w:r>
        <w:rPr>
          <w:rFonts w:cs="Arial"/>
          <w:sz w:val="22"/>
        </w:rPr>
        <w:t>Se derogan todas aquellas disposiciones que se opongan a este Decreto.</w:t>
      </w:r>
    </w:p>
    <w:p w14:paraId="54C9E9B0" w14:textId="77777777" w:rsidR="00D3344B" w:rsidRDefault="00D3344B">
      <w:pPr>
        <w:pStyle w:val="Estilo"/>
        <w:rPr>
          <w:rFonts w:cs="Arial"/>
          <w:sz w:val="22"/>
        </w:rPr>
      </w:pPr>
    </w:p>
    <w:p w14:paraId="6116D64F" w14:textId="77777777" w:rsidR="00D3344B" w:rsidRDefault="00143C25">
      <w:pPr>
        <w:pStyle w:val="Estilo"/>
        <w:rPr>
          <w:rFonts w:cs="Arial"/>
          <w:sz w:val="22"/>
        </w:rPr>
      </w:pPr>
      <w:r>
        <w:rPr>
          <w:rFonts w:cs="Arial"/>
          <w:b/>
          <w:bCs/>
          <w:sz w:val="22"/>
        </w:rPr>
        <w:t>ARTÍCULO TERCERO.</w:t>
      </w:r>
      <w:r>
        <w:rPr>
          <w:rFonts w:cs="Arial"/>
          <w:sz w:val="22"/>
        </w:rPr>
        <w:t xml:space="preserve"> A partir de que entre en vigor el presente Decreto, para el cobro del Impuesto sobre Transmisión de Bienes Inmuebles, se deberá considerar la tasa y la cuota establecida en el artículo 209 del Código Financiero para el Estado de Tlaxcala y sus Municipios. Lo dispuesto en las Leyes de Ingresos de los 60 Municipios del Estado de Tlaxcala referente al artículo 209 Bis no será aplicable.</w:t>
      </w:r>
    </w:p>
    <w:p w14:paraId="44287894" w14:textId="77777777" w:rsidR="00D3344B" w:rsidRDefault="00D3344B">
      <w:pPr>
        <w:pStyle w:val="Estilo"/>
        <w:rPr>
          <w:rFonts w:cs="Arial"/>
          <w:sz w:val="22"/>
        </w:rPr>
      </w:pPr>
    </w:p>
    <w:p w14:paraId="5FA6A479" w14:textId="77777777" w:rsidR="00D3344B" w:rsidRDefault="00D3344B">
      <w:pPr>
        <w:pStyle w:val="Estilo"/>
        <w:rPr>
          <w:rFonts w:cs="Arial"/>
          <w:sz w:val="22"/>
        </w:rPr>
      </w:pPr>
    </w:p>
    <w:p w14:paraId="1700A694" w14:textId="77777777" w:rsidR="00D3344B" w:rsidRDefault="00143C25">
      <w:pPr>
        <w:pStyle w:val="Estilo"/>
        <w:rPr>
          <w:rFonts w:cs="Arial"/>
          <w:b/>
          <w:bCs/>
        </w:rPr>
      </w:pPr>
      <w:r>
        <w:rPr>
          <w:rFonts w:cs="Arial"/>
          <w:b/>
          <w:bCs/>
        </w:rPr>
        <w:t>P.O. 26 DE DICIEMBRE DE 2022</w:t>
      </w:r>
    </w:p>
    <w:p w14:paraId="0F032F78" w14:textId="77777777" w:rsidR="00D3344B" w:rsidRDefault="00D3344B">
      <w:pPr>
        <w:pStyle w:val="Estilo"/>
        <w:rPr>
          <w:rFonts w:cs="Arial"/>
          <w:b/>
          <w:bCs/>
        </w:rPr>
      </w:pPr>
    </w:p>
    <w:p w14:paraId="0840CED0" w14:textId="77777777" w:rsidR="00D3344B" w:rsidRDefault="00143C25">
      <w:pPr>
        <w:pStyle w:val="Estilo"/>
        <w:rPr>
          <w:rFonts w:cs="Arial"/>
          <w:sz w:val="22"/>
        </w:rPr>
      </w:pPr>
      <w:r>
        <w:rPr>
          <w:rFonts w:cs="Arial"/>
        </w:rPr>
        <w:t xml:space="preserve">[N. DE E. TRANSITORIOS DEL "DECRETO NO. 169.- </w:t>
      </w:r>
      <w:r>
        <w:rPr>
          <w:rFonts w:cs="Arial"/>
          <w:sz w:val="22"/>
        </w:rPr>
        <w:t xml:space="preserve">SE REFORMAN: LOS INCISOS A), B), C) Y D) DE LA FRACCIÓN IV Y LA FRACCIÓN V DEL ARTÍCULO 155; EL INCISO C) DE LA FRACCIÓN V, INCISO C) DE LA FRACCIÓN VII, EL PÁRRAFO PRIMERO DE LA FRACCIÓN XII, Y LAS FRACCIONES XVIII Y XIX DEL ARTÍCULO 157; EL PÁRRAFO PRIMERO DEL ARTÍCULO 158; LAS FRACCIONES I, II Y IV DEL ARTÍCULO 162-B; LAS FRACCIONES IV, VII, XIX Y XXVIII DEL ARTÍCULO 162-G; Y EL PÁRRAFO PRIMERO DEL ARTÍCULO 301; SE ADICIONAN: LA FRACCIÓN III Y SUS INCISOS A), B), C), D), E), F) Y G) DEL ARTÍCULO 154; LA FRACCIÓN VI AL ARTÍCULO 155; LAS FRACCIONES XII BIS, XII TER, XX, XXI, XXII, XXIII, XXIV, XXV, XXVI Y XXVII </w:t>
      </w:r>
      <w:r>
        <w:rPr>
          <w:rFonts w:cs="Arial"/>
          <w:sz w:val="22"/>
        </w:rPr>
        <w:lastRenderedPageBreak/>
        <w:t>AL ARTÍCULO 157; LA FRACCIÓN VIII AL ARTÍCULO 159; Y UN ÚLTIMO PÁRRAFO AL ARTÍCULO 299; SE DEROGAN: EL PÁRRAFO SEGUNDO DE LA FRACCIÓN XII Y SUS INCISOS A), B) Y C) DEL ARTÍCULO 157; LA FRACCIÓN II Y SUS INCISOS A), B) Y C) DEL ARTÍCULO 158 Y LA FRACCIÓN XXIX DEL ARTÍCULO 162 G, TODOS DEL CÓDIGO FINANCIERO PARA EL ESTADO DE TLAXCALA Y SUS MUNICIPIOS”]</w:t>
      </w:r>
    </w:p>
    <w:p w14:paraId="394AA83A" w14:textId="77777777" w:rsidR="00D3344B" w:rsidRDefault="00D3344B">
      <w:pPr>
        <w:pStyle w:val="Estilo"/>
        <w:rPr>
          <w:rFonts w:cs="Arial"/>
          <w:sz w:val="22"/>
        </w:rPr>
      </w:pPr>
    </w:p>
    <w:p w14:paraId="0024886C" w14:textId="77777777" w:rsidR="00D3344B" w:rsidRDefault="00143C25">
      <w:pPr>
        <w:pStyle w:val="Estilo"/>
        <w:rPr>
          <w:rFonts w:cs="Arial"/>
          <w:sz w:val="22"/>
        </w:rPr>
      </w:pPr>
      <w:r>
        <w:rPr>
          <w:rFonts w:cs="Arial"/>
          <w:b/>
          <w:bCs/>
          <w:sz w:val="22"/>
        </w:rPr>
        <w:t>ARTÍCULO PRIMERO.</w:t>
      </w:r>
      <w:r>
        <w:rPr>
          <w:rFonts w:cs="Arial"/>
          <w:sz w:val="22"/>
        </w:rPr>
        <w:t xml:space="preserve"> El presente Decreto entrará en vigor el día hábil siguiente al de su publicación en el Periódico Oficial del Gobierno del Estado de Tlaxcala.</w:t>
      </w:r>
    </w:p>
    <w:p w14:paraId="1492586D" w14:textId="77777777" w:rsidR="00D3344B" w:rsidRDefault="00D3344B">
      <w:pPr>
        <w:pStyle w:val="Estilo"/>
        <w:rPr>
          <w:rFonts w:cs="Arial"/>
          <w:b/>
          <w:bCs/>
          <w:sz w:val="22"/>
        </w:rPr>
      </w:pPr>
    </w:p>
    <w:p w14:paraId="4D570220" w14:textId="77777777" w:rsidR="00D3344B" w:rsidRDefault="00143C25">
      <w:pPr>
        <w:pStyle w:val="Estilo"/>
        <w:rPr>
          <w:rFonts w:cs="Arial"/>
          <w:sz w:val="22"/>
        </w:rPr>
      </w:pPr>
      <w:r>
        <w:rPr>
          <w:rFonts w:cs="Arial"/>
          <w:b/>
          <w:bCs/>
          <w:sz w:val="22"/>
        </w:rPr>
        <w:t>ARTÍCULO SEGUNDO.</w:t>
      </w:r>
      <w:r>
        <w:rPr>
          <w:rFonts w:cs="Arial"/>
          <w:sz w:val="22"/>
        </w:rPr>
        <w:t xml:space="preserve"> Se derogan todas aquellas disposiciones que se opongan a este Decreto.</w:t>
      </w:r>
    </w:p>
    <w:p w14:paraId="1DF95422" w14:textId="77777777" w:rsidR="00D3344B" w:rsidRDefault="00D3344B">
      <w:pPr>
        <w:pStyle w:val="Estilo"/>
        <w:rPr>
          <w:rFonts w:cs="Arial"/>
          <w:sz w:val="22"/>
        </w:rPr>
      </w:pPr>
    </w:p>
    <w:p w14:paraId="011D657C" w14:textId="77777777" w:rsidR="00D3344B" w:rsidRDefault="00D3344B">
      <w:pPr>
        <w:pStyle w:val="Estilo"/>
        <w:rPr>
          <w:rFonts w:cs="Arial"/>
          <w:sz w:val="22"/>
        </w:rPr>
      </w:pPr>
    </w:p>
    <w:p w14:paraId="5FCB0450" w14:textId="77777777" w:rsidR="00D3344B" w:rsidRDefault="00143C25">
      <w:pPr>
        <w:pStyle w:val="Estilo"/>
        <w:rPr>
          <w:rFonts w:cs="Arial"/>
          <w:b/>
          <w:bCs/>
        </w:rPr>
      </w:pPr>
      <w:r>
        <w:rPr>
          <w:rFonts w:cs="Arial"/>
          <w:b/>
          <w:bCs/>
        </w:rPr>
        <w:t>P.O. 03 DE OCTUBRE DE 2023</w:t>
      </w:r>
    </w:p>
    <w:p w14:paraId="0A7148BC" w14:textId="77777777" w:rsidR="00D3344B" w:rsidRDefault="00D3344B">
      <w:pPr>
        <w:pStyle w:val="Estilo"/>
        <w:rPr>
          <w:rFonts w:cs="Arial"/>
          <w:b/>
          <w:bCs/>
        </w:rPr>
      </w:pPr>
    </w:p>
    <w:p w14:paraId="370000CE" w14:textId="77777777" w:rsidR="00D3344B" w:rsidRDefault="00143C25">
      <w:pPr>
        <w:pStyle w:val="Estilo"/>
        <w:rPr>
          <w:rFonts w:cs="Arial"/>
          <w:sz w:val="22"/>
        </w:rPr>
      </w:pPr>
      <w:r>
        <w:rPr>
          <w:rFonts w:cs="Arial"/>
        </w:rPr>
        <w:t xml:space="preserve">[N. DE E. TRANSITORIOS DEL "DECRETO NO. 238: </w:t>
      </w:r>
      <w:r>
        <w:rPr>
          <w:rFonts w:cs="Arial"/>
          <w:sz w:val="22"/>
        </w:rPr>
        <w:t>SE ADICIONA UN ARTÍCULO 41-D AL CÓDIGO FINANCIERO PARA EL ESTADO DE TLAXCALA Y SUS MUNICIPIOS”]</w:t>
      </w:r>
    </w:p>
    <w:p w14:paraId="162BB4A2" w14:textId="77777777" w:rsidR="00D3344B" w:rsidRDefault="00D3344B">
      <w:pPr>
        <w:pStyle w:val="Estilo"/>
        <w:rPr>
          <w:rFonts w:cs="Arial"/>
          <w:sz w:val="22"/>
        </w:rPr>
      </w:pPr>
    </w:p>
    <w:p w14:paraId="25BD5D81" w14:textId="77777777" w:rsidR="00D3344B" w:rsidRDefault="00D3344B">
      <w:pPr>
        <w:pStyle w:val="Estilo"/>
        <w:rPr>
          <w:rFonts w:cs="Arial"/>
          <w:sz w:val="22"/>
        </w:rPr>
      </w:pPr>
    </w:p>
    <w:p w14:paraId="6CB8EF9C" w14:textId="77777777" w:rsidR="00D3344B" w:rsidRDefault="00D3344B">
      <w:pPr>
        <w:pStyle w:val="Estilo"/>
        <w:rPr>
          <w:rFonts w:cs="Arial"/>
          <w:sz w:val="22"/>
        </w:rPr>
      </w:pPr>
    </w:p>
    <w:p w14:paraId="0DCD1408" w14:textId="77777777" w:rsidR="00D3344B" w:rsidRDefault="00143C25">
      <w:pPr>
        <w:pStyle w:val="Estilo"/>
        <w:rPr>
          <w:rFonts w:cs="Arial"/>
          <w:b/>
          <w:bCs/>
        </w:rPr>
      </w:pPr>
      <w:r>
        <w:rPr>
          <w:rFonts w:cs="Arial"/>
          <w:b/>
          <w:bCs/>
        </w:rPr>
        <w:t>P.O. 29 DE NOVIEMBRE DE 2023</w:t>
      </w:r>
    </w:p>
    <w:p w14:paraId="0F86412A" w14:textId="77777777" w:rsidR="00D3344B" w:rsidRDefault="00D3344B">
      <w:pPr>
        <w:pStyle w:val="Estilo"/>
        <w:rPr>
          <w:rFonts w:cs="Arial"/>
          <w:b/>
          <w:bCs/>
        </w:rPr>
      </w:pPr>
    </w:p>
    <w:p w14:paraId="2C7E9BF6" w14:textId="77777777" w:rsidR="00D3344B" w:rsidRDefault="00143C25">
      <w:pPr>
        <w:pStyle w:val="Estilo"/>
        <w:rPr>
          <w:rFonts w:cs="Arial"/>
          <w:sz w:val="22"/>
        </w:rPr>
      </w:pPr>
      <w:r>
        <w:rPr>
          <w:rFonts w:cs="Arial"/>
        </w:rPr>
        <w:t xml:space="preserve">[N. DE E. TRANSITORIOS DEL "DECRETO NO. 279: </w:t>
      </w:r>
      <w:r>
        <w:rPr>
          <w:rFonts w:cs="Arial"/>
          <w:sz w:val="22"/>
        </w:rPr>
        <w:t xml:space="preserve">SE REFORMAN LA FRACCIÓN I DEL ARTÍCULO 5; LOS ARTÍCULOS 39, 49, 57, 93-O Y 112; EL PÁRRAFO PRIMERO DEL ARTÍCULO 147, EL ARTÍCULO 148; LAS FRACCIONES XII BIS, XIV, XVIII Y XX DEL ARTÍCULO 157, LOS ARTÍCULOS 159, 159-A Y 160; LAS FRACCIONES I Y IV DEL ARTÍCULO 162-B; LOS ARTÍCULOS 162-C, 162-D Y 162-E; LA DENOMINACIÓN DE LA SUBSECCIÓN UNDÉCIMA DENOMINADA “DERECHOS POR LOS SERVICIOS PRESTADOS POR LA SECRETARÍA DE GOBIERNO EN MATERIA DE SEGURIDAD PÚBLICA”, DE LA SECCIÓN PRIMERA “DERECHOS POR LOS SERVICIOS PRESTADOS POR DEPENDENCIAS DEL PODER EJECUTIVO”, DEL CAPÍTULO IX “DERECHOS ESTATALES” DEL TÍTULO CUARTO “INGRESOS TRIBUTARIOS DEL ESTADO”, PARA QUEDAR COMO SUBSECCIÓN UNDÉCIMA “DERECHOS POR LOS SERVICIOS PRESTADOS POR LA SECRETARÍA DE SEGURIDAD CIUDADANA”; EL ARTÍCULO 162-H; EL PÁRRAFO PRIMERO Y LA FRACCIÓN IV DEL ARTÍCULO 162-I; LA DENOMINACIÓN DE LA SUBSECCIÓN DECIMOTERCERA DENOMINADA “DERECHOS POR LOS SERVICIOS PRESTADOS POR LA SECRETARÍA DE FOMENTO AGROPECUARIO”, DE LA SECCIÓN PRIMERA “DERECHOS POR LOS SERVICIOS PRESTADOS POR DEPENDENCIAS DEL PODER EJECUTIVO”, DEL CAPÍTULO IX “DERECHOS ESTATALES” DEL TÍTULO CUARTO “INGRESOS TRIBUTARIOS DEL ESTADO”, PARA QUEDAR COMO SUBSECCIÓN DECIMOTERCERA “DERECHOS POR LOS SERVICIOS PRESTADOS POR LA SECRETARÍA DE IMPULSO AGROPECUARIO; EL PÁRRAFO PRIMERO DEL ARTÍCULO 162-J; LA FRACCIÓN IV DEL ARTÍCULO 167; LA FRACCIÓN II, Y LOS INCISOS A) Y B) DE LA FRACCIÓN V DEL ARTÍCULO 168; EL ARTÍCULO 176; EL PÁRRAFO SEGUNDO DEL ARTÍCULO 178; LA FRACCIÓN I DEL ARTÍCULO 196; EL ARTÍCULO 199; EL PÁRRAFO TERCERO DE LA FRACCIÓN I DEL ARTÍCULO 275-A, LA FRACCIÓN III DEL ARTÍCULO 281, LOS ARTÍCULOS 282, 283 Y 284; LA FRACCIÓN VIII DEL ARTÍCULO 320; EL ARTÍCULO 345, EL PÁRRAFO CUARTO DEL ARTÍCULO 348; EL ARTÍCULO 353, LOS PÁRRAFOS SEGUNDO Y TERCERO DEL ARTÍCULO 359; SE ADICIONAN EL PÁRRAFO SEGUNDO AL ARTÍCULO 11; LOS </w:t>
      </w:r>
      <w:r>
        <w:rPr>
          <w:rFonts w:cs="Arial"/>
          <w:sz w:val="22"/>
        </w:rPr>
        <w:lastRenderedPageBreak/>
        <w:t>ARTÍCULOS 39 BIS, 39 TER Y 93-Q; LA FRACCIÓN XVII BIS AL ARTÍCULO 147, LAS FRACCIONES XI BIS Y XXV AL ARTÍCULO 153; LA FRACCIÓN IV AL ARTÍCULO 154; LA SUBSECCIÓN DECIMOCUARTA DENOMINADA “DERECHOS POR LOS SERVICIOS PRESTADOS POR LA COORDINACIÓN DEL BIENESTAR ANIMAL” A LA SECCIÓN PRIMERA “DERECHOS POR LOS SERVICIOS PRESTADOS POR DEPENDENCIAS DEL PODER EJECUTIVO”, DEL CAPÍTULO IX “DERECHOS ESTATALES” DEL TÍTULO CUARTO “INGRESOS TRIBUTARIOS DEL ESTADO”; EL ARTÍCULO 162-K; LA SUBSECCIÓN DECIMOQUINTA DENOMINADA “DERECHOS POR LOS SERVICIOS PRESTADOS POR EL ARCHIVO GENERAL E HISTÓRICO DEL ESTADO DE TLAXCALA” A LA SECCIÓN PRIMERA “DERECHOS POR LOS SERVICIOS PRESTADOS POR DEPENDENCIAS DEL PODER EJECUTIVO”, DEL CAPÍTULO IX “DERECHOS ESTATALES” DEL TÍTULO CUARTO “INGRESOS TRIBUTARIOS DEL ESTADO”; EL ARTÍCULO 162-L; EL INCISO E) A LA FRACCIÓN II, EL NUMERAL 6 AL INCISO A) Y EL NUMERAL 5 AL INCISO B) A LA FRACCIÓN V DEL ARTÍCULO 168; LA FRACCIÓN XVIII AL ARTÍCULO 320; EL INCISO L) A LA FRACCIÓN I AL ARTÍCULO 503, Y SE DEROGAN LOS INCISOS A) Y B) DE LA FRACCIÓN XII BIS, Y LA FRACCIÓN XIX CON SUS INCISOS A) Y B) DEL ARTÍCULO 157; Y EL PÁRRAFO SEGUNDO DEL INCISO D) DE LA FRACCIÓN V DEL ARTÍCULO 162-H, TODOS DEL CÓDIGO FINANCIERO PARA EL ESTADO DE TLAXCALA Y SUS MUNICIPIOS”]</w:t>
      </w:r>
    </w:p>
    <w:p w14:paraId="1031EC95" w14:textId="77777777" w:rsidR="00D3344B" w:rsidRDefault="00D3344B">
      <w:pPr>
        <w:pStyle w:val="Estilo"/>
        <w:rPr>
          <w:rFonts w:cs="Arial"/>
          <w:sz w:val="22"/>
        </w:rPr>
      </w:pPr>
    </w:p>
    <w:p w14:paraId="664DDD27" w14:textId="77777777" w:rsidR="00D3344B" w:rsidRDefault="00D3344B">
      <w:pPr>
        <w:pStyle w:val="Estilo"/>
        <w:rPr>
          <w:rFonts w:cs="Arial"/>
          <w:sz w:val="22"/>
        </w:rPr>
      </w:pPr>
    </w:p>
    <w:p w14:paraId="542A16E1" w14:textId="77777777" w:rsidR="00D3344B" w:rsidRDefault="00143C25">
      <w:pPr>
        <w:pStyle w:val="Estilo"/>
        <w:rPr>
          <w:rFonts w:cs="Arial"/>
          <w:sz w:val="22"/>
        </w:rPr>
      </w:pPr>
      <w:r>
        <w:rPr>
          <w:rFonts w:cs="Arial"/>
          <w:b/>
          <w:bCs/>
          <w:sz w:val="22"/>
        </w:rPr>
        <w:t>ARTÍCULO PRIMERO.</w:t>
      </w:r>
      <w:r>
        <w:rPr>
          <w:rFonts w:cs="Arial"/>
          <w:sz w:val="22"/>
        </w:rPr>
        <w:t xml:space="preserve"> El presente Decreto iniciará su vigencia el día siguiente al de su publicación en el Periódico Oficial del Gobierno del Estado de Tlaxcala.</w:t>
      </w:r>
    </w:p>
    <w:p w14:paraId="6DBC9D49" w14:textId="77777777" w:rsidR="00D3344B" w:rsidRDefault="00D3344B">
      <w:pPr>
        <w:pStyle w:val="Estilo"/>
        <w:rPr>
          <w:rFonts w:cs="Arial"/>
          <w:sz w:val="22"/>
        </w:rPr>
      </w:pPr>
    </w:p>
    <w:p w14:paraId="77EAFAC5" w14:textId="2132C837" w:rsidR="00D3344B" w:rsidRDefault="00143C25">
      <w:pPr>
        <w:pStyle w:val="Estilo"/>
        <w:rPr>
          <w:rFonts w:cs="Arial"/>
          <w:sz w:val="22"/>
        </w:rPr>
      </w:pPr>
      <w:r>
        <w:rPr>
          <w:rFonts w:cs="Arial"/>
          <w:b/>
          <w:bCs/>
          <w:sz w:val="22"/>
        </w:rPr>
        <w:t>ARTÍCULO SEGUNDO.</w:t>
      </w:r>
      <w:r>
        <w:rPr>
          <w:rFonts w:cs="Arial"/>
          <w:sz w:val="22"/>
        </w:rPr>
        <w:t xml:space="preserve"> Se derogan todas aquellas disposiciones que se opongan al presente Decreto.</w:t>
      </w:r>
    </w:p>
    <w:p w14:paraId="3437A705" w14:textId="560F37C4" w:rsidR="001208E3" w:rsidRDefault="001208E3">
      <w:pPr>
        <w:pStyle w:val="Estilo"/>
        <w:rPr>
          <w:rFonts w:cs="Arial"/>
          <w:sz w:val="22"/>
        </w:rPr>
      </w:pPr>
    </w:p>
    <w:p w14:paraId="20DB48F3" w14:textId="178A5797" w:rsidR="001208E3" w:rsidRDefault="001208E3">
      <w:pPr>
        <w:pStyle w:val="Estilo"/>
        <w:rPr>
          <w:rFonts w:cs="Arial"/>
          <w:sz w:val="22"/>
        </w:rPr>
      </w:pPr>
    </w:p>
    <w:p w14:paraId="0EF529B7" w14:textId="7DF295EC" w:rsidR="001208E3" w:rsidRDefault="001208E3" w:rsidP="001208E3">
      <w:pPr>
        <w:pStyle w:val="Estilo"/>
        <w:rPr>
          <w:rFonts w:cs="Arial"/>
          <w:b/>
          <w:bCs/>
        </w:rPr>
      </w:pPr>
      <w:r>
        <w:rPr>
          <w:rFonts w:cs="Arial"/>
          <w:b/>
          <w:bCs/>
        </w:rPr>
        <w:t>P.O. 11 DE ABRIL DE 2024</w:t>
      </w:r>
    </w:p>
    <w:p w14:paraId="6E4E15F6" w14:textId="77777777" w:rsidR="001208E3" w:rsidRDefault="001208E3" w:rsidP="001208E3">
      <w:pPr>
        <w:pStyle w:val="Estilo"/>
        <w:rPr>
          <w:rFonts w:cs="Arial"/>
          <w:b/>
          <w:bCs/>
        </w:rPr>
      </w:pPr>
    </w:p>
    <w:p w14:paraId="44AD7F52" w14:textId="63C2AEE0" w:rsidR="001208E3" w:rsidRDefault="001208E3" w:rsidP="001208E3">
      <w:pPr>
        <w:pStyle w:val="Estilo"/>
        <w:rPr>
          <w:rFonts w:cs="Arial"/>
          <w:sz w:val="22"/>
        </w:rPr>
      </w:pPr>
      <w:r>
        <w:rPr>
          <w:rFonts w:cs="Arial"/>
        </w:rPr>
        <w:t xml:space="preserve">[N. DE E. TRANSITORIOS DEL "DECRETO NO. 332: </w:t>
      </w:r>
      <w:r w:rsidRPr="001208E3">
        <w:rPr>
          <w:rFonts w:cs="Arial"/>
          <w:sz w:val="22"/>
        </w:rPr>
        <w:t>SE REFORMA EL PÁRRAFO SEGUNDO DEL</w:t>
      </w:r>
      <w:r>
        <w:rPr>
          <w:rFonts w:cs="Arial"/>
          <w:sz w:val="22"/>
        </w:rPr>
        <w:t xml:space="preserve"> </w:t>
      </w:r>
      <w:r w:rsidRPr="001208E3">
        <w:rPr>
          <w:rFonts w:cs="Arial"/>
          <w:sz w:val="22"/>
        </w:rPr>
        <w:t>ARTÍCULO 85 DEL CÓDIGO FINANCIERO PARA EL ESTADO</w:t>
      </w:r>
      <w:r>
        <w:rPr>
          <w:rFonts w:cs="Arial"/>
          <w:sz w:val="22"/>
        </w:rPr>
        <w:t xml:space="preserve"> </w:t>
      </w:r>
      <w:r w:rsidRPr="001208E3">
        <w:rPr>
          <w:rFonts w:cs="Arial"/>
          <w:sz w:val="22"/>
        </w:rPr>
        <w:t xml:space="preserve">DE TLAXCALA Y SUS </w:t>
      </w:r>
      <w:proofErr w:type="gramStart"/>
      <w:r w:rsidRPr="001208E3">
        <w:rPr>
          <w:rFonts w:cs="Arial"/>
          <w:sz w:val="22"/>
        </w:rPr>
        <w:t>MUNICIPIOS</w:t>
      </w:r>
      <w:r>
        <w:rPr>
          <w:rFonts w:cs="Arial"/>
          <w:sz w:val="22"/>
        </w:rPr>
        <w:t xml:space="preserve"> ”</w:t>
      </w:r>
      <w:proofErr w:type="gramEnd"/>
      <w:r>
        <w:rPr>
          <w:rFonts w:cs="Arial"/>
          <w:sz w:val="22"/>
        </w:rPr>
        <w:t>]</w:t>
      </w:r>
    </w:p>
    <w:p w14:paraId="6C3465B7" w14:textId="77777777" w:rsidR="001208E3" w:rsidRDefault="001208E3" w:rsidP="001208E3">
      <w:pPr>
        <w:pStyle w:val="Estilo"/>
        <w:rPr>
          <w:rFonts w:cs="Arial"/>
          <w:sz w:val="22"/>
        </w:rPr>
      </w:pPr>
    </w:p>
    <w:p w14:paraId="15FDE224" w14:textId="20B7F8DD" w:rsidR="001208E3" w:rsidRPr="001208E3" w:rsidRDefault="001208E3" w:rsidP="001208E3">
      <w:pPr>
        <w:pStyle w:val="Estilo"/>
        <w:rPr>
          <w:rFonts w:cs="Arial"/>
          <w:sz w:val="22"/>
        </w:rPr>
      </w:pPr>
      <w:r w:rsidRPr="001208E3">
        <w:rPr>
          <w:rFonts w:cs="Arial"/>
          <w:b/>
          <w:bCs/>
          <w:sz w:val="22"/>
        </w:rPr>
        <w:t>ARTÍCULO PRIMERO</w:t>
      </w:r>
      <w:r w:rsidRPr="001208E3">
        <w:rPr>
          <w:rFonts w:cs="Arial"/>
          <w:sz w:val="22"/>
        </w:rPr>
        <w:t>. El presente Decreto</w:t>
      </w:r>
      <w:r>
        <w:rPr>
          <w:rFonts w:cs="Arial"/>
          <w:sz w:val="22"/>
        </w:rPr>
        <w:t xml:space="preserve"> </w:t>
      </w:r>
      <w:r w:rsidRPr="001208E3">
        <w:rPr>
          <w:rFonts w:cs="Arial"/>
          <w:sz w:val="22"/>
        </w:rPr>
        <w:t>entrará en vigor el día siguiente al de su</w:t>
      </w:r>
      <w:r>
        <w:rPr>
          <w:rFonts w:cs="Arial"/>
          <w:sz w:val="22"/>
        </w:rPr>
        <w:t xml:space="preserve"> </w:t>
      </w:r>
      <w:r w:rsidRPr="001208E3">
        <w:rPr>
          <w:rFonts w:cs="Arial"/>
          <w:sz w:val="22"/>
        </w:rPr>
        <w:t>publicación en el Periódico Oficial del Gobierno</w:t>
      </w:r>
      <w:r>
        <w:rPr>
          <w:rFonts w:cs="Arial"/>
          <w:sz w:val="22"/>
        </w:rPr>
        <w:t xml:space="preserve"> </w:t>
      </w:r>
      <w:r w:rsidRPr="001208E3">
        <w:rPr>
          <w:rFonts w:cs="Arial"/>
          <w:sz w:val="22"/>
        </w:rPr>
        <w:t>del Estado de Tlaxcala.</w:t>
      </w:r>
    </w:p>
    <w:p w14:paraId="7636C40B" w14:textId="77777777" w:rsidR="001208E3" w:rsidRDefault="001208E3" w:rsidP="001208E3">
      <w:pPr>
        <w:pStyle w:val="Estilo"/>
        <w:rPr>
          <w:rFonts w:cs="Arial"/>
          <w:sz w:val="22"/>
        </w:rPr>
      </w:pPr>
    </w:p>
    <w:p w14:paraId="314EF002" w14:textId="4D31D6DB" w:rsidR="001208E3" w:rsidRDefault="001208E3" w:rsidP="001208E3">
      <w:pPr>
        <w:pStyle w:val="Estilo"/>
        <w:rPr>
          <w:rFonts w:cs="Arial"/>
          <w:sz w:val="22"/>
        </w:rPr>
      </w:pPr>
      <w:r w:rsidRPr="001208E3">
        <w:rPr>
          <w:rFonts w:cs="Arial"/>
          <w:b/>
          <w:bCs/>
          <w:sz w:val="22"/>
        </w:rPr>
        <w:t>ARTÍCULO SEGUNDO</w:t>
      </w:r>
      <w:r w:rsidRPr="001208E3">
        <w:rPr>
          <w:rFonts w:cs="Arial"/>
          <w:sz w:val="22"/>
        </w:rPr>
        <w:t>. Se derogan todas</w:t>
      </w:r>
      <w:r>
        <w:rPr>
          <w:rFonts w:cs="Arial"/>
          <w:sz w:val="22"/>
        </w:rPr>
        <w:t xml:space="preserve"> </w:t>
      </w:r>
      <w:r w:rsidRPr="001208E3">
        <w:rPr>
          <w:rFonts w:cs="Arial"/>
          <w:sz w:val="22"/>
        </w:rPr>
        <w:t>aquellas disposiciones que se opongan al</w:t>
      </w:r>
      <w:r>
        <w:rPr>
          <w:rFonts w:cs="Arial"/>
          <w:sz w:val="22"/>
        </w:rPr>
        <w:t xml:space="preserve"> </w:t>
      </w:r>
      <w:r w:rsidRPr="001208E3">
        <w:rPr>
          <w:rFonts w:cs="Arial"/>
          <w:sz w:val="22"/>
        </w:rPr>
        <w:t>contenido de este Decreto.</w:t>
      </w:r>
    </w:p>
    <w:p w14:paraId="4D5C6DB7" w14:textId="77777777" w:rsidR="001208E3" w:rsidRDefault="001208E3">
      <w:pPr>
        <w:pStyle w:val="Estilo"/>
        <w:rPr>
          <w:rFonts w:cs="Arial"/>
          <w:sz w:val="22"/>
        </w:rPr>
      </w:pPr>
    </w:p>
    <w:p w14:paraId="348A6B70" w14:textId="3D487F94" w:rsidR="001208E3" w:rsidRDefault="001208E3">
      <w:pPr>
        <w:pStyle w:val="Estilo"/>
        <w:rPr>
          <w:rFonts w:cs="Arial"/>
          <w:sz w:val="22"/>
        </w:rPr>
      </w:pPr>
    </w:p>
    <w:sectPr w:rsidR="001208E3">
      <w:headerReference w:type="default" r:id="rId8"/>
      <w:headerReference w:type="first" r:id="rId9"/>
      <w:pgSz w:w="12240" w:h="15840"/>
      <w:pgMar w:top="1560" w:right="1701" w:bottom="1418" w:left="1701" w:header="709"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750A" w14:textId="77777777" w:rsidR="00143C25" w:rsidRDefault="00143C25">
      <w:pPr>
        <w:spacing w:after="0" w:line="240" w:lineRule="auto"/>
      </w:pPr>
      <w:r>
        <w:separator/>
      </w:r>
    </w:p>
  </w:endnote>
  <w:endnote w:type="continuationSeparator" w:id="0">
    <w:p w14:paraId="77743870" w14:textId="77777777" w:rsidR="00143C25" w:rsidRDefault="0014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4788" w14:textId="77777777" w:rsidR="00143C25" w:rsidRDefault="00143C25">
      <w:pPr>
        <w:spacing w:after="0" w:line="240" w:lineRule="auto"/>
      </w:pPr>
      <w:r>
        <w:separator/>
      </w:r>
    </w:p>
  </w:footnote>
  <w:footnote w:type="continuationSeparator" w:id="0">
    <w:p w14:paraId="5A4B8217" w14:textId="77777777" w:rsidR="00143C25" w:rsidRDefault="00143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07167"/>
      <w:docPartObj>
        <w:docPartGallery w:val="Page Numbers (Top of Page)"/>
        <w:docPartUnique/>
      </w:docPartObj>
    </w:sdtPr>
    <w:sdtEndPr/>
    <w:sdtContent>
      <w:p w14:paraId="5044DD62" w14:textId="77777777" w:rsidR="00D3344B" w:rsidRDefault="00143C25">
        <w:pPr>
          <w:pStyle w:val="Encabezado"/>
          <w:jc w:val="right"/>
        </w:pPr>
        <w:r>
          <w:rPr>
            <w:noProof/>
          </w:rPr>
          <mc:AlternateContent>
            <mc:Choice Requires="wps">
              <w:drawing>
                <wp:anchor distT="19050" distB="104775" distL="76200" distR="47625" simplePos="0" relativeHeight="167" behindDoc="1" locked="0" layoutInCell="0" allowOverlap="1" wp14:anchorId="45F3EF11" wp14:editId="3BDAA3E1">
                  <wp:simplePos x="0" y="0"/>
                  <wp:positionH relativeFrom="column">
                    <wp:posOffset>4824399</wp:posOffset>
                  </wp:positionH>
                  <wp:positionV relativeFrom="paragraph">
                    <wp:posOffset>-167281</wp:posOffset>
                  </wp:positionV>
                  <wp:extent cx="8890" cy="600075"/>
                  <wp:effectExtent l="5080" t="5080" r="5080" b="5080"/>
                  <wp:wrapNone/>
                  <wp:docPr id="1" name="Conector recto 5"/>
                  <wp:cNvGraphicFramePr/>
                  <a:graphic xmlns:a="http://schemas.openxmlformats.org/drawingml/2006/main">
                    <a:graphicData uri="http://schemas.microsoft.com/office/word/2010/wordprocessingShape">
                      <wps:wsp>
                        <wps:cNvCnPr/>
                        <wps:spPr>
                          <a:xfrm>
                            <a:off x="0" y="0"/>
                            <a:ext cx="8890" cy="600075"/>
                          </a:xfrm>
                          <a:prstGeom prst="line">
                            <a:avLst/>
                          </a:prstGeom>
                          <a:ln>
                            <a:solidFill>
                              <a:srgbClr val="FFFFFF">
                                <a:lumMod val="65000"/>
                              </a:srgb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17E832" id="Conector recto 5" o:spid="_x0000_s1026" style="position:absolute;z-index:-503316313;visibility:visible;mso-wrap-style:square;mso-wrap-distance-left:6pt;mso-wrap-distance-top:1.5pt;mso-wrap-distance-right:3.75pt;mso-wrap-distance-bottom:8.25pt;mso-position-horizontal:absolute;mso-position-horizontal-relative:text;mso-position-vertical:absolute;mso-position-vertical-relative:text" from="379.85pt,-13.15pt" to="380.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" o:allowincell="f" strokecolor="#a6a6a6"/>
              </w:pict>
            </mc:Fallback>
          </mc:AlternateContent>
        </w:r>
        <w:r>
          <w:rPr>
            <w:rFonts w:ascii="Arial" w:hAnsi="Arial" w:cs="Arial"/>
            <w:sz w:val="14"/>
            <w:szCs w:val="14"/>
          </w:rPr>
          <w:t xml:space="preserve">CÓDIGO FINANCIERO PARA EL ESTADO DE TLAXCALA Y SUS MUNICIPIOS                       Pág.     </w:t>
        </w:r>
        <w:r>
          <w:t xml:space="preserve"> </w:t>
        </w:r>
        <w:r>
          <w:fldChar w:fldCharType="begin"/>
        </w:r>
        <w:r>
          <w:instrText xml:space="preserve"> PAGE </w:instrText>
        </w:r>
        <w:r>
          <w:fldChar w:fldCharType="separate"/>
        </w:r>
        <w:r>
          <w:t>162</w:t>
        </w:r>
        <w:r>
          <w:fldChar w:fldCharType="end"/>
        </w:r>
      </w:p>
    </w:sdtContent>
  </w:sdt>
  <w:p w14:paraId="7CEDE339" w14:textId="77777777" w:rsidR="00D3344B" w:rsidRDefault="00D334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DC41" w14:textId="77777777" w:rsidR="00D3344B" w:rsidRDefault="00143C25">
    <w:pPr>
      <w:pStyle w:val="Encabezado"/>
      <w:tabs>
        <w:tab w:val="clear" w:pos="4680"/>
        <w:tab w:val="clear" w:pos="9360"/>
      </w:tabs>
      <w:ind w:right="1892"/>
      <w:jc w:val="right"/>
      <w:rPr>
        <w:rFonts w:ascii="Arial" w:hAnsi="Arial" w:cs="Arial"/>
        <w:sz w:val="14"/>
        <w:szCs w:val="14"/>
      </w:rPr>
    </w:pPr>
    <w:r>
      <w:rPr>
        <w:noProof/>
      </w:rPr>
      <mc:AlternateContent>
        <mc:Choice Requires="wps">
          <w:drawing>
            <wp:anchor distT="19050" distB="104775" distL="76200" distR="47625" simplePos="0" relativeHeight="2" behindDoc="1" locked="0" layoutInCell="0" allowOverlap="1" wp14:anchorId="0D672444" wp14:editId="48E70883">
              <wp:simplePos x="0" y="0"/>
              <wp:positionH relativeFrom="column">
                <wp:posOffset>4785360</wp:posOffset>
              </wp:positionH>
              <wp:positionV relativeFrom="paragraph">
                <wp:posOffset>-249555</wp:posOffset>
              </wp:positionV>
              <wp:extent cx="8890" cy="600075"/>
              <wp:effectExtent l="5080" t="5080" r="5080" b="5080"/>
              <wp:wrapNone/>
              <wp:docPr id="2" name="Conector recto 3"/>
              <wp:cNvGraphicFramePr/>
              <a:graphic xmlns:a="http://schemas.openxmlformats.org/drawingml/2006/main">
                <a:graphicData uri="http://schemas.microsoft.com/office/word/2010/wordprocessingShape">
                  <wps:wsp>
                    <wps:cNvCnPr/>
                    <wps:spPr>
                      <a:xfrm>
                        <a:off x="0" y="0"/>
                        <a:ext cx="9000" cy="600120"/>
                      </a:xfrm>
                      <a:prstGeom prst="line">
                        <a:avLst/>
                      </a:prstGeom>
                      <a:ln>
                        <a:solidFill>
                          <a:srgbClr val="FFFFFF">
                            <a:lumMod val="65000"/>
                          </a:srgb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76.8pt,-19.65pt" to="377.45pt,27.55pt" ID="Conector recto 3" stroked="t" o:allowincell="f" style="position:absolute" wp14:anchorId="646BB401">
              <v:stroke color="#a6a6a6" weight="9360" joinstyle="round" endcap="flat"/>
              <v:fill o:detectmouseclick="t" on="false"/>
              <w10:wrap type="none"/>
            </v:line>
          </w:pict>
        </mc:Fallback>
      </mc:AlternateContent>
    </w:r>
    <w:r>
      <w:rPr>
        <w:noProof/>
      </w:rPr>
      <w:drawing>
        <wp:anchor distT="0" distB="0" distL="0" distR="0" simplePos="0" relativeHeight="168" behindDoc="1" locked="0" layoutInCell="0" allowOverlap="1" wp14:anchorId="623E7230" wp14:editId="10AF8B29">
          <wp:simplePos x="0" y="0"/>
          <wp:positionH relativeFrom="column">
            <wp:posOffset>4985385</wp:posOffset>
          </wp:positionH>
          <wp:positionV relativeFrom="paragraph">
            <wp:posOffset>-116840</wp:posOffset>
          </wp:positionV>
          <wp:extent cx="1209675" cy="360680"/>
          <wp:effectExtent l="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ascii="Arial" w:hAnsi="Arial" w:cs="Arial"/>
        <w:sz w:val="14"/>
        <w:szCs w:val="14"/>
      </w:rPr>
      <w:t xml:space="preserve"> CÓDIGO FINANCIERO PARA EL ESTADO DE TLAXCALA Y SUS MUNICIPIOS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FF"/>
    <w:multiLevelType w:val="multilevel"/>
    <w:tmpl w:val="1D00D73A"/>
    <w:lvl w:ilvl="0">
      <w:start w:val="1"/>
      <w:numFmt w:val="lowerLetter"/>
      <w:lvlText w:val="%1)"/>
      <w:lvlJc w:val="left"/>
      <w:pPr>
        <w:tabs>
          <w:tab w:val="num" w:pos="0"/>
        </w:tabs>
        <w:ind w:left="1144" w:hanging="4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2133B41"/>
    <w:multiLevelType w:val="multilevel"/>
    <w:tmpl w:val="CEAE82F0"/>
    <w:lvl w:ilvl="0">
      <w:start w:val="1"/>
      <w:numFmt w:val="bullet"/>
      <w:pStyle w:val="Listaconvietas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7123A6"/>
    <w:multiLevelType w:val="multilevel"/>
    <w:tmpl w:val="90C07E8A"/>
    <w:lvl w:ilvl="0">
      <w:start w:val="1"/>
      <w:numFmt w:val="upperRoman"/>
      <w:lvlText w:val="%1."/>
      <w:lvlJc w:val="left"/>
      <w:pPr>
        <w:tabs>
          <w:tab w:val="num" w:pos="0"/>
        </w:tabs>
        <w:ind w:left="830" w:hanging="708"/>
      </w:pPr>
      <w:rPr>
        <w:rFonts w:ascii="Times New Roman" w:eastAsia="Times New Roman" w:hAnsi="Times New Roman" w:cs="Times New Roman"/>
        <w:b w:val="0"/>
        <w:bCs w:val="0"/>
        <w:i w:val="0"/>
        <w:iCs w:val="0"/>
        <w:spacing w:val="-2"/>
        <w:w w:val="100"/>
        <w:sz w:val="22"/>
        <w:szCs w:val="22"/>
        <w:lang w:val="es-ES" w:eastAsia="en-US" w:bidi="ar-SA"/>
      </w:rPr>
    </w:lvl>
    <w:lvl w:ilvl="1">
      <w:start w:val="1"/>
      <w:numFmt w:val="upperRoman"/>
      <w:lvlText w:val="%2."/>
      <w:lvlJc w:val="left"/>
      <w:pPr>
        <w:tabs>
          <w:tab w:val="num" w:pos="0"/>
        </w:tabs>
        <w:ind w:left="1202" w:hanging="720"/>
      </w:pPr>
      <w:rPr>
        <w:rFonts w:ascii="Times New Roman" w:eastAsia="Times New Roman" w:hAnsi="Times New Roman" w:cs="Times New Roman"/>
        <w:b w:val="0"/>
        <w:bCs w:val="0"/>
        <w:i w:val="0"/>
        <w:iCs w:val="0"/>
        <w:spacing w:val="-2"/>
        <w:w w:val="100"/>
        <w:sz w:val="22"/>
        <w:szCs w:val="22"/>
        <w:lang w:val="es-ES" w:eastAsia="en-US" w:bidi="ar-SA"/>
      </w:rPr>
    </w:lvl>
    <w:lvl w:ilvl="2">
      <w:start w:val="1"/>
      <w:numFmt w:val="lowerLetter"/>
      <w:lvlText w:val="%3)"/>
      <w:lvlJc w:val="left"/>
      <w:pPr>
        <w:tabs>
          <w:tab w:val="num" w:pos="0"/>
        </w:tabs>
        <w:ind w:left="830" w:hanging="708"/>
      </w:pPr>
      <w:rPr>
        <w:rFonts w:ascii="Times New Roman" w:eastAsia="Times New Roman" w:hAnsi="Times New Roman" w:cs="Times New Roman"/>
        <w:b w:val="0"/>
        <w:bCs w:val="0"/>
        <w:i w:val="0"/>
        <w:iCs w:val="0"/>
        <w:spacing w:val="0"/>
        <w:w w:val="100"/>
        <w:sz w:val="22"/>
        <w:szCs w:val="22"/>
        <w:lang w:val="es-ES" w:eastAsia="en-US" w:bidi="ar-SA"/>
      </w:rPr>
    </w:lvl>
    <w:lvl w:ilvl="3">
      <w:numFmt w:val="bullet"/>
      <w:lvlText w:val=""/>
      <w:lvlJc w:val="left"/>
      <w:pPr>
        <w:tabs>
          <w:tab w:val="num" w:pos="0"/>
        </w:tabs>
        <w:ind w:left="2192" w:hanging="708"/>
      </w:pPr>
      <w:rPr>
        <w:rFonts w:ascii="Symbol" w:hAnsi="Symbol" w:cs="Symbol" w:hint="default"/>
        <w:lang w:val="es-ES" w:eastAsia="en-US" w:bidi="ar-SA"/>
      </w:rPr>
    </w:lvl>
    <w:lvl w:ilvl="4">
      <w:numFmt w:val="bullet"/>
      <w:lvlText w:val=""/>
      <w:lvlJc w:val="left"/>
      <w:pPr>
        <w:tabs>
          <w:tab w:val="num" w:pos="0"/>
        </w:tabs>
        <w:ind w:left="3185" w:hanging="708"/>
      </w:pPr>
      <w:rPr>
        <w:rFonts w:ascii="Symbol" w:hAnsi="Symbol" w:cs="Symbol" w:hint="default"/>
        <w:lang w:val="es-ES" w:eastAsia="en-US" w:bidi="ar-SA"/>
      </w:rPr>
    </w:lvl>
    <w:lvl w:ilvl="5">
      <w:numFmt w:val="bullet"/>
      <w:lvlText w:val=""/>
      <w:lvlJc w:val="left"/>
      <w:pPr>
        <w:tabs>
          <w:tab w:val="num" w:pos="0"/>
        </w:tabs>
        <w:ind w:left="4177" w:hanging="708"/>
      </w:pPr>
      <w:rPr>
        <w:rFonts w:ascii="Symbol" w:hAnsi="Symbol" w:cs="Symbol" w:hint="default"/>
        <w:lang w:val="es-ES" w:eastAsia="en-US" w:bidi="ar-SA"/>
      </w:rPr>
    </w:lvl>
    <w:lvl w:ilvl="6">
      <w:numFmt w:val="bullet"/>
      <w:lvlText w:val=""/>
      <w:lvlJc w:val="left"/>
      <w:pPr>
        <w:tabs>
          <w:tab w:val="num" w:pos="0"/>
        </w:tabs>
        <w:ind w:left="5170" w:hanging="708"/>
      </w:pPr>
      <w:rPr>
        <w:rFonts w:ascii="Symbol" w:hAnsi="Symbol" w:cs="Symbol" w:hint="default"/>
        <w:lang w:val="es-ES" w:eastAsia="en-US" w:bidi="ar-SA"/>
      </w:rPr>
    </w:lvl>
    <w:lvl w:ilvl="7">
      <w:numFmt w:val="bullet"/>
      <w:lvlText w:val=""/>
      <w:lvlJc w:val="left"/>
      <w:pPr>
        <w:tabs>
          <w:tab w:val="num" w:pos="0"/>
        </w:tabs>
        <w:ind w:left="6162" w:hanging="708"/>
      </w:pPr>
      <w:rPr>
        <w:rFonts w:ascii="Symbol" w:hAnsi="Symbol" w:cs="Symbol" w:hint="default"/>
        <w:lang w:val="es-ES" w:eastAsia="en-US" w:bidi="ar-SA"/>
      </w:rPr>
    </w:lvl>
    <w:lvl w:ilvl="8">
      <w:numFmt w:val="bullet"/>
      <w:lvlText w:val=""/>
      <w:lvlJc w:val="left"/>
      <w:pPr>
        <w:tabs>
          <w:tab w:val="num" w:pos="0"/>
        </w:tabs>
        <w:ind w:left="7155" w:hanging="708"/>
      </w:pPr>
      <w:rPr>
        <w:rFonts w:ascii="Symbol" w:hAnsi="Symbol" w:cs="Symbol" w:hint="default"/>
        <w:lang w:val="es-ES" w:eastAsia="en-US" w:bidi="ar-SA"/>
      </w:rPr>
    </w:lvl>
  </w:abstractNum>
  <w:abstractNum w:abstractNumId="3" w15:restartNumberingAfterBreak="0">
    <w:nsid w:val="1D7D763C"/>
    <w:multiLevelType w:val="multilevel"/>
    <w:tmpl w:val="681EB140"/>
    <w:lvl w:ilvl="0">
      <w:start w:val="4"/>
      <w:numFmt w:val="lowerLetter"/>
      <w:lvlText w:val="%1)"/>
      <w:lvlJc w:val="left"/>
      <w:pPr>
        <w:tabs>
          <w:tab w:val="num" w:pos="0"/>
        </w:tabs>
        <w:ind w:left="238"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253A4B0E"/>
    <w:multiLevelType w:val="multilevel"/>
    <w:tmpl w:val="2F54FA02"/>
    <w:lvl w:ilvl="0">
      <w:start w:val="20"/>
      <w:numFmt w:val="decimal"/>
      <w:lvlText w:val="%1"/>
      <w:lvlJc w:val="left"/>
      <w:pPr>
        <w:tabs>
          <w:tab w:val="num" w:pos="0"/>
        </w:tabs>
        <w:ind w:left="517" w:hanging="360"/>
      </w:pPr>
    </w:lvl>
    <w:lvl w:ilvl="1">
      <w:start w:val="1"/>
      <w:numFmt w:val="lowerLetter"/>
      <w:lvlText w:val="%2."/>
      <w:lvlJc w:val="left"/>
      <w:pPr>
        <w:tabs>
          <w:tab w:val="num" w:pos="0"/>
        </w:tabs>
        <w:ind w:left="1237" w:hanging="360"/>
      </w:pPr>
    </w:lvl>
    <w:lvl w:ilvl="2">
      <w:start w:val="1"/>
      <w:numFmt w:val="lowerRoman"/>
      <w:lvlText w:val="%3."/>
      <w:lvlJc w:val="right"/>
      <w:pPr>
        <w:tabs>
          <w:tab w:val="num" w:pos="0"/>
        </w:tabs>
        <w:ind w:left="1957" w:hanging="180"/>
      </w:pPr>
    </w:lvl>
    <w:lvl w:ilvl="3">
      <w:start w:val="1"/>
      <w:numFmt w:val="decimal"/>
      <w:lvlText w:val="%4."/>
      <w:lvlJc w:val="left"/>
      <w:pPr>
        <w:tabs>
          <w:tab w:val="num" w:pos="0"/>
        </w:tabs>
        <w:ind w:left="2677" w:hanging="360"/>
      </w:pPr>
    </w:lvl>
    <w:lvl w:ilvl="4">
      <w:start w:val="1"/>
      <w:numFmt w:val="lowerLetter"/>
      <w:lvlText w:val="%5."/>
      <w:lvlJc w:val="left"/>
      <w:pPr>
        <w:tabs>
          <w:tab w:val="num" w:pos="0"/>
        </w:tabs>
        <w:ind w:left="3397" w:hanging="360"/>
      </w:pPr>
    </w:lvl>
    <w:lvl w:ilvl="5">
      <w:start w:val="1"/>
      <w:numFmt w:val="lowerRoman"/>
      <w:lvlText w:val="%6."/>
      <w:lvlJc w:val="right"/>
      <w:pPr>
        <w:tabs>
          <w:tab w:val="num" w:pos="0"/>
        </w:tabs>
        <w:ind w:left="4117" w:hanging="180"/>
      </w:pPr>
    </w:lvl>
    <w:lvl w:ilvl="6">
      <w:start w:val="1"/>
      <w:numFmt w:val="decimal"/>
      <w:lvlText w:val="%7."/>
      <w:lvlJc w:val="left"/>
      <w:pPr>
        <w:tabs>
          <w:tab w:val="num" w:pos="0"/>
        </w:tabs>
        <w:ind w:left="4837" w:hanging="360"/>
      </w:pPr>
    </w:lvl>
    <w:lvl w:ilvl="7">
      <w:start w:val="1"/>
      <w:numFmt w:val="lowerLetter"/>
      <w:lvlText w:val="%8."/>
      <w:lvlJc w:val="left"/>
      <w:pPr>
        <w:tabs>
          <w:tab w:val="num" w:pos="0"/>
        </w:tabs>
        <w:ind w:left="5557" w:hanging="360"/>
      </w:pPr>
    </w:lvl>
    <w:lvl w:ilvl="8">
      <w:start w:val="1"/>
      <w:numFmt w:val="lowerRoman"/>
      <w:lvlText w:val="%9."/>
      <w:lvlJc w:val="right"/>
      <w:pPr>
        <w:tabs>
          <w:tab w:val="num" w:pos="0"/>
        </w:tabs>
        <w:ind w:left="6277" w:hanging="180"/>
      </w:pPr>
    </w:lvl>
  </w:abstractNum>
  <w:abstractNum w:abstractNumId="5" w15:restartNumberingAfterBreak="0">
    <w:nsid w:val="339A4ADB"/>
    <w:multiLevelType w:val="multilevel"/>
    <w:tmpl w:val="EB8875F0"/>
    <w:lvl w:ilvl="0">
      <w:start w:val="1"/>
      <w:numFmt w:val="bullet"/>
      <w:pStyle w:val="Listaconvieta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8EA336A"/>
    <w:multiLevelType w:val="multilevel"/>
    <w:tmpl w:val="5AFCCAB6"/>
    <w:lvl w:ilvl="0">
      <w:start w:val="1"/>
      <w:numFmt w:val="upperRoman"/>
      <w:lvlText w:val="%1."/>
      <w:lvlJc w:val="left"/>
      <w:pPr>
        <w:tabs>
          <w:tab w:val="num" w:pos="0"/>
        </w:tabs>
        <w:ind w:left="502"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9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201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73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45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17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89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61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336" w:firstLine="0"/>
      </w:pPr>
      <w:rPr>
        <w:rFonts w:ascii="Times New Roman" w:eastAsia="Times New Roman" w:hAnsi="Times New Roman" w:cs="Times New Roman"/>
        <w:b/>
        <w:bCs/>
        <w:i w:val="0"/>
        <w:strike w:val="0"/>
        <w:dstrike w:val="0"/>
        <w:color w:val="000000"/>
        <w:position w:val="0"/>
        <w:sz w:val="22"/>
        <w:szCs w:val="22"/>
        <w:u w:val="none" w:color="000000"/>
        <w:shd w:val="clear" w:color="auto" w:fill="auto"/>
        <w:vertAlign w:val="baseline"/>
      </w:rPr>
    </w:lvl>
  </w:abstractNum>
  <w:abstractNum w:abstractNumId="7" w15:restartNumberingAfterBreak="0">
    <w:nsid w:val="43F30BFB"/>
    <w:multiLevelType w:val="multilevel"/>
    <w:tmpl w:val="8342F288"/>
    <w:lvl w:ilvl="0">
      <w:start w:val="1"/>
      <w:numFmt w:val="decimal"/>
      <w:pStyle w:val="Listaconnmeros4"/>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A347E0A"/>
    <w:multiLevelType w:val="multilevel"/>
    <w:tmpl w:val="3A82DC88"/>
    <w:lvl w:ilvl="0">
      <w:start w:val="1"/>
      <w:numFmt w:val="decimal"/>
      <w:pStyle w:val="Listaconnmeros"/>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B414418"/>
    <w:multiLevelType w:val="multilevel"/>
    <w:tmpl w:val="0EB0F690"/>
    <w:lvl w:ilvl="0">
      <w:start w:val="1"/>
      <w:numFmt w:val="bullet"/>
      <w:pStyle w:val="Listaconvietas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13D697D"/>
    <w:multiLevelType w:val="multilevel"/>
    <w:tmpl w:val="6C58DE1E"/>
    <w:lvl w:ilvl="0">
      <w:start w:val="1"/>
      <w:numFmt w:val="bullet"/>
      <w:pStyle w:val="Listaconvietas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7092ED6"/>
    <w:multiLevelType w:val="multilevel"/>
    <w:tmpl w:val="FC5E6BF2"/>
    <w:lvl w:ilvl="0">
      <w:start w:val="1"/>
      <w:numFmt w:val="decimal"/>
      <w:pStyle w:val="Listaconnmeros3"/>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D620D6D"/>
    <w:multiLevelType w:val="multilevel"/>
    <w:tmpl w:val="63F87944"/>
    <w:lvl w:ilvl="0">
      <w:start w:val="1"/>
      <w:numFmt w:val="decimal"/>
      <w:pStyle w:val="Listaconnmeros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DD7114A"/>
    <w:multiLevelType w:val="multilevel"/>
    <w:tmpl w:val="069E4486"/>
    <w:lvl w:ilvl="0">
      <w:start w:val="1"/>
      <w:numFmt w:val="bullet"/>
      <w:pStyle w:val="Listaconviet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1D42FB7"/>
    <w:multiLevelType w:val="multilevel"/>
    <w:tmpl w:val="9C1423A0"/>
    <w:lvl w:ilvl="0">
      <w:start w:val="1"/>
      <w:numFmt w:val="lowerLetter"/>
      <w:lvlText w:val="%1)"/>
      <w:lvlJc w:val="left"/>
      <w:pPr>
        <w:tabs>
          <w:tab w:val="num" w:pos="0"/>
        </w:tabs>
        <w:ind w:left="347" w:hanging="226"/>
      </w:pPr>
      <w:rPr>
        <w:rFonts w:ascii="Times New Roman" w:eastAsia="Times New Roman" w:hAnsi="Times New Roman" w:cs="Times New Roman"/>
        <w:b w:val="0"/>
        <w:bCs w:val="0"/>
        <w:i w:val="0"/>
        <w:iCs w:val="0"/>
        <w:spacing w:val="0"/>
        <w:w w:val="100"/>
        <w:sz w:val="22"/>
        <w:szCs w:val="22"/>
        <w:lang w:val="es-ES" w:eastAsia="en-US" w:bidi="ar-SA"/>
      </w:rPr>
    </w:lvl>
    <w:lvl w:ilvl="1">
      <w:start w:val="1"/>
      <w:numFmt w:val="upperRoman"/>
      <w:lvlText w:val="%2."/>
      <w:lvlJc w:val="left"/>
      <w:pPr>
        <w:tabs>
          <w:tab w:val="num" w:pos="0"/>
        </w:tabs>
        <w:ind w:left="122" w:hanging="207"/>
      </w:pPr>
      <w:rPr>
        <w:rFonts w:ascii="Times New Roman" w:eastAsia="Times New Roman" w:hAnsi="Times New Roman" w:cs="Times New Roman"/>
        <w:b w:val="0"/>
        <w:bCs w:val="0"/>
        <w:i w:val="0"/>
        <w:iCs w:val="0"/>
        <w:spacing w:val="-2"/>
        <w:w w:val="100"/>
        <w:sz w:val="22"/>
        <w:szCs w:val="22"/>
        <w:lang w:val="es-ES" w:eastAsia="en-US" w:bidi="ar-SA"/>
      </w:rPr>
    </w:lvl>
    <w:lvl w:ilvl="2">
      <w:start w:val="1"/>
      <w:numFmt w:val="lowerLetter"/>
      <w:lvlText w:val="%3)"/>
      <w:lvlJc w:val="left"/>
      <w:pPr>
        <w:tabs>
          <w:tab w:val="num" w:pos="0"/>
        </w:tabs>
        <w:ind w:left="830" w:hanging="425"/>
      </w:pPr>
      <w:rPr>
        <w:rFonts w:ascii="Times New Roman" w:eastAsia="Times New Roman" w:hAnsi="Times New Roman" w:cs="Times New Roman"/>
        <w:b w:val="0"/>
        <w:bCs w:val="0"/>
        <w:i w:val="0"/>
        <w:iCs w:val="0"/>
        <w:spacing w:val="0"/>
        <w:w w:val="100"/>
        <w:sz w:val="22"/>
        <w:szCs w:val="22"/>
        <w:lang w:val="es-ES" w:eastAsia="en-US" w:bidi="ar-SA"/>
      </w:rPr>
    </w:lvl>
    <w:lvl w:ilvl="3">
      <w:numFmt w:val="bullet"/>
      <w:lvlText w:val=""/>
      <w:lvlJc w:val="left"/>
      <w:pPr>
        <w:tabs>
          <w:tab w:val="num" w:pos="0"/>
        </w:tabs>
        <w:ind w:left="1877" w:hanging="425"/>
      </w:pPr>
      <w:rPr>
        <w:rFonts w:ascii="Symbol" w:hAnsi="Symbol" w:cs="Symbol" w:hint="default"/>
        <w:lang w:val="es-ES" w:eastAsia="en-US" w:bidi="ar-SA"/>
      </w:rPr>
    </w:lvl>
    <w:lvl w:ilvl="4">
      <w:numFmt w:val="bullet"/>
      <w:lvlText w:val=""/>
      <w:lvlJc w:val="left"/>
      <w:pPr>
        <w:tabs>
          <w:tab w:val="num" w:pos="0"/>
        </w:tabs>
        <w:ind w:left="2915" w:hanging="425"/>
      </w:pPr>
      <w:rPr>
        <w:rFonts w:ascii="Symbol" w:hAnsi="Symbol" w:cs="Symbol" w:hint="default"/>
        <w:lang w:val="es-ES" w:eastAsia="en-US" w:bidi="ar-SA"/>
      </w:rPr>
    </w:lvl>
    <w:lvl w:ilvl="5">
      <w:numFmt w:val="bullet"/>
      <w:lvlText w:val=""/>
      <w:lvlJc w:val="left"/>
      <w:pPr>
        <w:tabs>
          <w:tab w:val="num" w:pos="0"/>
        </w:tabs>
        <w:ind w:left="3952" w:hanging="425"/>
      </w:pPr>
      <w:rPr>
        <w:rFonts w:ascii="Symbol" w:hAnsi="Symbol" w:cs="Symbol" w:hint="default"/>
        <w:lang w:val="es-ES" w:eastAsia="en-US" w:bidi="ar-SA"/>
      </w:rPr>
    </w:lvl>
    <w:lvl w:ilvl="6">
      <w:numFmt w:val="bullet"/>
      <w:lvlText w:val=""/>
      <w:lvlJc w:val="left"/>
      <w:pPr>
        <w:tabs>
          <w:tab w:val="num" w:pos="0"/>
        </w:tabs>
        <w:ind w:left="4990" w:hanging="425"/>
      </w:pPr>
      <w:rPr>
        <w:rFonts w:ascii="Symbol" w:hAnsi="Symbol" w:cs="Symbol" w:hint="default"/>
        <w:lang w:val="es-ES" w:eastAsia="en-US" w:bidi="ar-SA"/>
      </w:rPr>
    </w:lvl>
    <w:lvl w:ilvl="7">
      <w:numFmt w:val="bullet"/>
      <w:lvlText w:val=""/>
      <w:lvlJc w:val="left"/>
      <w:pPr>
        <w:tabs>
          <w:tab w:val="num" w:pos="0"/>
        </w:tabs>
        <w:ind w:left="6027" w:hanging="425"/>
      </w:pPr>
      <w:rPr>
        <w:rFonts w:ascii="Symbol" w:hAnsi="Symbol" w:cs="Symbol" w:hint="default"/>
        <w:lang w:val="es-ES" w:eastAsia="en-US" w:bidi="ar-SA"/>
      </w:rPr>
    </w:lvl>
    <w:lvl w:ilvl="8">
      <w:numFmt w:val="bullet"/>
      <w:lvlText w:val=""/>
      <w:lvlJc w:val="left"/>
      <w:pPr>
        <w:tabs>
          <w:tab w:val="num" w:pos="0"/>
        </w:tabs>
        <w:ind w:left="7065" w:hanging="425"/>
      </w:pPr>
      <w:rPr>
        <w:rFonts w:ascii="Symbol" w:hAnsi="Symbol" w:cs="Symbol" w:hint="default"/>
        <w:lang w:val="es-ES" w:eastAsia="en-US" w:bidi="ar-SA"/>
      </w:rPr>
    </w:lvl>
  </w:abstractNum>
  <w:abstractNum w:abstractNumId="15" w15:restartNumberingAfterBreak="0">
    <w:nsid w:val="794A6C98"/>
    <w:multiLevelType w:val="multilevel"/>
    <w:tmpl w:val="A4AE2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EF76B3"/>
    <w:multiLevelType w:val="multilevel"/>
    <w:tmpl w:val="EB2ED538"/>
    <w:lvl w:ilvl="0">
      <w:start w:val="1"/>
      <w:numFmt w:val="decimal"/>
      <w:pStyle w:val="Listaconnmeros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3"/>
  </w:num>
  <w:num w:numId="3">
    <w:abstractNumId w:val="8"/>
  </w:num>
  <w:num w:numId="4">
    <w:abstractNumId w:val="12"/>
  </w:num>
  <w:num w:numId="5">
    <w:abstractNumId w:val="11"/>
  </w:num>
  <w:num w:numId="6">
    <w:abstractNumId w:val="7"/>
  </w:num>
  <w:num w:numId="7">
    <w:abstractNumId w:val="16"/>
  </w:num>
  <w:num w:numId="8">
    <w:abstractNumId w:val="5"/>
  </w:num>
  <w:num w:numId="9">
    <w:abstractNumId w:val="1"/>
  </w:num>
  <w:num w:numId="10">
    <w:abstractNumId w:val="9"/>
  </w:num>
  <w:num w:numId="11">
    <w:abstractNumId w:val="10"/>
  </w:num>
  <w:num w:numId="12">
    <w:abstractNumId w:val="13"/>
  </w:num>
  <w:num w:numId="13">
    <w:abstractNumId w:val="2"/>
  </w:num>
  <w:num w:numId="14">
    <w:abstractNumId w:val="0"/>
  </w:num>
  <w:num w:numId="15">
    <w:abstractNumId w:val="4"/>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hdrShapeDefaults>
    <o:shapedefaults v:ext="edit" spidmax="2050"/>
    <o:shapelayout v:ext="edit">
      <o:rules v:ext="edit">
        <o:r id="V:Rule1" type="connector" idref="#Conector recto 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4B"/>
    <w:rsid w:val="001208E3"/>
    <w:rsid w:val="00143C25"/>
    <w:rsid w:val="00C17527"/>
    <w:rsid w:val="00D3344B"/>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76D4B2"/>
  <w15:docId w15:val="{342E2E4D-2C37-45E4-8D44-AD0389B3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pPr>
      <w:spacing w:after="200" w:line="276" w:lineRule="auto"/>
    </w:pPr>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7D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7D8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370A1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017D8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17D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17D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6E4391"/>
  </w:style>
  <w:style w:type="character" w:customStyle="1" w:styleId="PiedepginaCar">
    <w:name w:val="Pie de página Car"/>
    <w:basedOn w:val="Fuentedeprrafopredeter"/>
    <w:link w:val="Piedepgina"/>
    <w:uiPriority w:val="99"/>
    <w:qFormat/>
    <w:rsid w:val="006E4391"/>
  </w:style>
  <w:style w:type="character" w:customStyle="1" w:styleId="TextodegloboCar">
    <w:name w:val="Texto de globo Car"/>
    <w:basedOn w:val="Fuentedeprrafopredeter"/>
    <w:link w:val="Textodeglobo"/>
    <w:uiPriority w:val="99"/>
    <w:semiHidden/>
    <w:qFormat/>
    <w:rsid w:val="006E4391"/>
    <w:rPr>
      <w:rFonts w:ascii="Tahoma" w:hAnsi="Tahoma" w:cs="Tahoma"/>
      <w:sz w:val="16"/>
      <w:szCs w:val="16"/>
    </w:rPr>
  </w:style>
  <w:style w:type="character" w:customStyle="1" w:styleId="TtuloCar">
    <w:name w:val="Título Car"/>
    <w:basedOn w:val="Fuentedeprrafopredeter"/>
    <w:link w:val="Ttulo"/>
    <w:uiPriority w:val="10"/>
    <w:qFormat/>
    <w:rsid w:val="004548F2"/>
    <w:rPr>
      <w:rFonts w:asciiTheme="majorHAnsi" w:eastAsiaTheme="majorEastAsia" w:hAnsiTheme="majorHAnsi" w:cstheme="majorBidi"/>
      <w:color w:val="17365D" w:themeColor="text2" w:themeShade="BF"/>
      <w:spacing w:val="5"/>
      <w:kern w:val="2"/>
      <w:sz w:val="52"/>
      <w:szCs w:val="52"/>
    </w:rPr>
  </w:style>
  <w:style w:type="character" w:styleId="Ttulodellibro">
    <w:name w:val="Book Title"/>
    <w:basedOn w:val="Fuentedeprrafopredeter"/>
    <w:uiPriority w:val="33"/>
    <w:qFormat/>
    <w:rsid w:val="003B655C"/>
    <w:rPr>
      <w:b/>
      <w:bCs/>
      <w:smallCaps/>
      <w:spacing w:val="5"/>
    </w:rPr>
  </w:style>
  <w:style w:type="character" w:customStyle="1" w:styleId="EstiloCar">
    <w:name w:val="Estilo Car"/>
    <w:basedOn w:val="Fuentedeprrafopredeter"/>
    <w:link w:val="Estilo"/>
    <w:qFormat/>
    <w:rsid w:val="004A441D"/>
    <w:rPr>
      <w:rFonts w:ascii="Arial" w:hAnsi="Arial"/>
      <w:sz w:val="24"/>
      <w:lang w:val="es-MX"/>
    </w:rPr>
  </w:style>
  <w:style w:type="character" w:customStyle="1" w:styleId="Ttulo1Car">
    <w:name w:val="Título 1 Car"/>
    <w:basedOn w:val="Fuentedeprrafopredeter"/>
    <w:link w:val="Ttulo1"/>
    <w:qFormat/>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qFormat/>
    <w:rsid w:val="00C2589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C25890"/>
    <w:rPr>
      <w:rFonts w:asciiTheme="majorHAnsi" w:eastAsiaTheme="majorEastAsia" w:hAnsiTheme="majorHAnsi" w:cstheme="majorBidi"/>
      <w:b/>
      <w:bCs/>
      <w:color w:val="4F81BD" w:themeColor="accent1"/>
    </w:rPr>
  </w:style>
  <w:style w:type="character" w:customStyle="1" w:styleId="CitadestacadaCar">
    <w:name w:val="Cita destacada Car"/>
    <w:basedOn w:val="Fuentedeprrafopredeter"/>
    <w:link w:val="Citadestacada"/>
    <w:uiPriority w:val="30"/>
    <w:qFormat/>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character" w:customStyle="1" w:styleId="Estilo2Car">
    <w:name w:val="Estilo2 Car"/>
    <w:basedOn w:val="EstiloCar"/>
    <w:link w:val="Estilo2"/>
    <w:qFormat/>
    <w:rsid w:val="00DC2AD6"/>
    <w:rPr>
      <w:rFonts w:ascii="Arial" w:hAnsi="Arial"/>
      <w:sz w:val="24"/>
      <w:lang w:val="es-MX"/>
    </w:rPr>
  </w:style>
  <w:style w:type="character" w:customStyle="1" w:styleId="TextosinformatoCar">
    <w:name w:val="Texto sin formato Car"/>
    <w:basedOn w:val="Fuentedeprrafopredeter"/>
    <w:link w:val="Textosinformato"/>
    <w:uiPriority w:val="99"/>
    <w:qFormat/>
    <w:rsid w:val="00B656C9"/>
    <w:rPr>
      <w:rFonts w:ascii="Courier New" w:eastAsia="Times New Roman" w:hAnsi="Courier New" w:cs="Courier New"/>
      <w:sz w:val="20"/>
      <w:szCs w:val="20"/>
      <w:lang w:val="es-ES" w:eastAsia="es-MX"/>
    </w:rPr>
  </w:style>
  <w:style w:type="character" w:customStyle="1" w:styleId="SinespaciadoCar">
    <w:name w:val="Sin espaciado Car"/>
    <w:link w:val="Sinespaciado"/>
    <w:uiPriority w:val="1"/>
    <w:qFormat/>
    <w:locked/>
    <w:rsid w:val="00B656C9"/>
  </w:style>
  <w:style w:type="character" w:customStyle="1" w:styleId="Ttulo6Car">
    <w:name w:val="Título 6 Car"/>
    <w:basedOn w:val="Fuentedeprrafopredeter"/>
    <w:link w:val="Ttulo6"/>
    <w:uiPriority w:val="9"/>
    <w:semiHidden/>
    <w:qFormat/>
    <w:rsid w:val="00370A1B"/>
    <w:rPr>
      <w:rFonts w:asciiTheme="majorHAnsi" w:eastAsiaTheme="majorEastAsia" w:hAnsiTheme="majorHAnsi" w:cstheme="majorBidi"/>
      <w:color w:val="243F60" w:themeColor="accent1" w:themeShade="7F"/>
      <w:lang w:val="es-MX"/>
    </w:rPr>
  </w:style>
  <w:style w:type="character" w:customStyle="1" w:styleId="markedcontent">
    <w:name w:val="markedcontent"/>
    <w:basedOn w:val="Fuentedeprrafopredeter"/>
    <w:qFormat/>
    <w:rsid w:val="00F559B0"/>
  </w:style>
  <w:style w:type="character" w:customStyle="1" w:styleId="TextocomentarioCar">
    <w:name w:val="Texto comentario Car"/>
    <w:basedOn w:val="Fuentedeprrafopredeter"/>
    <w:link w:val="Textocomentario"/>
    <w:uiPriority w:val="99"/>
    <w:semiHidden/>
    <w:qFormat/>
    <w:rsid w:val="00017D87"/>
    <w:rPr>
      <w:sz w:val="20"/>
      <w:szCs w:val="20"/>
      <w:lang w:val="es-MX"/>
    </w:rPr>
  </w:style>
  <w:style w:type="character" w:customStyle="1" w:styleId="AsuntodelcomentarioCar">
    <w:name w:val="Asunto del comentario Car"/>
    <w:basedOn w:val="TextocomentarioCar"/>
    <w:link w:val="Asuntodelcomentario"/>
    <w:uiPriority w:val="99"/>
    <w:semiHidden/>
    <w:qFormat/>
    <w:rsid w:val="00017D87"/>
    <w:rPr>
      <w:b/>
      <w:bCs/>
      <w:sz w:val="20"/>
      <w:szCs w:val="20"/>
      <w:lang w:val="es-MX"/>
    </w:rPr>
  </w:style>
  <w:style w:type="character" w:customStyle="1" w:styleId="CierreCar">
    <w:name w:val="Cierre Car"/>
    <w:basedOn w:val="Fuentedeprrafopredeter"/>
    <w:link w:val="Cierre"/>
    <w:uiPriority w:val="99"/>
    <w:semiHidden/>
    <w:qFormat/>
    <w:rsid w:val="00017D87"/>
    <w:rPr>
      <w:lang w:val="es-MX"/>
    </w:rPr>
  </w:style>
  <w:style w:type="character" w:customStyle="1" w:styleId="CitaCar">
    <w:name w:val="Cita Car"/>
    <w:basedOn w:val="Fuentedeprrafopredeter"/>
    <w:link w:val="Cita"/>
    <w:uiPriority w:val="29"/>
    <w:qFormat/>
    <w:rsid w:val="00017D87"/>
    <w:rPr>
      <w:i/>
      <w:iCs/>
      <w:color w:val="404040" w:themeColor="text1" w:themeTint="BF"/>
      <w:lang w:val="es-MX"/>
    </w:rPr>
  </w:style>
  <w:style w:type="character" w:customStyle="1" w:styleId="DireccinHTMLCar">
    <w:name w:val="Dirección HTML Car"/>
    <w:basedOn w:val="Fuentedeprrafopredeter"/>
    <w:link w:val="DireccinHTML"/>
    <w:uiPriority w:val="99"/>
    <w:semiHidden/>
    <w:qFormat/>
    <w:rsid w:val="00017D87"/>
    <w:rPr>
      <w:i/>
      <w:iCs/>
      <w:lang w:val="es-MX"/>
    </w:rPr>
  </w:style>
  <w:style w:type="character" w:customStyle="1" w:styleId="EncabezadodemensajeCar">
    <w:name w:val="Encabezado de mensaje Car"/>
    <w:basedOn w:val="Fuentedeprrafopredeter"/>
    <w:link w:val="Encabezadodemensaje"/>
    <w:uiPriority w:val="99"/>
    <w:semiHidden/>
    <w:qFormat/>
    <w:rsid w:val="00017D87"/>
    <w:rPr>
      <w:rFonts w:asciiTheme="majorHAnsi" w:eastAsiaTheme="majorEastAsia" w:hAnsiTheme="majorHAnsi" w:cstheme="majorBidi"/>
      <w:sz w:val="24"/>
      <w:szCs w:val="24"/>
      <w:shd w:val="clear" w:color="auto" w:fill="CCCCCC"/>
      <w:lang w:val="es-MX"/>
    </w:rPr>
  </w:style>
  <w:style w:type="character" w:customStyle="1" w:styleId="EncabezadodenotaCar">
    <w:name w:val="Encabezado de nota Car"/>
    <w:basedOn w:val="Fuentedeprrafopredeter"/>
    <w:link w:val="Encabezadodenota"/>
    <w:uiPriority w:val="99"/>
    <w:semiHidden/>
    <w:qFormat/>
    <w:rsid w:val="00017D87"/>
    <w:rPr>
      <w:lang w:val="es-MX"/>
    </w:rPr>
  </w:style>
  <w:style w:type="character" w:customStyle="1" w:styleId="FechaCar">
    <w:name w:val="Fecha Car"/>
    <w:basedOn w:val="Fuentedeprrafopredeter"/>
    <w:link w:val="Fecha"/>
    <w:uiPriority w:val="99"/>
    <w:semiHidden/>
    <w:qFormat/>
    <w:rsid w:val="00017D87"/>
    <w:rPr>
      <w:lang w:val="es-MX"/>
    </w:rPr>
  </w:style>
  <w:style w:type="character" w:customStyle="1" w:styleId="FirmaCar">
    <w:name w:val="Firma Car"/>
    <w:basedOn w:val="Fuentedeprrafopredeter"/>
    <w:link w:val="Firma"/>
    <w:uiPriority w:val="99"/>
    <w:semiHidden/>
    <w:qFormat/>
    <w:rsid w:val="00017D87"/>
    <w:rPr>
      <w:lang w:val="es-MX"/>
    </w:rPr>
  </w:style>
  <w:style w:type="character" w:customStyle="1" w:styleId="FirmadecorreoelectrnicoCar">
    <w:name w:val="Firma de correo electrónico Car"/>
    <w:basedOn w:val="Fuentedeprrafopredeter"/>
    <w:link w:val="Firmadecorreoelectrnico"/>
    <w:uiPriority w:val="99"/>
    <w:semiHidden/>
    <w:qFormat/>
    <w:rsid w:val="00017D87"/>
    <w:rPr>
      <w:lang w:val="es-MX"/>
    </w:rPr>
  </w:style>
  <w:style w:type="character" w:customStyle="1" w:styleId="HTMLconformatoprevioCar">
    <w:name w:val="HTML con formato previo Car"/>
    <w:basedOn w:val="Fuentedeprrafopredeter"/>
    <w:link w:val="HTMLconformatoprevio"/>
    <w:uiPriority w:val="99"/>
    <w:semiHidden/>
    <w:qFormat/>
    <w:rsid w:val="00017D87"/>
    <w:rPr>
      <w:rFonts w:ascii="Consolas" w:hAnsi="Consolas"/>
      <w:sz w:val="20"/>
      <w:szCs w:val="20"/>
      <w:lang w:val="es-MX"/>
    </w:rPr>
  </w:style>
  <w:style w:type="character" w:customStyle="1" w:styleId="MapadeldocumentoCar">
    <w:name w:val="Mapa del documento Car"/>
    <w:basedOn w:val="Fuentedeprrafopredeter"/>
    <w:link w:val="Mapadeldocumento"/>
    <w:uiPriority w:val="99"/>
    <w:semiHidden/>
    <w:qFormat/>
    <w:rsid w:val="00017D87"/>
    <w:rPr>
      <w:rFonts w:ascii="Segoe UI" w:hAnsi="Segoe UI" w:cs="Segoe UI"/>
      <w:sz w:val="16"/>
      <w:szCs w:val="16"/>
      <w:lang w:val="es-MX"/>
    </w:rPr>
  </w:style>
  <w:style w:type="character" w:customStyle="1" w:styleId="SaludoCar">
    <w:name w:val="Saludo Car"/>
    <w:basedOn w:val="Fuentedeprrafopredeter"/>
    <w:link w:val="Saludo"/>
    <w:uiPriority w:val="99"/>
    <w:semiHidden/>
    <w:qFormat/>
    <w:rsid w:val="00017D87"/>
    <w:rPr>
      <w:lang w:val="es-MX"/>
    </w:rPr>
  </w:style>
  <w:style w:type="character" w:customStyle="1" w:styleId="Sangra2detindependienteCar">
    <w:name w:val="Sangría 2 de t. independiente Car"/>
    <w:basedOn w:val="Fuentedeprrafopredeter"/>
    <w:link w:val="Sangra2detindependiente"/>
    <w:uiPriority w:val="99"/>
    <w:semiHidden/>
    <w:qFormat/>
    <w:rsid w:val="00017D87"/>
    <w:rPr>
      <w:lang w:val="es-MX"/>
    </w:rPr>
  </w:style>
  <w:style w:type="character" w:customStyle="1" w:styleId="Sangra3detindependienteCar">
    <w:name w:val="Sangría 3 de t. independiente Car"/>
    <w:basedOn w:val="Fuentedeprrafopredeter"/>
    <w:link w:val="Sangra3detindependiente"/>
    <w:uiPriority w:val="99"/>
    <w:semiHidden/>
    <w:qFormat/>
    <w:rsid w:val="00017D87"/>
    <w:rPr>
      <w:sz w:val="16"/>
      <w:szCs w:val="16"/>
      <w:lang w:val="es-MX"/>
    </w:rPr>
  </w:style>
  <w:style w:type="character" w:customStyle="1" w:styleId="SangradetextonormalCar">
    <w:name w:val="Sangría de texto normal Car"/>
    <w:basedOn w:val="Fuentedeprrafopredeter"/>
    <w:uiPriority w:val="99"/>
    <w:semiHidden/>
    <w:qFormat/>
    <w:rsid w:val="00017D87"/>
    <w:rPr>
      <w:lang w:val="es-MX"/>
    </w:rPr>
  </w:style>
  <w:style w:type="character" w:customStyle="1" w:styleId="SubttuloCar">
    <w:name w:val="Subtítulo Car"/>
    <w:basedOn w:val="Fuentedeprrafopredeter"/>
    <w:link w:val="Subttulo"/>
    <w:uiPriority w:val="11"/>
    <w:qFormat/>
    <w:rsid w:val="00017D87"/>
    <w:rPr>
      <w:rFonts w:eastAsiaTheme="minorEastAsia"/>
      <w:color w:val="5A5A5A" w:themeColor="text1" w:themeTint="A5"/>
      <w:spacing w:val="15"/>
      <w:lang w:val="es-MX"/>
    </w:rPr>
  </w:style>
  <w:style w:type="character" w:customStyle="1" w:styleId="Textoindependiente2Car">
    <w:name w:val="Texto independiente 2 Car"/>
    <w:basedOn w:val="Fuentedeprrafopredeter"/>
    <w:link w:val="Textoindependiente2"/>
    <w:uiPriority w:val="99"/>
    <w:semiHidden/>
    <w:qFormat/>
    <w:rsid w:val="00017D87"/>
    <w:rPr>
      <w:lang w:val="es-MX"/>
    </w:rPr>
  </w:style>
  <w:style w:type="character" w:customStyle="1" w:styleId="Textoindependiente3Car">
    <w:name w:val="Texto independiente 3 Car"/>
    <w:basedOn w:val="Fuentedeprrafopredeter"/>
    <w:link w:val="Textoindependiente3"/>
    <w:uiPriority w:val="99"/>
    <w:semiHidden/>
    <w:qFormat/>
    <w:rsid w:val="00017D87"/>
    <w:rPr>
      <w:sz w:val="16"/>
      <w:szCs w:val="16"/>
      <w:lang w:val="es-MX"/>
    </w:rPr>
  </w:style>
  <w:style w:type="character" w:customStyle="1" w:styleId="TextoindependienteCar">
    <w:name w:val="Texto independiente Car"/>
    <w:basedOn w:val="Fuentedeprrafopredeter"/>
    <w:link w:val="Textoindependiente"/>
    <w:uiPriority w:val="1"/>
    <w:qFormat/>
    <w:rsid w:val="00017D87"/>
    <w:rPr>
      <w:lang w:val="es-MX"/>
    </w:rPr>
  </w:style>
  <w:style w:type="character" w:customStyle="1" w:styleId="SangradetextonormalCar1">
    <w:name w:val="Sangría de texto normal Car1"/>
    <w:basedOn w:val="TextoindependienteCar"/>
    <w:link w:val="Sangradetextonormal"/>
    <w:uiPriority w:val="99"/>
    <w:semiHidden/>
    <w:qFormat/>
    <w:rsid w:val="00017D87"/>
    <w:rPr>
      <w:lang w:val="es-MX"/>
    </w:rPr>
  </w:style>
  <w:style w:type="character" w:customStyle="1" w:styleId="Textoindependienteprimerasangra2Car">
    <w:name w:val="Texto independiente primera sangría 2 Car"/>
    <w:basedOn w:val="SangradetextonormalCar"/>
    <w:link w:val="Textoindependienteprimerasangra2"/>
    <w:uiPriority w:val="99"/>
    <w:semiHidden/>
    <w:qFormat/>
    <w:rsid w:val="00017D87"/>
    <w:rPr>
      <w:lang w:val="es-MX"/>
    </w:rPr>
  </w:style>
  <w:style w:type="character" w:customStyle="1" w:styleId="TextomacroCar">
    <w:name w:val="Texto macro Car"/>
    <w:basedOn w:val="Fuentedeprrafopredeter"/>
    <w:link w:val="Textomacro"/>
    <w:uiPriority w:val="99"/>
    <w:semiHidden/>
    <w:qFormat/>
    <w:rsid w:val="00017D87"/>
    <w:rPr>
      <w:rFonts w:ascii="Consolas" w:hAnsi="Consolas"/>
      <w:sz w:val="20"/>
      <w:szCs w:val="20"/>
      <w:lang w:val="es-MX"/>
    </w:rPr>
  </w:style>
  <w:style w:type="character" w:customStyle="1" w:styleId="TextonotaalfinalCar">
    <w:name w:val="Texto nota al final Car"/>
    <w:basedOn w:val="Fuentedeprrafopredeter"/>
    <w:link w:val="Textonotaalfinal"/>
    <w:uiPriority w:val="99"/>
    <w:semiHidden/>
    <w:qFormat/>
    <w:rsid w:val="00017D87"/>
    <w:rPr>
      <w:sz w:val="20"/>
      <w:szCs w:val="20"/>
      <w:lang w:val="es-MX"/>
    </w:rPr>
  </w:style>
  <w:style w:type="character" w:customStyle="1" w:styleId="TextonotapieCar">
    <w:name w:val="Texto nota pie Car"/>
    <w:basedOn w:val="Fuentedeprrafopredeter"/>
    <w:link w:val="Textonotapie"/>
    <w:uiPriority w:val="99"/>
    <w:semiHidden/>
    <w:qFormat/>
    <w:rsid w:val="00017D87"/>
    <w:rPr>
      <w:sz w:val="20"/>
      <w:szCs w:val="20"/>
      <w:lang w:val="es-MX"/>
    </w:rPr>
  </w:style>
  <w:style w:type="character" w:customStyle="1" w:styleId="Ttulo4Car">
    <w:name w:val="Título 4 Car"/>
    <w:basedOn w:val="Fuentedeprrafopredeter"/>
    <w:link w:val="Ttulo4"/>
    <w:uiPriority w:val="9"/>
    <w:semiHidden/>
    <w:qFormat/>
    <w:rsid w:val="00017D87"/>
    <w:rPr>
      <w:rFonts w:asciiTheme="majorHAnsi" w:eastAsiaTheme="majorEastAsia" w:hAnsiTheme="majorHAnsi" w:cstheme="majorBidi"/>
      <w:i/>
      <w:iCs/>
      <w:color w:val="365F91" w:themeColor="accent1" w:themeShade="BF"/>
      <w:lang w:val="es-MX"/>
    </w:rPr>
  </w:style>
  <w:style w:type="character" w:customStyle="1" w:styleId="Ttulo5Car">
    <w:name w:val="Título 5 Car"/>
    <w:basedOn w:val="Fuentedeprrafopredeter"/>
    <w:link w:val="Ttulo5"/>
    <w:uiPriority w:val="9"/>
    <w:semiHidden/>
    <w:qFormat/>
    <w:rsid w:val="00017D87"/>
    <w:rPr>
      <w:rFonts w:asciiTheme="majorHAnsi" w:eastAsiaTheme="majorEastAsia" w:hAnsiTheme="majorHAnsi" w:cstheme="majorBidi"/>
      <w:color w:val="365F91" w:themeColor="accent1" w:themeShade="BF"/>
      <w:lang w:val="es-MX"/>
    </w:rPr>
  </w:style>
  <w:style w:type="character" w:customStyle="1" w:styleId="Ttulo7Car">
    <w:name w:val="Título 7 Car"/>
    <w:basedOn w:val="Fuentedeprrafopredeter"/>
    <w:link w:val="Ttulo7"/>
    <w:uiPriority w:val="9"/>
    <w:semiHidden/>
    <w:qFormat/>
    <w:rsid w:val="00017D87"/>
    <w:rPr>
      <w:rFonts w:asciiTheme="majorHAnsi" w:eastAsiaTheme="majorEastAsia" w:hAnsiTheme="majorHAnsi" w:cstheme="majorBidi"/>
      <w:i/>
      <w:iCs/>
      <w:color w:val="243F60" w:themeColor="accent1" w:themeShade="7F"/>
      <w:lang w:val="es-MX"/>
    </w:rPr>
  </w:style>
  <w:style w:type="character" w:customStyle="1" w:styleId="Ttulo8Car">
    <w:name w:val="Título 8 Car"/>
    <w:basedOn w:val="Fuentedeprrafopredeter"/>
    <w:link w:val="Ttulo8"/>
    <w:uiPriority w:val="9"/>
    <w:semiHidden/>
    <w:qFormat/>
    <w:rsid w:val="00017D87"/>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qFormat/>
    <w:rsid w:val="00017D87"/>
    <w:rPr>
      <w:rFonts w:asciiTheme="majorHAnsi" w:eastAsiaTheme="majorEastAsia" w:hAnsiTheme="majorHAnsi" w:cstheme="majorBidi"/>
      <w:i/>
      <w:iCs/>
      <w:color w:val="272727" w:themeColor="text1" w:themeTint="D8"/>
      <w:sz w:val="21"/>
      <w:szCs w:val="21"/>
      <w:lang w:val="es-MX"/>
    </w:rPr>
  </w:style>
  <w:style w:type="paragraph" w:styleId="Ttulo">
    <w:name w:val="Title"/>
    <w:basedOn w:val="Normal"/>
    <w:next w:val="Textoindependiente"/>
    <w:link w:val="TtuloCar"/>
    <w:uiPriority w:val="10"/>
    <w:qFormat/>
    <w:rsid w:val="004548F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Textoindependiente">
    <w:name w:val="Body Text"/>
    <w:basedOn w:val="Normal"/>
    <w:link w:val="TextoindependienteCar"/>
    <w:uiPriority w:val="1"/>
    <w:qFormat/>
    <w:pPr>
      <w:spacing w:after="140"/>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paragraph" w:styleId="Textodeglobo">
    <w:name w:val="Balloon Text"/>
    <w:basedOn w:val="Normal"/>
    <w:link w:val="TextodegloboCar"/>
    <w:uiPriority w:val="99"/>
    <w:unhideWhenUsed/>
    <w:qFormat/>
    <w:rsid w:val="006E4391"/>
    <w:pPr>
      <w:spacing w:after="0" w:line="240" w:lineRule="auto"/>
    </w:pPr>
    <w:rPr>
      <w:rFonts w:ascii="Tahoma" w:hAnsi="Tahoma" w:cs="Tahoma"/>
      <w:sz w:val="16"/>
      <w:szCs w:val="16"/>
    </w:rPr>
  </w:style>
  <w:style w:type="paragraph" w:customStyle="1" w:styleId="Estilo">
    <w:name w:val="Estilo"/>
    <w:basedOn w:val="Sinespaciado"/>
    <w:link w:val="EstiloCar"/>
    <w:qFormat/>
    <w:rsid w:val="003C4033"/>
    <w:pPr>
      <w:jc w:val="both"/>
    </w:pPr>
    <w:rPr>
      <w:rFonts w:ascii="Arial" w:hAnsi="Arial"/>
      <w:sz w:val="24"/>
      <w:lang w:val="es-MX"/>
    </w:rPr>
  </w:style>
  <w:style w:type="paragraph" w:styleId="Sinespaciado">
    <w:name w:val="No Spacing"/>
    <w:link w:val="SinespaciadoCar"/>
    <w:uiPriority w:val="1"/>
    <w:qFormat/>
    <w:rsid w:val="00C25890"/>
  </w:style>
  <w:style w:type="paragraph" w:styleId="Prrafodelista">
    <w:name w:val="List Paragraph"/>
    <w:basedOn w:val="Normal"/>
    <w:uiPriority w:val="1"/>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pBdr>
      <w:spacing w:before="200" w:after="280"/>
      <w:ind w:left="936" w:right="936"/>
    </w:pPr>
    <w:rPr>
      <w:b/>
      <w:bCs/>
      <w:i/>
      <w:iCs/>
      <w:color w:val="4F81BD" w:themeColor="accent1"/>
    </w:rPr>
  </w:style>
  <w:style w:type="paragraph" w:customStyle="1" w:styleId="Estilo2">
    <w:name w:val="Estilo2"/>
    <w:basedOn w:val="Estilo"/>
    <w:link w:val="Estilo2Car"/>
    <w:qFormat/>
    <w:rsid w:val="00DC2AD6"/>
    <w:pPr>
      <w:spacing w:line="360" w:lineRule="auto"/>
    </w:pPr>
  </w:style>
  <w:style w:type="paragraph" w:styleId="Textosinformato">
    <w:name w:val="Plain Text"/>
    <w:basedOn w:val="Normal"/>
    <w:link w:val="TextosinformatoCar"/>
    <w:uiPriority w:val="99"/>
    <w:qFormat/>
    <w:rsid w:val="00B656C9"/>
    <w:pPr>
      <w:spacing w:after="0" w:line="240" w:lineRule="auto"/>
    </w:pPr>
    <w:rPr>
      <w:rFonts w:ascii="Courier New" w:eastAsia="Times New Roman" w:hAnsi="Courier New" w:cs="Courier New"/>
      <w:sz w:val="20"/>
      <w:szCs w:val="20"/>
      <w:lang w:val="es-ES" w:eastAsia="es-MX"/>
    </w:rPr>
  </w:style>
  <w:style w:type="paragraph" w:customStyle="1" w:styleId="Textosinformato1">
    <w:name w:val="Texto sin formato1"/>
    <w:basedOn w:val="Normal"/>
    <w:qFormat/>
    <w:rsid w:val="00C45926"/>
    <w:pPr>
      <w:spacing w:after="0" w:line="240" w:lineRule="auto"/>
    </w:pPr>
    <w:rPr>
      <w:rFonts w:ascii="Courier New" w:eastAsia="Times New Roman" w:hAnsi="Courier New" w:cs="Courier New"/>
      <w:sz w:val="20"/>
      <w:szCs w:val="20"/>
      <w:lang w:eastAsia="ar-SA"/>
    </w:rPr>
  </w:style>
  <w:style w:type="paragraph" w:customStyle="1" w:styleId="Textoindependiente23">
    <w:name w:val="Texto independiente 23"/>
    <w:basedOn w:val="Normal"/>
    <w:qFormat/>
    <w:rsid w:val="006D781A"/>
    <w:pPr>
      <w:tabs>
        <w:tab w:val="left" w:pos="709"/>
      </w:tabs>
      <w:spacing w:after="0" w:line="240" w:lineRule="auto"/>
      <w:jc w:val="both"/>
    </w:pPr>
    <w:rPr>
      <w:rFonts w:ascii="Arial" w:eastAsia="Times New Roman" w:hAnsi="Arial" w:cs="Arial"/>
      <w:b/>
      <w:sz w:val="28"/>
      <w:szCs w:val="20"/>
      <w:lang w:val="es-ES_tradnl" w:eastAsia="ar-SA"/>
    </w:rPr>
  </w:style>
  <w:style w:type="paragraph" w:customStyle="1" w:styleId="WW-BodyText2">
    <w:name w:val="WW-Body Text 2"/>
    <w:basedOn w:val="Normal"/>
    <w:qFormat/>
    <w:rsid w:val="006D781A"/>
    <w:pPr>
      <w:spacing w:after="0" w:line="240" w:lineRule="auto"/>
      <w:ind w:right="424"/>
      <w:jc w:val="both"/>
    </w:pPr>
    <w:rPr>
      <w:rFonts w:ascii="Arial" w:eastAsia="Times New Roman" w:hAnsi="Arial" w:cs="Arial"/>
      <w:sz w:val="24"/>
      <w:szCs w:val="20"/>
      <w:lang w:val="es-ES_tradnl" w:eastAsia="ar-SA"/>
    </w:rPr>
  </w:style>
  <w:style w:type="paragraph" w:customStyle="1" w:styleId="Default">
    <w:name w:val="Default"/>
    <w:qFormat/>
    <w:rsid w:val="001560DC"/>
    <w:rPr>
      <w:rFonts w:ascii="Times New Roman" w:eastAsia="Calibri" w:hAnsi="Times New Roman" w:cs="Times New Roman"/>
      <w:color w:val="000000"/>
      <w:sz w:val="24"/>
      <w:szCs w:val="24"/>
      <w:lang w:val="es-MX"/>
    </w:rPr>
  </w:style>
  <w:style w:type="paragraph" w:customStyle="1" w:styleId="TableParagraph">
    <w:name w:val="Table Paragraph"/>
    <w:basedOn w:val="Normal"/>
    <w:uiPriority w:val="1"/>
    <w:qFormat/>
    <w:rsid w:val="003C21C5"/>
    <w:pPr>
      <w:widowControl w:val="0"/>
      <w:suppressAutoHyphens w:val="0"/>
      <w:spacing w:after="0" w:line="240" w:lineRule="auto"/>
    </w:pPr>
    <w:rPr>
      <w:rFonts w:ascii="Times New Roman" w:eastAsia="Times New Roman" w:hAnsi="Times New Roman" w:cs="Times New Roman"/>
      <w:lang w:val="es-ES"/>
    </w:rPr>
  </w:style>
  <w:style w:type="paragraph" w:styleId="Textocomentario">
    <w:name w:val="annotation text"/>
    <w:basedOn w:val="Normal"/>
    <w:link w:val="TextocomentarioCar"/>
    <w:uiPriority w:val="99"/>
    <w:semiHidden/>
    <w:unhideWhenUsed/>
    <w:qFormat/>
    <w:rsid w:val="00017D87"/>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17D87"/>
    <w:rPr>
      <w:b/>
      <w:bCs/>
    </w:rPr>
  </w:style>
  <w:style w:type="paragraph" w:styleId="Bibliografa">
    <w:name w:val="Bibliography"/>
    <w:basedOn w:val="Normal"/>
    <w:next w:val="Normal"/>
    <w:uiPriority w:val="37"/>
    <w:semiHidden/>
    <w:unhideWhenUsed/>
    <w:qFormat/>
    <w:rsid w:val="00017D87"/>
  </w:style>
  <w:style w:type="paragraph" w:styleId="Cierre">
    <w:name w:val="Closing"/>
    <w:basedOn w:val="Normal"/>
    <w:link w:val="CierreCar"/>
    <w:uiPriority w:val="99"/>
    <w:semiHidden/>
    <w:unhideWhenUsed/>
    <w:qFormat/>
    <w:rsid w:val="00017D87"/>
    <w:pPr>
      <w:spacing w:after="0" w:line="240" w:lineRule="auto"/>
      <w:ind w:left="4252"/>
    </w:pPr>
  </w:style>
  <w:style w:type="paragraph" w:styleId="Cita">
    <w:name w:val="Quote"/>
    <w:basedOn w:val="Normal"/>
    <w:next w:val="Normal"/>
    <w:link w:val="CitaCar"/>
    <w:uiPriority w:val="29"/>
    <w:qFormat/>
    <w:rsid w:val="00017D87"/>
    <w:pPr>
      <w:spacing w:before="200" w:after="160"/>
      <w:ind w:left="864" w:right="864"/>
      <w:jc w:val="center"/>
    </w:pPr>
    <w:rPr>
      <w:i/>
      <w:iCs/>
      <w:color w:val="404040" w:themeColor="text1" w:themeTint="BF"/>
    </w:rPr>
  </w:style>
  <w:style w:type="paragraph" w:styleId="Continuarlista">
    <w:name w:val="List Continue"/>
    <w:basedOn w:val="Normal"/>
    <w:uiPriority w:val="99"/>
    <w:semiHidden/>
    <w:unhideWhenUsed/>
    <w:qFormat/>
    <w:rsid w:val="00017D87"/>
    <w:pPr>
      <w:spacing w:after="120"/>
      <w:ind w:left="283"/>
      <w:contextualSpacing/>
    </w:pPr>
  </w:style>
  <w:style w:type="paragraph" w:styleId="Continuarlista2">
    <w:name w:val="List Continue 2"/>
    <w:basedOn w:val="Normal"/>
    <w:uiPriority w:val="99"/>
    <w:semiHidden/>
    <w:unhideWhenUsed/>
    <w:qFormat/>
    <w:rsid w:val="00017D87"/>
    <w:pPr>
      <w:spacing w:after="120"/>
      <w:ind w:left="566"/>
      <w:contextualSpacing/>
    </w:pPr>
  </w:style>
  <w:style w:type="paragraph" w:styleId="Continuarlista3">
    <w:name w:val="List Continue 3"/>
    <w:basedOn w:val="Normal"/>
    <w:uiPriority w:val="99"/>
    <w:semiHidden/>
    <w:unhideWhenUsed/>
    <w:qFormat/>
    <w:rsid w:val="00017D87"/>
    <w:pPr>
      <w:spacing w:after="120"/>
      <w:ind w:left="849"/>
      <w:contextualSpacing/>
    </w:pPr>
  </w:style>
  <w:style w:type="paragraph" w:styleId="Continuarlista4">
    <w:name w:val="List Continue 4"/>
    <w:basedOn w:val="Normal"/>
    <w:uiPriority w:val="99"/>
    <w:semiHidden/>
    <w:unhideWhenUsed/>
    <w:qFormat/>
    <w:rsid w:val="00017D87"/>
    <w:pPr>
      <w:spacing w:after="120"/>
      <w:ind w:left="1132"/>
      <w:contextualSpacing/>
    </w:pPr>
  </w:style>
  <w:style w:type="paragraph" w:styleId="Continuarlista5">
    <w:name w:val="List Continue 5"/>
    <w:basedOn w:val="Normal"/>
    <w:uiPriority w:val="99"/>
    <w:semiHidden/>
    <w:unhideWhenUsed/>
    <w:qFormat/>
    <w:rsid w:val="00017D87"/>
    <w:pPr>
      <w:spacing w:after="120"/>
      <w:ind w:left="1415"/>
      <w:contextualSpacing/>
    </w:pPr>
  </w:style>
  <w:style w:type="paragraph" w:styleId="DireccinHTML">
    <w:name w:val="HTML Address"/>
    <w:basedOn w:val="Normal"/>
    <w:link w:val="DireccinHTMLCar"/>
    <w:uiPriority w:val="99"/>
    <w:semiHidden/>
    <w:unhideWhenUsed/>
    <w:qFormat/>
    <w:rsid w:val="00017D87"/>
    <w:pPr>
      <w:spacing w:after="0" w:line="240" w:lineRule="auto"/>
    </w:pPr>
    <w:rPr>
      <w:i/>
      <w:iCs/>
    </w:rPr>
  </w:style>
  <w:style w:type="paragraph" w:styleId="Direccinsobre">
    <w:name w:val="envelope address"/>
    <w:basedOn w:val="Normal"/>
    <w:uiPriority w:val="99"/>
    <w:semiHidden/>
    <w:unhideWhenUsed/>
    <w:qFormat/>
    <w:rsid w:val="00017D87"/>
    <w:pPr>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qFormat/>
    <w:rsid w:val="00017D87"/>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qFormat/>
    <w:rsid w:val="00017D87"/>
    <w:pPr>
      <w:pBdr>
        <w:top w:val="single" w:sz="6" w:space="1" w:color="000000"/>
        <w:left w:val="single" w:sz="6" w:space="1" w:color="000000"/>
        <w:bottom w:val="single" w:sz="6" w:space="1" w:color="000000"/>
        <w:right w:val="single" w:sz="6" w:space="1" w:color="000000"/>
      </w:pBdr>
      <w:shd w:val="pct20" w:color="auto" w:fill="auto"/>
      <w:spacing w:after="0" w:line="240" w:lineRule="auto"/>
      <w:ind w:left="1134" w:hanging="1134"/>
    </w:pPr>
    <w:rPr>
      <w:rFonts w:asciiTheme="majorHAnsi" w:eastAsiaTheme="majorEastAsia" w:hAnsiTheme="majorHAnsi" w:cstheme="majorBidi"/>
      <w:sz w:val="24"/>
      <w:szCs w:val="24"/>
    </w:rPr>
  </w:style>
  <w:style w:type="paragraph" w:styleId="Encabezadodenota">
    <w:name w:val="Note Heading"/>
    <w:basedOn w:val="Normal"/>
    <w:next w:val="Normal"/>
    <w:link w:val="EncabezadodenotaCar"/>
    <w:uiPriority w:val="99"/>
    <w:semiHidden/>
    <w:unhideWhenUsed/>
    <w:qFormat/>
    <w:rsid w:val="00017D87"/>
    <w:pPr>
      <w:spacing w:after="0" w:line="240" w:lineRule="auto"/>
    </w:pPr>
  </w:style>
  <w:style w:type="paragraph" w:styleId="Fecha">
    <w:name w:val="Date"/>
    <w:basedOn w:val="Normal"/>
    <w:next w:val="Normal"/>
    <w:link w:val="FechaCar"/>
    <w:uiPriority w:val="99"/>
    <w:semiHidden/>
    <w:unhideWhenUsed/>
    <w:qFormat/>
    <w:rsid w:val="00017D87"/>
  </w:style>
  <w:style w:type="paragraph" w:styleId="Firma">
    <w:name w:val="Signature"/>
    <w:basedOn w:val="Normal"/>
    <w:link w:val="FirmaCar"/>
    <w:uiPriority w:val="99"/>
    <w:semiHidden/>
    <w:unhideWhenUsed/>
    <w:rsid w:val="00017D87"/>
    <w:pPr>
      <w:spacing w:after="0" w:line="240" w:lineRule="auto"/>
      <w:ind w:left="4252"/>
    </w:pPr>
  </w:style>
  <w:style w:type="paragraph" w:styleId="Firmadecorreoelectrnico">
    <w:name w:val="E-mail Signature"/>
    <w:basedOn w:val="Normal"/>
    <w:link w:val="FirmadecorreoelectrnicoCar"/>
    <w:uiPriority w:val="99"/>
    <w:semiHidden/>
    <w:unhideWhenUsed/>
    <w:qFormat/>
    <w:rsid w:val="00017D87"/>
    <w:pPr>
      <w:spacing w:after="0" w:line="240" w:lineRule="auto"/>
    </w:pPr>
  </w:style>
  <w:style w:type="paragraph" w:styleId="HTMLconformatoprevio">
    <w:name w:val="HTML Preformatted"/>
    <w:basedOn w:val="Normal"/>
    <w:link w:val="HTMLconformatoprevioCar"/>
    <w:uiPriority w:val="99"/>
    <w:semiHidden/>
    <w:unhideWhenUsed/>
    <w:qFormat/>
    <w:rsid w:val="00017D87"/>
    <w:pPr>
      <w:spacing w:after="0" w:line="240" w:lineRule="auto"/>
    </w:pPr>
    <w:rPr>
      <w:rFonts w:ascii="Consolas" w:hAnsi="Consolas"/>
      <w:sz w:val="20"/>
      <w:szCs w:val="20"/>
    </w:rPr>
  </w:style>
  <w:style w:type="paragraph" w:styleId="ndice1">
    <w:name w:val="index 1"/>
    <w:basedOn w:val="Normal"/>
    <w:next w:val="Normal"/>
    <w:autoRedefine/>
    <w:uiPriority w:val="99"/>
    <w:semiHidden/>
    <w:unhideWhenUsed/>
    <w:qFormat/>
    <w:rsid w:val="00017D87"/>
    <w:pPr>
      <w:spacing w:after="0" w:line="240" w:lineRule="auto"/>
      <w:ind w:left="220" w:hanging="220"/>
    </w:pPr>
  </w:style>
  <w:style w:type="paragraph" w:styleId="ndice2">
    <w:name w:val="index 2"/>
    <w:basedOn w:val="Normal"/>
    <w:next w:val="Normal"/>
    <w:autoRedefine/>
    <w:uiPriority w:val="99"/>
    <w:semiHidden/>
    <w:unhideWhenUsed/>
    <w:qFormat/>
    <w:rsid w:val="00017D87"/>
    <w:pPr>
      <w:spacing w:after="0" w:line="240" w:lineRule="auto"/>
      <w:ind w:left="440" w:hanging="220"/>
    </w:pPr>
  </w:style>
  <w:style w:type="paragraph" w:styleId="ndice3">
    <w:name w:val="index 3"/>
    <w:basedOn w:val="Normal"/>
    <w:next w:val="Normal"/>
    <w:autoRedefine/>
    <w:uiPriority w:val="99"/>
    <w:semiHidden/>
    <w:unhideWhenUsed/>
    <w:qFormat/>
    <w:rsid w:val="00017D87"/>
    <w:pPr>
      <w:spacing w:after="0" w:line="240" w:lineRule="auto"/>
      <w:ind w:left="660" w:hanging="220"/>
    </w:pPr>
  </w:style>
  <w:style w:type="paragraph" w:styleId="ndice4">
    <w:name w:val="index 4"/>
    <w:basedOn w:val="Normal"/>
    <w:next w:val="Normal"/>
    <w:autoRedefine/>
    <w:uiPriority w:val="99"/>
    <w:semiHidden/>
    <w:unhideWhenUsed/>
    <w:qFormat/>
    <w:rsid w:val="00017D87"/>
    <w:pPr>
      <w:spacing w:after="0" w:line="240" w:lineRule="auto"/>
      <w:ind w:left="880" w:hanging="220"/>
    </w:pPr>
  </w:style>
  <w:style w:type="paragraph" w:styleId="ndice5">
    <w:name w:val="index 5"/>
    <w:basedOn w:val="Normal"/>
    <w:next w:val="Normal"/>
    <w:autoRedefine/>
    <w:uiPriority w:val="99"/>
    <w:semiHidden/>
    <w:unhideWhenUsed/>
    <w:qFormat/>
    <w:rsid w:val="00017D87"/>
    <w:pPr>
      <w:spacing w:after="0" w:line="240" w:lineRule="auto"/>
      <w:ind w:left="1100" w:hanging="220"/>
    </w:pPr>
  </w:style>
  <w:style w:type="paragraph" w:styleId="ndice6">
    <w:name w:val="index 6"/>
    <w:basedOn w:val="Normal"/>
    <w:next w:val="Normal"/>
    <w:autoRedefine/>
    <w:uiPriority w:val="99"/>
    <w:semiHidden/>
    <w:unhideWhenUsed/>
    <w:qFormat/>
    <w:rsid w:val="00017D87"/>
    <w:pPr>
      <w:spacing w:after="0" w:line="240" w:lineRule="auto"/>
      <w:ind w:left="1320" w:hanging="220"/>
    </w:pPr>
  </w:style>
  <w:style w:type="paragraph" w:styleId="ndice7">
    <w:name w:val="index 7"/>
    <w:basedOn w:val="Normal"/>
    <w:next w:val="Normal"/>
    <w:autoRedefine/>
    <w:uiPriority w:val="99"/>
    <w:semiHidden/>
    <w:unhideWhenUsed/>
    <w:qFormat/>
    <w:rsid w:val="00017D87"/>
    <w:pPr>
      <w:spacing w:after="0" w:line="240" w:lineRule="auto"/>
      <w:ind w:left="1540" w:hanging="220"/>
    </w:pPr>
  </w:style>
  <w:style w:type="paragraph" w:styleId="ndice8">
    <w:name w:val="index 8"/>
    <w:basedOn w:val="Normal"/>
    <w:next w:val="Normal"/>
    <w:autoRedefine/>
    <w:uiPriority w:val="99"/>
    <w:semiHidden/>
    <w:unhideWhenUsed/>
    <w:qFormat/>
    <w:rsid w:val="00017D87"/>
    <w:pPr>
      <w:spacing w:after="0" w:line="240" w:lineRule="auto"/>
      <w:ind w:left="1760" w:hanging="220"/>
    </w:pPr>
  </w:style>
  <w:style w:type="paragraph" w:styleId="ndice9">
    <w:name w:val="index 9"/>
    <w:basedOn w:val="Normal"/>
    <w:next w:val="Normal"/>
    <w:autoRedefine/>
    <w:uiPriority w:val="99"/>
    <w:semiHidden/>
    <w:unhideWhenUsed/>
    <w:qFormat/>
    <w:rsid w:val="00017D87"/>
    <w:pPr>
      <w:spacing w:after="0" w:line="240" w:lineRule="auto"/>
      <w:ind w:left="1980" w:hanging="220"/>
    </w:pPr>
  </w:style>
  <w:style w:type="paragraph" w:styleId="Listaconvietas3">
    <w:name w:val="List Bullet 3"/>
    <w:basedOn w:val="Normal"/>
    <w:uiPriority w:val="99"/>
    <w:semiHidden/>
    <w:unhideWhenUsed/>
    <w:qFormat/>
    <w:rsid w:val="00017D87"/>
    <w:pPr>
      <w:numPr>
        <w:numId w:val="10"/>
      </w:numPr>
      <w:contextualSpacing/>
    </w:pPr>
  </w:style>
  <w:style w:type="paragraph" w:styleId="Listaconvietas4">
    <w:name w:val="List Bullet 4"/>
    <w:basedOn w:val="Normal"/>
    <w:uiPriority w:val="99"/>
    <w:semiHidden/>
    <w:unhideWhenUsed/>
    <w:qFormat/>
    <w:rsid w:val="00017D87"/>
    <w:pPr>
      <w:numPr>
        <w:numId w:val="11"/>
      </w:numPr>
      <w:contextualSpacing/>
    </w:pPr>
  </w:style>
  <w:style w:type="paragraph" w:styleId="Listaconvietas5">
    <w:name w:val="List Bullet 5"/>
    <w:basedOn w:val="Normal"/>
    <w:uiPriority w:val="99"/>
    <w:semiHidden/>
    <w:unhideWhenUsed/>
    <w:qFormat/>
    <w:rsid w:val="00017D87"/>
    <w:pPr>
      <w:numPr>
        <w:numId w:val="12"/>
      </w:numPr>
      <w:contextualSpacing/>
    </w:pPr>
  </w:style>
  <w:style w:type="paragraph" w:styleId="Listaconnmeros">
    <w:name w:val="List Number"/>
    <w:basedOn w:val="Normal"/>
    <w:uiPriority w:val="99"/>
    <w:semiHidden/>
    <w:unhideWhenUsed/>
    <w:qFormat/>
    <w:rsid w:val="00017D87"/>
    <w:pPr>
      <w:numPr>
        <w:numId w:val="3"/>
      </w:numPr>
      <w:contextualSpacing/>
    </w:pPr>
  </w:style>
  <w:style w:type="paragraph" w:styleId="Listaconnmeros2">
    <w:name w:val="List Number 2"/>
    <w:basedOn w:val="Normal"/>
    <w:uiPriority w:val="99"/>
    <w:semiHidden/>
    <w:unhideWhenUsed/>
    <w:qFormat/>
    <w:rsid w:val="00017D87"/>
    <w:pPr>
      <w:numPr>
        <w:numId w:val="4"/>
      </w:numPr>
      <w:contextualSpacing/>
    </w:pPr>
  </w:style>
  <w:style w:type="paragraph" w:styleId="Listaconnmeros3">
    <w:name w:val="List Number 3"/>
    <w:basedOn w:val="Normal"/>
    <w:uiPriority w:val="99"/>
    <w:semiHidden/>
    <w:unhideWhenUsed/>
    <w:qFormat/>
    <w:rsid w:val="00017D87"/>
    <w:pPr>
      <w:numPr>
        <w:numId w:val="5"/>
      </w:numPr>
      <w:contextualSpacing/>
    </w:pPr>
  </w:style>
  <w:style w:type="paragraph" w:styleId="Listaconnmeros4">
    <w:name w:val="List Number 4"/>
    <w:basedOn w:val="Normal"/>
    <w:uiPriority w:val="99"/>
    <w:semiHidden/>
    <w:unhideWhenUsed/>
    <w:qFormat/>
    <w:rsid w:val="00017D87"/>
    <w:pPr>
      <w:numPr>
        <w:numId w:val="6"/>
      </w:numPr>
      <w:contextualSpacing/>
    </w:pPr>
  </w:style>
  <w:style w:type="paragraph" w:styleId="Listaconnmeros5">
    <w:name w:val="List Number 5"/>
    <w:basedOn w:val="Normal"/>
    <w:uiPriority w:val="99"/>
    <w:semiHidden/>
    <w:unhideWhenUsed/>
    <w:qFormat/>
    <w:rsid w:val="00017D87"/>
    <w:pPr>
      <w:numPr>
        <w:numId w:val="7"/>
      </w:numPr>
      <w:contextualSpacing/>
    </w:pPr>
  </w:style>
  <w:style w:type="paragraph" w:styleId="Listaconvietas">
    <w:name w:val="List Bullet"/>
    <w:basedOn w:val="Normal"/>
    <w:uiPriority w:val="99"/>
    <w:semiHidden/>
    <w:unhideWhenUsed/>
    <w:qFormat/>
    <w:rsid w:val="00017D87"/>
    <w:pPr>
      <w:numPr>
        <w:numId w:val="8"/>
      </w:numPr>
      <w:contextualSpacing/>
    </w:pPr>
  </w:style>
  <w:style w:type="paragraph" w:styleId="Listaconvietas2">
    <w:name w:val="List Bullet 2"/>
    <w:basedOn w:val="Normal"/>
    <w:uiPriority w:val="99"/>
    <w:semiHidden/>
    <w:unhideWhenUsed/>
    <w:qFormat/>
    <w:rsid w:val="00017D87"/>
    <w:pPr>
      <w:numPr>
        <w:numId w:val="9"/>
      </w:numPr>
      <w:contextualSpacing/>
    </w:pPr>
  </w:style>
  <w:style w:type="paragraph" w:styleId="Mapadeldocumento">
    <w:name w:val="Document Map"/>
    <w:basedOn w:val="Normal"/>
    <w:link w:val="MapadeldocumentoCar"/>
    <w:uiPriority w:val="99"/>
    <w:semiHidden/>
    <w:unhideWhenUsed/>
    <w:qFormat/>
    <w:rsid w:val="00017D87"/>
    <w:pPr>
      <w:spacing w:after="0" w:line="240" w:lineRule="auto"/>
    </w:pPr>
    <w:rPr>
      <w:rFonts w:ascii="Segoe UI" w:hAnsi="Segoe UI" w:cs="Segoe UI"/>
      <w:sz w:val="16"/>
      <w:szCs w:val="16"/>
    </w:rPr>
  </w:style>
  <w:style w:type="paragraph" w:styleId="NormalWeb">
    <w:name w:val="Normal (Web)"/>
    <w:basedOn w:val="Normal"/>
    <w:uiPriority w:val="99"/>
    <w:semiHidden/>
    <w:unhideWhenUsed/>
    <w:qFormat/>
    <w:rsid w:val="00017D87"/>
    <w:rPr>
      <w:rFonts w:ascii="Times New Roman" w:hAnsi="Times New Roman" w:cs="Times New Roman"/>
      <w:sz w:val="24"/>
      <w:szCs w:val="24"/>
    </w:rPr>
  </w:style>
  <w:style w:type="paragraph" w:styleId="Remitedesobre">
    <w:name w:val="envelope return"/>
    <w:basedOn w:val="Normal"/>
    <w:uiPriority w:val="99"/>
    <w:semiHidden/>
    <w:unhideWhenUsed/>
    <w:qFormat/>
    <w:rsid w:val="00017D87"/>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017D87"/>
  </w:style>
  <w:style w:type="paragraph" w:styleId="Sangra2detindependiente">
    <w:name w:val="Body Text Indent 2"/>
    <w:basedOn w:val="Normal"/>
    <w:link w:val="Sangra2detindependienteCar"/>
    <w:uiPriority w:val="99"/>
    <w:semiHidden/>
    <w:unhideWhenUsed/>
    <w:qFormat/>
    <w:rsid w:val="00017D87"/>
    <w:pPr>
      <w:spacing w:after="120" w:line="480" w:lineRule="auto"/>
      <w:ind w:left="283"/>
    </w:pPr>
  </w:style>
  <w:style w:type="paragraph" w:styleId="Sangra3detindependiente">
    <w:name w:val="Body Text Indent 3"/>
    <w:basedOn w:val="Normal"/>
    <w:link w:val="Sangra3detindependienteCar"/>
    <w:uiPriority w:val="99"/>
    <w:semiHidden/>
    <w:unhideWhenUsed/>
    <w:qFormat/>
    <w:rsid w:val="00017D87"/>
    <w:pPr>
      <w:spacing w:after="120"/>
      <w:ind w:left="283"/>
    </w:pPr>
    <w:rPr>
      <w:sz w:val="16"/>
      <w:szCs w:val="16"/>
    </w:rPr>
  </w:style>
  <w:style w:type="paragraph" w:styleId="Sangradetextonormal">
    <w:name w:val="Body Text Indent"/>
    <w:basedOn w:val="Textoindependiente"/>
    <w:link w:val="SangradetextonormalCar1"/>
    <w:uiPriority w:val="99"/>
    <w:semiHidden/>
    <w:unhideWhenUsed/>
    <w:qFormat/>
    <w:rsid w:val="00017D87"/>
    <w:pPr>
      <w:spacing w:after="200"/>
      <w:ind w:firstLine="360"/>
    </w:pPr>
  </w:style>
  <w:style w:type="paragraph" w:styleId="Sangranormal">
    <w:name w:val="Normal Indent"/>
    <w:basedOn w:val="Normal"/>
    <w:uiPriority w:val="99"/>
    <w:semiHidden/>
    <w:unhideWhenUsed/>
    <w:qFormat/>
    <w:rsid w:val="00017D87"/>
    <w:pPr>
      <w:ind w:left="708"/>
    </w:pPr>
  </w:style>
  <w:style w:type="paragraph" w:styleId="Subttulo">
    <w:name w:val="Subtitle"/>
    <w:basedOn w:val="Normal"/>
    <w:next w:val="Normal"/>
    <w:link w:val="SubttuloCar"/>
    <w:uiPriority w:val="11"/>
    <w:qFormat/>
    <w:rsid w:val="00017D87"/>
    <w:pPr>
      <w:spacing w:after="160"/>
    </w:pPr>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qFormat/>
    <w:rsid w:val="00017D87"/>
    <w:pPr>
      <w:spacing w:after="0"/>
    </w:pPr>
  </w:style>
  <w:style w:type="paragraph" w:styleId="TDC1">
    <w:name w:val="toc 1"/>
    <w:basedOn w:val="Normal"/>
    <w:next w:val="Normal"/>
    <w:autoRedefine/>
    <w:uiPriority w:val="39"/>
    <w:semiHidden/>
    <w:unhideWhenUsed/>
    <w:rsid w:val="00017D87"/>
    <w:pPr>
      <w:spacing w:after="100"/>
    </w:pPr>
  </w:style>
  <w:style w:type="paragraph" w:styleId="TDC2">
    <w:name w:val="toc 2"/>
    <w:basedOn w:val="Normal"/>
    <w:next w:val="Normal"/>
    <w:autoRedefine/>
    <w:uiPriority w:val="39"/>
    <w:semiHidden/>
    <w:unhideWhenUsed/>
    <w:rsid w:val="00017D87"/>
    <w:pPr>
      <w:spacing w:after="100"/>
      <w:ind w:left="220"/>
    </w:pPr>
  </w:style>
  <w:style w:type="paragraph" w:styleId="TDC3">
    <w:name w:val="toc 3"/>
    <w:basedOn w:val="Normal"/>
    <w:next w:val="Normal"/>
    <w:autoRedefine/>
    <w:uiPriority w:val="39"/>
    <w:semiHidden/>
    <w:unhideWhenUsed/>
    <w:rsid w:val="00017D87"/>
    <w:pPr>
      <w:spacing w:after="100"/>
      <w:ind w:left="440"/>
    </w:pPr>
  </w:style>
  <w:style w:type="paragraph" w:styleId="TDC4">
    <w:name w:val="toc 4"/>
    <w:basedOn w:val="Normal"/>
    <w:next w:val="Normal"/>
    <w:autoRedefine/>
    <w:uiPriority w:val="39"/>
    <w:semiHidden/>
    <w:unhideWhenUsed/>
    <w:rsid w:val="00017D87"/>
    <w:pPr>
      <w:spacing w:after="100"/>
      <w:ind w:left="660"/>
    </w:pPr>
  </w:style>
  <w:style w:type="paragraph" w:styleId="TDC5">
    <w:name w:val="toc 5"/>
    <w:basedOn w:val="Normal"/>
    <w:next w:val="Normal"/>
    <w:autoRedefine/>
    <w:uiPriority w:val="39"/>
    <w:semiHidden/>
    <w:unhideWhenUsed/>
    <w:rsid w:val="00017D87"/>
    <w:pPr>
      <w:spacing w:after="100"/>
      <w:ind w:left="880"/>
    </w:pPr>
  </w:style>
  <w:style w:type="paragraph" w:styleId="TDC6">
    <w:name w:val="toc 6"/>
    <w:basedOn w:val="Normal"/>
    <w:next w:val="Normal"/>
    <w:autoRedefine/>
    <w:uiPriority w:val="39"/>
    <w:semiHidden/>
    <w:unhideWhenUsed/>
    <w:rsid w:val="00017D87"/>
    <w:pPr>
      <w:spacing w:after="100"/>
      <w:ind w:left="1100"/>
    </w:pPr>
  </w:style>
  <w:style w:type="paragraph" w:styleId="TDC7">
    <w:name w:val="toc 7"/>
    <w:basedOn w:val="Normal"/>
    <w:next w:val="Normal"/>
    <w:autoRedefine/>
    <w:uiPriority w:val="39"/>
    <w:semiHidden/>
    <w:unhideWhenUsed/>
    <w:rsid w:val="00017D87"/>
    <w:pPr>
      <w:spacing w:after="100"/>
      <w:ind w:left="1320"/>
    </w:pPr>
  </w:style>
  <w:style w:type="paragraph" w:styleId="TDC8">
    <w:name w:val="toc 8"/>
    <w:basedOn w:val="Normal"/>
    <w:next w:val="Normal"/>
    <w:autoRedefine/>
    <w:uiPriority w:val="39"/>
    <w:semiHidden/>
    <w:unhideWhenUsed/>
    <w:rsid w:val="00017D87"/>
    <w:pPr>
      <w:spacing w:after="100"/>
      <w:ind w:left="1540"/>
    </w:pPr>
  </w:style>
  <w:style w:type="paragraph" w:styleId="TDC9">
    <w:name w:val="toc 9"/>
    <w:basedOn w:val="Normal"/>
    <w:next w:val="Normal"/>
    <w:autoRedefine/>
    <w:uiPriority w:val="39"/>
    <w:semiHidden/>
    <w:unhideWhenUsed/>
    <w:rsid w:val="00017D87"/>
    <w:pPr>
      <w:spacing w:after="100"/>
      <w:ind w:left="1760"/>
    </w:pPr>
  </w:style>
  <w:style w:type="paragraph" w:styleId="Textoconsangra">
    <w:name w:val="table of authorities"/>
    <w:basedOn w:val="Normal"/>
    <w:next w:val="Normal"/>
    <w:uiPriority w:val="99"/>
    <w:semiHidden/>
    <w:unhideWhenUsed/>
    <w:qFormat/>
    <w:rsid w:val="00017D87"/>
    <w:pPr>
      <w:spacing w:after="0"/>
      <w:ind w:left="220" w:hanging="220"/>
    </w:pPr>
  </w:style>
  <w:style w:type="paragraph" w:styleId="Textodebloque">
    <w:name w:val="Block Text"/>
    <w:basedOn w:val="Normal"/>
    <w:uiPriority w:val="99"/>
    <w:semiHidden/>
    <w:unhideWhenUsed/>
    <w:qFormat/>
    <w:rsid w:val="00017D87"/>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Textoindependiente2">
    <w:name w:val="Body Text 2"/>
    <w:basedOn w:val="Normal"/>
    <w:link w:val="Textoindependiente2Car"/>
    <w:uiPriority w:val="99"/>
    <w:semiHidden/>
    <w:unhideWhenUsed/>
    <w:qFormat/>
    <w:rsid w:val="00017D87"/>
    <w:pPr>
      <w:spacing w:after="120" w:line="480" w:lineRule="auto"/>
    </w:pPr>
  </w:style>
  <w:style w:type="paragraph" w:styleId="Textoindependiente3">
    <w:name w:val="Body Text 3"/>
    <w:basedOn w:val="Normal"/>
    <w:link w:val="Textoindependiente3Car"/>
    <w:uiPriority w:val="99"/>
    <w:semiHidden/>
    <w:unhideWhenUsed/>
    <w:qFormat/>
    <w:rsid w:val="00017D87"/>
    <w:pPr>
      <w:spacing w:after="120"/>
    </w:pPr>
    <w:rPr>
      <w:sz w:val="16"/>
      <w:szCs w:val="16"/>
    </w:rPr>
  </w:style>
  <w:style w:type="paragraph" w:styleId="Textoindependienteprimerasangra2">
    <w:name w:val="Body Text First Indent 2"/>
    <w:basedOn w:val="Sangradetextonormal"/>
    <w:link w:val="Textoindependienteprimerasangra2Car"/>
    <w:uiPriority w:val="99"/>
    <w:semiHidden/>
    <w:unhideWhenUsed/>
    <w:qFormat/>
    <w:rsid w:val="00017D87"/>
    <w:pPr>
      <w:ind w:left="360"/>
    </w:pPr>
  </w:style>
  <w:style w:type="paragraph" w:styleId="Textomacro">
    <w:name w:val="macro"/>
    <w:link w:val="TextomacroCar"/>
    <w:uiPriority w:val="99"/>
    <w:semiHidden/>
    <w:unhideWhenUsed/>
    <w:qFormat/>
    <w:rsid w:val="00017D8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val="es-MX"/>
    </w:rPr>
  </w:style>
  <w:style w:type="paragraph" w:styleId="Textonotaalfinal">
    <w:name w:val="endnote text"/>
    <w:basedOn w:val="Normal"/>
    <w:link w:val="TextonotaalfinalCar"/>
    <w:uiPriority w:val="99"/>
    <w:semiHidden/>
    <w:unhideWhenUsed/>
    <w:rsid w:val="00017D87"/>
    <w:pPr>
      <w:spacing w:after="0" w:line="240" w:lineRule="auto"/>
    </w:pPr>
    <w:rPr>
      <w:sz w:val="20"/>
      <w:szCs w:val="20"/>
    </w:rPr>
  </w:style>
  <w:style w:type="paragraph" w:styleId="Textonotapie">
    <w:name w:val="footnote text"/>
    <w:basedOn w:val="Normal"/>
    <w:link w:val="TextonotapieCar"/>
    <w:uiPriority w:val="99"/>
    <w:semiHidden/>
    <w:unhideWhenUsed/>
    <w:rsid w:val="00017D87"/>
    <w:pPr>
      <w:spacing w:after="0" w:line="240" w:lineRule="auto"/>
    </w:pPr>
    <w:rPr>
      <w:sz w:val="20"/>
      <w:szCs w:val="20"/>
    </w:rPr>
  </w:style>
  <w:style w:type="paragraph" w:styleId="Ttulodendice">
    <w:name w:val="index heading"/>
    <w:basedOn w:val="Ttulo"/>
  </w:style>
  <w:style w:type="paragraph" w:styleId="TtuloTDC">
    <w:name w:val="TOC Heading"/>
    <w:basedOn w:val="Ttulo1"/>
    <w:next w:val="Normal"/>
    <w:uiPriority w:val="39"/>
    <w:semiHidden/>
    <w:unhideWhenUsed/>
    <w:qFormat/>
    <w:rsid w:val="00017D87"/>
    <w:pPr>
      <w:spacing w:before="240"/>
      <w:outlineLvl w:val="9"/>
    </w:pPr>
    <w:rPr>
      <w:b w:val="0"/>
      <w:bCs w:val="0"/>
      <w:sz w:val="32"/>
      <w:szCs w:val="32"/>
    </w:rPr>
  </w:style>
  <w:style w:type="numbering" w:customStyle="1" w:styleId="Sinlista1">
    <w:name w:val="Sin lista1"/>
    <w:uiPriority w:val="99"/>
    <w:semiHidden/>
    <w:unhideWhenUsed/>
    <w:qFormat/>
    <w:rsid w:val="00446960"/>
  </w:style>
  <w:style w:type="numbering" w:customStyle="1" w:styleId="Sinlista2">
    <w:name w:val="Sin lista2"/>
    <w:uiPriority w:val="99"/>
    <w:semiHidden/>
    <w:unhideWhenUsed/>
    <w:qFormat/>
    <w:rsid w:val="00404B15"/>
  </w:style>
  <w:style w:type="numbering" w:customStyle="1" w:styleId="Sinlista3">
    <w:name w:val="Sin lista3"/>
    <w:uiPriority w:val="99"/>
    <w:semiHidden/>
    <w:unhideWhenUsed/>
    <w:qFormat/>
    <w:rsid w:val="003C21C5"/>
  </w:style>
  <w:style w:type="numbering" w:customStyle="1" w:styleId="Sinlista4">
    <w:name w:val="Sin lista4"/>
    <w:uiPriority w:val="99"/>
    <w:semiHidden/>
    <w:unhideWhenUsed/>
    <w:qFormat/>
    <w:rsid w:val="003C21C5"/>
  </w:style>
  <w:style w:type="table" w:styleId="Tablaconcuadrcula">
    <w:name w:val="Table Grid"/>
    <w:basedOn w:val="Tablanormal"/>
    <w:uiPriority w:val="59"/>
    <w:rsid w:val="006E43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9E4E25"/>
    <w:rPr>
      <w:rFonts w:eastAsiaTheme="minorEastAsia"/>
      <w:lang w:val="es-ES" w:eastAsia="es-ES"/>
    </w:rPr>
    <w:tblPr>
      <w:tblCellMar>
        <w:top w:w="0" w:type="dxa"/>
        <w:left w:w="0" w:type="dxa"/>
        <w:bottom w:w="0" w:type="dxa"/>
        <w:right w:w="0" w:type="dxa"/>
      </w:tblCellMar>
    </w:tblPr>
  </w:style>
  <w:style w:type="table" w:customStyle="1" w:styleId="TableGrid1">
    <w:name w:val="TableGrid1"/>
    <w:rsid w:val="00446960"/>
    <w:rPr>
      <w:lang w:val="es-MX" w:eastAsia="es-MX"/>
    </w:rPr>
    <w:tblPr>
      <w:tblCellMar>
        <w:top w:w="0" w:type="dxa"/>
        <w:left w:w="0" w:type="dxa"/>
        <w:bottom w:w="0" w:type="dxa"/>
        <w:right w:w="0" w:type="dxa"/>
      </w:tblCellMar>
    </w:tblPr>
  </w:style>
  <w:style w:type="table" w:customStyle="1" w:styleId="TableGrid2">
    <w:name w:val="TableGrid2"/>
    <w:rsid w:val="00404B15"/>
    <w:rPr>
      <w:lang w:val="es-MX" w:eastAsia="es-MX"/>
    </w:rPr>
    <w:tblPr>
      <w:tblCellMar>
        <w:top w:w="0" w:type="dxa"/>
        <w:left w:w="0" w:type="dxa"/>
        <w:bottom w:w="0" w:type="dxa"/>
        <w:right w:w="0" w:type="dxa"/>
      </w:tblCellMar>
    </w:tblPr>
  </w:style>
  <w:style w:type="table" w:customStyle="1" w:styleId="TableGrid3">
    <w:name w:val="TableGrid3"/>
    <w:rsid w:val="00D019F5"/>
    <w:rPr>
      <w:lang w:val="es-MX" w:eastAsia="es-MX"/>
    </w:rPr>
    <w:tblPr>
      <w:tblCellMar>
        <w:top w:w="0" w:type="dxa"/>
        <w:left w:w="0" w:type="dxa"/>
        <w:bottom w:w="0" w:type="dxa"/>
        <w:right w:w="0" w:type="dxa"/>
      </w:tblCellMar>
    </w:tblPr>
  </w:style>
  <w:style w:type="table" w:customStyle="1" w:styleId="TableGrid4">
    <w:name w:val="TableGrid4"/>
    <w:rsid w:val="00374730"/>
    <w:rPr>
      <w:lang w:val="es-MX" w:eastAsia="es-MX"/>
    </w:rPr>
    <w:tblPr>
      <w:tblCellMar>
        <w:top w:w="0" w:type="dxa"/>
        <w:left w:w="0" w:type="dxa"/>
        <w:bottom w:w="0" w:type="dxa"/>
        <w:right w:w="0" w:type="dxa"/>
      </w:tblCellMar>
    </w:tblPr>
  </w:style>
  <w:style w:type="table" w:customStyle="1" w:styleId="TableGrid5">
    <w:name w:val="TableGrid5"/>
    <w:rsid w:val="00374730"/>
    <w:rPr>
      <w:lang w:val="es-MX" w:eastAsia="es-MX"/>
    </w:rPr>
    <w:tblPr>
      <w:tblCellMar>
        <w:top w:w="0" w:type="dxa"/>
        <w:left w:w="0" w:type="dxa"/>
        <w:bottom w:w="0" w:type="dxa"/>
        <w:right w:w="0" w:type="dxa"/>
      </w:tblCellMar>
    </w:tblPr>
  </w:style>
  <w:style w:type="table" w:customStyle="1" w:styleId="TableGrid6">
    <w:name w:val="TableGrid6"/>
    <w:rsid w:val="00374730"/>
    <w:rPr>
      <w:lang w:val="es-MX" w:eastAsia="es-MX"/>
    </w:rPr>
    <w:tblPr>
      <w:tblCellMar>
        <w:top w:w="0" w:type="dxa"/>
        <w:left w:w="0" w:type="dxa"/>
        <w:bottom w:w="0" w:type="dxa"/>
        <w:right w:w="0" w:type="dxa"/>
      </w:tblCellMar>
    </w:tblPr>
  </w:style>
  <w:style w:type="table" w:customStyle="1" w:styleId="TableGrid7">
    <w:name w:val="TableGrid7"/>
    <w:rsid w:val="00374730"/>
    <w:rPr>
      <w:lang w:val="es-MX" w:eastAsia="es-MX"/>
    </w:rPr>
    <w:tblPr>
      <w:tblCellMar>
        <w:top w:w="0" w:type="dxa"/>
        <w:left w:w="0" w:type="dxa"/>
        <w:bottom w:w="0" w:type="dxa"/>
        <w:right w:w="0" w:type="dxa"/>
      </w:tblCellMar>
    </w:tblPr>
  </w:style>
  <w:style w:type="table" w:customStyle="1" w:styleId="TableNormal">
    <w:name w:val="Table Normal"/>
    <w:uiPriority w:val="2"/>
    <w:semiHidden/>
    <w:unhideWhenUsed/>
    <w:qFormat/>
    <w:rsid w:val="003C21C5"/>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FFE2-6B68-45FE-91DE-B6DC037A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338</Pages>
  <Words>112851</Words>
  <Characters>620685</Characters>
  <Application>Microsoft Office Word</Application>
  <DocSecurity>0</DocSecurity>
  <Lines>5172</Lines>
  <Paragraphs>1464</Paragraphs>
  <ScaleCrop>false</ScaleCrop>
  <Company/>
  <LinksUpToDate>false</LinksUpToDate>
  <CharactersWithSpaces>732072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Alex</cp:lastModifiedBy>
  <cp:revision>16</cp:revision>
  <cp:lastPrinted>2023-01-25T15:40:00Z</cp:lastPrinted>
  <dcterms:created xsi:type="dcterms:W3CDTF">2024-01-18T15:13:00Z</dcterms:created>
  <dcterms:modified xsi:type="dcterms:W3CDTF">2024-04-16T18:28:00Z</dcterms:modified>
  <dc:language>es-MX</dc:language>
</cp:coreProperties>
</file>