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98C8" w14:textId="77777777" w:rsidR="00277AE8" w:rsidRPr="00E52601" w:rsidRDefault="00E52601" w:rsidP="00E52601">
      <w:pPr>
        <w:ind w:left="0" w:firstLine="0"/>
        <w:rPr>
          <w:rFonts w:ascii="Arial" w:hAnsi="Arial" w:cs="Arial"/>
          <w:sz w:val="24"/>
          <w:szCs w:val="24"/>
        </w:rPr>
      </w:pPr>
      <w:r w:rsidRPr="00E52601">
        <w:rPr>
          <w:rFonts w:ascii="Arial" w:hAnsi="Arial" w:cs="Arial"/>
          <w:sz w:val="24"/>
          <w:szCs w:val="24"/>
        </w:rPr>
        <w:t xml:space="preserve">Al margen un sello con el Escudo Nacional que dice Estados Unidos Mexicanos. Congreso del Estado Libre y Soberano. Tlaxcala. Poder Legislativo. </w:t>
      </w:r>
    </w:p>
    <w:p w14:paraId="3FA4F969" w14:textId="77777777" w:rsidR="00277AE8" w:rsidRPr="00E52601" w:rsidRDefault="00E52601">
      <w:pPr>
        <w:spacing w:after="0" w:line="240" w:lineRule="auto"/>
        <w:ind w:left="1" w:firstLine="0"/>
        <w:jc w:val="left"/>
        <w:rPr>
          <w:rFonts w:ascii="Arial" w:hAnsi="Arial" w:cs="Arial"/>
          <w:sz w:val="24"/>
          <w:szCs w:val="24"/>
        </w:rPr>
      </w:pPr>
      <w:r w:rsidRPr="00E52601">
        <w:rPr>
          <w:rFonts w:ascii="Arial" w:hAnsi="Arial" w:cs="Arial"/>
          <w:sz w:val="24"/>
          <w:szCs w:val="24"/>
        </w:rPr>
        <w:t xml:space="preserve"> </w:t>
      </w:r>
    </w:p>
    <w:p w14:paraId="3701194C" w14:textId="77777777" w:rsidR="00277AE8" w:rsidRPr="00E52601" w:rsidRDefault="00E52601">
      <w:pPr>
        <w:rPr>
          <w:rFonts w:ascii="Arial" w:hAnsi="Arial" w:cs="Arial"/>
          <w:sz w:val="24"/>
          <w:szCs w:val="24"/>
        </w:rPr>
      </w:pPr>
      <w:r w:rsidRPr="00E52601">
        <w:rPr>
          <w:rFonts w:ascii="Arial" w:hAnsi="Arial" w:cs="Arial"/>
          <w:b/>
          <w:sz w:val="24"/>
          <w:szCs w:val="24"/>
        </w:rPr>
        <w:t>MARCO ANTONIO MENA RODRÍGUEZ,</w:t>
      </w:r>
      <w:r w:rsidRPr="00E52601">
        <w:rPr>
          <w:rFonts w:ascii="Arial" w:hAnsi="Arial" w:cs="Arial"/>
          <w:sz w:val="24"/>
          <w:szCs w:val="24"/>
        </w:rPr>
        <w:t xml:space="preserve"> Gobernador del Estado a sus habitantes sabed: </w:t>
      </w:r>
    </w:p>
    <w:p w14:paraId="40343E85" w14:textId="77777777" w:rsidR="00277AE8" w:rsidRPr="00E52601" w:rsidRDefault="00E52601">
      <w:pPr>
        <w:spacing w:after="0" w:line="240" w:lineRule="auto"/>
        <w:ind w:left="1" w:firstLine="0"/>
        <w:jc w:val="left"/>
        <w:rPr>
          <w:rFonts w:ascii="Arial" w:hAnsi="Arial" w:cs="Arial"/>
          <w:sz w:val="24"/>
          <w:szCs w:val="24"/>
        </w:rPr>
      </w:pPr>
      <w:r w:rsidRPr="00E52601">
        <w:rPr>
          <w:rFonts w:ascii="Arial" w:hAnsi="Arial" w:cs="Arial"/>
          <w:sz w:val="24"/>
          <w:szCs w:val="24"/>
        </w:rPr>
        <w:t xml:space="preserve"> </w:t>
      </w:r>
    </w:p>
    <w:p w14:paraId="2F4F39DA" w14:textId="77777777" w:rsidR="00277AE8" w:rsidRPr="00E52601" w:rsidRDefault="00E52601">
      <w:pPr>
        <w:rPr>
          <w:rFonts w:ascii="Arial" w:hAnsi="Arial" w:cs="Arial"/>
          <w:sz w:val="24"/>
          <w:szCs w:val="24"/>
        </w:rPr>
      </w:pPr>
      <w:proofErr w:type="gramStart"/>
      <w:r w:rsidRPr="00E52601">
        <w:rPr>
          <w:rFonts w:ascii="Arial" w:hAnsi="Arial" w:cs="Arial"/>
          <w:sz w:val="24"/>
          <w:szCs w:val="24"/>
        </w:rPr>
        <w:t>Que</w:t>
      </w:r>
      <w:proofErr w:type="gramEnd"/>
      <w:r w:rsidRPr="00E52601">
        <w:rPr>
          <w:rFonts w:ascii="Arial" w:hAnsi="Arial" w:cs="Arial"/>
          <w:sz w:val="24"/>
          <w:szCs w:val="24"/>
        </w:rPr>
        <w:t xml:space="preserve"> por conducto de la Secretaría Parlamentaria del Honorable Congreso del Estado, con esta fecha se me ha comunicado lo siguiente: </w:t>
      </w:r>
    </w:p>
    <w:p w14:paraId="0D6B2941" w14:textId="77777777" w:rsidR="00277AE8" w:rsidRPr="00E52601" w:rsidRDefault="00E52601">
      <w:pPr>
        <w:spacing w:after="1" w:line="240" w:lineRule="auto"/>
        <w:ind w:left="1" w:firstLine="0"/>
        <w:jc w:val="left"/>
        <w:rPr>
          <w:rFonts w:ascii="Arial" w:hAnsi="Arial" w:cs="Arial"/>
          <w:sz w:val="24"/>
          <w:szCs w:val="24"/>
        </w:rPr>
      </w:pPr>
      <w:r w:rsidRPr="00E52601">
        <w:rPr>
          <w:rFonts w:ascii="Arial" w:hAnsi="Arial" w:cs="Arial"/>
          <w:sz w:val="24"/>
          <w:szCs w:val="24"/>
        </w:rPr>
        <w:t xml:space="preserve">  </w:t>
      </w:r>
    </w:p>
    <w:p w14:paraId="631A59E9" w14:textId="77777777" w:rsidR="00277AE8" w:rsidRPr="00E52601" w:rsidRDefault="00E52601">
      <w:pPr>
        <w:spacing w:after="0"/>
        <w:rPr>
          <w:rFonts w:ascii="Arial" w:hAnsi="Arial" w:cs="Arial"/>
          <w:sz w:val="24"/>
          <w:szCs w:val="24"/>
        </w:rPr>
      </w:pPr>
      <w:r w:rsidRPr="00E52601">
        <w:rPr>
          <w:rFonts w:ascii="Arial" w:hAnsi="Arial" w:cs="Arial"/>
          <w:b/>
          <w:sz w:val="24"/>
          <w:szCs w:val="24"/>
        </w:rPr>
        <w:t xml:space="preserve">CONGRESO DEL ESTADO LIBRE Y SOBERANO DE TLAXCALA, A NOMBRE DEL PUEBLO. </w:t>
      </w:r>
    </w:p>
    <w:p w14:paraId="04F81B70" w14:textId="77777777" w:rsidR="00277AE8" w:rsidRPr="00E52601" w:rsidRDefault="00E52601">
      <w:pPr>
        <w:spacing w:after="0" w:line="240" w:lineRule="auto"/>
        <w:ind w:left="1" w:firstLine="0"/>
        <w:jc w:val="left"/>
        <w:rPr>
          <w:rFonts w:ascii="Arial" w:hAnsi="Arial" w:cs="Arial"/>
          <w:sz w:val="24"/>
          <w:szCs w:val="24"/>
        </w:rPr>
      </w:pPr>
      <w:r w:rsidRPr="00E52601">
        <w:rPr>
          <w:rFonts w:ascii="Arial" w:hAnsi="Arial" w:cs="Arial"/>
          <w:b/>
          <w:sz w:val="24"/>
          <w:szCs w:val="24"/>
        </w:rPr>
        <w:t xml:space="preserve"> </w:t>
      </w:r>
    </w:p>
    <w:p w14:paraId="3D41385B" w14:textId="77777777" w:rsidR="00277AE8" w:rsidRPr="00E52601" w:rsidRDefault="00E52601">
      <w:pPr>
        <w:spacing w:after="1" w:line="240" w:lineRule="auto"/>
        <w:ind w:left="10" w:right="-15"/>
        <w:jc w:val="center"/>
        <w:rPr>
          <w:rFonts w:ascii="Arial" w:hAnsi="Arial" w:cs="Arial"/>
          <w:sz w:val="24"/>
          <w:szCs w:val="24"/>
        </w:rPr>
      </w:pPr>
      <w:r w:rsidRPr="00E52601">
        <w:rPr>
          <w:rFonts w:ascii="Arial" w:hAnsi="Arial" w:cs="Arial"/>
          <w:b/>
          <w:sz w:val="24"/>
          <w:szCs w:val="24"/>
        </w:rPr>
        <w:t xml:space="preserve">DECRETO No. 306 </w:t>
      </w:r>
    </w:p>
    <w:p w14:paraId="0A1BDC65" w14:textId="77777777" w:rsidR="00277AE8" w:rsidRPr="00E52601" w:rsidRDefault="00E52601">
      <w:pPr>
        <w:spacing w:after="1" w:line="240" w:lineRule="auto"/>
        <w:ind w:left="0" w:firstLine="0"/>
        <w:jc w:val="left"/>
        <w:rPr>
          <w:rFonts w:ascii="Arial" w:hAnsi="Arial" w:cs="Arial"/>
          <w:sz w:val="24"/>
          <w:szCs w:val="24"/>
        </w:rPr>
      </w:pPr>
      <w:r w:rsidRPr="00E52601">
        <w:rPr>
          <w:rFonts w:ascii="Arial" w:hAnsi="Arial" w:cs="Arial"/>
          <w:sz w:val="24"/>
          <w:szCs w:val="24"/>
        </w:rPr>
        <w:t xml:space="preserve"> </w:t>
      </w:r>
    </w:p>
    <w:p w14:paraId="69E2C04B" w14:textId="77777777" w:rsidR="00277AE8" w:rsidRPr="00E52601" w:rsidRDefault="00E52601">
      <w:pPr>
        <w:spacing w:after="1" w:line="240" w:lineRule="auto"/>
        <w:ind w:left="0" w:firstLine="0"/>
        <w:jc w:val="center"/>
        <w:rPr>
          <w:rFonts w:ascii="Arial" w:hAnsi="Arial" w:cs="Arial"/>
          <w:sz w:val="24"/>
          <w:szCs w:val="24"/>
        </w:rPr>
      </w:pPr>
      <w:bookmarkStart w:id="0" w:name="_Hlk82804240"/>
      <w:r w:rsidRPr="00E52601">
        <w:rPr>
          <w:rFonts w:ascii="Arial" w:hAnsi="Arial" w:cs="Arial"/>
          <w:sz w:val="24"/>
          <w:szCs w:val="24"/>
        </w:rPr>
        <w:t xml:space="preserve"> </w:t>
      </w:r>
      <w:r w:rsidRPr="00E52601">
        <w:rPr>
          <w:rFonts w:ascii="Arial" w:hAnsi="Arial" w:cs="Arial"/>
          <w:b/>
          <w:sz w:val="24"/>
          <w:szCs w:val="24"/>
        </w:rPr>
        <w:t xml:space="preserve">LEY DE AMNISTÍA PARA EL ESTADO DE TLAXCALA </w:t>
      </w:r>
      <w:bookmarkEnd w:id="0"/>
    </w:p>
    <w:p w14:paraId="3AF7E087" w14:textId="77777777" w:rsidR="00277AE8" w:rsidRPr="00E52601" w:rsidRDefault="00E52601">
      <w:pPr>
        <w:spacing w:after="127" w:line="240" w:lineRule="auto"/>
        <w:ind w:left="0" w:firstLine="0"/>
        <w:jc w:val="center"/>
        <w:rPr>
          <w:rFonts w:ascii="Arial" w:hAnsi="Arial" w:cs="Arial"/>
          <w:sz w:val="24"/>
          <w:szCs w:val="24"/>
        </w:rPr>
      </w:pPr>
      <w:r w:rsidRPr="00E52601">
        <w:rPr>
          <w:rFonts w:ascii="Arial" w:hAnsi="Arial" w:cs="Arial"/>
          <w:b/>
          <w:sz w:val="24"/>
          <w:szCs w:val="24"/>
        </w:rPr>
        <w:t xml:space="preserve"> </w:t>
      </w:r>
    </w:p>
    <w:p w14:paraId="526D685E" w14:textId="6BCBA0B2" w:rsidR="00277AE8" w:rsidRPr="00E52601" w:rsidRDefault="00E52601">
      <w:pPr>
        <w:spacing w:after="124" w:line="240" w:lineRule="auto"/>
        <w:ind w:left="0" w:firstLine="0"/>
        <w:rPr>
          <w:rFonts w:ascii="Arial" w:hAnsi="Arial" w:cs="Arial"/>
          <w:sz w:val="24"/>
          <w:szCs w:val="24"/>
        </w:rPr>
      </w:pPr>
      <w:r w:rsidRPr="00E52601">
        <w:rPr>
          <w:rFonts w:ascii="Arial" w:hAnsi="Arial" w:cs="Arial"/>
          <w:b/>
          <w:sz w:val="24"/>
          <w:szCs w:val="24"/>
        </w:rPr>
        <w:t>Artículo 1.</w:t>
      </w:r>
      <w:r w:rsidRPr="00E52601">
        <w:rPr>
          <w:rFonts w:ascii="Arial" w:hAnsi="Arial" w:cs="Arial"/>
          <w:sz w:val="24"/>
          <w:szCs w:val="24"/>
        </w:rPr>
        <w:t xml:space="preserve"> La presente Ley es de orden general e interés social y tiene por objeto decretar la amnistía en favor de las personas en contra de quienes se haya ejercitado acción penal, hayan sido procesadas o se les haya dictado sentencia firme, ante los tribunales del fuero común del Estado de Tlaxcala, siempre y cuando no sean reincidentes respecto del delito por el que están indiciadas o sentenciadas, por los delitos cometidos antes de la fecha de entrada en vigor de la presente Ley. </w:t>
      </w:r>
    </w:p>
    <w:p w14:paraId="4A49C95F" w14:textId="77777777" w:rsidR="00277AE8" w:rsidRPr="00E52601" w:rsidRDefault="00E52601">
      <w:pPr>
        <w:spacing w:after="0" w:line="240" w:lineRule="auto"/>
        <w:ind w:left="1" w:firstLine="0"/>
        <w:jc w:val="left"/>
        <w:rPr>
          <w:rFonts w:ascii="Arial" w:hAnsi="Arial" w:cs="Arial"/>
          <w:sz w:val="24"/>
          <w:szCs w:val="24"/>
        </w:rPr>
      </w:pPr>
      <w:r w:rsidRPr="00E52601">
        <w:rPr>
          <w:rFonts w:ascii="Arial" w:hAnsi="Arial" w:cs="Arial"/>
          <w:sz w:val="24"/>
          <w:szCs w:val="24"/>
        </w:rPr>
        <w:t xml:space="preserve"> </w:t>
      </w:r>
    </w:p>
    <w:p w14:paraId="0BBF1895" w14:textId="77777777" w:rsidR="00277AE8" w:rsidRPr="00E52601" w:rsidRDefault="00E52601">
      <w:pPr>
        <w:rPr>
          <w:rFonts w:ascii="Arial" w:hAnsi="Arial" w:cs="Arial"/>
          <w:sz w:val="24"/>
          <w:szCs w:val="24"/>
        </w:rPr>
      </w:pPr>
      <w:r w:rsidRPr="00E52601">
        <w:rPr>
          <w:rFonts w:ascii="Arial" w:hAnsi="Arial" w:cs="Arial"/>
          <w:b/>
          <w:sz w:val="24"/>
          <w:szCs w:val="24"/>
        </w:rPr>
        <w:t xml:space="preserve">Artículo 2. </w:t>
      </w:r>
      <w:r w:rsidRPr="00E52601">
        <w:rPr>
          <w:rFonts w:ascii="Arial" w:hAnsi="Arial" w:cs="Arial"/>
          <w:sz w:val="24"/>
          <w:szCs w:val="24"/>
        </w:rPr>
        <w:t xml:space="preserve">Para los efectos del artículo anterior, se decretará amnistía en los supuestos siguientes:  </w:t>
      </w:r>
    </w:p>
    <w:p w14:paraId="3D1EC227" w14:textId="77777777" w:rsidR="00277AE8" w:rsidRPr="00E52601" w:rsidRDefault="00E52601">
      <w:pPr>
        <w:spacing w:after="1" w:line="240" w:lineRule="auto"/>
        <w:ind w:left="1" w:firstLine="0"/>
        <w:jc w:val="left"/>
        <w:rPr>
          <w:rFonts w:ascii="Arial" w:hAnsi="Arial" w:cs="Arial"/>
          <w:sz w:val="24"/>
          <w:szCs w:val="24"/>
        </w:rPr>
      </w:pPr>
      <w:r w:rsidRPr="00E52601">
        <w:rPr>
          <w:rFonts w:ascii="Arial" w:hAnsi="Arial" w:cs="Arial"/>
          <w:sz w:val="24"/>
          <w:szCs w:val="24"/>
        </w:rPr>
        <w:t xml:space="preserve"> </w:t>
      </w:r>
    </w:p>
    <w:p w14:paraId="600B2A95" w14:textId="77777777" w:rsidR="00277AE8" w:rsidRPr="00E52601" w:rsidRDefault="00E52601" w:rsidP="00E52601">
      <w:pPr>
        <w:numPr>
          <w:ilvl w:val="0"/>
          <w:numId w:val="1"/>
        </w:numPr>
        <w:tabs>
          <w:tab w:val="clear" w:pos="0"/>
        </w:tabs>
        <w:ind w:left="567" w:hanging="567"/>
        <w:rPr>
          <w:rFonts w:ascii="Arial" w:hAnsi="Arial" w:cs="Arial"/>
          <w:sz w:val="24"/>
          <w:szCs w:val="24"/>
        </w:rPr>
      </w:pPr>
      <w:r w:rsidRPr="00E52601">
        <w:rPr>
          <w:rFonts w:ascii="Arial" w:hAnsi="Arial" w:cs="Arial"/>
          <w:sz w:val="24"/>
          <w:szCs w:val="24"/>
        </w:rPr>
        <w:t xml:space="preserve">Por el delito de robo simple, siempre que no amerite pena privativa de la libertad de más de cinco años y exista acuerdo reparatorio en favor de la víctima, y  </w:t>
      </w:r>
    </w:p>
    <w:p w14:paraId="276D7CDB" w14:textId="77777777" w:rsidR="00277AE8" w:rsidRPr="00E52601" w:rsidRDefault="00E52601" w:rsidP="00E52601">
      <w:pPr>
        <w:spacing w:after="1" w:line="240" w:lineRule="auto"/>
        <w:ind w:left="567" w:hanging="567"/>
        <w:jc w:val="left"/>
        <w:rPr>
          <w:rFonts w:ascii="Arial" w:hAnsi="Arial" w:cs="Arial"/>
          <w:sz w:val="24"/>
          <w:szCs w:val="24"/>
        </w:rPr>
      </w:pPr>
      <w:r w:rsidRPr="00E52601">
        <w:rPr>
          <w:rFonts w:ascii="Arial" w:hAnsi="Arial" w:cs="Arial"/>
          <w:sz w:val="24"/>
          <w:szCs w:val="24"/>
        </w:rPr>
        <w:t xml:space="preserve"> </w:t>
      </w:r>
    </w:p>
    <w:p w14:paraId="2E5BB886" w14:textId="77777777" w:rsidR="00277AE8" w:rsidRPr="00E52601" w:rsidRDefault="00E52601" w:rsidP="00E52601">
      <w:pPr>
        <w:numPr>
          <w:ilvl w:val="0"/>
          <w:numId w:val="1"/>
        </w:numPr>
        <w:tabs>
          <w:tab w:val="clear" w:pos="0"/>
        </w:tabs>
        <w:ind w:left="567" w:hanging="567"/>
        <w:rPr>
          <w:rFonts w:ascii="Arial" w:hAnsi="Arial" w:cs="Arial"/>
          <w:sz w:val="24"/>
          <w:szCs w:val="24"/>
        </w:rPr>
      </w:pPr>
      <w:r w:rsidRPr="00E52601">
        <w:rPr>
          <w:rFonts w:ascii="Arial" w:hAnsi="Arial" w:cs="Arial"/>
          <w:sz w:val="24"/>
          <w:szCs w:val="24"/>
        </w:rPr>
        <w:t xml:space="preserve">Por sedición, o porque hayan invitado, instigado o incitado a la comisión de este delito formando parte de grupos impulsados por razones políticas con el propósito de alterar la vida institucional, siempre que no se trate de terrorismo y que en los hechos no se haya producido la privación de la vida, lesiones graves a otra persona o se hayan empleado o utilizado armas de fuego.  </w:t>
      </w:r>
    </w:p>
    <w:p w14:paraId="0FC2B3CA" w14:textId="77777777" w:rsidR="00277AE8" w:rsidRPr="00E52601" w:rsidRDefault="00E52601">
      <w:pPr>
        <w:spacing w:after="1" w:line="240" w:lineRule="auto"/>
        <w:ind w:left="0" w:firstLine="0"/>
        <w:jc w:val="left"/>
        <w:rPr>
          <w:rFonts w:ascii="Arial" w:hAnsi="Arial" w:cs="Arial"/>
          <w:sz w:val="24"/>
          <w:szCs w:val="24"/>
        </w:rPr>
      </w:pPr>
      <w:r w:rsidRPr="00E52601">
        <w:rPr>
          <w:rFonts w:ascii="Arial" w:hAnsi="Arial" w:cs="Arial"/>
          <w:b/>
          <w:sz w:val="24"/>
          <w:szCs w:val="24"/>
        </w:rPr>
        <w:t xml:space="preserve"> </w:t>
      </w:r>
    </w:p>
    <w:p w14:paraId="3B780E52" w14:textId="77777777" w:rsidR="00277AE8" w:rsidRPr="00E52601" w:rsidRDefault="00E52601">
      <w:pPr>
        <w:rPr>
          <w:rFonts w:ascii="Arial" w:hAnsi="Arial" w:cs="Arial"/>
          <w:sz w:val="24"/>
          <w:szCs w:val="24"/>
        </w:rPr>
      </w:pPr>
      <w:r w:rsidRPr="00E52601">
        <w:rPr>
          <w:rFonts w:ascii="Arial" w:hAnsi="Arial" w:cs="Arial"/>
          <w:b/>
          <w:sz w:val="24"/>
          <w:szCs w:val="24"/>
        </w:rPr>
        <w:t xml:space="preserve">Artículo 3. </w:t>
      </w:r>
      <w:r w:rsidRPr="00E52601">
        <w:rPr>
          <w:rFonts w:ascii="Arial" w:hAnsi="Arial" w:cs="Arial"/>
          <w:sz w:val="24"/>
          <w:szCs w:val="24"/>
        </w:rPr>
        <w:t xml:space="preserve">No se concederá el beneficio de esta Ley a quienes hayan cometido delitos contra la vida, la integridad corporal, secuestro o hayan utilizado en la comisión del delito violencia o armas de fuego.  </w:t>
      </w:r>
    </w:p>
    <w:p w14:paraId="07CA33A3" w14:textId="77777777" w:rsidR="00277AE8" w:rsidRPr="00E52601" w:rsidRDefault="00E52601">
      <w:pPr>
        <w:spacing w:after="1" w:line="240" w:lineRule="auto"/>
        <w:ind w:left="0" w:firstLine="0"/>
        <w:jc w:val="left"/>
        <w:rPr>
          <w:rFonts w:ascii="Arial" w:hAnsi="Arial" w:cs="Arial"/>
          <w:sz w:val="24"/>
          <w:szCs w:val="24"/>
        </w:rPr>
      </w:pPr>
      <w:r w:rsidRPr="00E52601">
        <w:rPr>
          <w:rFonts w:ascii="Arial" w:hAnsi="Arial" w:cs="Arial"/>
          <w:sz w:val="24"/>
          <w:szCs w:val="24"/>
        </w:rPr>
        <w:t xml:space="preserve"> </w:t>
      </w:r>
    </w:p>
    <w:p w14:paraId="732BB181" w14:textId="77777777" w:rsidR="00277AE8" w:rsidRPr="00E52601" w:rsidRDefault="00E52601">
      <w:pPr>
        <w:rPr>
          <w:rFonts w:ascii="Arial" w:hAnsi="Arial" w:cs="Arial"/>
          <w:sz w:val="24"/>
          <w:szCs w:val="24"/>
        </w:rPr>
      </w:pPr>
      <w:r w:rsidRPr="00E52601">
        <w:rPr>
          <w:rFonts w:ascii="Arial" w:hAnsi="Arial" w:cs="Arial"/>
          <w:sz w:val="24"/>
          <w:szCs w:val="24"/>
        </w:rPr>
        <w:t xml:space="preserve">Tampoco se podrán beneficiar las personas indiciadas por los delitos a que se refiere el Código Penal para el Estado de Libre y Soberano de Tlaxcala como calificados o agravados, ni aquellas a que se refiere el artículo 19 de la Constitución Política de los Estados Unidos Mexicanos. </w:t>
      </w:r>
    </w:p>
    <w:p w14:paraId="6E459207" w14:textId="77777777" w:rsidR="00277AE8" w:rsidRPr="00E52601" w:rsidRDefault="00E52601">
      <w:pPr>
        <w:spacing w:after="0" w:line="240" w:lineRule="auto"/>
        <w:ind w:left="0" w:firstLine="0"/>
        <w:jc w:val="left"/>
        <w:rPr>
          <w:rFonts w:ascii="Arial" w:hAnsi="Arial" w:cs="Arial"/>
          <w:sz w:val="24"/>
          <w:szCs w:val="24"/>
        </w:rPr>
      </w:pPr>
      <w:r w:rsidRPr="00E52601">
        <w:rPr>
          <w:rFonts w:ascii="Arial" w:hAnsi="Arial" w:cs="Arial"/>
          <w:b/>
          <w:sz w:val="24"/>
          <w:szCs w:val="24"/>
        </w:rPr>
        <w:t xml:space="preserve"> </w:t>
      </w:r>
    </w:p>
    <w:p w14:paraId="7E001398" w14:textId="77777777" w:rsidR="00277AE8" w:rsidRPr="00E52601" w:rsidRDefault="00E52601">
      <w:pPr>
        <w:rPr>
          <w:rFonts w:ascii="Arial" w:hAnsi="Arial" w:cs="Arial"/>
          <w:sz w:val="24"/>
          <w:szCs w:val="24"/>
        </w:rPr>
      </w:pPr>
      <w:r w:rsidRPr="00E52601">
        <w:rPr>
          <w:rFonts w:ascii="Arial" w:hAnsi="Arial" w:cs="Arial"/>
          <w:b/>
          <w:sz w:val="24"/>
          <w:szCs w:val="24"/>
        </w:rPr>
        <w:t xml:space="preserve">Artículo 4. </w:t>
      </w:r>
      <w:r w:rsidRPr="00E52601">
        <w:rPr>
          <w:rFonts w:ascii="Arial" w:hAnsi="Arial" w:cs="Arial"/>
          <w:sz w:val="24"/>
          <w:szCs w:val="24"/>
        </w:rPr>
        <w:t xml:space="preserve">La persona interesada o su representante legal, podrá solicitar a la Comisión a que se refiere el artículo 6 de este ordenamiento, la aplicación de esta Ley. Dicha </w:t>
      </w:r>
      <w:r w:rsidRPr="00E52601">
        <w:rPr>
          <w:rFonts w:ascii="Arial" w:hAnsi="Arial" w:cs="Arial"/>
          <w:sz w:val="24"/>
          <w:szCs w:val="24"/>
        </w:rPr>
        <w:lastRenderedPageBreak/>
        <w:t xml:space="preserve">Comisión determinará la procedencia del beneficio y someterá su decisión a la calificación de un juez del fuero común para que éste, en su caso, la confirme, para lo cual:  </w:t>
      </w:r>
    </w:p>
    <w:p w14:paraId="63FCB490" w14:textId="77777777" w:rsidR="00277AE8" w:rsidRPr="00E52601" w:rsidRDefault="00E52601">
      <w:pPr>
        <w:spacing w:after="1" w:line="240" w:lineRule="auto"/>
        <w:ind w:left="0" w:firstLine="0"/>
        <w:jc w:val="left"/>
        <w:rPr>
          <w:rFonts w:ascii="Arial" w:hAnsi="Arial" w:cs="Arial"/>
          <w:sz w:val="24"/>
          <w:szCs w:val="24"/>
        </w:rPr>
      </w:pPr>
      <w:r w:rsidRPr="00E52601">
        <w:rPr>
          <w:rFonts w:ascii="Arial" w:hAnsi="Arial" w:cs="Arial"/>
          <w:sz w:val="24"/>
          <w:szCs w:val="24"/>
        </w:rPr>
        <w:t xml:space="preserve"> </w:t>
      </w:r>
    </w:p>
    <w:p w14:paraId="75240693" w14:textId="32A2F123" w:rsidR="00277AE8" w:rsidRPr="00E52601" w:rsidRDefault="00E52601" w:rsidP="00E52601">
      <w:pPr>
        <w:numPr>
          <w:ilvl w:val="0"/>
          <w:numId w:val="2"/>
        </w:numPr>
        <w:tabs>
          <w:tab w:val="clear" w:pos="0"/>
        </w:tabs>
        <w:ind w:left="567" w:hanging="567"/>
        <w:rPr>
          <w:rFonts w:ascii="Arial" w:hAnsi="Arial" w:cs="Arial"/>
          <w:sz w:val="24"/>
          <w:szCs w:val="24"/>
        </w:rPr>
      </w:pPr>
      <w:r w:rsidRPr="00E52601">
        <w:rPr>
          <w:rFonts w:ascii="Arial" w:hAnsi="Arial" w:cs="Arial"/>
          <w:sz w:val="24"/>
          <w:szCs w:val="24"/>
        </w:rPr>
        <w:t xml:space="preserve">Tratándose de personas sujetas a proceso, o indiciadas pero prófugas, el juez del fuero común ordenará a la Procuraduría General de Justicia del Estado, el desistimiento de la acción penal, y  </w:t>
      </w:r>
    </w:p>
    <w:p w14:paraId="021D1E3B" w14:textId="77777777" w:rsidR="00277AE8" w:rsidRPr="00E52601" w:rsidRDefault="00E52601" w:rsidP="00E52601">
      <w:pPr>
        <w:spacing w:after="1" w:line="240" w:lineRule="auto"/>
        <w:ind w:left="567" w:hanging="567"/>
        <w:jc w:val="left"/>
        <w:rPr>
          <w:rFonts w:ascii="Arial" w:hAnsi="Arial" w:cs="Arial"/>
          <w:sz w:val="24"/>
          <w:szCs w:val="24"/>
        </w:rPr>
      </w:pPr>
      <w:r w:rsidRPr="00E52601">
        <w:rPr>
          <w:rFonts w:ascii="Arial" w:hAnsi="Arial" w:cs="Arial"/>
          <w:sz w:val="24"/>
          <w:szCs w:val="24"/>
        </w:rPr>
        <w:t xml:space="preserve"> </w:t>
      </w:r>
    </w:p>
    <w:p w14:paraId="321D7568" w14:textId="77777777" w:rsidR="00277AE8" w:rsidRPr="00E52601" w:rsidRDefault="00E52601" w:rsidP="00E52601">
      <w:pPr>
        <w:numPr>
          <w:ilvl w:val="0"/>
          <w:numId w:val="2"/>
        </w:numPr>
        <w:tabs>
          <w:tab w:val="clear" w:pos="0"/>
        </w:tabs>
        <w:ind w:left="567" w:hanging="567"/>
        <w:rPr>
          <w:rFonts w:ascii="Arial" w:hAnsi="Arial" w:cs="Arial"/>
          <w:sz w:val="24"/>
          <w:szCs w:val="24"/>
        </w:rPr>
      </w:pPr>
      <w:r w:rsidRPr="00E52601">
        <w:rPr>
          <w:rFonts w:ascii="Arial" w:hAnsi="Arial" w:cs="Arial"/>
          <w:sz w:val="24"/>
          <w:szCs w:val="24"/>
        </w:rPr>
        <w:t xml:space="preserve">Tratándose de personas con sentencia firme, se realizarán las actuaciones conducentes para, en su caso, ordenar su liberación. </w:t>
      </w:r>
    </w:p>
    <w:p w14:paraId="2F2DE48F" w14:textId="77777777" w:rsidR="00277AE8" w:rsidRPr="00E52601" w:rsidRDefault="00E52601">
      <w:pPr>
        <w:spacing w:after="1" w:line="240" w:lineRule="auto"/>
        <w:ind w:left="0" w:firstLine="0"/>
        <w:jc w:val="left"/>
        <w:rPr>
          <w:rFonts w:ascii="Arial" w:hAnsi="Arial" w:cs="Arial"/>
          <w:sz w:val="24"/>
          <w:szCs w:val="24"/>
        </w:rPr>
      </w:pPr>
      <w:r w:rsidRPr="00E52601">
        <w:rPr>
          <w:rFonts w:ascii="Arial" w:hAnsi="Arial" w:cs="Arial"/>
          <w:b/>
          <w:sz w:val="24"/>
          <w:szCs w:val="24"/>
        </w:rPr>
        <w:t xml:space="preserve"> </w:t>
      </w:r>
    </w:p>
    <w:p w14:paraId="0EA62143" w14:textId="77777777" w:rsidR="00277AE8" w:rsidRPr="00E52601" w:rsidRDefault="00E52601">
      <w:pPr>
        <w:rPr>
          <w:rFonts w:ascii="Arial" w:hAnsi="Arial" w:cs="Arial"/>
          <w:sz w:val="24"/>
          <w:szCs w:val="24"/>
        </w:rPr>
      </w:pPr>
      <w:r w:rsidRPr="00E52601">
        <w:rPr>
          <w:rFonts w:ascii="Arial" w:hAnsi="Arial" w:cs="Arial"/>
          <w:b/>
          <w:sz w:val="24"/>
          <w:szCs w:val="24"/>
        </w:rPr>
        <w:t xml:space="preserve">Artículo 5. </w:t>
      </w:r>
      <w:r w:rsidRPr="00E52601">
        <w:rPr>
          <w:rFonts w:ascii="Arial" w:hAnsi="Arial" w:cs="Arial"/>
          <w:sz w:val="24"/>
          <w:szCs w:val="24"/>
        </w:rPr>
        <w:t xml:space="preserve">Para efectos de las solicitudes que presenten las personas que hayan sido vinculadas a proceso o sentenciadas por las conductas señaladas en el artículo 2, fracción II de la presente Ley, se deberá solicitar la opinión previa por parte de la Secretaría de Gobierno.  </w:t>
      </w:r>
    </w:p>
    <w:p w14:paraId="1656BC9E" w14:textId="77777777" w:rsidR="00277AE8" w:rsidRPr="00E52601" w:rsidRDefault="00E52601">
      <w:pPr>
        <w:spacing w:after="1" w:line="240" w:lineRule="auto"/>
        <w:ind w:left="0" w:firstLine="0"/>
        <w:jc w:val="left"/>
        <w:rPr>
          <w:rFonts w:ascii="Arial" w:hAnsi="Arial" w:cs="Arial"/>
          <w:sz w:val="24"/>
          <w:szCs w:val="24"/>
        </w:rPr>
      </w:pPr>
      <w:r w:rsidRPr="00E52601">
        <w:rPr>
          <w:rFonts w:ascii="Arial" w:hAnsi="Arial" w:cs="Arial"/>
          <w:sz w:val="24"/>
          <w:szCs w:val="24"/>
        </w:rPr>
        <w:t xml:space="preserve"> </w:t>
      </w:r>
    </w:p>
    <w:p w14:paraId="188EB27F" w14:textId="77777777" w:rsidR="00277AE8" w:rsidRPr="00E52601" w:rsidRDefault="00E52601">
      <w:pPr>
        <w:rPr>
          <w:rFonts w:ascii="Arial" w:hAnsi="Arial" w:cs="Arial"/>
          <w:sz w:val="24"/>
          <w:szCs w:val="24"/>
        </w:rPr>
      </w:pPr>
      <w:r w:rsidRPr="00E52601">
        <w:rPr>
          <w:rFonts w:ascii="Arial" w:hAnsi="Arial" w:cs="Arial"/>
          <w:b/>
          <w:sz w:val="24"/>
          <w:szCs w:val="24"/>
        </w:rPr>
        <w:t>Artículo 6.</w:t>
      </w:r>
      <w:r w:rsidRPr="00E52601">
        <w:rPr>
          <w:rFonts w:ascii="Arial" w:hAnsi="Arial" w:cs="Arial"/>
          <w:sz w:val="24"/>
          <w:szCs w:val="24"/>
        </w:rPr>
        <w:t xml:space="preserve"> Quien tenga la titularidad del Ejecutivo del Estado creará y formará parte de la Comisión que coordinará los actos para dar cumplimiento y vigilar la aplicación de la presente Ley, en los casos en que considere que un hecho encuadra dentro de algún supuesto de los previstos en el artículo 2 de esta Ley. Esta Comisión deberá ser integrada además del titular del Ejecutivo, por el Diputado que presida la Comisión de Protección Civil, </w:t>
      </w:r>
      <w:r w:rsidRPr="00E52601">
        <w:rPr>
          <w:rFonts w:ascii="Arial" w:hAnsi="Arial" w:cs="Arial"/>
          <w:sz w:val="24"/>
          <w:szCs w:val="24"/>
        </w:rPr>
        <w:tab/>
        <w:t xml:space="preserve">Seguridad </w:t>
      </w:r>
      <w:r w:rsidRPr="00E52601">
        <w:rPr>
          <w:rFonts w:ascii="Arial" w:hAnsi="Arial" w:cs="Arial"/>
          <w:sz w:val="24"/>
          <w:szCs w:val="24"/>
        </w:rPr>
        <w:tab/>
        <w:t xml:space="preserve">Pública, </w:t>
      </w:r>
      <w:r w:rsidRPr="00E52601">
        <w:rPr>
          <w:rFonts w:ascii="Arial" w:hAnsi="Arial" w:cs="Arial"/>
          <w:sz w:val="24"/>
          <w:szCs w:val="24"/>
        </w:rPr>
        <w:tab/>
        <w:t xml:space="preserve">Prevención </w:t>
      </w:r>
      <w:r w:rsidRPr="00E52601">
        <w:rPr>
          <w:rFonts w:ascii="Arial" w:hAnsi="Arial" w:cs="Arial"/>
          <w:sz w:val="24"/>
          <w:szCs w:val="24"/>
        </w:rPr>
        <w:tab/>
        <w:t>y Reinserción Social</w:t>
      </w:r>
      <w:r w:rsidRPr="00E52601">
        <w:rPr>
          <w:rFonts w:ascii="Arial" w:hAnsi="Arial" w:cs="Arial"/>
          <w:b/>
          <w:sz w:val="24"/>
          <w:szCs w:val="24"/>
        </w:rPr>
        <w:t xml:space="preserve"> </w:t>
      </w:r>
      <w:r w:rsidRPr="00E52601">
        <w:rPr>
          <w:rFonts w:ascii="Arial" w:hAnsi="Arial" w:cs="Arial"/>
          <w:sz w:val="24"/>
          <w:szCs w:val="24"/>
        </w:rPr>
        <w:t xml:space="preserve">de la Legislatura </w:t>
      </w:r>
      <w:proofErr w:type="gramStart"/>
      <w:r w:rsidRPr="00E52601">
        <w:rPr>
          <w:rFonts w:ascii="Arial" w:hAnsi="Arial" w:cs="Arial"/>
          <w:sz w:val="24"/>
          <w:szCs w:val="24"/>
        </w:rPr>
        <w:t>local</w:t>
      </w:r>
      <w:proofErr w:type="gramEnd"/>
      <w:r w:rsidRPr="00E52601">
        <w:rPr>
          <w:rFonts w:ascii="Arial" w:hAnsi="Arial" w:cs="Arial"/>
          <w:sz w:val="24"/>
          <w:szCs w:val="24"/>
        </w:rPr>
        <w:t xml:space="preserve"> así como por el Presidente del Tribunal Superior de Justicia en el Estado.  </w:t>
      </w:r>
    </w:p>
    <w:p w14:paraId="35627559" w14:textId="77777777" w:rsidR="00277AE8" w:rsidRPr="00E52601" w:rsidRDefault="00E52601">
      <w:pPr>
        <w:spacing w:after="44" w:line="240" w:lineRule="auto"/>
        <w:ind w:left="1" w:firstLine="0"/>
        <w:jc w:val="left"/>
        <w:rPr>
          <w:rFonts w:ascii="Arial" w:hAnsi="Arial" w:cs="Arial"/>
          <w:sz w:val="24"/>
          <w:szCs w:val="24"/>
        </w:rPr>
      </w:pPr>
      <w:r w:rsidRPr="00E52601">
        <w:rPr>
          <w:rFonts w:ascii="Arial" w:hAnsi="Arial" w:cs="Arial"/>
          <w:sz w:val="24"/>
          <w:szCs w:val="24"/>
        </w:rPr>
        <w:t xml:space="preserve"> </w:t>
      </w:r>
    </w:p>
    <w:p w14:paraId="1D3CAE8D" w14:textId="77777777" w:rsidR="00277AE8" w:rsidRPr="00E52601" w:rsidRDefault="00E52601">
      <w:pPr>
        <w:rPr>
          <w:rFonts w:ascii="Arial" w:hAnsi="Arial" w:cs="Arial"/>
          <w:sz w:val="24"/>
          <w:szCs w:val="24"/>
        </w:rPr>
      </w:pPr>
      <w:r w:rsidRPr="00E52601">
        <w:rPr>
          <w:rFonts w:ascii="Arial" w:hAnsi="Arial" w:cs="Arial"/>
          <w:sz w:val="24"/>
          <w:szCs w:val="24"/>
        </w:rPr>
        <w:t xml:space="preserve">La integración de la Comisión se establecerá en el reglamento de la presente Ley.  </w:t>
      </w:r>
    </w:p>
    <w:p w14:paraId="3C011B2F" w14:textId="77777777" w:rsidR="00277AE8" w:rsidRPr="00E52601" w:rsidRDefault="00E52601">
      <w:pPr>
        <w:spacing w:after="43" w:line="240" w:lineRule="auto"/>
        <w:ind w:left="1" w:firstLine="0"/>
        <w:jc w:val="left"/>
        <w:rPr>
          <w:rFonts w:ascii="Arial" w:hAnsi="Arial" w:cs="Arial"/>
          <w:sz w:val="24"/>
          <w:szCs w:val="24"/>
        </w:rPr>
      </w:pPr>
      <w:r w:rsidRPr="00E52601">
        <w:rPr>
          <w:rFonts w:ascii="Arial" w:hAnsi="Arial" w:cs="Arial"/>
          <w:b/>
          <w:sz w:val="24"/>
          <w:szCs w:val="24"/>
        </w:rPr>
        <w:t xml:space="preserve"> </w:t>
      </w:r>
    </w:p>
    <w:p w14:paraId="117CAA40" w14:textId="77777777" w:rsidR="00277AE8" w:rsidRPr="00E52601" w:rsidRDefault="00E52601">
      <w:pPr>
        <w:rPr>
          <w:rFonts w:ascii="Arial" w:hAnsi="Arial" w:cs="Arial"/>
          <w:sz w:val="24"/>
          <w:szCs w:val="24"/>
        </w:rPr>
      </w:pPr>
      <w:r w:rsidRPr="00E52601">
        <w:rPr>
          <w:rFonts w:ascii="Arial" w:hAnsi="Arial" w:cs="Arial"/>
          <w:b/>
          <w:sz w:val="24"/>
          <w:szCs w:val="24"/>
        </w:rPr>
        <w:t xml:space="preserve">Artículo 7. </w:t>
      </w:r>
      <w:r w:rsidRPr="00E52601">
        <w:rPr>
          <w:rFonts w:ascii="Arial" w:hAnsi="Arial" w:cs="Arial"/>
          <w:sz w:val="24"/>
          <w:szCs w:val="24"/>
        </w:rPr>
        <w:t xml:space="preserve">Las personas que se encuentren sujetas a proceso, indiciadas pero prófugas o sentenciadas por los delitos a que se refiere el artículo 2 de la presente Ley, se podrán beneficiar de la amnistía, mediante la solicitud correspondiente presentada ante la Comisión.  </w:t>
      </w:r>
    </w:p>
    <w:p w14:paraId="769C1A5C" w14:textId="77777777" w:rsidR="00277AE8" w:rsidRPr="00E52601" w:rsidRDefault="00E52601">
      <w:pPr>
        <w:spacing w:after="44" w:line="240" w:lineRule="auto"/>
        <w:ind w:left="1" w:firstLine="0"/>
        <w:jc w:val="left"/>
        <w:rPr>
          <w:rFonts w:ascii="Arial" w:hAnsi="Arial" w:cs="Arial"/>
          <w:sz w:val="24"/>
          <w:szCs w:val="24"/>
        </w:rPr>
      </w:pPr>
      <w:r w:rsidRPr="00E52601">
        <w:rPr>
          <w:rFonts w:ascii="Arial" w:hAnsi="Arial" w:cs="Arial"/>
          <w:sz w:val="24"/>
          <w:szCs w:val="24"/>
        </w:rPr>
        <w:t xml:space="preserve"> </w:t>
      </w:r>
    </w:p>
    <w:p w14:paraId="5DAC35B4" w14:textId="77777777" w:rsidR="00277AE8" w:rsidRPr="00E52601" w:rsidRDefault="00E52601">
      <w:pPr>
        <w:rPr>
          <w:rFonts w:ascii="Arial" w:hAnsi="Arial" w:cs="Arial"/>
          <w:sz w:val="24"/>
          <w:szCs w:val="24"/>
        </w:rPr>
      </w:pPr>
      <w:r w:rsidRPr="00E52601">
        <w:rPr>
          <w:rFonts w:ascii="Arial" w:hAnsi="Arial" w:cs="Arial"/>
          <w:sz w:val="24"/>
          <w:szCs w:val="24"/>
        </w:rPr>
        <w:t xml:space="preserve">Las solicitudes también podrán ser presentadas por los familiares con parentesco por consanguinidad o afinidad hasta el cuarto grado con el interesado o por organismos públicos defensores de derechos humanos.  </w:t>
      </w:r>
    </w:p>
    <w:p w14:paraId="32952504" w14:textId="77777777" w:rsidR="00277AE8" w:rsidRPr="00E52601" w:rsidRDefault="00E52601">
      <w:pPr>
        <w:spacing w:after="44" w:line="240" w:lineRule="auto"/>
        <w:ind w:left="1" w:firstLine="0"/>
        <w:jc w:val="left"/>
        <w:rPr>
          <w:rFonts w:ascii="Arial" w:hAnsi="Arial" w:cs="Arial"/>
          <w:sz w:val="24"/>
          <w:szCs w:val="24"/>
        </w:rPr>
      </w:pPr>
      <w:r w:rsidRPr="00E52601">
        <w:rPr>
          <w:rFonts w:ascii="Arial" w:hAnsi="Arial" w:cs="Arial"/>
          <w:sz w:val="24"/>
          <w:szCs w:val="24"/>
        </w:rPr>
        <w:t xml:space="preserve"> </w:t>
      </w:r>
    </w:p>
    <w:p w14:paraId="1EB9D024" w14:textId="77777777" w:rsidR="00277AE8" w:rsidRPr="00E52601" w:rsidRDefault="00E52601">
      <w:pPr>
        <w:rPr>
          <w:rFonts w:ascii="Arial" w:hAnsi="Arial" w:cs="Arial"/>
          <w:sz w:val="24"/>
          <w:szCs w:val="24"/>
        </w:rPr>
      </w:pPr>
      <w:r w:rsidRPr="00E52601">
        <w:rPr>
          <w:rFonts w:ascii="Arial" w:hAnsi="Arial" w:cs="Arial"/>
          <w:sz w:val="24"/>
          <w:szCs w:val="24"/>
        </w:rPr>
        <w:t xml:space="preserve">La solicitud de amnistía será resuelta por la Comisión en un plazo máximo de tres meses contados a partir de la presentación de la misma. Transcurrido dicho plazo sin que se notifique su determinación, se considerará resuelta en sentido negativo y los interesados podrán interponer los medios de defensa que resulten aplicables.  </w:t>
      </w:r>
    </w:p>
    <w:p w14:paraId="5972A5B5" w14:textId="77777777" w:rsidR="00277AE8" w:rsidRPr="00E52601" w:rsidRDefault="00E52601">
      <w:pPr>
        <w:spacing w:after="45" w:line="240" w:lineRule="auto"/>
        <w:ind w:left="1" w:firstLine="0"/>
        <w:jc w:val="left"/>
        <w:rPr>
          <w:rFonts w:ascii="Arial" w:hAnsi="Arial" w:cs="Arial"/>
          <w:sz w:val="24"/>
          <w:szCs w:val="24"/>
        </w:rPr>
      </w:pPr>
      <w:r w:rsidRPr="00E52601">
        <w:rPr>
          <w:rFonts w:ascii="Arial" w:hAnsi="Arial" w:cs="Arial"/>
          <w:sz w:val="24"/>
          <w:szCs w:val="24"/>
        </w:rPr>
        <w:t xml:space="preserve"> </w:t>
      </w:r>
    </w:p>
    <w:p w14:paraId="1E4BE62D" w14:textId="293F0602" w:rsidR="00277AE8" w:rsidRPr="00E52601" w:rsidRDefault="00E52601" w:rsidP="00E52601">
      <w:pPr>
        <w:spacing w:after="44" w:line="232" w:lineRule="auto"/>
        <w:ind w:left="1" w:firstLine="0"/>
        <w:rPr>
          <w:rFonts w:ascii="Arial" w:hAnsi="Arial" w:cs="Arial"/>
          <w:sz w:val="24"/>
          <w:szCs w:val="24"/>
        </w:rPr>
      </w:pPr>
      <w:r w:rsidRPr="00E52601">
        <w:rPr>
          <w:rFonts w:ascii="Arial" w:hAnsi="Arial" w:cs="Arial"/>
          <w:sz w:val="24"/>
          <w:szCs w:val="24"/>
        </w:rPr>
        <w:t xml:space="preserve">Las resoluciones de la Comisión deberán ser emitidas con perspectiva de género, establecerán la metodología y los mecanismos que permiten identificar y valorar los supuestos de discriminación, desigualdad y exclusión de las mujeres y personas vulnerables.  </w:t>
      </w:r>
    </w:p>
    <w:p w14:paraId="60CA0285" w14:textId="77777777" w:rsidR="00277AE8" w:rsidRPr="00E52601" w:rsidRDefault="00E52601">
      <w:pPr>
        <w:spacing w:after="44" w:line="240" w:lineRule="auto"/>
        <w:ind w:left="1" w:firstLine="0"/>
        <w:jc w:val="left"/>
        <w:rPr>
          <w:rFonts w:ascii="Arial" w:hAnsi="Arial" w:cs="Arial"/>
          <w:sz w:val="24"/>
          <w:szCs w:val="24"/>
        </w:rPr>
      </w:pPr>
      <w:r w:rsidRPr="00E52601">
        <w:rPr>
          <w:rFonts w:ascii="Arial" w:hAnsi="Arial" w:cs="Arial"/>
          <w:sz w:val="24"/>
          <w:szCs w:val="24"/>
        </w:rPr>
        <w:t xml:space="preserve"> </w:t>
      </w:r>
    </w:p>
    <w:p w14:paraId="40CF8EAB" w14:textId="71D64474" w:rsidR="00277AE8" w:rsidRDefault="00E52601">
      <w:pPr>
        <w:rPr>
          <w:rFonts w:ascii="Arial" w:hAnsi="Arial" w:cs="Arial"/>
          <w:sz w:val="24"/>
          <w:szCs w:val="24"/>
        </w:rPr>
      </w:pPr>
      <w:r w:rsidRPr="00E52601">
        <w:rPr>
          <w:rFonts w:ascii="Arial" w:hAnsi="Arial" w:cs="Arial"/>
          <w:b/>
          <w:sz w:val="24"/>
          <w:szCs w:val="24"/>
        </w:rPr>
        <w:lastRenderedPageBreak/>
        <w:t xml:space="preserve">Artículo 8. </w:t>
      </w:r>
      <w:r w:rsidRPr="00E52601">
        <w:rPr>
          <w:rFonts w:ascii="Arial" w:hAnsi="Arial" w:cs="Arial"/>
          <w:sz w:val="24"/>
          <w:szCs w:val="24"/>
        </w:rPr>
        <w:t xml:space="preserve">La amnistía extingue las acciones penales y las sanciones impuestas respecto de los delitos que se establecen en el artículo 2 de esta Ley, dejando subsistente la responsabilidad civil y a salvo los derechos de quienes puedan exigirla, así como los derechos de las víctimas, de conformidad con la legislación aplicable. </w:t>
      </w:r>
    </w:p>
    <w:p w14:paraId="440D0C27" w14:textId="77777777" w:rsidR="00E52601" w:rsidRPr="00E52601" w:rsidRDefault="00E52601">
      <w:pPr>
        <w:rPr>
          <w:rFonts w:ascii="Arial" w:hAnsi="Arial" w:cs="Arial"/>
          <w:sz w:val="24"/>
          <w:szCs w:val="24"/>
        </w:rPr>
      </w:pPr>
    </w:p>
    <w:p w14:paraId="75A1149A" w14:textId="77777777" w:rsidR="00277AE8" w:rsidRPr="00E52601" w:rsidRDefault="00E52601">
      <w:pPr>
        <w:rPr>
          <w:rFonts w:ascii="Arial" w:hAnsi="Arial" w:cs="Arial"/>
          <w:sz w:val="24"/>
          <w:szCs w:val="24"/>
        </w:rPr>
      </w:pPr>
      <w:r w:rsidRPr="00E52601">
        <w:rPr>
          <w:rFonts w:ascii="Arial" w:hAnsi="Arial" w:cs="Arial"/>
          <w:b/>
          <w:sz w:val="24"/>
          <w:szCs w:val="24"/>
        </w:rPr>
        <w:t xml:space="preserve">Artículo 9. </w:t>
      </w:r>
      <w:r w:rsidRPr="00E52601">
        <w:rPr>
          <w:rFonts w:ascii="Arial" w:hAnsi="Arial" w:cs="Arial"/>
          <w:sz w:val="24"/>
          <w:szCs w:val="24"/>
        </w:rPr>
        <w:t xml:space="preserve">Los efectos de esta Ley se producirán a partir de que el juez del fuero común resuelva sobre el otorgamiento de la amnistía.  </w:t>
      </w:r>
    </w:p>
    <w:p w14:paraId="3FA05A05" w14:textId="77777777" w:rsidR="00277AE8" w:rsidRPr="00E52601" w:rsidRDefault="00E52601">
      <w:pPr>
        <w:spacing w:after="1" w:line="240" w:lineRule="auto"/>
        <w:ind w:left="0" w:firstLine="0"/>
        <w:jc w:val="left"/>
        <w:rPr>
          <w:rFonts w:ascii="Arial" w:hAnsi="Arial" w:cs="Arial"/>
          <w:sz w:val="24"/>
          <w:szCs w:val="24"/>
        </w:rPr>
      </w:pPr>
      <w:r w:rsidRPr="00E52601">
        <w:rPr>
          <w:rFonts w:ascii="Arial" w:hAnsi="Arial" w:cs="Arial"/>
          <w:sz w:val="24"/>
          <w:szCs w:val="24"/>
        </w:rPr>
        <w:t xml:space="preserve"> </w:t>
      </w:r>
    </w:p>
    <w:p w14:paraId="05AA583F" w14:textId="77777777" w:rsidR="00277AE8" w:rsidRPr="00E52601" w:rsidRDefault="00E52601">
      <w:pPr>
        <w:rPr>
          <w:rFonts w:ascii="Arial" w:hAnsi="Arial" w:cs="Arial"/>
          <w:sz w:val="24"/>
          <w:szCs w:val="24"/>
        </w:rPr>
      </w:pPr>
      <w:r w:rsidRPr="00E52601">
        <w:rPr>
          <w:rFonts w:ascii="Arial" w:hAnsi="Arial" w:cs="Arial"/>
          <w:b/>
          <w:sz w:val="24"/>
          <w:szCs w:val="24"/>
        </w:rPr>
        <w:t xml:space="preserve">Artículo 10. </w:t>
      </w:r>
      <w:r w:rsidRPr="00E52601">
        <w:rPr>
          <w:rFonts w:ascii="Arial" w:hAnsi="Arial" w:cs="Arial"/>
          <w:sz w:val="24"/>
          <w:szCs w:val="24"/>
        </w:rPr>
        <w:t xml:space="preserve">Las autoridades ejecutoras de la pena pondrán en inmediata libertad a las personas inculpadas, procesadas o sentenciadas, beneficiarias de la presente Ley, preservando la confidencialidad de los datos personales. </w:t>
      </w:r>
    </w:p>
    <w:p w14:paraId="730827F9" w14:textId="77777777" w:rsidR="00277AE8" w:rsidRPr="00E52601" w:rsidRDefault="00E52601">
      <w:pPr>
        <w:spacing w:after="1" w:line="240" w:lineRule="auto"/>
        <w:ind w:left="0" w:firstLine="0"/>
        <w:jc w:val="left"/>
        <w:rPr>
          <w:rFonts w:ascii="Arial" w:hAnsi="Arial" w:cs="Arial"/>
          <w:sz w:val="24"/>
          <w:szCs w:val="24"/>
        </w:rPr>
      </w:pPr>
      <w:r w:rsidRPr="00E52601">
        <w:rPr>
          <w:rFonts w:ascii="Arial" w:hAnsi="Arial" w:cs="Arial"/>
          <w:sz w:val="24"/>
          <w:szCs w:val="24"/>
        </w:rPr>
        <w:t xml:space="preserve"> </w:t>
      </w:r>
    </w:p>
    <w:p w14:paraId="1AF2796A" w14:textId="77777777" w:rsidR="00277AE8" w:rsidRPr="00E52601" w:rsidRDefault="00E52601">
      <w:pPr>
        <w:rPr>
          <w:rFonts w:ascii="Arial" w:hAnsi="Arial" w:cs="Arial"/>
          <w:sz w:val="24"/>
          <w:szCs w:val="24"/>
        </w:rPr>
      </w:pPr>
      <w:r w:rsidRPr="00E52601">
        <w:rPr>
          <w:rFonts w:ascii="Arial" w:hAnsi="Arial" w:cs="Arial"/>
          <w:b/>
          <w:sz w:val="24"/>
          <w:szCs w:val="24"/>
        </w:rPr>
        <w:t>Artículo 11</w:t>
      </w:r>
      <w:r w:rsidRPr="00E52601">
        <w:rPr>
          <w:rFonts w:ascii="Arial" w:hAnsi="Arial" w:cs="Arial"/>
          <w:sz w:val="24"/>
          <w:szCs w:val="24"/>
        </w:rPr>
        <w:t xml:space="preserve">. Las personas a quienes beneficie esta Ley, no podrán ser en lo futuro detenidas ni procesadas por los mismos hechos.  </w:t>
      </w:r>
    </w:p>
    <w:p w14:paraId="63289805" w14:textId="77777777" w:rsidR="00277AE8" w:rsidRPr="00E52601" w:rsidRDefault="00E52601">
      <w:pPr>
        <w:spacing w:after="1" w:line="240" w:lineRule="auto"/>
        <w:ind w:left="0" w:firstLine="0"/>
        <w:jc w:val="left"/>
        <w:rPr>
          <w:rFonts w:ascii="Arial" w:hAnsi="Arial" w:cs="Arial"/>
          <w:sz w:val="24"/>
          <w:szCs w:val="24"/>
        </w:rPr>
      </w:pPr>
      <w:r w:rsidRPr="00E52601">
        <w:rPr>
          <w:rFonts w:ascii="Arial" w:hAnsi="Arial" w:cs="Arial"/>
          <w:sz w:val="24"/>
          <w:szCs w:val="24"/>
        </w:rPr>
        <w:t xml:space="preserve"> </w:t>
      </w:r>
    </w:p>
    <w:p w14:paraId="3125B1B6" w14:textId="4398114E" w:rsidR="00277AE8" w:rsidRPr="00E52601" w:rsidRDefault="00E52601">
      <w:pPr>
        <w:rPr>
          <w:rFonts w:ascii="Arial" w:hAnsi="Arial" w:cs="Arial"/>
          <w:sz w:val="24"/>
          <w:szCs w:val="24"/>
        </w:rPr>
      </w:pPr>
      <w:r w:rsidRPr="00E52601">
        <w:rPr>
          <w:rFonts w:ascii="Arial" w:hAnsi="Arial" w:cs="Arial"/>
          <w:b/>
          <w:sz w:val="24"/>
          <w:szCs w:val="24"/>
        </w:rPr>
        <w:t xml:space="preserve">Artículo 12. </w:t>
      </w:r>
      <w:r w:rsidRPr="00E52601">
        <w:rPr>
          <w:rFonts w:ascii="Arial" w:hAnsi="Arial" w:cs="Arial"/>
          <w:sz w:val="24"/>
          <w:szCs w:val="24"/>
        </w:rPr>
        <w:t xml:space="preserve">Para la aplicación de esta Ley, se estará a lo dispuesto en el Código Penal para el Estado Libre y Soberano de Tlaxcala, el Código Nacional de Procedimientos Penales y la Ley del Procedimiento Administrativo del Estado de Tlaxcala. </w:t>
      </w:r>
    </w:p>
    <w:p w14:paraId="632B8CA3" w14:textId="77777777" w:rsidR="00277AE8" w:rsidRPr="00E52601" w:rsidRDefault="00E52601">
      <w:pPr>
        <w:spacing w:line="240" w:lineRule="auto"/>
        <w:ind w:left="0" w:firstLine="0"/>
        <w:jc w:val="left"/>
        <w:rPr>
          <w:rFonts w:ascii="Arial" w:hAnsi="Arial" w:cs="Arial"/>
          <w:sz w:val="24"/>
          <w:szCs w:val="24"/>
        </w:rPr>
      </w:pPr>
      <w:r w:rsidRPr="00E52601">
        <w:rPr>
          <w:rFonts w:ascii="Arial" w:hAnsi="Arial" w:cs="Arial"/>
          <w:sz w:val="24"/>
          <w:szCs w:val="24"/>
        </w:rPr>
        <w:t xml:space="preserve"> </w:t>
      </w:r>
    </w:p>
    <w:p w14:paraId="18BF2A06" w14:textId="77777777" w:rsidR="00277AE8" w:rsidRPr="00E52601" w:rsidRDefault="00E52601">
      <w:pPr>
        <w:spacing w:after="1" w:line="240" w:lineRule="auto"/>
        <w:ind w:left="10" w:right="-15"/>
        <w:jc w:val="center"/>
        <w:rPr>
          <w:rFonts w:ascii="Arial" w:hAnsi="Arial" w:cs="Arial"/>
          <w:sz w:val="24"/>
          <w:szCs w:val="24"/>
        </w:rPr>
      </w:pPr>
      <w:r w:rsidRPr="00E52601">
        <w:rPr>
          <w:rFonts w:ascii="Arial" w:hAnsi="Arial" w:cs="Arial"/>
          <w:b/>
          <w:sz w:val="24"/>
          <w:szCs w:val="24"/>
        </w:rPr>
        <w:t>TRANSITORIOS</w:t>
      </w:r>
      <w:r w:rsidRPr="00E52601">
        <w:rPr>
          <w:rFonts w:ascii="Arial" w:hAnsi="Arial" w:cs="Arial"/>
          <w:sz w:val="24"/>
          <w:szCs w:val="24"/>
        </w:rPr>
        <w:t xml:space="preserve"> </w:t>
      </w:r>
    </w:p>
    <w:p w14:paraId="5DCEE0B2" w14:textId="77777777" w:rsidR="00277AE8" w:rsidRPr="00E52601" w:rsidRDefault="00E52601">
      <w:pPr>
        <w:spacing w:after="1" w:line="240" w:lineRule="auto"/>
        <w:ind w:left="0" w:firstLine="0"/>
        <w:jc w:val="left"/>
        <w:rPr>
          <w:rFonts w:ascii="Arial" w:hAnsi="Arial" w:cs="Arial"/>
          <w:sz w:val="24"/>
          <w:szCs w:val="24"/>
        </w:rPr>
      </w:pPr>
      <w:r w:rsidRPr="00E52601">
        <w:rPr>
          <w:rFonts w:ascii="Arial" w:hAnsi="Arial" w:cs="Arial"/>
          <w:sz w:val="24"/>
          <w:szCs w:val="24"/>
        </w:rPr>
        <w:t xml:space="preserve"> </w:t>
      </w:r>
    </w:p>
    <w:p w14:paraId="648EFDE1" w14:textId="77777777" w:rsidR="00277AE8" w:rsidRPr="00E52601" w:rsidRDefault="00E52601">
      <w:pPr>
        <w:rPr>
          <w:rFonts w:ascii="Arial" w:hAnsi="Arial" w:cs="Arial"/>
          <w:sz w:val="24"/>
          <w:szCs w:val="24"/>
        </w:rPr>
      </w:pPr>
      <w:r w:rsidRPr="00E52601">
        <w:rPr>
          <w:rFonts w:ascii="Arial" w:hAnsi="Arial" w:cs="Arial"/>
          <w:b/>
          <w:sz w:val="24"/>
          <w:szCs w:val="24"/>
        </w:rPr>
        <w:t xml:space="preserve">ARTÍCULO PRIMERO. </w:t>
      </w:r>
      <w:r w:rsidRPr="00E52601">
        <w:rPr>
          <w:rFonts w:ascii="Arial" w:hAnsi="Arial" w:cs="Arial"/>
          <w:sz w:val="24"/>
          <w:szCs w:val="24"/>
        </w:rPr>
        <w:t xml:space="preserve">La presente Ley entrará en vigor el día siguiente al de su publicación en el Periódico Oficial del Gobierno del Estado de Tlaxcala.  </w:t>
      </w:r>
    </w:p>
    <w:p w14:paraId="5CAE8C2F" w14:textId="77777777" w:rsidR="00277AE8" w:rsidRPr="00E52601" w:rsidRDefault="00E52601">
      <w:pPr>
        <w:spacing w:after="0" w:line="240" w:lineRule="auto"/>
        <w:ind w:left="0" w:firstLine="0"/>
        <w:jc w:val="left"/>
        <w:rPr>
          <w:rFonts w:ascii="Arial" w:hAnsi="Arial" w:cs="Arial"/>
          <w:sz w:val="24"/>
          <w:szCs w:val="24"/>
        </w:rPr>
      </w:pPr>
      <w:r w:rsidRPr="00E52601">
        <w:rPr>
          <w:rFonts w:ascii="Arial" w:hAnsi="Arial" w:cs="Arial"/>
          <w:b/>
          <w:sz w:val="24"/>
          <w:szCs w:val="24"/>
        </w:rPr>
        <w:t xml:space="preserve"> </w:t>
      </w:r>
    </w:p>
    <w:p w14:paraId="2F44D30C" w14:textId="77777777" w:rsidR="00277AE8" w:rsidRPr="00E52601" w:rsidRDefault="00E52601">
      <w:pPr>
        <w:rPr>
          <w:rFonts w:ascii="Arial" w:hAnsi="Arial" w:cs="Arial"/>
          <w:sz w:val="24"/>
          <w:szCs w:val="24"/>
        </w:rPr>
      </w:pPr>
      <w:r w:rsidRPr="00E52601">
        <w:rPr>
          <w:rFonts w:ascii="Arial" w:hAnsi="Arial" w:cs="Arial"/>
          <w:b/>
          <w:sz w:val="24"/>
          <w:szCs w:val="24"/>
        </w:rPr>
        <w:t xml:space="preserve">ARTÍCULO SEGUNDO. </w:t>
      </w:r>
      <w:r w:rsidRPr="00E52601">
        <w:rPr>
          <w:rFonts w:ascii="Arial" w:hAnsi="Arial" w:cs="Arial"/>
          <w:sz w:val="24"/>
          <w:szCs w:val="24"/>
        </w:rPr>
        <w:t xml:space="preserve">Las erogaciones que se presenten con motivo de la entrada en vigor del presente Decreto, se realizarán con cargo al Presupuesto de Egresos del Estado de Tlaxcala aprobado para el ejercicio fiscal correspondiente y los subsecuentes, de las autoridades competentes.  </w:t>
      </w:r>
    </w:p>
    <w:p w14:paraId="7E614361" w14:textId="77777777" w:rsidR="00277AE8" w:rsidRPr="00E52601" w:rsidRDefault="00E52601">
      <w:pPr>
        <w:spacing w:after="1" w:line="240" w:lineRule="auto"/>
        <w:ind w:left="0" w:firstLine="0"/>
        <w:jc w:val="left"/>
        <w:rPr>
          <w:rFonts w:ascii="Arial" w:hAnsi="Arial" w:cs="Arial"/>
          <w:sz w:val="24"/>
          <w:szCs w:val="24"/>
        </w:rPr>
      </w:pPr>
      <w:r w:rsidRPr="00E52601">
        <w:rPr>
          <w:rFonts w:ascii="Arial" w:hAnsi="Arial" w:cs="Arial"/>
          <w:sz w:val="24"/>
          <w:szCs w:val="24"/>
        </w:rPr>
        <w:t xml:space="preserve"> </w:t>
      </w:r>
    </w:p>
    <w:p w14:paraId="103DA151" w14:textId="27DADA90" w:rsidR="00277AE8" w:rsidRPr="00E52601" w:rsidRDefault="00E52601" w:rsidP="00E52601">
      <w:pPr>
        <w:spacing w:after="0"/>
        <w:rPr>
          <w:rFonts w:ascii="Arial" w:hAnsi="Arial" w:cs="Arial"/>
          <w:sz w:val="24"/>
          <w:szCs w:val="24"/>
        </w:rPr>
      </w:pPr>
      <w:r w:rsidRPr="00E52601">
        <w:rPr>
          <w:rFonts w:ascii="Arial" w:hAnsi="Arial" w:cs="Arial"/>
          <w:b/>
          <w:sz w:val="24"/>
          <w:szCs w:val="24"/>
        </w:rPr>
        <w:t xml:space="preserve">ARTÍCULO TERCERO. </w:t>
      </w:r>
      <w:r w:rsidRPr="00E52601">
        <w:rPr>
          <w:rFonts w:ascii="Arial" w:hAnsi="Arial" w:cs="Arial"/>
          <w:sz w:val="24"/>
          <w:szCs w:val="24"/>
        </w:rPr>
        <w:t xml:space="preserve">El Congreso del Estado, en un plazo que no excederá de ciento veinte días naturales posteriores a la entrada en vigor de la presente Ley, realizará las modificaciones necesarias al Código Penal para el Estado Libre y Soberano de Tlaxcala que armonicen su contenido con esta Ley.  </w:t>
      </w:r>
    </w:p>
    <w:p w14:paraId="27626AFB" w14:textId="77777777" w:rsidR="00277AE8" w:rsidRPr="00E52601" w:rsidRDefault="00E52601">
      <w:pPr>
        <w:spacing w:after="1" w:line="240" w:lineRule="auto"/>
        <w:ind w:left="0" w:firstLine="0"/>
        <w:jc w:val="left"/>
        <w:rPr>
          <w:rFonts w:ascii="Arial" w:hAnsi="Arial" w:cs="Arial"/>
          <w:sz w:val="24"/>
          <w:szCs w:val="24"/>
        </w:rPr>
      </w:pPr>
      <w:r w:rsidRPr="00E52601">
        <w:rPr>
          <w:rFonts w:ascii="Arial" w:hAnsi="Arial" w:cs="Arial"/>
          <w:sz w:val="24"/>
          <w:szCs w:val="24"/>
        </w:rPr>
        <w:t xml:space="preserve"> </w:t>
      </w:r>
    </w:p>
    <w:p w14:paraId="230A5E92" w14:textId="57A90D3C" w:rsidR="00277AE8" w:rsidRDefault="00E52601" w:rsidP="00E52601">
      <w:pPr>
        <w:spacing w:after="0"/>
        <w:rPr>
          <w:rFonts w:ascii="Arial" w:hAnsi="Arial" w:cs="Arial"/>
          <w:sz w:val="24"/>
          <w:szCs w:val="24"/>
        </w:rPr>
      </w:pPr>
      <w:r w:rsidRPr="00E52601">
        <w:rPr>
          <w:rFonts w:ascii="Arial" w:hAnsi="Arial" w:cs="Arial"/>
          <w:b/>
          <w:sz w:val="24"/>
          <w:szCs w:val="24"/>
        </w:rPr>
        <w:t xml:space="preserve">ARTÍCULO CUARTO. </w:t>
      </w:r>
      <w:r w:rsidRPr="00E52601">
        <w:rPr>
          <w:rFonts w:ascii="Arial" w:hAnsi="Arial" w:cs="Arial"/>
          <w:sz w:val="24"/>
          <w:szCs w:val="24"/>
        </w:rPr>
        <w:t xml:space="preserve">Una vez que el Congreso del Estado realice las modificaciones señaladas en el transitorio que antecede, el Ejecutivo del Estado tendrá un plazo no mayor a noventa días naturales para conformar la Comisión de vigilancia que establece la presente Ley.  </w:t>
      </w:r>
    </w:p>
    <w:p w14:paraId="1459E4BE" w14:textId="77777777" w:rsidR="00E52601" w:rsidRPr="00E52601" w:rsidRDefault="00E52601">
      <w:pPr>
        <w:rPr>
          <w:rFonts w:ascii="Arial" w:hAnsi="Arial" w:cs="Arial"/>
          <w:sz w:val="24"/>
          <w:szCs w:val="24"/>
        </w:rPr>
      </w:pPr>
    </w:p>
    <w:p w14:paraId="5FDAD590" w14:textId="77777777" w:rsidR="00277AE8" w:rsidRPr="00E52601" w:rsidRDefault="00E52601">
      <w:pPr>
        <w:rPr>
          <w:rFonts w:ascii="Arial" w:hAnsi="Arial" w:cs="Arial"/>
          <w:sz w:val="24"/>
          <w:szCs w:val="24"/>
        </w:rPr>
      </w:pPr>
      <w:r w:rsidRPr="00E52601">
        <w:rPr>
          <w:rFonts w:ascii="Arial" w:hAnsi="Arial" w:cs="Arial"/>
          <w:b/>
          <w:sz w:val="24"/>
          <w:szCs w:val="24"/>
        </w:rPr>
        <w:t xml:space="preserve">ARTÍCULO QUINTO. </w:t>
      </w:r>
      <w:r w:rsidRPr="00E52601">
        <w:rPr>
          <w:rFonts w:ascii="Arial" w:hAnsi="Arial" w:cs="Arial"/>
          <w:sz w:val="24"/>
          <w:szCs w:val="24"/>
        </w:rPr>
        <w:t xml:space="preserve">El titular del Poder Ejecutivo del Estado contará con un plazo de noventa días a partir de la entrada en vigor de la presente Ley para expedir el Reglamento respectivo. </w:t>
      </w:r>
    </w:p>
    <w:p w14:paraId="520BC50B" w14:textId="0A03AF02" w:rsidR="00277AE8" w:rsidRPr="00E52601" w:rsidRDefault="00277AE8" w:rsidP="00E52601">
      <w:pPr>
        <w:spacing w:after="1" w:line="240" w:lineRule="auto"/>
        <w:ind w:left="1" w:firstLine="0"/>
        <w:jc w:val="left"/>
        <w:rPr>
          <w:rFonts w:ascii="Arial" w:hAnsi="Arial" w:cs="Arial"/>
          <w:sz w:val="24"/>
          <w:szCs w:val="24"/>
        </w:rPr>
      </w:pPr>
    </w:p>
    <w:p w14:paraId="28931961" w14:textId="4A5D8CD5" w:rsidR="00277AE8" w:rsidRPr="00E52601" w:rsidRDefault="00E52601" w:rsidP="00E52601">
      <w:pPr>
        <w:spacing w:after="0"/>
        <w:ind w:left="1077" w:hanging="1091"/>
        <w:jc w:val="center"/>
        <w:rPr>
          <w:rFonts w:ascii="Arial" w:hAnsi="Arial" w:cs="Arial"/>
          <w:sz w:val="24"/>
          <w:szCs w:val="24"/>
        </w:rPr>
      </w:pPr>
      <w:r w:rsidRPr="00E52601">
        <w:rPr>
          <w:rFonts w:ascii="Arial" w:hAnsi="Arial" w:cs="Arial"/>
          <w:b/>
          <w:sz w:val="24"/>
          <w:szCs w:val="24"/>
        </w:rPr>
        <w:t>AL EJECUTIVO PARA QUE LO SANCIONE Y MANDE PUBLICAR</w:t>
      </w:r>
    </w:p>
    <w:p w14:paraId="1DBFEA6F" w14:textId="0C17D99A" w:rsidR="00277AE8" w:rsidRPr="00E52601" w:rsidRDefault="00277AE8">
      <w:pPr>
        <w:spacing w:after="1" w:line="240" w:lineRule="auto"/>
        <w:ind w:left="1" w:firstLine="0"/>
        <w:jc w:val="left"/>
        <w:rPr>
          <w:rFonts w:ascii="Arial" w:hAnsi="Arial" w:cs="Arial"/>
          <w:sz w:val="24"/>
          <w:szCs w:val="24"/>
        </w:rPr>
      </w:pPr>
    </w:p>
    <w:p w14:paraId="669176E5" w14:textId="77777777" w:rsidR="00277AE8" w:rsidRPr="00E52601" w:rsidRDefault="00E52601">
      <w:pPr>
        <w:rPr>
          <w:rFonts w:ascii="Arial" w:hAnsi="Arial" w:cs="Arial"/>
          <w:sz w:val="24"/>
          <w:szCs w:val="24"/>
        </w:rPr>
      </w:pPr>
      <w:r w:rsidRPr="00E52601">
        <w:rPr>
          <w:rFonts w:ascii="Arial" w:hAnsi="Arial" w:cs="Arial"/>
          <w:sz w:val="24"/>
          <w:szCs w:val="24"/>
        </w:rPr>
        <w:lastRenderedPageBreak/>
        <w:t xml:space="preserve">Dado en la sala de sesiones del Palacio Juárez, recinto oficial del Poder Legislativo del Estado Libre y Soberano de Tlaxcala, en la Ciudad de Tlaxcala de Xicohténcatl, a los dieciocho días del mes de febrero del año dos mil veintiuno. </w:t>
      </w:r>
    </w:p>
    <w:p w14:paraId="758B0F79" w14:textId="77777777" w:rsidR="00277AE8" w:rsidRPr="00E52601" w:rsidRDefault="00E52601">
      <w:pPr>
        <w:spacing w:after="3" w:line="240" w:lineRule="auto"/>
        <w:ind w:left="1" w:firstLine="0"/>
        <w:jc w:val="left"/>
        <w:rPr>
          <w:rFonts w:ascii="Arial" w:hAnsi="Arial" w:cs="Arial"/>
          <w:sz w:val="24"/>
          <w:szCs w:val="24"/>
        </w:rPr>
      </w:pPr>
      <w:r w:rsidRPr="00E52601">
        <w:rPr>
          <w:rFonts w:ascii="Arial" w:hAnsi="Arial" w:cs="Arial"/>
          <w:sz w:val="24"/>
          <w:szCs w:val="24"/>
        </w:rPr>
        <w:t xml:space="preserve"> </w:t>
      </w:r>
    </w:p>
    <w:p w14:paraId="36491EC1" w14:textId="01F0AE8F" w:rsidR="00277AE8" w:rsidRPr="00E52601" w:rsidRDefault="00E52601">
      <w:pPr>
        <w:spacing w:after="1"/>
        <w:ind w:right="-10"/>
        <w:rPr>
          <w:rFonts w:ascii="Arial" w:hAnsi="Arial" w:cs="Arial"/>
          <w:sz w:val="24"/>
          <w:szCs w:val="24"/>
        </w:rPr>
      </w:pPr>
      <w:r w:rsidRPr="00E52601">
        <w:rPr>
          <w:rFonts w:ascii="Arial" w:hAnsi="Arial" w:cs="Arial"/>
          <w:b/>
          <w:sz w:val="24"/>
          <w:szCs w:val="24"/>
        </w:rPr>
        <w:t xml:space="preserve">C. MAYRA VÁZQUEZ </w:t>
      </w:r>
      <w:proofErr w:type="gramStart"/>
      <w:r w:rsidRPr="00E52601">
        <w:rPr>
          <w:rFonts w:ascii="Arial" w:hAnsi="Arial" w:cs="Arial"/>
          <w:b/>
          <w:sz w:val="24"/>
          <w:szCs w:val="24"/>
        </w:rPr>
        <w:t>VELÁZQUEZ.-</w:t>
      </w:r>
      <w:proofErr w:type="gramEnd"/>
      <w:r w:rsidRPr="00E52601">
        <w:rPr>
          <w:rFonts w:ascii="Arial" w:hAnsi="Arial" w:cs="Arial"/>
          <w:b/>
          <w:sz w:val="24"/>
          <w:szCs w:val="24"/>
        </w:rPr>
        <w:t xml:space="preserve"> DIP. </w:t>
      </w:r>
      <w:proofErr w:type="gramStart"/>
      <w:r w:rsidRPr="00E52601">
        <w:rPr>
          <w:rFonts w:ascii="Arial" w:hAnsi="Arial" w:cs="Arial"/>
          <w:b/>
          <w:sz w:val="24"/>
          <w:szCs w:val="24"/>
        </w:rPr>
        <w:t>PRESIDENTA.–</w:t>
      </w:r>
      <w:proofErr w:type="gramEnd"/>
      <w:r w:rsidRPr="00E52601">
        <w:rPr>
          <w:rFonts w:ascii="Arial" w:hAnsi="Arial" w:cs="Arial"/>
          <w:b/>
          <w:sz w:val="24"/>
          <w:szCs w:val="24"/>
        </w:rPr>
        <w:t xml:space="preserve"> Rúbrica.- C. MA DE LOURDES MONTIEL CERON. - DIP. </w:t>
      </w:r>
      <w:proofErr w:type="gramStart"/>
      <w:r w:rsidRPr="00E52601">
        <w:rPr>
          <w:rFonts w:ascii="Arial" w:hAnsi="Arial" w:cs="Arial"/>
          <w:b/>
          <w:sz w:val="24"/>
          <w:szCs w:val="24"/>
        </w:rPr>
        <w:t>SECRETARIA.-</w:t>
      </w:r>
      <w:proofErr w:type="gramEnd"/>
      <w:r w:rsidRPr="00E52601">
        <w:rPr>
          <w:rFonts w:ascii="Arial" w:hAnsi="Arial" w:cs="Arial"/>
          <w:b/>
          <w:sz w:val="24"/>
          <w:szCs w:val="24"/>
        </w:rPr>
        <w:t xml:space="preserve"> Rúbrica.-  C. MARÍA ANA BERTHA MASTRANZO CORONA.- DIP. SECRETARIA. - Rúbrica. </w:t>
      </w:r>
    </w:p>
    <w:p w14:paraId="2E2D9A45" w14:textId="77777777" w:rsidR="00277AE8" w:rsidRPr="00E52601" w:rsidRDefault="00E52601">
      <w:pPr>
        <w:spacing w:after="0" w:line="240" w:lineRule="auto"/>
        <w:ind w:left="1" w:firstLine="0"/>
        <w:jc w:val="left"/>
        <w:rPr>
          <w:rFonts w:ascii="Arial" w:hAnsi="Arial" w:cs="Arial"/>
          <w:sz w:val="24"/>
          <w:szCs w:val="24"/>
        </w:rPr>
      </w:pPr>
      <w:r w:rsidRPr="00E52601">
        <w:rPr>
          <w:rFonts w:ascii="Arial" w:hAnsi="Arial" w:cs="Arial"/>
          <w:b/>
          <w:sz w:val="24"/>
          <w:szCs w:val="24"/>
        </w:rPr>
        <w:t xml:space="preserve"> </w:t>
      </w:r>
    </w:p>
    <w:p w14:paraId="26841FD6" w14:textId="77777777" w:rsidR="00277AE8" w:rsidRPr="00E52601" w:rsidRDefault="00E52601">
      <w:pPr>
        <w:spacing w:after="1" w:line="232" w:lineRule="auto"/>
        <w:ind w:right="-8"/>
        <w:rPr>
          <w:rFonts w:ascii="Arial" w:hAnsi="Arial" w:cs="Arial"/>
          <w:sz w:val="24"/>
          <w:szCs w:val="24"/>
        </w:rPr>
      </w:pPr>
      <w:r w:rsidRPr="00E52601">
        <w:rPr>
          <w:rFonts w:ascii="Arial" w:hAnsi="Arial" w:cs="Arial"/>
          <w:sz w:val="24"/>
          <w:szCs w:val="24"/>
        </w:rPr>
        <w:t xml:space="preserve">Al calce un sello con el Escudo Nacional que dice Estados Unidos Mexicanos. Congreso del Estado Libre y Soberano. Tlaxcala. Poder Legislativo. </w:t>
      </w:r>
    </w:p>
    <w:p w14:paraId="35C61542" w14:textId="77777777" w:rsidR="00277AE8" w:rsidRPr="00E52601" w:rsidRDefault="00E52601">
      <w:pPr>
        <w:spacing w:after="1" w:line="240" w:lineRule="auto"/>
        <w:ind w:left="1" w:firstLine="0"/>
        <w:jc w:val="left"/>
        <w:rPr>
          <w:rFonts w:ascii="Arial" w:hAnsi="Arial" w:cs="Arial"/>
          <w:sz w:val="24"/>
          <w:szCs w:val="24"/>
        </w:rPr>
      </w:pPr>
      <w:r w:rsidRPr="00E52601">
        <w:rPr>
          <w:rFonts w:ascii="Arial" w:hAnsi="Arial" w:cs="Arial"/>
          <w:sz w:val="24"/>
          <w:szCs w:val="24"/>
        </w:rPr>
        <w:t xml:space="preserve"> </w:t>
      </w:r>
    </w:p>
    <w:p w14:paraId="0B2A4784" w14:textId="77777777" w:rsidR="00277AE8" w:rsidRPr="00E52601" w:rsidRDefault="00E52601">
      <w:pPr>
        <w:spacing w:after="1" w:line="232" w:lineRule="auto"/>
        <w:ind w:right="-8"/>
        <w:rPr>
          <w:rFonts w:ascii="Arial" w:hAnsi="Arial" w:cs="Arial"/>
          <w:sz w:val="24"/>
          <w:szCs w:val="24"/>
        </w:rPr>
      </w:pPr>
      <w:r w:rsidRPr="00E52601">
        <w:rPr>
          <w:rFonts w:ascii="Arial" w:hAnsi="Arial" w:cs="Arial"/>
          <w:sz w:val="24"/>
          <w:szCs w:val="24"/>
        </w:rPr>
        <w:t xml:space="preserve">Por lo </w:t>
      </w:r>
      <w:proofErr w:type="gramStart"/>
      <w:r w:rsidRPr="00E52601">
        <w:rPr>
          <w:rFonts w:ascii="Arial" w:hAnsi="Arial" w:cs="Arial"/>
          <w:sz w:val="24"/>
          <w:szCs w:val="24"/>
        </w:rPr>
        <w:t>tanto</w:t>
      </w:r>
      <w:proofErr w:type="gramEnd"/>
      <w:r w:rsidRPr="00E52601">
        <w:rPr>
          <w:rFonts w:ascii="Arial" w:hAnsi="Arial" w:cs="Arial"/>
          <w:sz w:val="24"/>
          <w:szCs w:val="24"/>
        </w:rPr>
        <w:t xml:space="preserve"> mando se imprima, publique, circule y se le </w:t>
      </w:r>
      <w:proofErr w:type="spellStart"/>
      <w:r w:rsidRPr="00E52601">
        <w:rPr>
          <w:rFonts w:ascii="Arial" w:hAnsi="Arial" w:cs="Arial"/>
          <w:sz w:val="24"/>
          <w:szCs w:val="24"/>
        </w:rPr>
        <w:t>de</w:t>
      </w:r>
      <w:proofErr w:type="spellEnd"/>
      <w:r w:rsidRPr="00E52601">
        <w:rPr>
          <w:rFonts w:ascii="Arial" w:hAnsi="Arial" w:cs="Arial"/>
          <w:sz w:val="24"/>
          <w:szCs w:val="24"/>
        </w:rPr>
        <w:t xml:space="preserve"> el debido cumplimiento. </w:t>
      </w:r>
    </w:p>
    <w:p w14:paraId="700651D1" w14:textId="77777777" w:rsidR="00277AE8" w:rsidRPr="00E52601" w:rsidRDefault="00E52601">
      <w:pPr>
        <w:spacing w:after="1" w:line="240" w:lineRule="auto"/>
        <w:ind w:left="1" w:firstLine="0"/>
        <w:jc w:val="left"/>
        <w:rPr>
          <w:rFonts w:ascii="Arial" w:hAnsi="Arial" w:cs="Arial"/>
          <w:sz w:val="24"/>
          <w:szCs w:val="24"/>
        </w:rPr>
      </w:pPr>
      <w:r w:rsidRPr="00E52601">
        <w:rPr>
          <w:rFonts w:ascii="Arial" w:hAnsi="Arial" w:cs="Arial"/>
          <w:sz w:val="24"/>
          <w:szCs w:val="24"/>
        </w:rPr>
        <w:t xml:space="preserve"> </w:t>
      </w:r>
    </w:p>
    <w:p w14:paraId="3D7DA7FA" w14:textId="77777777" w:rsidR="00277AE8" w:rsidRPr="00E52601" w:rsidRDefault="00E52601">
      <w:pPr>
        <w:spacing w:line="240" w:lineRule="auto"/>
        <w:ind w:left="1" w:firstLine="0"/>
        <w:jc w:val="left"/>
        <w:rPr>
          <w:rFonts w:ascii="Arial" w:hAnsi="Arial" w:cs="Arial"/>
          <w:sz w:val="24"/>
          <w:szCs w:val="24"/>
        </w:rPr>
      </w:pPr>
      <w:r w:rsidRPr="00E52601">
        <w:rPr>
          <w:rFonts w:ascii="Arial" w:hAnsi="Arial" w:cs="Arial"/>
          <w:sz w:val="24"/>
          <w:szCs w:val="24"/>
        </w:rPr>
        <w:t xml:space="preserve"> </w:t>
      </w:r>
    </w:p>
    <w:p w14:paraId="18A1EEC6" w14:textId="77777777" w:rsidR="00277AE8" w:rsidRPr="00E52601" w:rsidRDefault="00E52601">
      <w:pPr>
        <w:spacing w:after="1" w:line="232" w:lineRule="auto"/>
        <w:ind w:right="-8"/>
        <w:rPr>
          <w:rFonts w:ascii="Arial" w:hAnsi="Arial" w:cs="Arial"/>
          <w:sz w:val="24"/>
          <w:szCs w:val="24"/>
        </w:rPr>
      </w:pPr>
      <w:r w:rsidRPr="00E52601">
        <w:rPr>
          <w:rFonts w:ascii="Arial" w:hAnsi="Arial" w:cs="Arial"/>
          <w:sz w:val="24"/>
          <w:szCs w:val="24"/>
        </w:rPr>
        <w:t xml:space="preserve">Dado en el Palacio del Poder Ejecutivo del Estado, en la Ciudad de Tlaxcala de Xicohténcatl, a los veintiocho días del mes de mayo del año dos mil veintiuno. </w:t>
      </w:r>
    </w:p>
    <w:p w14:paraId="1751EA50" w14:textId="77777777" w:rsidR="00277AE8" w:rsidRPr="00E52601" w:rsidRDefault="00E52601">
      <w:pPr>
        <w:spacing w:after="1" w:line="240" w:lineRule="auto"/>
        <w:ind w:left="1" w:firstLine="0"/>
        <w:jc w:val="left"/>
        <w:rPr>
          <w:rFonts w:ascii="Arial" w:hAnsi="Arial" w:cs="Arial"/>
          <w:sz w:val="24"/>
          <w:szCs w:val="24"/>
        </w:rPr>
      </w:pPr>
      <w:r w:rsidRPr="00E52601">
        <w:rPr>
          <w:rFonts w:ascii="Arial" w:hAnsi="Arial" w:cs="Arial"/>
          <w:sz w:val="24"/>
          <w:szCs w:val="24"/>
        </w:rPr>
        <w:t xml:space="preserve"> </w:t>
      </w:r>
    </w:p>
    <w:p w14:paraId="7EF84B06" w14:textId="07B953AC" w:rsidR="00277AE8" w:rsidRPr="00E52601" w:rsidRDefault="00E52601" w:rsidP="00E52601">
      <w:pPr>
        <w:spacing w:after="3" w:line="240" w:lineRule="auto"/>
        <w:ind w:left="1" w:firstLine="0"/>
        <w:jc w:val="left"/>
        <w:rPr>
          <w:rFonts w:ascii="Arial" w:hAnsi="Arial" w:cs="Arial"/>
          <w:sz w:val="24"/>
          <w:szCs w:val="24"/>
        </w:rPr>
      </w:pPr>
      <w:r w:rsidRPr="00E52601">
        <w:rPr>
          <w:rFonts w:ascii="Arial" w:hAnsi="Arial" w:cs="Arial"/>
          <w:sz w:val="24"/>
          <w:szCs w:val="24"/>
        </w:rPr>
        <w:t xml:space="preserve"> </w:t>
      </w:r>
      <w:r w:rsidRPr="00E52601">
        <w:rPr>
          <w:rFonts w:ascii="Arial" w:hAnsi="Arial" w:cs="Arial"/>
          <w:b/>
          <w:sz w:val="24"/>
          <w:szCs w:val="24"/>
        </w:rPr>
        <w:t xml:space="preserve">GOBERNADOR DEL ESTADO </w:t>
      </w:r>
    </w:p>
    <w:p w14:paraId="16630F35" w14:textId="77777777" w:rsidR="00277AE8" w:rsidRPr="00E52601" w:rsidRDefault="00E52601">
      <w:pPr>
        <w:spacing w:after="1"/>
        <w:ind w:right="-10"/>
        <w:rPr>
          <w:rFonts w:ascii="Arial" w:hAnsi="Arial" w:cs="Arial"/>
          <w:sz w:val="24"/>
          <w:szCs w:val="24"/>
        </w:rPr>
      </w:pPr>
      <w:r w:rsidRPr="00E52601">
        <w:rPr>
          <w:rFonts w:ascii="Arial" w:hAnsi="Arial" w:cs="Arial"/>
          <w:b/>
          <w:sz w:val="24"/>
          <w:szCs w:val="24"/>
        </w:rPr>
        <w:t xml:space="preserve">MARCO ANTONIO MENA RODRÍGUEZ </w:t>
      </w:r>
    </w:p>
    <w:p w14:paraId="714B18A0" w14:textId="77777777" w:rsidR="00277AE8" w:rsidRPr="00E52601" w:rsidRDefault="00E52601">
      <w:pPr>
        <w:spacing w:after="1"/>
        <w:ind w:right="-10"/>
        <w:rPr>
          <w:rFonts w:ascii="Arial" w:hAnsi="Arial" w:cs="Arial"/>
          <w:sz w:val="24"/>
          <w:szCs w:val="24"/>
        </w:rPr>
      </w:pPr>
      <w:r w:rsidRPr="00E52601">
        <w:rPr>
          <w:rFonts w:ascii="Arial" w:hAnsi="Arial" w:cs="Arial"/>
          <w:b/>
          <w:sz w:val="24"/>
          <w:szCs w:val="24"/>
        </w:rPr>
        <w:t xml:space="preserve">Rúbrica y sello </w:t>
      </w:r>
    </w:p>
    <w:p w14:paraId="31E94C6E" w14:textId="33596661" w:rsidR="00277AE8" w:rsidRPr="00E52601" w:rsidRDefault="00277AE8">
      <w:pPr>
        <w:spacing w:after="1" w:line="240" w:lineRule="auto"/>
        <w:ind w:left="1" w:firstLine="0"/>
        <w:jc w:val="left"/>
        <w:rPr>
          <w:rFonts w:ascii="Arial" w:hAnsi="Arial" w:cs="Arial"/>
          <w:sz w:val="24"/>
          <w:szCs w:val="24"/>
        </w:rPr>
      </w:pPr>
    </w:p>
    <w:p w14:paraId="5E25D793" w14:textId="77777777" w:rsidR="00277AE8" w:rsidRPr="00E52601" w:rsidRDefault="00E52601">
      <w:pPr>
        <w:spacing w:after="1"/>
        <w:ind w:right="-10"/>
        <w:rPr>
          <w:rFonts w:ascii="Arial" w:hAnsi="Arial" w:cs="Arial"/>
          <w:sz w:val="24"/>
          <w:szCs w:val="24"/>
        </w:rPr>
      </w:pPr>
      <w:r w:rsidRPr="00E52601">
        <w:rPr>
          <w:rFonts w:ascii="Arial" w:hAnsi="Arial" w:cs="Arial"/>
          <w:b/>
          <w:sz w:val="24"/>
          <w:szCs w:val="24"/>
        </w:rPr>
        <w:t xml:space="preserve">SECRETARIO DE GOBIERNO </w:t>
      </w:r>
    </w:p>
    <w:p w14:paraId="6CCC0468" w14:textId="77777777" w:rsidR="00277AE8" w:rsidRPr="00E52601" w:rsidRDefault="00E52601">
      <w:pPr>
        <w:spacing w:after="1"/>
        <w:ind w:right="-10"/>
        <w:rPr>
          <w:rFonts w:ascii="Arial" w:hAnsi="Arial" w:cs="Arial"/>
          <w:sz w:val="24"/>
          <w:szCs w:val="24"/>
        </w:rPr>
      </w:pPr>
      <w:r w:rsidRPr="00E52601">
        <w:rPr>
          <w:rFonts w:ascii="Arial" w:hAnsi="Arial" w:cs="Arial"/>
          <w:b/>
          <w:sz w:val="24"/>
          <w:szCs w:val="24"/>
        </w:rPr>
        <w:t xml:space="preserve">JOSÉ AARÓN PÉREZ CARRO </w:t>
      </w:r>
    </w:p>
    <w:p w14:paraId="69D1FA19" w14:textId="77777777" w:rsidR="00277AE8" w:rsidRPr="00E52601" w:rsidRDefault="00E52601">
      <w:pPr>
        <w:spacing w:after="1"/>
        <w:ind w:right="-10"/>
        <w:rPr>
          <w:rFonts w:ascii="Arial" w:hAnsi="Arial" w:cs="Arial"/>
          <w:sz w:val="24"/>
          <w:szCs w:val="24"/>
        </w:rPr>
      </w:pPr>
      <w:r w:rsidRPr="00E52601">
        <w:rPr>
          <w:rFonts w:ascii="Arial" w:hAnsi="Arial" w:cs="Arial"/>
          <w:b/>
          <w:sz w:val="24"/>
          <w:szCs w:val="24"/>
        </w:rPr>
        <w:t xml:space="preserve">Rúbrica y sello </w:t>
      </w:r>
    </w:p>
    <w:p w14:paraId="6724E941" w14:textId="77777777" w:rsidR="00277AE8" w:rsidRPr="00E52601" w:rsidRDefault="00E52601">
      <w:pPr>
        <w:spacing w:after="0" w:line="240" w:lineRule="auto"/>
        <w:ind w:left="0" w:firstLine="0"/>
        <w:jc w:val="left"/>
        <w:rPr>
          <w:rFonts w:ascii="Arial" w:hAnsi="Arial" w:cs="Arial"/>
          <w:sz w:val="24"/>
          <w:szCs w:val="24"/>
        </w:rPr>
      </w:pPr>
      <w:r w:rsidRPr="00E52601">
        <w:rPr>
          <w:rFonts w:ascii="Arial" w:hAnsi="Arial" w:cs="Arial"/>
          <w:sz w:val="24"/>
          <w:szCs w:val="24"/>
        </w:rPr>
        <w:t xml:space="preserve"> </w:t>
      </w:r>
    </w:p>
    <w:sectPr w:rsidR="00277AE8" w:rsidRPr="00E52601" w:rsidSect="00A71BCD">
      <w:headerReference w:type="default" r:id="rId7"/>
      <w:headerReference w:type="first" r:id="rId8"/>
      <w:type w:val="continuous"/>
      <w:pgSz w:w="12240" w:h="15840" w:code="1"/>
      <w:pgMar w:top="1843" w:right="1418" w:bottom="1418" w:left="1418" w:header="851" w:footer="0" w:gutter="0"/>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B340" w14:textId="77777777" w:rsidR="001F321D" w:rsidRDefault="001F321D" w:rsidP="001F321D">
      <w:pPr>
        <w:spacing w:after="0" w:line="240" w:lineRule="auto"/>
      </w:pPr>
      <w:r>
        <w:separator/>
      </w:r>
    </w:p>
  </w:endnote>
  <w:endnote w:type="continuationSeparator" w:id="0">
    <w:p w14:paraId="63EA2669" w14:textId="77777777" w:rsidR="001F321D" w:rsidRDefault="001F321D" w:rsidP="001F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C92E" w14:textId="77777777" w:rsidR="001F321D" w:rsidRDefault="001F321D" w:rsidP="001F321D">
      <w:pPr>
        <w:spacing w:after="0" w:line="240" w:lineRule="auto"/>
      </w:pPr>
      <w:r>
        <w:separator/>
      </w:r>
    </w:p>
  </w:footnote>
  <w:footnote w:type="continuationSeparator" w:id="0">
    <w:p w14:paraId="4E3CD309" w14:textId="77777777" w:rsidR="001F321D" w:rsidRDefault="001F321D" w:rsidP="001F3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C38F" w14:textId="130B11D8" w:rsidR="00C55308" w:rsidRDefault="00C55308" w:rsidP="00C55308">
    <w:pPr>
      <w:pStyle w:val="Encabezado"/>
      <w:jc w:val="right"/>
    </w:pPr>
    <w:r>
      <w:rPr>
        <w:noProof/>
        <w:lang w:val="es-ES" w:eastAsia="es-ES"/>
      </w:rPr>
      <mc:AlternateContent>
        <mc:Choice Requires="wps">
          <w:drawing>
            <wp:anchor distT="0" distB="0" distL="114300" distR="114300" simplePos="0" relativeHeight="251667456" behindDoc="1" locked="0" layoutInCell="1" allowOverlap="1" wp14:anchorId="78C48A2C" wp14:editId="26F5B445">
              <wp:simplePos x="0" y="0"/>
              <wp:positionH relativeFrom="column">
                <wp:posOffset>5157470</wp:posOffset>
              </wp:positionH>
              <wp:positionV relativeFrom="paragraph">
                <wp:posOffset>-191135</wp:posOffset>
              </wp:positionV>
              <wp:extent cx="18407" cy="600074"/>
              <wp:effectExtent l="38100" t="0" r="20320" b="48260"/>
              <wp:wrapNone/>
              <wp:docPr id="1" name="Conector recto 5"/>
              <wp:cNvGraphicFramePr/>
              <a:graphic xmlns:a="http://schemas.openxmlformats.org/drawingml/2006/main">
                <a:graphicData uri="http://schemas.microsoft.com/office/word/2010/wordprocessingShape">
                  <wps:wsp>
                    <wps:cNvCnPr/>
                    <wps:spPr>
                      <a:xfrm>
                        <a:off x="0" y="0"/>
                        <a:ext cx="18407" cy="600074"/>
                      </a:xfrm>
                      <a:prstGeom prst="straightConnector1">
                        <a:avLst/>
                      </a:prstGeom>
                      <a:noFill/>
                      <a:ln w="9363" cap="flat">
                        <a:solidFill>
                          <a:srgbClr val="A6A6A6"/>
                        </a:solidFill>
                        <a:prstDash val="solid"/>
                        <a:miter/>
                      </a:ln>
                      <a:effectLst>
                        <a:outerShdw dist="37417" dir="8076807" algn="tl">
                          <a:srgbClr val="000000">
                            <a:alpha val="40000"/>
                          </a:srgbClr>
                        </a:outerShdw>
                      </a:effectLst>
                    </wps:spPr>
                    <wps:bodyPr/>
                  </wps:wsp>
                </a:graphicData>
              </a:graphic>
            </wp:anchor>
          </w:drawing>
        </mc:Choice>
        <mc:Fallback>
          <w:pict>
            <v:shapetype w14:anchorId="6F0FC65E" id="_x0000_t32" coordsize="21600,21600" o:spt="32" o:oned="t" path="m,l21600,21600e" filled="f">
              <v:path arrowok="t" fillok="f" o:connecttype="none"/>
              <o:lock v:ext="edit" shapetype="t"/>
            </v:shapetype>
            <v:shape id="Conector recto 5" o:spid="_x0000_s1026" type="#_x0000_t32" style="position:absolute;margin-left:406.1pt;margin-top:-15.05pt;width:1.45pt;height:47.2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" strokecolor="#a6a6a6" strokeweight=".26008mm">
              <v:stroke joinstyle="miter"/>
              <v:shadow on="t" color="black" opacity="26214f" origin="-.5,-.5" offset="-.72997mm,.73989mm"/>
            </v:shape>
          </w:pict>
        </mc:Fallback>
      </mc:AlternateContent>
    </w:r>
    <w:r>
      <w:rPr>
        <w:rFonts w:ascii="Arial" w:hAnsi="Arial" w:cs="Arial"/>
        <w:sz w:val="14"/>
        <w:szCs w:val="14"/>
      </w:rPr>
      <w:t>L</w:t>
    </w:r>
    <w:r w:rsidRPr="00C55308">
      <w:rPr>
        <w:rFonts w:ascii="Arial" w:hAnsi="Arial" w:cs="Arial"/>
        <w:sz w:val="14"/>
        <w:szCs w:val="14"/>
      </w:rPr>
      <w:t>EY DE AMNISTÍA PARA EL ESTADO DE TLAXCALA</w:t>
    </w:r>
    <w:r>
      <w:rPr>
        <w:rFonts w:ascii="Arial" w:hAnsi="Arial" w:cs="Arial"/>
        <w:sz w:val="14"/>
        <w:szCs w:val="14"/>
      </w:rPr>
      <w:t xml:space="preserve">                       Pág.     </w:t>
    </w:r>
    <w:r>
      <w:t xml:space="preserve"> </w:t>
    </w:r>
    <w:r>
      <w:fldChar w:fldCharType="begin"/>
    </w:r>
    <w:r>
      <w:instrText xml:space="preserve"> PAGE </w:instrText>
    </w:r>
    <w:r>
      <w:fldChar w:fldCharType="separate"/>
    </w:r>
    <w:r>
      <w:t>1</w:t>
    </w:r>
    <w:r>
      <w:fldChar w:fldCharType="end"/>
    </w:r>
  </w:p>
  <w:p w14:paraId="40863C4F" w14:textId="77777777" w:rsidR="00C55308" w:rsidRDefault="00C55308" w:rsidP="00C55308">
    <w:pPr>
      <w:pStyle w:val="Encabezado"/>
    </w:pPr>
  </w:p>
  <w:p w14:paraId="29850EC5" w14:textId="77777777" w:rsidR="001F321D" w:rsidRDefault="001F32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E66A" w14:textId="77777777" w:rsidR="00C55308" w:rsidRDefault="00C55308" w:rsidP="00C55308">
    <w:pPr>
      <w:pStyle w:val="Encabezado"/>
      <w:ind w:right="3167"/>
      <w:jc w:val="right"/>
    </w:pPr>
    <w:r>
      <w:rPr>
        <w:noProof/>
      </w:rPr>
      <w:drawing>
        <wp:anchor distT="0" distB="0" distL="114300" distR="114300" simplePos="0" relativeHeight="251670528" behindDoc="0" locked="0" layoutInCell="1" allowOverlap="1" wp14:anchorId="5DE2A48E" wp14:editId="5ACFC10A">
          <wp:simplePos x="0" y="0"/>
          <wp:positionH relativeFrom="margin">
            <wp:posOffset>4257040</wp:posOffset>
          </wp:positionH>
          <wp:positionV relativeFrom="paragraph">
            <wp:posOffset>-152400</wp:posOffset>
          </wp:positionV>
          <wp:extent cx="1704975" cy="508635"/>
          <wp:effectExtent l="0" t="0" r="9525" b="571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1704975" cy="508635"/>
                  </a:xfrm>
                  <a:prstGeom prst="rect">
                    <a:avLst/>
                  </a:prstGeom>
                </pic:spPr>
              </pic:pic>
            </a:graphicData>
          </a:graphic>
        </wp:anchor>
      </w:drawing>
    </w:r>
    <w:r>
      <w:rPr>
        <w:noProof/>
        <w:lang w:val="es-ES" w:eastAsia="es-ES"/>
      </w:rPr>
      <mc:AlternateContent>
        <mc:Choice Requires="wps">
          <w:drawing>
            <wp:anchor distT="0" distB="0" distL="114300" distR="114300" simplePos="0" relativeHeight="251669504" behindDoc="1" locked="0" layoutInCell="1" allowOverlap="1" wp14:anchorId="6F2D7439" wp14:editId="3DD09582">
              <wp:simplePos x="0" y="0"/>
              <wp:positionH relativeFrom="column">
                <wp:posOffset>4077335</wp:posOffset>
              </wp:positionH>
              <wp:positionV relativeFrom="paragraph">
                <wp:posOffset>-210820</wp:posOffset>
              </wp:positionV>
              <wp:extent cx="18416" cy="600074"/>
              <wp:effectExtent l="38100" t="0" r="19685" b="48260"/>
              <wp:wrapNone/>
              <wp:docPr id="3" name="Conector recto 3"/>
              <wp:cNvGraphicFramePr/>
              <a:graphic xmlns:a="http://schemas.openxmlformats.org/drawingml/2006/main">
                <a:graphicData uri="http://schemas.microsoft.com/office/word/2010/wordprocessingShape">
                  <wps:wsp>
                    <wps:cNvCnPr/>
                    <wps:spPr>
                      <a:xfrm>
                        <a:off x="0" y="0"/>
                        <a:ext cx="18416" cy="600074"/>
                      </a:xfrm>
                      <a:prstGeom prst="straightConnector1">
                        <a:avLst/>
                      </a:prstGeom>
                      <a:noFill/>
                      <a:ln w="9363" cap="flat">
                        <a:solidFill>
                          <a:srgbClr val="A6A6A6"/>
                        </a:solidFill>
                        <a:prstDash val="solid"/>
                        <a:miter/>
                      </a:ln>
                      <a:effectLst>
                        <a:outerShdw dist="37417" dir="8076807" algn="tl">
                          <a:srgbClr val="000000">
                            <a:alpha val="40000"/>
                          </a:srgbClr>
                        </a:outerShdw>
                      </a:effectLst>
                    </wps:spPr>
                    <wps:bodyPr/>
                  </wps:wsp>
                </a:graphicData>
              </a:graphic>
            </wp:anchor>
          </w:drawing>
        </mc:Choice>
        <mc:Fallback>
          <w:pict>
            <v:shapetype w14:anchorId="51F8E09B" id="_x0000_t32" coordsize="21600,21600" o:spt="32" o:oned="t" path="m,l21600,21600e" filled="f">
              <v:path arrowok="t" fillok="f" o:connecttype="none"/>
              <o:lock v:ext="edit" shapetype="t"/>
            </v:shapetype>
            <v:shape id="Conector recto 3" o:spid="_x0000_s1026" type="#_x0000_t32" style="position:absolute;margin-left:321.05pt;margin-top:-16.6pt;width:1.45pt;height:47.2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" strokecolor="#a6a6a6" strokeweight=".26008mm">
              <v:stroke joinstyle="miter"/>
              <v:shadow on="t" color="black" opacity="26214f" origin="-.5,-.5" offset="-.72997mm,.73989mm"/>
            </v:shape>
          </w:pict>
        </mc:Fallback>
      </mc:AlternateContent>
    </w:r>
    <w:r>
      <w:rPr>
        <w:rFonts w:ascii="Arial" w:hAnsi="Arial" w:cs="Arial"/>
        <w:sz w:val="14"/>
        <w:szCs w:val="14"/>
      </w:rPr>
      <w:t xml:space="preserve"> </w:t>
    </w:r>
    <w:r w:rsidRPr="001F321D">
      <w:rPr>
        <w:rFonts w:ascii="Arial" w:hAnsi="Arial" w:cs="Arial"/>
        <w:sz w:val="14"/>
        <w:szCs w:val="14"/>
      </w:rPr>
      <w:t>L</w:t>
    </w:r>
    <w:bookmarkStart w:id="1" w:name="_Hlk82805353"/>
    <w:r w:rsidRPr="001F321D">
      <w:rPr>
        <w:rFonts w:ascii="Arial" w:hAnsi="Arial" w:cs="Arial"/>
        <w:sz w:val="14"/>
        <w:szCs w:val="14"/>
      </w:rPr>
      <w:t>EY DE AMNISTÍA PARA EL ESTADO DE TLAXCALA</w:t>
    </w:r>
    <w:bookmarkEnd w:id="1"/>
  </w:p>
  <w:p w14:paraId="49B27295" w14:textId="77777777" w:rsidR="00C55308" w:rsidRDefault="00C55308" w:rsidP="00C55308">
    <w:pPr>
      <w:pStyle w:val="Piedepgina"/>
    </w:pPr>
  </w:p>
  <w:p w14:paraId="5828E385" w14:textId="77777777" w:rsidR="00C55308" w:rsidRPr="00C55308" w:rsidRDefault="00C55308" w:rsidP="00C553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C1DC1"/>
    <w:multiLevelType w:val="multilevel"/>
    <w:tmpl w:val="3AA42BBA"/>
    <w:lvl w:ilvl="0">
      <w:start w:val="1"/>
      <w:numFmt w:val="upperRoman"/>
      <w:lvlText w:val="%1."/>
      <w:lvlJc w:val="left"/>
      <w:pPr>
        <w:tabs>
          <w:tab w:val="num" w:pos="0"/>
        </w:tabs>
        <w:ind w:left="992"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789"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2509"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3229"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949"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4669"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5389"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6109"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829" w:firstLine="0"/>
      </w:pPr>
      <w:rPr>
        <w:rFonts w:eastAsia="Times New Roman" w:cs="Times New Roman"/>
        <w:b w:val="0"/>
        <w:i w:val="0"/>
        <w:strike w:val="0"/>
        <w:dstrike w:val="0"/>
        <w:color w:val="000000"/>
        <w:position w:val="0"/>
        <w:sz w:val="22"/>
        <w:u w:val="none" w:color="000000"/>
        <w:vertAlign w:val="baseline"/>
      </w:rPr>
    </w:lvl>
  </w:abstractNum>
  <w:abstractNum w:abstractNumId="1" w15:restartNumberingAfterBreak="0">
    <w:nsid w:val="70122DC6"/>
    <w:multiLevelType w:val="multilevel"/>
    <w:tmpl w:val="80C0C8D2"/>
    <w:lvl w:ilvl="0">
      <w:start w:val="1"/>
      <w:numFmt w:val="upperRoman"/>
      <w:lvlText w:val="%1."/>
      <w:lvlJc w:val="left"/>
      <w:pPr>
        <w:tabs>
          <w:tab w:val="num" w:pos="0"/>
        </w:tabs>
        <w:ind w:left="852" w:firstLine="0"/>
      </w:pPr>
      <w:rPr>
        <w:rFonts w:eastAsia="Times New Roman" w:cs="Times New Roman"/>
        <w:b/>
        <w:i w:val="0"/>
        <w:strike w:val="0"/>
        <w:dstrike w:val="0"/>
        <w:color w:val="000000"/>
        <w:position w:val="0"/>
        <w:sz w:val="22"/>
        <w:u w:val="none" w:color="000000"/>
        <w:vertAlign w:val="baseline"/>
      </w:rPr>
    </w:lvl>
    <w:lvl w:ilvl="1">
      <w:start w:val="1"/>
      <w:numFmt w:val="lowerLetter"/>
      <w:lvlText w:val="%2"/>
      <w:lvlJc w:val="left"/>
      <w:pPr>
        <w:tabs>
          <w:tab w:val="num" w:pos="0"/>
        </w:tabs>
        <w:ind w:left="1649" w:firstLine="0"/>
      </w:pPr>
      <w:rPr>
        <w:rFonts w:eastAsia="Times New Roman" w:cs="Times New Roman"/>
        <w:b/>
        <w:i w:val="0"/>
        <w:strike w:val="0"/>
        <w:dstrike w:val="0"/>
        <w:color w:val="000000"/>
        <w:position w:val="0"/>
        <w:sz w:val="22"/>
        <w:u w:val="none" w:color="000000"/>
        <w:vertAlign w:val="baseline"/>
      </w:rPr>
    </w:lvl>
    <w:lvl w:ilvl="2">
      <w:start w:val="1"/>
      <w:numFmt w:val="lowerRoman"/>
      <w:lvlText w:val="%3"/>
      <w:lvlJc w:val="left"/>
      <w:pPr>
        <w:tabs>
          <w:tab w:val="num" w:pos="0"/>
        </w:tabs>
        <w:ind w:left="2369" w:firstLine="0"/>
      </w:pPr>
      <w:rPr>
        <w:rFonts w:eastAsia="Times New Roman" w:cs="Times New Roman"/>
        <w:b/>
        <w:i w:val="0"/>
        <w:strike w:val="0"/>
        <w:dstrike w:val="0"/>
        <w:color w:val="000000"/>
        <w:position w:val="0"/>
        <w:sz w:val="22"/>
        <w:u w:val="none" w:color="000000"/>
        <w:vertAlign w:val="baseline"/>
      </w:rPr>
    </w:lvl>
    <w:lvl w:ilvl="3">
      <w:start w:val="1"/>
      <w:numFmt w:val="decimal"/>
      <w:lvlText w:val="%4"/>
      <w:lvlJc w:val="left"/>
      <w:pPr>
        <w:tabs>
          <w:tab w:val="num" w:pos="0"/>
        </w:tabs>
        <w:ind w:left="3089" w:firstLine="0"/>
      </w:pPr>
      <w:rPr>
        <w:rFonts w:eastAsia="Times New Roman" w:cs="Times New Roman"/>
        <w:b/>
        <w:i w:val="0"/>
        <w:strike w:val="0"/>
        <w:dstrike w:val="0"/>
        <w:color w:val="000000"/>
        <w:position w:val="0"/>
        <w:sz w:val="22"/>
        <w:u w:val="none" w:color="000000"/>
        <w:vertAlign w:val="baseline"/>
      </w:rPr>
    </w:lvl>
    <w:lvl w:ilvl="4">
      <w:start w:val="1"/>
      <w:numFmt w:val="lowerLetter"/>
      <w:lvlText w:val="%5"/>
      <w:lvlJc w:val="left"/>
      <w:pPr>
        <w:tabs>
          <w:tab w:val="num" w:pos="0"/>
        </w:tabs>
        <w:ind w:left="3809" w:firstLine="0"/>
      </w:pPr>
      <w:rPr>
        <w:rFonts w:eastAsia="Times New Roman" w:cs="Times New Roman"/>
        <w:b/>
        <w:i w:val="0"/>
        <w:strike w:val="0"/>
        <w:dstrike w:val="0"/>
        <w:color w:val="000000"/>
        <w:position w:val="0"/>
        <w:sz w:val="22"/>
        <w:u w:val="none" w:color="000000"/>
        <w:vertAlign w:val="baseline"/>
      </w:rPr>
    </w:lvl>
    <w:lvl w:ilvl="5">
      <w:start w:val="1"/>
      <w:numFmt w:val="lowerRoman"/>
      <w:lvlText w:val="%6"/>
      <w:lvlJc w:val="left"/>
      <w:pPr>
        <w:tabs>
          <w:tab w:val="num" w:pos="0"/>
        </w:tabs>
        <w:ind w:left="4529" w:firstLine="0"/>
      </w:pPr>
      <w:rPr>
        <w:rFonts w:eastAsia="Times New Roman" w:cs="Times New Roman"/>
        <w:b/>
        <w:i w:val="0"/>
        <w:strike w:val="0"/>
        <w:dstrike w:val="0"/>
        <w:color w:val="000000"/>
        <w:position w:val="0"/>
        <w:sz w:val="22"/>
        <w:u w:val="none" w:color="000000"/>
        <w:vertAlign w:val="baseline"/>
      </w:rPr>
    </w:lvl>
    <w:lvl w:ilvl="6">
      <w:start w:val="1"/>
      <w:numFmt w:val="decimal"/>
      <w:lvlText w:val="%7"/>
      <w:lvlJc w:val="left"/>
      <w:pPr>
        <w:tabs>
          <w:tab w:val="num" w:pos="0"/>
        </w:tabs>
        <w:ind w:left="5249" w:firstLine="0"/>
      </w:pPr>
      <w:rPr>
        <w:rFonts w:eastAsia="Times New Roman" w:cs="Times New Roman"/>
        <w:b/>
        <w:i w:val="0"/>
        <w:strike w:val="0"/>
        <w:dstrike w:val="0"/>
        <w:color w:val="000000"/>
        <w:position w:val="0"/>
        <w:sz w:val="22"/>
        <w:u w:val="none" w:color="000000"/>
        <w:vertAlign w:val="baseline"/>
      </w:rPr>
    </w:lvl>
    <w:lvl w:ilvl="7">
      <w:start w:val="1"/>
      <w:numFmt w:val="lowerLetter"/>
      <w:lvlText w:val="%8"/>
      <w:lvlJc w:val="left"/>
      <w:pPr>
        <w:tabs>
          <w:tab w:val="num" w:pos="0"/>
        </w:tabs>
        <w:ind w:left="5969" w:firstLine="0"/>
      </w:pPr>
      <w:rPr>
        <w:rFonts w:eastAsia="Times New Roman" w:cs="Times New Roman"/>
        <w:b/>
        <w:i w:val="0"/>
        <w:strike w:val="0"/>
        <w:dstrike w:val="0"/>
        <w:color w:val="000000"/>
        <w:position w:val="0"/>
        <w:sz w:val="22"/>
        <w:u w:val="none" w:color="000000"/>
        <w:vertAlign w:val="baseline"/>
      </w:rPr>
    </w:lvl>
    <w:lvl w:ilvl="8">
      <w:start w:val="1"/>
      <w:numFmt w:val="lowerRoman"/>
      <w:lvlText w:val="%9"/>
      <w:lvlJc w:val="left"/>
      <w:pPr>
        <w:tabs>
          <w:tab w:val="num" w:pos="0"/>
        </w:tabs>
        <w:ind w:left="6689" w:firstLine="0"/>
      </w:pPr>
      <w:rPr>
        <w:rFonts w:eastAsia="Times New Roman" w:cs="Times New Roman"/>
        <w:b/>
        <w:i w:val="0"/>
        <w:strike w:val="0"/>
        <w:dstrike w:val="0"/>
        <w:color w:val="000000"/>
        <w:position w:val="0"/>
        <w:sz w:val="22"/>
        <w:u w:val="none" w:color="000000"/>
        <w:vertAlign w:val="baseline"/>
      </w:rPr>
    </w:lvl>
  </w:abstractNum>
  <w:abstractNum w:abstractNumId="2" w15:restartNumberingAfterBreak="0">
    <w:nsid w:val="73A5577D"/>
    <w:multiLevelType w:val="multilevel"/>
    <w:tmpl w:val="2CC02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AE8"/>
    <w:rsid w:val="001F321D"/>
    <w:rsid w:val="00277AE8"/>
    <w:rsid w:val="00A71BCD"/>
    <w:rsid w:val="00C55308"/>
    <w:rsid w:val="00E52601"/>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2FFDE"/>
  <w15:docId w15:val="{9621406B-894E-4238-9216-59A9103A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5" w:lineRule="auto"/>
      <w:ind w:left="-4" w:hanging="1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pPr>
      <w:keepNext/>
      <w:spacing w:before="240" w:after="120"/>
    </w:pPr>
    <w:rPr>
      <w:rFonts w:ascii="Calibri" w:eastAsia="Arial Unicode MS" w:hAnsi="Calibri"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ascii="Calibri" w:hAnsi="Calibri" w:cs="Lucida Sans"/>
    </w:rPr>
  </w:style>
  <w:style w:type="paragraph" w:styleId="Descripcin">
    <w:name w:val="caption"/>
    <w:basedOn w:val="Normal"/>
    <w:qFormat/>
    <w:pPr>
      <w:suppressLineNumbers/>
      <w:spacing w:before="120" w:after="120"/>
    </w:pPr>
    <w:rPr>
      <w:rFonts w:ascii="Calibri" w:hAnsi="Calibri" w:cs="Lucida Sans"/>
      <w:i/>
      <w:iCs/>
      <w:sz w:val="24"/>
      <w:szCs w:val="24"/>
    </w:rPr>
  </w:style>
  <w:style w:type="paragraph" w:customStyle="1" w:styleId="ndice">
    <w:name w:val="Índice"/>
    <w:basedOn w:val="Normal"/>
    <w:qFormat/>
    <w:pPr>
      <w:suppressLineNumbers/>
    </w:pPr>
    <w:rPr>
      <w:rFonts w:ascii="Calibri" w:hAnsi="Calibri" w:cs="Lucida Sans"/>
    </w:rPr>
  </w:style>
  <w:style w:type="table" w:customStyle="1" w:styleId="TableGrid">
    <w:name w:val="TableGrid"/>
    <w:tblPr>
      <w:tblCellMar>
        <w:top w:w="0" w:type="dxa"/>
        <w:left w:w="0" w:type="dxa"/>
        <w:bottom w:w="0" w:type="dxa"/>
        <w:right w:w="0" w:type="dxa"/>
      </w:tblCellMar>
    </w:tblPr>
  </w:style>
  <w:style w:type="paragraph" w:styleId="Encabezado">
    <w:name w:val="header"/>
    <w:basedOn w:val="Normal"/>
    <w:link w:val="EncabezadoCar"/>
    <w:unhideWhenUsed/>
    <w:rsid w:val="001F32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321D"/>
    <w:rPr>
      <w:rFonts w:ascii="Times New Roman" w:eastAsia="Times New Roman" w:hAnsi="Times New Roman" w:cs="Times New Roman"/>
      <w:color w:val="000000"/>
    </w:rPr>
  </w:style>
  <w:style w:type="paragraph" w:styleId="Piedepgina">
    <w:name w:val="footer"/>
    <w:basedOn w:val="Normal"/>
    <w:link w:val="PiedepginaCar"/>
    <w:uiPriority w:val="99"/>
    <w:unhideWhenUsed/>
    <w:rsid w:val="001F32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21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1261</Words>
  <Characters>6940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CONGRESO DEL ESTADO</dc:creator>
  <dc:description/>
  <cp:lastModifiedBy>User</cp:lastModifiedBy>
  <cp:revision>7</cp:revision>
  <dcterms:created xsi:type="dcterms:W3CDTF">2021-09-17T21:11:00Z</dcterms:created>
  <dcterms:modified xsi:type="dcterms:W3CDTF">2021-09-18T02:09:00Z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